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24" w:name="_GoBack"/>
      <w:bookmarkEnd w:id="24"/>
      <w:r>
        <w:rPr>
          <w:rFonts w:ascii="Times New Roman" w:hAnsi="Times New Roman" w:cs="Times New Roman"/>
          <w:b/>
          <w:color w:val="000000" w:themeColor="text1"/>
          <w:sz w:val="28"/>
          <w:szCs w:val="20"/>
        </w:rPr>
        <w:t>一、建设项目基本情况</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1115"/>
        <w:gridCol w:w="18"/>
        <w:gridCol w:w="2270"/>
        <w:gridCol w:w="2264"/>
        <w:gridCol w:w="31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70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昆明北杏新型建材有限公司年产7000万块页岩砖改扩建项目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70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昆明北杏新型建材有限公司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70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2020-530113-30-03-056275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270" w:type="dxa"/>
            <w:tcBorders>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宋</w:t>
            </w:r>
            <w:r>
              <w:rPr>
                <w:rFonts w:hint="eastAsia" w:ascii="Times New Roman" w:hAnsi="Times New Roman" w:cs="Times New Roman"/>
                <w:color w:val="000000" w:themeColor="text1"/>
                <w:sz w:val="24"/>
                <w:szCs w:val="24"/>
                <w:lang w:val="en-US" w:eastAsia="zh-CN"/>
              </w:rPr>
              <w:t>**</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7"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139</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70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昆明市东川区铜都街道办事处绿茂老村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70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东经103°08'58.527"，北纬26°10'24.754"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27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C3031 粘土砖瓦及建筑砌块制造</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第“二十七、非金属矿物制品业</w:t>
            </w:r>
            <w:r>
              <w:rPr>
                <w:rFonts w:ascii="Times New Roman" w:hAnsi="Times New Roman" w:cs="Times New Roman"/>
                <w:color w:val="000000" w:themeColor="text1"/>
                <w:sz w:val="24"/>
                <w:szCs w:val="24"/>
              </w:rPr>
              <w:t>30</w:t>
            </w:r>
            <w:r>
              <w:rPr>
                <w:rFonts w:hint="eastAsia" w:ascii="Times New Roman" w:hAnsi="Times New Roman" w:cs="Times New Roman"/>
                <w:color w:val="000000" w:themeColor="text1"/>
                <w:sz w:val="24"/>
                <w:szCs w:val="24"/>
              </w:rPr>
              <w:t>”下“砖瓦、石材等建筑材料制造</w:t>
            </w:r>
            <w:r>
              <w:rPr>
                <w:rFonts w:ascii="Times New Roman" w:hAnsi="Times New Roman" w:cs="Times New Roman"/>
                <w:color w:val="000000" w:themeColor="text1"/>
                <w:sz w:val="24"/>
                <w:szCs w:val="24"/>
              </w:rPr>
              <w:t>303</w:t>
            </w:r>
            <w:r>
              <w:rPr>
                <w:rFonts w:hint="eastAsia" w:ascii="Times New Roman" w:hAnsi="Times New Roman" w:cs="Times New Roman"/>
                <w:color w:val="000000" w:themeColor="text1"/>
                <w:sz w:val="24"/>
                <w:szCs w:val="24"/>
              </w:rPr>
              <w:t>”中的“粘土砖瓦及建筑砌块制造类”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270"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7" w:type="dxa"/>
            <w:tcBorders>
              <w:lef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首次申报项目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27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昆明市东川区工业和科学技术信息化局</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投资项目备案证（项目代码：2020-530113-30-03-056275）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27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3143.87</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27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270"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否</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是</w:t>
            </w:r>
            <w:r>
              <w:rPr>
                <w:rFonts w:hint="eastAsia" w:ascii="Times New Roman" w:hAnsi="Times New Roman" w:cs="Times New Roman"/>
                <w:color w:val="000000" w:themeColor="text1"/>
                <w:sz w:val="24"/>
                <w:szCs w:val="24"/>
                <w:u w:val="single"/>
              </w:rPr>
              <w:t xml:space="preserve">             </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新增面积为0，厂区面积由23333m²缩减至10300m²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3"/>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7701" w:type="dxa"/>
            <w:gridSpan w:val="3"/>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《建设项目环境影响报告表编制技术指南》（污染影响类）（试行）</w:t>
            </w:r>
            <w:r>
              <w:rPr>
                <w:rFonts w:hint="eastAsia" w:ascii="Times New Roman" w:hAnsi="Times New Roman" w:cs="Times New Roman"/>
                <w:color w:val="000000" w:themeColor="text1"/>
                <w:sz w:val="24"/>
                <w:szCs w:val="24"/>
              </w:rPr>
              <w:t>“表</w:t>
            </w:r>
            <w:r>
              <w:rPr>
                <w:rFonts w:ascii="Times New Roman" w:hAnsi="Times New Roman" w:cs="Times New Roman"/>
                <w:color w:val="000000" w:themeColor="text1"/>
                <w:sz w:val="24"/>
                <w:szCs w:val="24"/>
              </w:rPr>
              <w:t xml:space="preserve">1 </w:t>
            </w:r>
            <w:r>
              <w:rPr>
                <w:rFonts w:hint="eastAsia" w:ascii="Times New Roman" w:hAnsi="Times New Roman" w:cs="Times New Roman"/>
                <w:color w:val="000000" w:themeColor="text1"/>
                <w:sz w:val="24"/>
                <w:szCs w:val="24"/>
              </w:rPr>
              <w:t>专项评价设置原则表”</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本项目专项评价设置情况具体如下：</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（1）大气</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大气专项设置原则为：“排放废气含有《有毒有害大气污染物名录》的污染物（不包括无排放标准的污染物）、二噁英、苯并</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芘、氰化物、氯气且厂界外</w:t>
            </w:r>
            <w:r>
              <w:rPr>
                <w:rFonts w:ascii="Times New Roman" w:hAnsi="Times New Roman" w:cs="Times New Roman"/>
                <w:color w:val="000000" w:themeColor="text1"/>
                <w:sz w:val="24"/>
                <w:szCs w:val="24"/>
              </w:rPr>
              <w:t xml:space="preserve">500 </w:t>
            </w:r>
            <w:r>
              <w:rPr>
                <w:rFonts w:hint="eastAsia" w:ascii="Times New Roman" w:hAnsi="Times New Roman" w:cs="Times New Roman"/>
                <w:color w:val="000000" w:themeColor="text1"/>
                <w:sz w:val="24"/>
                <w:szCs w:val="24"/>
              </w:rPr>
              <w:t>米范围内有环境空气保护目标的建设项目”。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本项目排放的大气污染物主要包括</w:t>
            </w:r>
            <w:r>
              <w:rPr>
                <w:rFonts w:ascii="Times New Roman" w:hAnsi="Times New Roman" w:cs="Times New Roman"/>
                <w:color w:val="000000" w:themeColor="text1"/>
                <w:sz w:val="24"/>
                <w:szCs w:val="24"/>
              </w:rPr>
              <w:t>烟</w:t>
            </w:r>
            <w:r>
              <w:rPr>
                <w:rFonts w:hint="eastAsia" w:ascii="Times New Roman" w:hAnsi="Times New Roman" w:cs="Times New Roman"/>
                <w:color w:val="000000" w:themeColor="text1"/>
                <w:sz w:val="24"/>
                <w:szCs w:val="24"/>
              </w:rPr>
              <w:t>粉</w:t>
            </w:r>
            <w:r>
              <w:rPr>
                <w:rFonts w:ascii="Times New Roman" w:hAnsi="Times New Roman" w:cs="Times New Roman"/>
                <w:color w:val="000000" w:themeColor="text1"/>
                <w:sz w:val="24"/>
                <w:szCs w:val="24"/>
              </w:rPr>
              <w:t>尘、SO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、NOx</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氟化物</w:t>
            </w:r>
            <w:r>
              <w:rPr>
                <w:rFonts w:hint="eastAsia" w:ascii="Times New Roman" w:hAnsi="Times New Roman" w:cs="Times New Roman"/>
                <w:color w:val="000000" w:themeColor="text1"/>
                <w:sz w:val="24"/>
                <w:szCs w:val="24"/>
              </w:rPr>
              <w:t>、厨房油烟；不含上述需设置大气专项评价的排放因子，因此不设置大气专项评价。</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（2）地表水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地表水专项设置原则为：“新增工业废水直排建设项目（槽罐车外送污水处理厂的除外）；新增废水直排的污水集中处理厂”。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本项目产生的废水类型包括脱硫废水、初期雨水和生活污水，均各经配套的设施处理后回用，不外排；因此不设置地表水专项评价。</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（3）</w:t>
            </w:r>
            <w:r>
              <w:rPr>
                <w:rFonts w:ascii="Times New Roman" w:hAnsi="宋体" w:eastAsia="宋体" w:cs="Times New Roman"/>
                <w:b/>
                <w:color w:val="000000" w:themeColor="text1"/>
                <w:sz w:val="24"/>
                <w:szCs w:val="24"/>
              </w:rPr>
              <w:t>环境风险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环境风险</w:t>
            </w:r>
            <w:r>
              <w:rPr>
                <w:rFonts w:hint="eastAsia" w:ascii="Times New Roman" w:hAnsi="Times New Roman" w:cs="Times New Roman"/>
                <w:color w:val="000000" w:themeColor="text1"/>
                <w:sz w:val="24"/>
                <w:szCs w:val="24"/>
              </w:rPr>
              <w:t>专项设置原则为：“有毒有害和易燃易爆危险物质存储量超过临界量的建设项目”。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涉及的危险物质包括脱硫过程使用的次氯酸钠和储存的废机油。其中废机油最大储存量为0.08t（临界量为2500t）、次氯酸钠最大储存量为0.05t（临界量为5t），均未超过临界量，因此不需设置环境风险评价等级。</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（4）</w:t>
            </w:r>
            <w:r>
              <w:rPr>
                <w:rFonts w:ascii="Times New Roman" w:hAnsi="宋体" w:eastAsia="宋体" w:cs="Times New Roman"/>
                <w:b/>
                <w:color w:val="000000" w:themeColor="text1"/>
                <w:sz w:val="24"/>
                <w:szCs w:val="24"/>
              </w:rPr>
              <w:t>生态</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生态</w:t>
            </w:r>
            <w:r>
              <w:rPr>
                <w:rFonts w:hint="eastAsia" w:ascii="Times New Roman" w:hAnsi="Times New Roman" w:cs="Times New Roman"/>
                <w:color w:val="000000" w:themeColor="text1"/>
                <w:sz w:val="24"/>
                <w:szCs w:val="24"/>
              </w:rPr>
              <w:t>专项设置原则为：“取水口下游</w:t>
            </w:r>
            <w:r>
              <w:rPr>
                <w:rFonts w:ascii="Times New Roman" w:hAnsi="Times New Roman" w:cs="Times New Roman"/>
                <w:color w:val="000000" w:themeColor="text1"/>
                <w:sz w:val="24"/>
                <w:szCs w:val="24"/>
              </w:rPr>
              <w:t xml:space="preserve">500 </w:t>
            </w:r>
            <w:r>
              <w:rPr>
                <w:rFonts w:hint="eastAsia" w:ascii="Times New Roman" w:hAnsi="Times New Roman" w:cs="Times New Roman"/>
                <w:color w:val="000000" w:themeColor="text1"/>
                <w:sz w:val="24"/>
                <w:szCs w:val="24"/>
              </w:rPr>
              <w:t>米范围内有重要水生生物的自然产卵场、索饵场、越冬场和洄游通道的新增河道取水的污染类建设项目”。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本项目用水使用自来水，不涉及河道取水，因此不设置生态专项评价。</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（5）</w:t>
            </w:r>
            <w:r>
              <w:rPr>
                <w:rFonts w:ascii="Times New Roman" w:hAnsi="宋体" w:eastAsia="宋体" w:cs="Times New Roman"/>
                <w:b/>
                <w:color w:val="000000" w:themeColor="text1"/>
                <w:sz w:val="24"/>
                <w:szCs w:val="24"/>
              </w:rPr>
              <w:t>海洋</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海洋专项设置原则为：“</w:t>
            </w:r>
            <w:r>
              <w:rPr>
                <w:rFonts w:ascii="Times New Roman" w:hAnsi="Times New Roman" w:eastAsia="宋体" w:cs="Times New Roman"/>
                <w:color w:val="000000" w:themeColor="text1"/>
                <w:sz w:val="24"/>
                <w:szCs w:val="24"/>
              </w:rPr>
              <w:t>直接向海排放污染物的海洋工程建设项目。</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本项目不涉及海洋，因此不设置</w:t>
            </w:r>
            <w:r>
              <w:rPr>
                <w:rFonts w:ascii="Times New Roman" w:hAnsi="Times New Roman" w:eastAsia="宋体" w:cs="Times New Roman"/>
                <w:color w:val="000000" w:themeColor="text1"/>
                <w:sz w:val="24"/>
                <w:szCs w:val="24"/>
              </w:rPr>
              <w:t>海洋</w:t>
            </w:r>
            <w:r>
              <w:rPr>
                <w:rFonts w:hint="eastAsia" w:ascii="Times New Roman" w:hAnsi="Times New Roman" w:cs="Times New Roman"/>
                <w:color w:val="000000" w:themeColor="text1"/>
                <w:sz w:val="24"/>
                <w:szCs w:val="24"/>
              </w:rPr>
              <w:t>专项评价。</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综上，本项目不设置专项评价。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7"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规划情况</w:t>
            </w:r>
          </w:p>
        </w:tc>
        <w:tc>
          <w:tcPr>
            <w:tcW w:w="7719" w:type="dxa"/>
            <w:gridSpan w:val="4"/>
            <w:tcBorders>
              <w:left w:val="single" w:color="auto" w:sz="4" w:space="0"/>
            </w:tcBorders>
            <w:vAlign w:val="center"/>
          </w:tcPr>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本项目位于昆明市东川区铜都街道办事处绿茂老村，</w:t>
            </w:r>
            <w:r>
              <w:rPr>
                <w:rFonts w:hint="eastAsia" w:ascii="Times New Roman" w:hAnsi="Times New Roman" w:eastAsia="宋体" w:cs="Times New Roman"/>
                <w:color w:val="000000" w:themeColor="text1"/>
                <w:sz w:val="24"/>
                <w:szCs w:val="24"/>
              </w:rPr>
              <w:t>根据调查，该区域未规划为工业园区</w:t>
            </w:r>
            <w:r>
              <w:rPr>
                <w:rFonts w:ascii="Times New Roman" w:hAnsi="Times New Roman" w:eastAsia="宋体"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7"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7719" w:type="dxa"/>
            <w:gridSpan w:val="4"/>
            <w:tcBorders>
              <w:left w:val="single" w:color="auto" w:sz="4" w:space="0"/>
            </w:tcBorders>
            <w:vAlign w:val="center"/>
          </w:tcPr>
          <w:p>
            <w:pPr>
              <w:spacing w:line="360" w:lineRule="auto"/>
              <w:rPr>
                <w:rFonts w:ascii="Times New Roman" w:hAnsi="Times New Roman" w:cs="Times New Roman"/>
                <w:color w:val="000000" w:themeColor="text1"/>
                <w:sz w:val="24"/>
                <w:szCs w:val="24"/>
              </w:rPr>
            </w:pPr>
            <w:r>
              <w:rPr>
                <w:rFonts w:hint="eastAsia" w:ascii="Times New Roman" w:hAnsi="Times New Roman" w:eastAsia="宋体"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7"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规划及规划环境影响评价符合性分析</w:t>
            </w:r>
          </w:p>
        </w:tc>
        <w:tc>
          <w:tcPr>
            <w:tcW w:w="7719" w:type="dxa"/>
            <w:gridSpan w:val="4"/>
            <w:tcBorders>
              <w:left w:val="single" w:color="auto" w:sz="4" w:space="0"/>
            </w:tcBorders>
            <w:vAlign w:val="center"/>
          </w:tcPr>
          <w:p>
            <w:pPr>
              <w:spacing w:line="360" w:lineRule="auto"/>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5"/>
            <w:vAlign w:val="center"/>
          </w:tcPr>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三线一单</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符合性分析</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昆明市人民政府已发布《昆明市人民政府关于昆明市“三线一单” 生态环境分区管控的实施意见》，本项目符合性分析具体如下：</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①</w:t>
            </w:r>
            <w:r>
              <w:rPr>
                <w:rFonts w:ascii="Times New Roman" w:cs="Times New Roman" w:hAnsiTheme="minorEastAsia"/>
                <w:b/>
                <w:color w:val="000000" w:themeColor="text1"/>
                <w:sz w:val="24"/>
                <w:szCs w:val="24"/>
              </w:rPr>
              <w:t>生态保护红线和一般生态空间</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昆明市东川区铜都街道办事处绿茂老村的原有项目厂区范围内，2020年9月25日昆明市东川区自然资源局出具的相关证明，明确项目不涉及生态红线。又《昆明市人民政府关于昆明市“三线一单” 生态环境分区管控的实施意见》明确将“</w:t>
            </w:r>
            <w:r>
              <w:rPr>
                <w:rFonts w:ascii="Times New Roman" w:cs="Times New Roman" w:hAnsiTheme="minorEastAsia"/>
                <w:color w:val="000000" w:themeColor="text1"/>
                <w:sz w:val="24"/>
              </w:rPr>
              <w:t>将未划入生态保护红线的自然保护地、饮用水水源保护区、重要湿地、基本草原、生态公益林、天然林等生态功能重要、生态环境敏感区域划为一般生态空间</w:t>
            </w:r>
            <w:r>
              <w:rPr>
                <w:rFonts w:hint="eastAsia" w:ascii="Times New Roman" w:cs="Times New Roman" w:hAnsiTheme="minorEastAsia"/>
                <w:color w:val="000000" w:themeColor="text1"/>
                <w:sz w:val="24"/>
              </w:rPr>
              <w:t>”，根据调查，本项目位于本项目位于</w:t>
            </w:r>
            <w:r>
              <w:rPr>
                <w:rFonts w:ascii="Times New Roman" w:cs="Times New Roman" w:hAnsiTheme="minorEastAsia"/>
                <w:color w:val="000000" w:themeColor="text1"/>
                <w:sz w:val="24"/>
              </w:rPr>
              <w:t>昆明市东川区铜都街道办事处绿茂老村</w:t>
            </w:r>
            <w:r>
              <w:rPr>
                <w:rFonts w:hint="eastAsia" w:ascii="Times New Roman" w:cs="Times New Roman" w:hAnsiTheme="minorEastAsia"/>
                <w:color w:val="000000" w:themeColor="text1"/>
                <w:sz w:val="24"/>
              </w:rPr>
              <w:t>，项目所在地属于</w:t>
            </w:r>
            <w:r>
              <w:rPr>
                <w:rFonts w:ascii="Times New Roman" w:cs="Times New Roman" w:hAnsiTheme="minorEastAsia"/>
                <w:color w:val="000000" w:themeColor="text1"/>
                <w:sz w:val="24"/>
              </w:rPr>
              <w:t>东川区绿茂村水环境城镇生活污染重点管控单元</w:t>
            </w:r>
            <w:r>
              <w:rPr>
                <w:rFonts w:hint="eastAsia"/>
                <w:color w:val="000000" w:themeColor="text1"/>
              </w:rPr>
              <w:t>，</w:t>
            </w:r>
            <w:r>
              <w:rPr>
                <w:rFonts w:hint="eastAsia" w:ascii="Times New Roman" w:cs="Times New Roman" w:hAnsiTheme="minorEastAsia"/>
                <w:color w:val="000000" w:themeColor="text1"/>
                <w:sz w:val="24"/>
              </w:rPr>
              <w:t>因此项目不属于优先保护单元。</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②</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生态环境分区管控的实施意见》对环境质量底线设定了2025年和2035年两个目标，本项目位于</w:t>
            </w:r>
            <w:r>
              <w:rPr>
                <w:rFonts w:ascii="Times New Roman" w:cs="Times New Roman" w:hAnsiTheme="minorEastAsia"/>
                <w:color w:val="000000" w:themeColor="text1"/>
                <w:sz w:val="24"/>
              </w:rPr>
              <w:t>昆明市东川区铜都街道办事处绿茂老村</w:t>
            </w:r>
            <w:r>
              <w:rPr>
                <w:rFonts w:hint="eastAsia" w:ascii="Times New Roman" w:cs="Times New Roman" w:hAnsiTheme="minorEastAsia"/>
                <w:color w:val="000000" w:themeColor="text1"/>
                <w:sz w:val="24"/>
              </w:rPr>
              <w:t>，环境质量底线和本项目相关的要求及符合性分析如下：</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1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⑴</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生态环境质量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根据调查，项目的建设不涉及到</w:t>
            </w:r>
            <w:r>
              <w:rPr>
                <w:rFonts w:ascii="Times New Roman" w:cs="Times New Roman" w:hAnsiTheme="minorEastAsia"/>
                <w:color w:val="000000" w:themeColor="text1"/>
                <w:sz w:val="24"/>
              </w:rPr>
              <w:t>生态保护红线和一般生态空间</w:t>
            </w:r>
            <w:r>
              <w:rPr>
                <w:rFonts w:hint="eastAsia" w:ascii="Times New Roman" w:cs="Times New Roman" w:hAnsiTheme="minorEastAsia"/>
                <w:color w:val="000000" w:themeColor="text1"/>
                <w:sz w:val="24"/>
              </w:rPr>
              <w:t>，因此项目建设和生态环境质量底线不冲突。因此，项目建设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生态</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2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⑵</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环境空气环境质量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到2025年，全市环境空气质量总体保持优良，主城建成区空气质量优良天数占比达99%以上，二氧化硫（SO</w:t>
            </w:r>
            <w:r>
              <w:rPr>
                <w:rFonts w:ascii="Times New Roman" w:cs="Times New Roman" w:hAnsiTheme="minorEastAsia"/>
                <w:color w:val="000000" w:themeColor="text1"/>
                <w:sz w:val="24"/>
                <w:vertAlign w:val="subscript"/>
              </w:rPr>
              <w:t>2</w:t>
            </w:r>
            <w:r>
              <w:rPr>
                <w:rFonts w:ascii="Times New Roman" w:cs="Times New Roman" w:hAnsiTheme="minorEastAsia"/>
                <w:color w:val="000000" w:themeColor="text1"/>
                <w:sz w:val="24"/>
              </w:rPr>
              <w:t>）和氮氧化物（NO</w:t>
            </w:r>
            <w:r>
              <w:rPr>
                <w:rFonts w:hint="eastAsia" w:ascii="Times New Roman" w:cs="Times New Roman" w:hAnsiTheme="minorEastAsia"/>
                <w:color w:val="000000" w:themeColor="text1"/>
                <w:sz w:val="24"/>
              </w:rPr>
              <w:t>x</w:t>
            </w:r>
            <w:r>
              <w:rPr>
                <w:rFonts w:ascii="Times New Roman" w:cs="Times New Roman" w:hAnsiTheme="minorEastAsia"/>
                <w:color w:val="000000" w:themeColor="text1"/>
                <w:sz w:val="24"/>
              </w:rPr>
              <w:t>）排放总量控制在省下达的目标以内，主城区空气中颗粒物（PM</w:t>
            </w:r>
            <w:r>
              <w:rPr>
                <w:rFonts w:ascii="Times New Roman" w:cs="Times New Roman" w:hAnsiTheme="minorEastAsia"/>
                <w:color w:val="000000" w:themeColor="text1"/>
                <w:sz w:val="24"/>
                <w:vertAlign w:val="subscript"/>
              </w:rPr>
              <w:t>10</w:t>
            </w:r>
            <w:r>
              <w:rPr>
                <w:rFonts w:ascii="Times New Roman" w:cs="Times New Roman" w:hAnsiTheme="minorEastAsia"/>
                <w:color w:val="000000" w:themeColor="text1"/>
                <w:sz w:val="24"/>
              </w:rPr>
              <w:t>、PM</w:t>
            </w:r>
            <w:r>
              <w:rPr>
                <w:rFonts w:ascii="Times New Roman" w:cs="Times New Roman" w:hAnsiTheme="minorEastAsia"/>
                <w:color w:val="000000" w:themeColor="text1"/>
                <w:sz w:val="24"/>
                <w:vertAlign w:val="subscript"/>
              </w:rPr>
              <w:t>2.5</w:t>
            </w:r>
            <w:r>
              <w:rPr>
                <w:rFonts w:ascii="Times New Roman" w:cs="Times New Roman" w:hAnsiTheme="minorEastAsia"/>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根据调查，现目选址区域空气环境可达到《环境空气质量标准》（GB3095-2012）二级标准，属于空气达标区</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且本项目的建设不会改变区域环境</w:t>
            </w:r>
            <w:r>
              <w:rPr>
                <w:rFonts w:hint="eastAsia" w:ascii="Times New Roman" w:cs="Times New Roman" w:hAnsiTheme="minorEastAsia"/>
                <w:color w:val="000000" w:themeColor="text1"/>
                <w:sz w:val="24"/>
              </w:rPr>
              <w:t>空气</w:t>
            </w:r>
            <w:r>
              <w:rPr>
                <w:rFonts w:ascii="Times New Roman" w:cs="Times New Roman" w:hAnsiTheme="minorEastAsia"/>
                <w:color w:val="000000" w:themeColor="text1"/>
                <w:sz w:val="24"/>
              </w:rPr>
              <w:t>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3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⑶</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地表水环境质量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w:t>
            </w:r>
            <w:r>
              <w:rPr>
                <w:rFonts w:hint="eastAsia" w:ascii="Times New Roman" w:cs="Times New Roman" w:hAnsiTheme="minorEastAsia"/>
                <w:color w:val="000000" w:themeColor="text1"/>
                <w:sz w:val="24"/>
              </w:rPr>
              <w:t>V</w:t>
            </w:r>
            <w:r>
              <w:rPr>
                <w:rFonts w:ascii="Times New Roman" w:cs="Times New Roman" w:hAnsiTheme="minorEastAsia"/>
                <w:color w:val="000000" w:themeColor="text1"/>
                <w:sz w:val="24"/>
              </w:rPr>
              <w:t>类水体，集中式饮用水水源水质稳定达标。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根据调查，本项目</w:t>
            </w:r>
            <w:r>
              <w:rPr>
                <w:rFonts w:ascii="Times New Roman" w:cs="Times New Roman" w:hAnsiTheme="minorEastAsia"/>
                <w:color w:val="000000" w:themeColor="text1"/>
                <w:sz w:val="24"/>
              </w:rPr>
              <w:t>地表水体小江板河口断面水质可达到《地表水环境质量标准》（GB3838-2002）I</w:t>
            </w:r>
            <w:r>
              <w:rPr>
                <w:rFonts w:hint="eastAsia" w:ascii="Times New Roman" w:cs="Times New Roman" w:hAnsiTheme="minorEastAsia"/>
                <w:color w:val="000000" w:themeColor="text1"/>
                <w:sz w:val="24"/>
              </w:rPr>
              <w:t>II</w:t>
            </w:r>
            <w:r>
              <w:rPr>
                <w:rFonts w:ascii="Times New Roman" w:cs="Times New Roman" w:hAnsiTheme="minorEastAsia"/>
                <w:color w:val="000000" w:themeColor="text1"/>
                <w:sz w:val="24"/>
              </w:rPr>
              <w:t>类标准；</w:t>
            </w:r>
            <w:r>
              <w:rPr>
                <w:rFonts w:hint="eastAsia" w:ascii="Times New Roman" w:cs="Times New Roman" w:hAnsiTheme="minorEastAsia"/>
                <w:color w:val="000000" w:themeColor="text1"/>
                <w:sz w:val="24"/>
              </w:rPr>
              <w:t>且项目运行期间无废水外排，</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地表水</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4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⑷</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土壤环境质量底线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根据调查，项目建设对土壤环境影响较小，只要严格执行相应的土壤环境保护措施，项目建设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土壤</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hAnsi="Times New Roman" w:cs="Times New Roman"/>
                <w:b/>
                <w:color w:val="000000" w:themeColor="text1"/>
                <w:sz w:val="24"/>
              </w:rPr>
            </w:pPr>
            <w:r>
              <w:rPr>
                <w:rFonts w:hint="eastAsia"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生态环境分区管控的实施意见》对资源利用上限的要求为：</w:t>
            </w:r>
            <w:r>
              <w:rPr>
                <w:rFonts w:ascii="Times New Roman" w:cs="Times New Roman" w:hAnsiTheme="minorEastAsia"/>
                <w:color w:val="000000" w:themeColor="text1"/>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根据调查，项目用水量为</w:t>
            </w:r>
            <w:r>
              <w:rPr>
                <w:rFonts w:ascii="Times New Roman" w:cs="Times New Roman" w:hAnsiTheme="minorEastAsia"/>
                <w:color w:val="000000" w:themeColor="text1"/>
                <w:sz w:val="24"/>
              </w:rPr>
              <w:t>165.6</w:t>
            </w:r>
            <w:r>
              <w:rPr>
                <w:rFonts w:hint="eastAsia" w:ascii="Times New Roman" w:cs="Times New Roman" w:hAnsiTheme="minorEastAsia"/>
                <w:color w:val="000000" w:themeColor="text1"/>
                <w:sz w:val="24"/>
              </w:rPr>
              <w:t>4</w:t>
            </w:r>
            <w:r>
              <w:rPr>
                <w:rFonts w:ascii="Times New Roman" w:cs="Times New Roman" w:hAnsiTheme="minorEastAsia"/>
                <w:color w:val="000000" w:themeColor="text1"/>
                <w:sz w:val="24"/>
              </w:rPr>
              <w:t>m³</w:t>
            </w:r>
            <w:r>
              <w:rPr>
                <w:rFonts w:hint="eastAsia" w:ascii="Times New Roman" w:cs="Times New Roman" w:hAnsiTheme="minorEastAsia"/>
                <w:color w:val="000000" w:themeColor="text1"/>
                <w:sz w:val="24"/>
              </w:rPr>
              <w:t>/d（</w:t>
            </w:r>
            <w:r>
              <w:rPr>
                <w:rFonts w:ascii="Times New Roman" w:cs="Times New Roman" w:hAnsiTheme="minorEastAsia"/>
                <w:color w:val="000000" w:themeColor="text1"/>
                <w:sz w:val="24"/>
              </w:rPr>
              <w:t>49487.5m³</w:t>
            </w:r>
            <w:r>
              <w:rPr>
                <w:rFonts w:hint="eastAsia" w:ascii="Times New Roman" w:cs="Times New Roman" w:hAnsiTheme="minorEastAsia"/>
                <w:color w:val="000000" w:themeColor="text1"/>
                <w:sz w:val="24"/>
              </w:rPr>
              <w:t>/a），用水量较全市工业用水量占比极小；废水量为</w:t>
            </w:r>
            <w:r>
              <w:rPr>
                <w:rFonts w:ascii="Times New Roman" w:cs="Times New Roman" w:hAnsiTheme="minorEastAsia"/>
                <w:color w:val="000000" w:themeColor="text1"/>
                <w:sz w:val="24"/>
              </w:rPr>
              <w:t>21.28m³</w:t>
            </w:r>
            <w:r>
              <w:rPr>
                <w:rFonts w:hint="eastAsia" w:ascii="Times New Roman" w:cs="Times New Roman" w:hAnsiTheme="minorEastAsia"/>
                <w:color w:val="000000" w:themeColor="text1"/>
                <w:sz w:val="24"/>
              </w:rPr>
              <w:t>/d（</w:t>
            </w:r>
            <w:r>
              <w:rPr>
                <w:rFonts w:ascii="Times New Roman" w:cs="Times New Roman" w:hAnsiTheme="minorEastAsia"/>
                <w:color w:val="000000" w:themeColor="text1"/>
                <w:sz w:val="24"/>
              </w:rPr>
              <w:t>6384m³</w:t>
            </w:r>
            <w:r>
              <w:rPr>
                <w:rFonts w:hint="eastAsia" w:ascii="Times New Roman" w:cs="Times New Roman" w:hAnsiTheme="minorEastAsia"/>
                <w:color w:val="000000" w:themeColor="text1"/>
                <w:sz w:val="24"/>
              </w:rPr>
              <w:t>/a），而产生的废水全部处理后回用不外排，由项目在原有项目厂区范围内进行技改扩建，不新增用地，同时项目已取得昆明市东川区工业和科技信息化局《关于对昆明北杏新型建材有限公司年产</w:t>
            </w:r>
            <w:r>
              <w:rPr>
                <w:rFonts w:ascii="Times New Roman" w:cs="Times New Roman" w:hAnsiTheme="minorEastAsia"/>
                <w:color w:val="000000" w:themeColor="text1"/>
                <w:sz w:val="24"/>
              </w:rPr>
              <w:t>7000</w:t>
            </w:r>
            <w:r>
              <w:rPr>
                <w:rFonts w:hint="eastAsia" w:ascii="Times New Roman" w:cs="Times New Roman" w:hAnsiTheme="minorEastAsia"/>
                <w:color w:val="000000" w:themeColor="text1"/>
                <w:sz w:val="24"/>
              </w:rPr>
              <w:t>万块页岩砖改扩建项目的节能审查意见》（东工科信发〔</w:t>
            </w:r>
            <w:r>
              <w:rPr>
                <w:rFonts w:ascii="Times New Roman" w:cs="Times New Roman" w:hAnsiTheme="minorEastAsia"/>
                <w:color w:val="000000" w:themeColor="text1"/>
                <w:sz w:val="24"/>
              </w:rPr>
              <w:t>2020</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39</w:t>
            </w:r>
            <w:r>
              <w:rPr>
                <w:rFonts w:hint="eastAsia" w:ascii="Times New Roman" w:cs="Times New Roman" w:hAnsiTheme="minorEastAsia"/>
                <w:color w:val="000000" w:themeColor="text1"/>
                <w:sz w:val="24"/>
              </w:rPr>
              <w:t>号），项目单位产品综合能耗为：</w:t>
            </w:r>
            <w:r>
              <w:rPr>
                <w:rFonts w:ascii="Times New Roman" w:cs="Times New Roman" w:hAnsiTheme="minorEastAsia"/>
                <w:color w:val="000000" w:themeColor="text1"/>
                <w:sz w:val="24"/>
              </w:rPr>
              <w:t>44.95kgce/t</w:t>
            </w:r>
            <w:r>
              <w:rPr>
                <w:rFonts w:hint="eastAsia" w:ascii="Times New Roman" w:cs="Times New Roman" w:hAnsiTheme="minorEastAsia"/>
                <w:color w:val="000000" w:themeColor="text1"/>
                <w:sz w:val="24"/>
              </w:rPr>
              <w:t>，达到国家标准《烧结墙体材料和泡沫玻璃单位产品能源消耗限额》</w:t>
            </w:r>
            <w:r>
              <w:rPr>
                <w:rFonts w:ascii="Times New Roman" w:cs="Times New Roman" w:hAnsiTheme="minorEastAsia"/>
                <w:color w:val="000000" w:themeColor="text1"/>
                <w:sz w:val="24"/>
              </w:rPr>
              <w:t>（GB30526-2019）2</w:t>
            </w:r>
            <w:r>
              <w:rPr>
                <w:rFonts w:hint="eastAsia" w:ascii="Times New Roman" w:cs="Times New Roman" w:hAnsiTheme="minorEastAsia"/>
                <w:color w:val="000000" w:themeColor="text1"/>
                <w:sz w:val="24"/>
              </w:rPr>
              <w:t>级（准入值）要求；因此</w:t>
            </w:r>
            <w:r>
              <w:rPr>
                <w:rFonts w:ascii="Times New Roman" w:cs="Times New Roman" w:hAnsiTheme="minorEastAsia"/>
                <w:color w:val="000000" w:themeColor="text1"/>
                <w:sz w:val="24"/>
              </w:rPr>
              <w:t>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根据调查，本项目位于本项目位于</w:t>
            </w:r>
            <w:r>
              <w:rPr>
                <w:rFonts w:ascii="Times New Roman" w:cs="Times New Roman" w:hAnsiTheme="minorEastAsia"/>
                <w:color w:val="000000" w:themeColor="text1"/>
                <w:sz w:val="24"/>
              </w:rPr>
              <w:t>昆明市东川区铜都街道办事处绿茂老村</w:t>
            </w:r>
            <w:r>
              <w:rPr>
                <w:rFonts w:hint="eastAsia" w:ascii="Times New Roman" w:cs="Times New Roman" w:hAnsiTheme="minorEastAsia"/>
                <w:color w:val="000000" w:themeColor="text1"/>
                <w:sz w:val="24"/>
              </w:rPr>
              <w:t>，项目所在地属于</w:t>
            </w:r>
            <w:r>
              <w:rPr>
                <w:rFonts w:ascii="Times New Roman" w:cs="Times New Roman" w:hAnsiTheme="minorEastAsia"/>
                <w:color w:val="000000" w:themeColor="text1"/>
                <w:sz w:val="24"/>
              </w:rPr>
              <w:t>东川区绿茂村水环境城镇生活污染重点管控单元</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东川区环境管控单元生态环境准入清单</w:t>
            </w:r>
            <w:r>
              <w:rPr>
                <w:rFonts w:hint="eastAsia" w:ascii="Times New Roman" w:cs="Times New Roman" w:hAnsiTheme="minorEastAsia"/>
                <w:color w:val="000000" w:themeColor="text1"/>
                <w:sz w:val="24"/>
              </w:rPr>
              <w:t>的管理要求，本项目</w:t>
            </w:r>
            <w:r>
              <w:rPr>
                <w:rFonts w:ascii="Times New Roman" w:cs="Times New Roman" w:hAnsiTheme="minorEastAsia"/>
                <w:color w:val="000000" w:themeColor="text1"/>
                <w:sz w:val="24"/>
              </w:rPr>
              <w:t>环境准入负面清单</w:t>
            </w:r>
            <w:r>
              <w:rPr>
                <w:rFonts w:hint="eastAsia" w:ascii="Times New Roman" w:cs="Times New Roman" w:hAnsiTheme="minorEastAsia"/>
                <w:color w:val="000000" w:themeColor="text1"/>
                <w:sz w:val="24"/>
              </w:rPr>
              <w:t>符合性具体下表所示。</w:t>
            </w:r>
          </w:p>
          <w:p>
            <w:pPr>
              <w:spacing w:line="360" w:lineRule="auto"/>
              <w:ind w:firstLine="480" w:firstLineChars="200"/>
              <w:rPr>
                <w:rFonts w:ascii="Times New Roman" w:cs="Times New Roman" w:hAnsiTheme="minorEastAsia"/>
                <w:color w:val="000000" w:themeColor="text1"/>
                <w:sz w:val="24"/>
              </w:rPr>
            </w:pPr>
          </w:p>
          <w:p>
            <w:pPr>
              <w:jc w:val="center"/>
              <w:rPr>
                <w:rFonts w:ascii="Times New Roman" w:cs="Times New Roman" w:hAnsiTheme="minorEastAsia"/>
                <w:b/>
                <w:color w:val="000000" w:themeColor="text1"/>
              </w:rPr>
            </w:pP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表1-1</w:t>
            </w:r>
            <w:r>
              <w:rPr>
                <w:rFonts w:ascii="Times New Roman" w:cs="Times New Roman" w:hAnsiTheme="minorEastAsia"/>
                <w:b/>
                <w:color w:val="000000" w:themeColor="text1"/>
              </w:rPr>
              <w:t xml:space="preserve"> </w:t>
            </w:r>
            <w:r>
              <w:rPr>
                <w:rFonts w:hint="eastAsia" w:ascii="Times New Roman" w:cs="Times New Roman" w:hAnsiTheme="minorEastAsia"/>
                <w:b/>
                <w:color w:val="000000" w:themeColor="text1"/>
              </w:rPr>
              <w:t>与</w:t>
            </w:r>
            <w:r>
              <w:rPr>
                <w:rFonts w:ascii="Times New Roman" w:cs="Times New Roman" w:hAnsiTheme="minorEastAsia"/>
                <w:b/>
                <w:color w:val="000000" w:themeColor="text1"/>
              </w:rPr>
              <w:t>东川区环境管控单元生态环境准入清单</w:t>
            </w:r>
            <w:r>
              <w:rPr>
                <w:rFonts w:hint="eastAsia" w:ascii="Times New Roman" w:cs="Times New Roman" w:hAnsiTheme="minorEastAsia"/>
                <w:b/>
                <w:color w:val="000000" w:themeColor="text1"/>
              </w:rPr>
              <w:t>符合性分析一览表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625"/>
              <w:gridCol w:w="3329"/>
              <w:gridCol w:w="3226"/>
              <w:gridCol w:w="7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6"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单元名称</w:t>
                  </w:r>
                </w:p>
              </w:tc>
              <w:tc>
                <w:tcPr>
                  <w:tcW w:w="3954" w:type="dxa"/>
                  <w:gridSpan w:val="2"/>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管控要求</w:t>
                  </w:r>
                </w:p>
              </w:tc>
              <w:tc>
                <w:tcPr>
                  <w:tcW w:w="3226"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项目实际情况</w:t>
                  </w:r>
                </w:p>
              </w:tc>
              <w:tc>
                <w:tcPr>
                  <w:tcW w:w="712"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6" w:type="dxa"/>
                  <w:vMerge w:val="restart"/>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东川区绿茂村水环境城镇生活污染重点管控单元</w:t>
                  </w:r>
                </w:p>
              </w:tc>
              <w:tc>
                <w:tcPr>
                  <w:tcW w:w="62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空间布局约束</w:t>
                  </w:r>
                </w:p>
              </w:tc>
              <w:tc>
                <w:tcPr>
                  <w:tcW w:w="3329" w:type="dxa"/>
                  <w:vAlign w:val="center"/>
                </w:tcPr>
                <w:p>
                  <w:pPr>
                    <w:pStyle w:val="32"/>
                    <w:spacing w:line="360" w:lineRule="exact"/>
                    <w:ind w:firstLine="210" w:firstLineChars="100"/>
                    <w:jc w:val="both"/>
                    <w:rPr>
                      <w:color w:val="000000" w:themeColor="text1"/>
                    </w:rPr>
                  </w:pPr>
                  <w:r>
                    <w:rPr>
                      <w:color w:val="000000" w:themeColor="text1"/>
                    </w:rPr>
                    <w:t>引导人口和产业向城镇开发区集聚，向文化汇聚地和休闲中心发展。</w:t>
                  </w:r>
                </w:p>
              </w:tc>
              <w:tc>
                <w:tcPr>
                  <w:tcW w:w="3226" w:type="dxa"/>
                  <w:vAlign w:val="center"/>
                </w:tcPr>
                <w:p>
                  <w:pPr>
                    <w:pStyle w:val="32"/>
                    <w:spacing w:line="360" w:lineRule="exact"/>
                    <w:ind w:firstLine="210" w:firstLineChars="100"/>
                    <w:jc w:val="both"/>
                    <w:rPr>
                      <w:color w:val="000000" w:themeColor="text1"/>
                    </w:rPr>
                  </w:pPr>
                  <w:r>
                    <w:rPr>
                      <w:rFonts w:hint="eastAsia"/>
                      <w:color w:val="000000" w:themeColor="text1"/>
                    </w:rPr>
                    <w:t>本项目为页岩砖生产项目，属于工业类项目项目建设涉及员工人口较少。</w:t>
                  </w:r>
                </w:p>
              </w:tc>
              <w:tc>
                <w:tcPr>
                  <w:tcW w:w="712"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6" w:type="dxa"/>
                  <w:vMerge w:val="continue"/>
                  <w:vAlign w:val="center"/>
                </w:tcPr>
                <w:p>
                  <w:pPr>
                    <w:pStyle w:val="32"/>
                    <w:spacing w:line="360" w:lineRule="exact"/>
                    <w:rPr>
                      <w:rFonts w:hAnsiTheme="minorEastAsia" w:eastAsiaTheme="minorEastAsia"/>
                      <w:color w:val="000000" w:themeColor="text1"/>
                      <w:szCs w:val="21"/>
                    </w:rPr>
                  </w:pPr>
                </w:p>
              </w:tc>
              <w:tc>
                <w:tcPr>
                  <w:tcW w:w="62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污染物排放管控</w:t>
                  </w:r>
                </w:p>
              </w:tc>
              <w:tc>
                <w:tcPr>
                  <w:tcW w:w="3329" w:type="dxa"/>
                  <w:vAlign w:val="center"/>
                </w:tcPr>
                <w:p>
                  <w:pPr>
                    <w:pStyle w:val="32"/>
                    <w:spacing w:line="360" w:lineRule="exact"/>
                    <w:ind w:firstLine="210" w:firstLineChars="100"/>
                    <w:jc w:val="both"/>
                    <w:rPr>
                      <w:color w:val="000000" w:themeColor="text1"/>
                    </w:rPr>
                  </w:pPr>
                  <w:r>
                    <w:rPr>
                      <w:color w:val="000000" w:themeColor="text1"/>
                    </w:rPr>
                    <w:t>1.完善生活污水收集处理系统，改造截污干管，杜绝生活污水直接进入城区河道及湖库。</w:t>
                  </w:r>
                </w:p>
                <w:p>
                  <w:pPr>
                    <w:pStyle w:val="32"/>
                    <w:spacing w:line="360" w:lineRule="exact"/>
                    <w:ind w:firstLine="210" w:firstLineChars="100"/>
                    <w:jc w:val="both"/>
                    <w:rPr>
                      <w:color w:val="000000" w:themeColor="text1"/>
                    </w:rPr>
                  </w:pPr>
                  <w:r>
                    <w:rPr>
                      <w:color w:val="000000" w:themeColor="text1"/>
                    </w:rPr>
                    <w:t>2.生活污水集中处理率达80%以上。</w:t>
                  </w:r>
                </w:p>
                <w:p>
                  <w:pPr>
                    <w:pStyle w:val="32"/>
                    <w:spacing w:line="360" w:lineRule="exact"/>
                    <w:ind w:firstLine="210" w:firstLineChars="100"/>
                    <w:jc w:val="both"/>
                    <w:rPr>
                      <w:color w:val="000000" w:themeColor="text1"/>
                    </w:rPr>
                  </w:pPr>
                  <w:r>
                    <w:rPr>
                      <w:color w:val="000000" w:themeColor="text1"/>
                    </w:rPr>
                    <w:t>3.城市污水管网尚未配套的地区，房地产开发项目应自行建设污水处理设施，污水处理后达标排放。</w:t>
                  </w:r>
                </w:p>
                <w:p>
                  <w:pPr>
                    <w:pStyle w:val="32"/>
                    <w:spacing w:line="360" w:lineRule="exact"/>
                    <w:ind w:firstLine="210" w:firstLineChars="100"/>
                    <w:jc w:val="both"/>
                    <w:rPr>
                      <w:color w:val="000000" w:themeColor="text1"/>
                    </w:rPr>
                  </w:pPr>
                  <w:r>
                    <w:rPr>
                      <w:color w:val="000000" w:themeColor="text1"/>
                    </w:rPr>
                    <w:t>4.按国家、省、市相关标准要求建设、改造、提升满足实际需求的生活垃圾处理厂（场）、粪便处理厂、厨余垃圾处理厂、建筑垃圾（渣土）处理场、垃圾转运站、公共厕所、生活垃圾分类设施等环卫基础设施。</w:t>
                  </w:r>
                </w:p>
              </w:tc>
              <w:tc>
                <w:tcPr>
                  <w:tcW w:w="3226" w:type="dxa"/>
                  <w:vAlign w:val="center"/>
                </w:tcPr>
                <w:p>
                  <w:pPr>
                    <w:pStyle w:val="32"/>
                    <w:spacing w:line="360" w:lineRule="exact"/>
                    <w:ind w:firstLine="210" w:firstLineChars="100"/>
                    <w:jc w:val="both"/>
                    <w:rPr>
                      <w:color w:val="000000" w:themeColor="text1"/>
                    </w:rPr>
                  </w:pPr>
                  <w:r>
                    <w:rPr>
                      <w:rFonts w:hint="eastAsia"/>
                      <w:color w:val="000000" w:themeColor="text1"/>
                    </w:rPr>
                    <w:t>（1）本项目产生的废水类型包括脱硫废水、初期雨水和生活污水，均各经配套的设施处理后回用，不外排；</w:t>
                  </w:r>
                </w:p>
                <w:p>
                  <w:pPr>
                    <w:pStyle w:val="32"/>
                    <w:spacing w:line="360" w:lineRule="exact"/>
                    <w:ind w:firstLine="210" w:firstLineChars="100"/>
                    <w:jc w:val="both"/>
                    <w:rPr>
                      <w:color w:val="000000" w:themeColor="text1"/>
                    </w:rPr>
                  </w:pPr>
                  <w:r>
                    <w:rPr>
                      <w:rFonts w:hint="eastAsia"/>
                      <w:color w:val="000000" w:themeColor="text1"/>
                    </w:rPr>
                    <w:t>（2）项目生活污水全部集中处置后回用；</w:t>
                  </w:r>
                </w:p>
                <w:p>
                  <w:pPr>
                    <w:pStyle w:val="32"/>
                    <w:spacing w:line="360" w:lineRule="exact"/>
                    <w:ind w:firstLine="210" w:firstLineChars="100"/>
                    <w:jc w:val="both"/>
                    <w:rPr>
                      <w:color w:val="000000" w:themeColor="text1"/>
                    </w:rPr>
                  </w:pPr>
                  <w:r>
                    <w:rPr>
                      <w:rFonts w:hint="eastAsia"/>
                      <w:color w:val="000000" w:themeColor="text1"/>
                    </w:rPr>
                    <w:t>（3）项目不涉及房地产开发。</w:t>
                  </w:r>
                </w:p>
                <w:p>
                  <w:pPr>
                    <w:pStyle w:val="32"/>
                    <w:spacing w:line="360" w:lineRule="exact"/>
                    <w:ind w:firstLine="210" w:firstLineChars="100"/>
                    <w:jc w:val="both"/>
                    <w:rPr>
                      <w:color w:val="000000" w:themeColor="text1"/>
                    </w:rPr>
                  </w:pPr>
                  <w:r>
                    <w:rPr>
                      <w:rFonts w:hint="eastAsia"/>
                      <w:color w:val="000000" w:themeColor="text1"/>
                    </w:rPr>
                    <w:t>（4）项目不涉及</w:t>
                  </w:r>
                  <w:r>
                    <w:rPr>
                      <w:color w:val="000000" w:themeColor="text1"/>
                    </w:rPr>
                    <w:t>环卫基础设施</w:t>
                  </w:r>
                  <w:r>
                    <w:rPr>
                      <w:rFonts w:hint="eastAsia"/>
                      <w:color w:val="000000" w:themeColor="text1"/>
                    </w:rPr>
                    <w:t>建设。</w:t>
                  </w:r>
                </w:p>
              </w:tc>
              <w:tc>
                <w:tcPr>
                  <w:tcW w:w="712"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6" w:type="dxa"/>
                  <w:vMerge w:val="continue"/>
                  <w:vAlign w:val="center"/>
                </w:tcPr>
                <w:p>
                  <w:pPr>
                    <w:pStyle w:val="32"/>
                    <w:spacing w:line="360" w:lineRule="exact"/>
                    <w:rPr>
                      <w:rFonts w:hAnsiTheme="minorEastAsia" w:eastAsiaTheme="minorEastAsia"/>
                      <w:color w:val="000000" w:themeColor="text1"/>
                      <w:szCs w:val="21"/>
                    </w:rPr>
                  </w:pPr>
                </w:p>
              </w:tc>
              <w:tc>
                <w:tcPr>
                  <w:tcW w:w="62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环境风险防控</w:t>
                  </w:r>
                </w:p>
              </w:tc>
              <w:tc>
                <w:tcPr>
                  <w:tcW w:w="3329" w:type="dxa"/>
                  <w:vAlign w:val="center"/>
                </w:tcPr>
                <w:p>
                  <w:pPr>
                    <w:pStyle w:val="32"/>
                    <w:spacing w:line="360" w:lineRule="exact"/>
                    <w:ind w:firstLine="210" w:firstLineChars="100"/>
                    <w:jc w:val="both"/>
                    <w:rPr>
                      <w:color w:val="000000" w:themeColor="text1"/>
                    </w:rPr>
                  </w:pPr>
                  <w:r>
                    <w:rPr>
                      <w:color w:val="000000" w:themeColor="text1"/>
                    </w:rPr>
                    <w:t>1.对风险隐患较大、污染相对集中的区域重金属污染综合整治。</w:t>
                  </w:r>
                </w:p>
                <w:p>
                  <w:pPr>
                    <w:pStyle w:val="32"/>
                    <w:spacing w:line="360" w:lineRule="exact"/>
                    <w:ind w:firstLine="210" w:firstLineChars="100"/>
                    <w:jc w:val="both"/>
                    <w:rPr>
                      <w:color w:val="000000" w:themeColor="text1"/>
                    </w:rPr>
                  </w:pPr>
                  <w:r>
                    <w:rPr>
                      <w:color w:val="000000" w:themeColor="text1"/>
                    </w:rPr>
                    <w:t>2.健全建立突发环境事件预警应急机制，定期组织开展预案演练。　</w:t>
                  </w:r>
                </w:p>
              </w:tc>
              <w:tc>
                <w:tcPr>
                  <w:tcW w:w="3226" w:type="dxa"/>
                  <w:vAlign w:val="center"/>
                </w:tcPr>
                <w:p>
                  <w:pPr>
                    <w:pStyle w:val="32"/>
                    <w:spacing w:line="360" w:lineRule="exact"/>
                    <w:ind w:firstLine="210" w:firstLineChars="100"/>
                    <w:jc w:val="both"/>
                    <w:rPr>
                      <w:color w:val="000000" w:themeColor="text1"/>
                    </w:rPr>
                  </w:pPr>
                  <w:r>
                    <w:rPr>
                      <w:rFonts w:hint="eastAsia"/>
                      <w:color w:val="000000" w:themeColor="text1"/>
                    </w:rPr>
                    <w:t>项目为页岩砖生产项目，项目产生的污染物主要为颗粒物、SO</w:t>
                  </w:r>
                  <w:r>
                    <w:rPr>
                      <w:rFonts w:hint="eastAsia"/>
                      <w:color w:val="000000" w:themeColor="text1"/>
                      <w:vertAlign w:val="subscript"/>
                    </w:rPr>
                    <w:t>2</w:t>
                  </w:r>
                  <w:r>
                    <w:rPr>
                      <w:rFonts w:hint="eastAsia"/>
                      <w:color w:val="000000" w:themeColor="text1"/>
                    </w:rPr>
                    <w:t>、NOx和氟化物，不涉及重金属因子。</w:t>
                  </w:r>
                </w:p>
              </w:tc>
              <w:tc>
                <w:tcPr>
                  <w:tcW w:w="712"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由上表可知，项目建设满足</w:t>
            </w:r>
            <w:r>
              <w:rPr>
                <w:rFonts w:ascii="Times New Roman" w:cs="Times New Roman" w:hAnsiTheme="minorEastAsia"/>
                <w:color w:val="000000" w:themeColor="text1"/>
                <w:sz w:val="24"/>
                <w:szCs w:val="24"/>
              </w:rPr>
              <w:t>东川区环境管控单元生态环境准入清单</w:t>
            </w:r>
            <w:r>
              <w:rPr>
                <w:rFonts w:hint="eastAsia" w:ascii="Times New Roman" w:cs="Times New Roman" w:hAnsiTheme="minorEastAsia"/>
                <w:color w:val="000000" w:themeColor="text1"/>
                <w:sz w:val="24"/>
                <w:szCs w:val="24"/>
              </w:rPr>
              <w:t>的相关要求。</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《中华人民共和国长江保护法》重点从空间管控、规划等方面提出了长江保护的相关要求，保护法提出的具体建设项目的措施符合性具体如下表所示。</w:t>
            </w:r>
          </w:p>
          <w:p>
            <w:pPr>
              <w:jc w:val="center"/>
              <w:rPr>
                <w:rFonts w:ascii="Times New Roman" w:cs="Times New Roman" w:hAnsiTheme="minorEastAsia"/>
                <w:b/>
                <w:color w:val="000000" w:themeColor="text1"/>
              </w:rPr>
            </w:pPr>
            <w:r>
              <w:rPr>
                <w:rFonts w:ascii="Times New Roman" w:cs="Times New Roman" w:hAnsiTheme="minorEastAsia"/>
                <w:b/>
                <w:color w:val="000000" w:themeColor="text1"/>
              </w:rPr>
              <w:t>表</w:t>
            </w:r>
            <w:r>
              <w:rPr>
                <w:rFonts w:hint="eastAsia" w:ascii="Times New Roman" w:cs="Times New Roman" w:hAnsiTheme="minorEastAsia"/>
                <w:b/>
                <w:color w:val="000000" w:themeColor="text1"/>
              </w:rPr>
              <w:t xml:space="preserve">1-2 </w:t>
            </w:r>
            <w:r>
              <w:rPr>
                <w:rFonts w:ascii="Times New Roman" w:cs="Times New Roman" w:hAnsiTheme="minorEastAsia"/>
                <w:b/>
                <w:color w:val="000000" w:themeColor="text1"/>
              </w:rPr>
              <w:t>与《</w:t>
            </w:r>
            <w:r>
              <w:rPr>
                <w:rFonts w:hint="eastAsia" w:ascii="Times New Roman" w:cs="Times New Roman" w:hAnsiTheme="minorEastAsia"/>
                <w:b/>
                <w:color w:val="000000" w:themeColor="text1"/>
              </w:rPr>
              <w:t>中华人民共和国长江保护法</w:t>
            </w:r>
            <w:r>
              <w:rPr>
                <w:rFonts w:ascii="Times New Roman" w:cs="Times New Roman" w:hAnsiTheme="minorEastAsia"/>
                <w:b/>
                <w:color w:val="000000" w:themeColor="text1"/>
              </w:rPr>
              <w:t>》符合性分析一览表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021"/>
              <w:gridCol w:w="4308"/>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32"/>
                    <w:spacing w:line="360" w:lineRule="exact"/>
                    <w:rPr>
                      <w:color w:val="000000" w:themeColor="text1"/>
                      <w:kern w:val="0"/>
                      <w:szCs w:val="21"/>
                    </w:rPr>
                  </w:pPr>
                  <w:r>
                    <w:rPr>
                      <w:color w:val="000000" w:themeColor="text1"/>
                      <w:kern w:val="0"/>
                      <w:szCs w:val="21"/>
                    </w:rPr>
                    <w:t>序号</w:t>
                  </w:r>
                </w:p>
              </w:tc>
              <w:tc>
                <w:tcPr>
                  <w:tcW w:w="3211" w:type="dxa"/>
                  <w:vAlign w:val="center"/>
                </w:tcPr>
                <w:p>
                  <w:pPr>
                    <w:pStyle w:val="32"/>
                    <w:spacing w:line="360" w:lineRule="exact"/>
                    <w:rPr>
                      <w:color w:val="000000" w:themeColor="text1"/>
                      <w:kern w:val="0"/>
                      <w:szCs w:val="21"/>
                    </w:rPr>
                  </w:pPr>
                  <w:r>
                    <w:rPr>
                      <w:rFonts w:hint="eastAsia"/>
                      <w:color w:val="000000" w:themeColor="text1"/>
                      <w:kern w:val="0"/>
                      <w:szCs w:val="21"/>
                    </w:rPr>
                    <w:t>中华人民共和国长江保护法</w:t>
                  </w:r>
                  <w:r>
                    <w:rPr>
                      <w:color w:val="000000" w:themeColor="text1"/>
                      <w:kern w:val="0"/>
                      <w:szCs w:val="21"/>
                    </w:rPr>
                    <w:t>要求</w:t>
                  </w:r>
                </w:p>
              </w:tc>
              <w:tc>
                <w:tcPr>
                  <w:tcW w:w="4585" w:type="dxa"/>
                  <w:vAlign w:val="center"/>
                </w:tcPr>
                <w:p>
                  <w:pPr>
                    <w:pStyle w:val="32"/>
                    <w:spacing w:line="360" w:lineRule="exact"/>
                    <w:rPr>
                      <w:color w:val="000000" w:themeColor="text1"/>
                      <w:kern w:val="0"/>
                      <w:szCs w:val="21"/>
                    </w:rPr>
                  </w:pPr>
                  <w:r>
                    <w:rPr>
                      <w:color w:val="000000" w:themeColor="text1"/>
                      <w:kern w:val="0"/>
                      <w:szCs w:val="21"/>
                    </w:rPr>
                    <w:t>本项目实际情况</w:t>
                  </w:r>
                </w:p>
              </w:tc>
              <w:tc>
                <w:tcPr>
                  <w:tcW w:w="783" w:type="dxa"/>
                  <w:vAlign w:val="center"/>
                </w:tcPr>
                <w:p>
                  <w:pPr>
                    <w:pStyle w:val="32"/>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1" w:type="dxa"/>
                  <w:vAlign w:val="center"/>
                </w:tcPr>
                <w:p>
                  <w:pPr>
                    <w:pStyle w:val="32"/>
                    <w:spacing w:line="360" w:lineRule="exact"/>
                    <w:rPr>
                      <w:color w:val="000000" w:themeColor="text1"/>
                      <w:kern w:val="0"/>
                      <w:szCs w:val="21"/>
                    </w:rPr>
                  </w:pPr>
                  <w:r>
                    <w:rPr>
                      <w:rFonts w:hint="eastAsia"/>
                      <w:color w:val="000000" w:themeColor="text1"/>
                      <w:kern w:val="0"/>
                      <w:szCs w:val="21"/>
                    </w:rPr>
                    <w:t>1</w:t>
                  </w:r>
                </w:p>
              </w:tc>
              <w:tc>
                <w:tcPr>
                  <w:tcW w:w="3211"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禁止在长江干支流岸线一公里范围内新建、扩建化工园区和化工项目。</w:t>
                  </w:r>
                </w:p>
              </w:tc>
              <w:tc>
                <w:tcPr>
                  <w:tcW w:w="4585"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本项目为页岩砖生产项目，不属于化工项目</w:t>
                  </w:r>
                  <w:r>
                    <w:rPr>
                      <w:color w:val="000000" w:themeColor="text1"/>
                      <w:kern w:val="0"/>
                      <w:szCs w:val="21"/>
                    </w:rPr>
                    <w:t>。</w:t>
                  </w:r>
                </w:p>
              </w:tc>
              <w:tc>
                <w:tcPr>
                  <w:tcW w:w="783"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32"/>
                    <w:spacing w:line="360" w:lineRule="exact"/>
                    <w:rPr>
                      <w:color w:val="000000" w:themeColor="text1"/>
                      <w:kern w:val="0"/>
                      <w:szCs w:val="21"/>
                    </w:rPr>
                  </w:pPr>
                  <w:r>
                    <w:rPr>
                      <w:rFonts w:hint="eastAsia"/>
                      <w:color w:val="000000" w:themeColor="text1"/>
                      <w:kern w:val="0"/>
                      <w:szCs w:val="21"/>
                    </w:rPr>
                    <w:t>2</w:t>
                  </w:r>
                </w:p>
              </w:tc>
              <w:tc>
                <w:tcPr>
                  <w:tcW w:w="3211"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严格控制高耗水项目建设。</w:t>
                  </w:r>
                </w:p>
              </w:tc>
              <w:tc>
                <w:tcPr>
                  <w:tcW w:w="4585" w:type="dxa"/>
                  <w:vAlign w:val="center"/>
                </w:tcPr>
                <w:p>
                  <w:pPr>
                    <w:pStyle w:val="32"/>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32"/>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本项目为页岩砖生产项目，不属于水利部发布18项传统高耗水行业。</w:t>
                  </w:r>
                </w:p>
              </w:tc>
              <w:tc>
                <w:tcPr>
                  <w:tcW w:w="783"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1" w:type="dxa"/>
                  <w:vAlign w:val="center"/>
                </w:tcPr>
                <w:p>
                  <w:pPr>
                    <w:pStyle w:val="32"/>
                    <w:spacing w:line="360" w:lineRule="exact"/>
                    <w:rPr>
                      <w:color w:val="000000" w:themeColor="text1"/>
                      <w:kern w:val="0"/>
                      <w:szCs w:val="21"/>
                    </w:rPr>
                  </w:pPr>
                  <w:r>
                    <w:rPr>
                      <w:rFonts w:hint="eastAsia"/>
                      <w:color w:val="000000" w:themeColor="text1"/>
                      <w:kern w:val="0"/>
                      <w:szCs w:val="21"/>
                    </w:rPr>
                    <w:t>3</w:t>
                  </w:r>
                </w:p>
              </w:tc>
              <w:tc>
                <w:tcPr>
                  <w:tcW w:w="3211"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禁止在长江流域河湖管理范围内倾倒、填埋、堆放、弃置、处理固体废物。</w:t>
                  </w:r>
                </w:p>
              </w:tc>
              <w:tc>
                <w:tcPr>
                  <w:tcW w:w="4585"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本项目位于</w:t>
                  </w:r>
                  <w:r>
                    <w:rPr>
                      <w:color w:val="000000" w:themeColor="text1"/>
                      <w:kern w:val="0"/>
                      <w:szCs w:val="21"/>
                    </w:rPr>
                    <w:t>昆明市东川区铜都街道办事处绿茂老村，</w:t>
                  </w:r>
                  <w:r>
                    <w:rPr>
                      <w:rFonts w:hint="eastAsia"/>
                      <w:color w:val="000000" w:themeColor="text1"/>
                      <w:kern w:val="0"/>
                      <w:szCs w:val="21"/>
                    </w:rPr>
                    <w:t>该区域不属于长江流域河湖管理范围。</w:t>
                  </w:r>
                </w:p>
              </w:tc>
              <w:tc>
                <w:tcPr>
                  <w:tcW w:w="783" w:type="dxa"/>
                  <w:vAlign w:val="center"/>
                </w:tcPr>
                <w:p>
                  <w:pPr>
                    <w:pStyle w:val="32"/>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）与《长江经济带发展负面清单指南》（试行）的符合性分析</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2019年1月12日，推动长江经济带发展领导小组办公室发布了《关于发布长江经济带发展负面清单指南（试行）的通知》（第89号），</w:t>
            </w:r>
            <w:r>
              <w:rPr>
                <w:rFonts w:hint="eastAsia" w:ascii="Times New Roman" w:cs="Times New Roman" w:hAnsiTheme="minorEastAsia"/>
                <w:color w:val="000000" w:themeColor="text1"/>
                <w:sz w:val="24"/>
                <w:szCs w:val="24"/>
              </w:rPr>
              <w:t>本项目位于</w:t>
            </w:r>
            <w:r>
              <w:rPr>
                <w:rFonts w:ascii="Times New Roman" w:cs="Times New Roman" w:hAnsiTheme="minorEastAsia"/>
                <w:color w:val="000000" w:themeColor="text1"/>
                <w:sz w:val="24"/>
                <w:szCs w:val="24"/>
              </w:rPr>
              <w:t>昆明市东川区铜都街道办事处绿茂老村，项目所在地的纳污水体为</w:t>
            </w:r>
            <w:r>
              <w:rPr>
                <w:rFonts w:hint="eastAsia" w:ascii="Times New Roman" w:cs="Times New Roman" w:hAnsiTheme="minorEastAsia"/>
                <w:color w:val="000000" w:themeColor="text1"/>
                <w:sz w:val="24"/>
                <w:szCs w:val="24"/>
              </w:rPr>
              <w:t>小江（清水海-入金沙江口段）</w:t>
            </w:r>
            <w:r>
              <w:rPr>
                <w:rFonts w:ascii="Times New Roman" w:cs="Times New Roman" w:hAnsiTheme="minorEastAsia"/>
                <w:color w:val="000000" w:themeColor="text1"/>
                <w:sz w:val="24"/>
                <w:szCs w:val="24"/>
              </w:rPr>
              <w:t>，小江属于长江的上游主要支流。因此，本环评须分析本项目与《长江经济带发展负面清单指南（试行）》的符合性。具体分析如下表所示。</w:t>
            </w:r>
          </w:p>
          <w:p>
            <w:pPr>
              <w:pStyle w:val="16"/>
              <w:spacing w:after="0"/>
              <w:ind w:left="0" w:leftChars="0"/>
              <w:jc w:val="center"/>
              <w:rPr>
                <w:rFonts w:eastAsiaTheme="minorEastAsia"/>
                <w:b/>
                <w:color w:val="000000" w:themeColor="text1"/>
                <w:sz w:val="21"/>
                <w:szCs w:val="21"/>
              </w:rPr>
            </w:pPr>
            <w:r>
              <w:rPr>
                <w:rFonts w:hAnsiTheme="minorEastAsia" w:eastAsiaTheme="minorEastAsia"/>
                <w:b/>
                <w:color w:val="000000" w:themeColor="text1"/>
                <w:sz w:val="21"/>
                <w:szCs w:val="21"/>
              </w:rPr>
              <w:t>表</w:t>
            </w:r>
            <w:r>
              <w:rPr>
                <w:rFonts w:eastAsiaTheme="minorEastAsia"/>
                <w:b/>
                <w:color w:val="000000" w:themeColor="text1"/>
                <w:sz w:val="21"/>
                <w:szCs w:val="21"/>
              </w:rPr>
              <w:t>1-</w:t>
            </w:r>
            <w:r>
              <w:rPr>
                <w:rFonts w:hint="eastAsia" w:eastAsiaTheme="minorEastAsia"/>
                <w:b/>
                <w:color w:val="000000" w:themeColor="text1"/>
                <w:sz w:val="21"/>
                <w:szCs w:val="21"/>
              </w:rPr>
              <w:t>3</w:t>
            </w:r>
            <w:r>
              <w:rPr>
                <w:rFonts w:eastAsiaTheme="minorEastAsia"/>
                <w:b/>
                <w:color w:val="000000" w:themeColor="text1"/>
                <w:sz w:val="21"/>
                <w:szCs w:val="21"/>
              </w:rPr>
              <w:t xml:space="preserve"> </w:t>
            </w:r>
            <w:r>
              <w:rPr>
                <w:rFonts w:hAnsiTheme="minorEastAsia" w:eastAsiaTheme="minorEastAsia"/>
                <w:b/>
                <w:color w:val="000000" w:themeColor="text1"/>
                <w:sz w:val="21"/>
                <w:szCs w:val="21"/>
              </w:rPr>
              <w:t>与《长江经济带发展负面清单指南（试行）》符合性分析一览表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596"/>
              <w:gridCol w:w="366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48"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序号</w:t>
                  </w:r>
                </w:p>
              </w:tc>
              <w:tc>
                <w:tcPr>
                  <w:tcW w:w="3787"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szCs w:val="21"/>
                    </w:rPr>
                    <w:t>长江经济带发展负面清单指南（试行）要求</w:t>
                  </w:r>
                </w:p>
              </w:tc>
              <w:tc>
                <w:tcPr>
                  <w:tcW w:w="3860"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本项目实际情况</w:t>
                  </w:r>
                </w:p>
              </w:tc>
              <w:tc>
                <w:tcPr>
                  <w:tcW w:w="849"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860" w:type="dxa"/>
                  <w:vAlign w:val="center"/>
                </w:tcPr>
                <w:p>
                  <w:pPr>
                    <w:pStyle w:val="32"/>
                    <w:spacing w:line="360" w:lineRule="exact"/>
                    <w:ind w:firstLine="210" w:firstLineChars="100"/>
                    <w:jc w:val="both"/>
                    <w:rPr>
                      <w:rFonts w:hAnsiTheme="minorEastAsia"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位于</w:t>
                  </w:r>
                  <w:r>
                    <w:rPr>
                      <w:rFonts w:hAnsiTheme="minorEastAsia" w:eastAsiaTheme="minorEastAsia"/>
                      <w:color w:val="000000" w:themeColor="text1"/>
                      <w:kern w:val="0"/>
                      <w:szCs w:val="21"/>
                    </w:rPr>
                    <w:t>昆明市东川区铜都街道办事处绿茂老村</w:t>
                  </w:r>
                  <w:r>
                    <w:rPr>
                      <w:rFonts w:hint="eastAsia" w:hAnsiTheme="minorEastAsia" w:eastAsiaTheme="minorEastAsia"/>
                      <w:color w:val="000000" w:themeColor="text1"/>
                      <w:kern w:val="0"/>
                      <w:szCs w:val="21"/>
                    </w:rPr>
                    <w:t>，</w:t>
                  </w:r>
                  <w:r>
                    <w:rPr>
                      <w:rFonts w:hAnsiTheme="minorEastAsia" w:eastAsiaTheme="minorEastAsia"/>
                      <w:color w:val="000000" w:themeColor="text1"/>
                      <w:kern w:val="0"/>
                      <w:szCs w:val="21"/>
                    </w:rPr>
                    <w:t>不涉及码头及过江通道。</w:t>
                  </w:r>
                </w:p>
              </w:tc>
              <w:tc>
                <w:tcPr>
                  <w:tcW w:w="849"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860" w:type="dxa"/>
                  <w:vAlign w:val="center"/>
                </w:tcPr>
                <w:p>
                  <w:pPr>
                    <w:pStyle w:val="32"/>
                    <w:spacing w:line="360" w:lineRule="exact"/>
                    <w:ind w:firstLine="210" w:firstLineChars="100"/>
                    <w:jc w:val="both"/>
                    <w:rPr>
                      <w:rFonts w:hAnsiTheme="minorEastAsia"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位于</w:t>
                  </w:r>
                  <w:r>
                    <w:rPr>
                      <w:rFonts w:hAnsiTheme="minorEastAsia" w:eastAsiaTheme="minorEastAsia"/>
                      <w:color w:val="000000" w:themeColor="text1"/>
                      <w:kern w:val="0"/>
                      <w:szCs w:val="21"/>
                    </w:rPr>
                    <w:t>昆明市东川区铜都街道办事处绿茂老村，不涉及自然保护区核心区、风景名胜区等特殊敏感区。</w:t>
                  </w:r>
                </w:p>
              </w:tc>
              <w:tc>
                <w:tcPr>
                  <w:tcW w:w="849"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860" w:type="dxa"/>
                  <w:vAlign w:val="center"/>
                </w:tcPr>
                <w:p>
                  <w:pPr>
                    <w:pStyle w:val="3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位于</w:t>
                  </w:r>
                  <w:r>
                    <w:rPr>
                      <w:rFonts w:hAnsiTheme="minorEastAsia" w:eastAsiaTheme="minorEastAsia"/>
                      <w:color w:val="000000" w:themeColor="text1"/>
                      <w:kern w:val="0"/>
                      <w:szCs w:val="21"/>
                    </w:rPr>
                    <w:t>昆明市东川区铜都街道办事处绿茂老村，</w:t>
                  </w:r>
                  <w:r>
                    <w:rPr>
                      <w:color w:val="000000" w:themeColor="text1"/>
                      <w:kern w:val="0"/>
                      <w:szCs w:val="21"/>
                    </w:rPr>
                    <w:t>不涉及到饮用水水源地</w:t>
                  </w:r>
                  <w:r>
                    <w:rPr>
                      <w:rFonts w:hint="eastAsia"/>
                      <w:color w:val="000000" w:themeColor="text1"/>
                      <w:kern w:val="0"/>
                      <w:szCs w:val="21"/>
                    </w:rPr>
                    <w:t>的一级保护区或二级保护区</w:t>
                  </w:r>
                  <w:r>
                    <w:rPr>
                      <w:color w:val="000000" w:themeColor="text1"/>
                      <w:kern w:val="0"/>
                      <w:szCs w:val="21"/>
                    </w:rPr>
                    <w:t>。</w:t>
                  </w:r>
                </w:p>
              </w:tc>
              <w:tc>
                <w:tcPr>
                  <w:tcW w:w="849"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860" w:type="dxa"/>
                  <w:vAlign w:val="center"/>
                </w:tcPr>
                <w:p>
                  <w:pPr>
                    <w:pStyle w:val="32"/>
                    <w:spacing w:line="360" w:lineRule="exact"/>
                    <w:ind w:firstLine="210" w:firstLineChars="100"/>
                    <w:jc w:val="both"/>
                    <w:rPr>
                      <w:rFonts w:hAnsiTheme="minorEastAsia"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为</w:t>
                  </w:r>
                  <w:r>
                    <w:rPr>
                      <w:rFonts w:hint="eastAsia"/>
                      <w:color w:val="000000" w:themeColor="text1"/>
                      <w:kern w:val="0"/>
                      <w:szCs w:val="21"/>
                    </w:rPr>
                    <w:t>页岩砖生产项目，项目建设</w:t>
                  </w:r>
                  <w:r>
                    <w:rPr>
                      <w:rFonts w:hAnsiTheme="minorEastAsia" w:eastAsiaTheme="minorEastAsia"/>
                      <w:color w:val="000000" w:themeColor="text1"/>
                      <w:kern w:val="0"/>
                      <w:szCs w:val="21"/>
                    </w:rPr>
                    <w:t>符合主体功能定位，项目所在地的纳污水体为</w:t>
                  </w:r>
                  <w:r>
                    <w:rPr>
                      <w:rFonts w:hint="eastAsia"/>
                      <w:color w:val="000000" w:themeColor="text1"/>
                      <w:szCs w:val="24"/>
                    </w:rPr>
                    <w:t>小江（清水海-入金沙江口段）</w:t>
                  </w:r>
                  <w:r>
                    <w:rPr>
                      <w:rFonts w:hAnsiTheme="minorEastAsia" w:eastAsiaTheme="minorEastAsia"/>
                      <w:color w:val="000000" w:themeColor="text1"/>
                      <w:kern w:val="0"/>
                      <w:szCs w:val="21"/>
                    </w:rPr>
                    <w:t>，不属于水产种植资源保护区的岸线和河段范围。</w:t>
                  </w:r>
                </w:p>
              </w:tc>
              <w:tc>
                <w:tcPr>
                  <w:tcW w:w="849"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860" w:type="dxa"/>
                  <w:vAlign w:val="center"/>
                </w:tcPr>
                <w:p>
                  <w:pPr>
                    <w:pStyle w:val="32"/>
                    <w:spacing w:line="360" w:lineRule="exact"/>
                    <w:ind w:firstLine="210" w:firstLineChars="100"/>
                    <w:jc w:val="both"/>
                    <w:rPr>
                      <w:rFonts w:hAnsiTheme="minorEastAsia"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位于</w:t>
                  </w:r>
                  <w:r>
                    <w:rPr>
                      <w:rFonts w:hAnsiTheme="minorEastAsia" w:eastAsiaTheme="minorEastAsia"/>
                      <w:color w:val="000000" w:themeColor="text1"/>
                      <w:kern w:val="0"/>
                      <w:szCs w:val="21"/>
                    </w:rPr>
                    <w:t>昆明市东川区铜都街道办事处绿茂老村，项目所在地的纳污水体为</w:t>
                  </w:r>
                  <w:r>
                    <w:rPr>
                      <w:rFonts w:hint="eastAsia"/>
                      <w:color w:val="000000" w:themeColor="text1"/>
                      <w:szCs w:val="24"/>
                    </w:rPr>
                    <w:t>小江（清水海-入金沙江口段）</w:t>
                  </w:r>
                  <w:r>
                    <w:rPr>
                      <w:rFonts w:hAnsiTheme="minorEastAsia" w:eastAsiaTheme="minorEastAsia"/>
                      <w:color w:val="000000" w:themeColor="text1"/>
                      <w:kern w:val="0"/>
                      <w:szCs w:val="21"/>
                    </w:rPr>
                    <w:t>，该河段不属于《长江岸线保护和开发利用总体规划》划定的岸线保护区，也不属于全国重要江河湖泊水功能区划》划定的河段保护区、保留区。</w:t>
                  </w:r>
                </w:p>
              </w:tc>
              <w:tc>
                <w:tcPr>
                  <w:tcW w:w="849"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860" w:type="dxa"/>
                  <w:vAlign w:val="center"/>
                </w:tcPr>
                <w:p>
                  <w:pPr>
                    <w:pStyle w:val="3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w:t>
                  </w:r>
                  <w:r>
                    <w:rPr>
                      <w:rFonts w:hAnsiTheme="minorEastAsia" w:eastAsiaTheme="minorEastAsia"/>
                      <w:color w:val="000000" w:themeColor="text1"/>
                      <w:szCs w:val="21"/>
                    </w:rPr>
                    <w:t>位于</w:t>
                  </w:r>
                  <w:r>
                    <w:rPr>
                      <w:rFonts w:hAnsiTheme="minorEastAsia" w:eastAsiaTheme="minorEastAsia"/>
                      <w:color w:val="000000" w:themeColor="text1"/>
                      <w:kern w:val="0"/>
                      <w:szCs w:val="21"/>
                    </w:rPr>
                    <w:t>昆明市东川区铜都街道办事处绿茂老村，</w:t>
                  </w:r>
                  <w:r>
                    <w:rPr>
                      <w:rFonts w:hint="eastAsia" w:eastAsiaTheme="minorEastAsia"/>
                      <w:color w:val="000000" w:themeColor="text1"/>
                      <w:szCs w:val="21"/>
                    </w:rPr>
                    <w:t>项目建设</w:t>
                  </w:r>
                  <w:r>
                    <w:rPr>
                      <w:rFonts w:hAnsiTheme="minorEastAsia" w:eastAsiaTheme="minorEastAsia"/>
                      <w:color w:val="000000" w:themeColor="text1"/>
                      <w:kern w:val="0"/>
                      <w:szCs w:val="21"/>
                    </w:rPr>
                    <w:t>不涉及生态保护红线和永久基本农田。</w:t>
                  </w:r>
                </w:p>
              </w:tc>
              <w:tc>
                <w:tcPr>
                  <w:tcW w:w="849"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禁止在长江干支流</w:t>
                  </w:r>
                  <w:r>
                    <w:rPr>
                      <w:rFonts w:eastAsiaTheme="minorEastAsia"/>
                      <w:color w:val="000000" w:themeColor="text1"/>
                      <w:kern w:val="0"/>
                      <w:szCs w:val="21"/>
                    </w:rPr>
                    <w:t>1</w:t>
                  </w:r>
                  <w:r>
                    <w:rPr>
                      <w:rFonts w:hAnsiTheme="minorEastAsia" w:eastAsiaTheme="minorEastAsia"/>
                      <w:color w:val="000000" w:themeColor="text1"/>
                      <w:kern w:val="0"/>
                      <w:szCs w:val="21"/>
                    </w:rPr>
                    <w:t>公里范围内新建、扩建化工园区和化工项目。禁止在合规园区外新建、扩建钢铁、石化、化工、焦化、建材、有色等高污染项目。</w:t>
                  </w:r>
                </w:p>
              </w:tc>
              <w:tc>
                <w:tcPr>
                  <w:tcW w:w="3860" w:type="dxa"/>
                  <w:vAlign w:val="center"/>
                </w:tcPr>
                <w:p>
                  <w:pPr>
                    <w:pStyle w:val="32"/>
                    <w:spacing w:line="360" w:lineRule="exact"/>
                    <w:ind w:firstLine="210" w:firstLineChars="100"/>
                    <w:jc w:val="both"/>
                    <w:rPr>
                      <w:rFonts w:hAnsiTheme="minorEastAsia" w:eastAsiaTheme="minorEastAsia"/>
                      <w:color w:val="000000" w:themeColor="text1"/>
                      <w:kern w:val="0"/>
                      <w:szCs w:val="21"/>
                    </w:rPr>
                  </w:pPr>
                  <w:r>
                    <w:rPr>
                      <w:rFonts w:hint="eastAsia" w:hAnsiTheme="minorEastAsia" w:eastAsiaTheme="minorEastAsia"/>
                      <w:color w:val="000000" w:themeColor="text1"/>
                      <w:kern w:val="0"/>
                      <w:szCs w:val="21"/>
                    </w:rPr>
                    <w:t>（1）</w:t>
                  </w:r>
                  <w:r>
                    <w:rPr>
                      <w:rFonts w:hAnsiTheme="minorEastAsia" w:eastAsiaTheme="minorEastAsia"/>
                      <w:color w:val="000000" w:themeColor="text1"/>
                      <w:kern w:val="0"/>
                      <w:szCs w:val="21"/>
                    </w:rPr>
                    <w:t>本项目位于昆明市东川区铜都街道办事处绿茂老村，根据周边关系可知，距离小江为</w:t>
                  </w:r>
                  <w:r>
                    <w:rPr>
                      <w:rFonts w:hint="eastAsia" w:hAnsiTheme="minorEastAsia" w:eastAsiaTheme="minorEastAsia"/>
                      <w:color w:val="000000" w:themeColor="text1"/>
                      <w:kern w:val="0"/>
                      <w:szCs w:val="21"/>
                    </w:rPr>
                    <w:t>3308</w:t>
                  </w:r>
                  <w:r>
                    <w:rPr>
                      <w:rFonts w:hAnsiTheme="minorEastAsia" w:eastAsiaTheme="minorEastAsia"/>
                      <w:color w:val="000000" w:themeColor="text1"/>
                      <w:kern w:val="0"/>
                      <w:szCs w:val="21"/>
                    </w:rPr>
                    <w:t>m，项目所在区域不属于禁建范围</w:t>
                  </w:r>
                  <w:r>
                    <w:rPr>
                      <w:rFonts w:hint="eastAsia" w:hAnsiTheme="minorEastAsia" w:eastAsiaTheme="minorEastAsia"/>
                      <w:color w:val="000000" w:themeColor="text1"/>
                      <w:kern w:val="0"/>
                      <w:szCs w:val="21"/>
                    </w:rPr>
                    <w:t>。</w:t>
                  </w:r>
                </w:p>
                <w:p>
                  <w:pPr>
                    <w:pStyle w:val="32"/>
                    <w:spacing w:line="360" w:lineRule="exact"/>
                    <w:ind w:firstLine="210" w:firstLineChars="100"/>
                    <w:jc w:val="both"/>
                    <w:rPr>
                      <w:rFonts w:hAnsiTheme="minorEastAsia" w:eastAsiaTheme="minorEastAsia"/>
                      <w:color w:val="000000" w:themeColor="text1"/>
                      <w:kern w:val="0"/>
                      <w:szCs w:val="21"/>
                    </w:rPr>
                  </w:pPr>
                  <w:r>
                    <w:rPr>
                      <w:rFonts w:hint="eastAsia" w:hAnsiTheme="minorEastAsia" w:eastAsiaTheme="minorEastAsia"/>
                      <w:color w:val="000000" w:themeColor="text1"/>
                      <w:kern w:val="0"/>
                      <w:szCs w:val="21"/>
                    </w:rPr>
                    <w:t>（2）</w:t>
                  </w:r>
                  <w:r>
                    <w:rPr>
                      <w:rFonts w:hAnsiTheme="minorEastAsia" w:eastAsiaTheme="minorEastAsia"/>
                      <w:color w:val="000000" w:themeColor="text1"/>
                      <w:kern w:val="0"/>
                      <w:szCs w:val="21"/>
                    </w:rPr>
                    <w:t>《长江经济带发展负面清单指南（试行）》</w:t>
                  </w:r>
                  <w:r>
                    <w:rPr>
                      <w:rFonts w:hint="eastAsia" w:hAnsiTheme="minorEastAsia" w:eastAsiaTheme="minorEastAsia"/>
                      <w:color w:val="000000" w:themeColor="text1"/>
                      <w:kern w:val="0"/>
                      <w:szCs w:val="21"/>
                    </w:rPr>
                    <w:t>第三条规定 各省（市）人民政府作为监管责任主体，要结合自身实际制定具体、详细的实施细则，作为长江经济带发展负面清单管理制度的重要组成部分，实施更严格的管控措施。2021年9月13日中共昆明市委  昆明市人民政府发布《</w:t>
                  </w:r>
                  <w:r>
                    <w:rPr>
                      <w:rFonts w:hAnsiTheme="minorEastAsia" w:eastAsiaTheme="minorEastAsia"/>
                      <w:color w:val="000000" w:themeColor="text1"/>
                      <w:kern w:val="0"/>
                      <w:szCs w:val="21"/>
                    </w:rPr>
                    <w:t>关于加快开发区及产业园区高质量发展的意见</w:t>
                  </w:r>
                  <w:r>
                    <w:rPr>
                      <w:rFonts w:hint="eastAsia" w:hAnsiTheme="minorEastAsia" w:eastAsiaTheme="minorEastAsia"/>
                      <w:color w:val="000000" w:themeColor="text1"/>
                      <w:kern w:val="0"/>
                      <w:szCs w:val="21"/>
                    </w:rPr>
                    <w:t>》（</w:t>
                  </w:r>
                  <w:r>
                    <w:rPr>
                      <w:rFonts w:hAnsiTheme="minorEastAsia" w:eastAsiaTheme="minorEastAsia"/>
                      <w:color w:val="000000" w:themeColor="text1"/>
                      <w:kern w:val="0"/>
                      <w:szCs w:val="21"/>
                    </w:rPr>
                    <w:t>昆发</w:t>
                  </w:r>
                  <w:r>
                    <w:rPr>
                      <w:rFonts w:hint="eastAsia" w:hAnsiTheme="minorEastAsia" w:eastAsiaTheme="minorEastAsia"/>
                      <w:color w:val="000000" w:themeColor="text1"/>
                      <w:kern w:val="0"/>
                      <w:szCs w:val="21"/>
                    </w:rPr>
                    <w:t>【</w:t>
                  </w:r>
                  <w:r>
                    <w:rPr>
                      <w:rFonts w:hAnsiTheme="minorEastAsia" w:eastAsiaTheme="minorEastAsia"/>
                      <w:color w:val="000000" w:themeColor="text1"/>
                      <w:kern w:val="0"/>
                      <w:szCs w:val="21"/>
                    </w:rPr>
                    <w:t>202</w:t>
                  </w:r>
                  <w:r>
                    <w:rPr>
                      <w:rFonts w:hint="eastAsia" w:hAnsiTheme="minorEastAsia" w:eastAsiaTheme="minorEastAsia"/>
                      <w:color w:val="000000" w:themeColor="text1"/>
                      <w:kern w:val="0"/>
                      <w:szCs w:val="21"/>
                    </w:rPr>
                    <w:t>1】12</w:t>
                  </w:r>
                  <w:r>
                    <w:rPr>
                      <w:rFonts w:hAnsiTheme="minorEastAsia" w:eastAsiaTheme="minorEastAsia"/>
                      <w:color w:val="000000" w:themeColor="text1"/>
                      <w:kern w:val="0"/>
                      <w:szCs w:val="21"/>
                    </w:rPr>
                    <w:t>号</w:t>
                  </w:r>
                  <w:r>
                    <w:rPr>
                      <w:rFonts w:hint="eastAsia" w:hAnsiTheme="minorEastAsia" w:eastAsiaTheme="minorEastAsia"/>
                      <w:color w:val="000000" w:themeColor="text1"/>
                      <w:kern w:val="0"/>
                      <w:szCs w:val="21"/>
                    </w:rPr>
                    <w:t>），该文件第二十四条规定：“凡新建、引进的制造业项目和企业必须入园选址发展，园区外原则上不再安排工业项目。对达不到入园条件和标准的农副产品加工、一般加工制造类项目或预拌混凝土搅拌站等不宜入园的特殊行业，须经所在地县（市）区政府、开发区管委会审核同意并报市工高办备案后方可办理其他有关审批手续。”本项目属于改扩建项目，不属于“新建、引进的企业”，同时，建设单位已将项目基本情况向昆明市东川区人民政府进行了汇报；昆明市东川区人民政府对项目基本情况进行认真审核，明确同意该项目选址。</w:t>
                  </w:r>
                </w:p>
              </w:tc>
              <w:tc>
                <w:tcPr>
                  <w:tcW w:w="849"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禁止新建、扩建不符合国家石化、现代煤化工等产业布局规划的项目。</w:t>
                  </w:r>
                </w:p>
              </w:tc>
              <w:tc>
                <w:tcPr>
                  <w:tcW w:w="3860" w:type="dxa"/>
                  <w:vAlign w:val="center"/>
                </w:tcPr>
                <w:p>
                  <w:pPr>
                    <w:pStyle w:val="32"/>
                    <w:spacing w:line="360" w:lineRule="exact"/>
                    <w:ind w:firstLine="210" w:firstLineChars="100"/>
                    <w:jc w:val="both"/>
                    <w:rPr>
                      <w:rFonts w:hAnsiTheme="minorEastAsia"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为</w:t>
                  </w:r>
                  <w:r>
                    <w:rPr>
                      <w:rFonts w:hint="eastAsia"/>
                      <w:color w:val="000000" w:themeColor="text1"/>
                      <w:kern w:val="0"/>
                      <w:szCs w:val="21"/>
                    </w:rPr>
                    <w:t>页岩砖生产项目，</w:t>
                  </w:r>
                  <w:r>
                    <w:rPr>
                      <w:rFonts w:hAnsiTheme="minorEastAsia" w:eastAsiaTheme="minorEastAsia"/>
                      <w:color w:val="000000" w:themeColor="text1"/>
                      <w:kern w:val="0"/>
                      <w:szCs w:val="21"/>
                    </w:rPr>
                    <w:t>不属于不符合国家石化、现代煤化工等产业布局规划的项目。</w:t>
                  </w:r>
                </w:p>
              </w:tc>
              <w:tc>
                <w:tcPr>
                  <w:tcW w:w="849"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禁止新建、扩建法律法规和相关政策明令禁止的落后产能项目。</w:t>
                  </w:r>
                </w:p>
              </w:tc>
              <w:tc>
                <w:tcPr>
                  <w:tcW w:w="3860" w:type="dxa"/>
                  <w:vAlign w:val="center"/>
                </w:tcPr>
                <w:p>
                  <w:pPr>
                    <w:pStyle w:val="32"/>
                    <w:spacing w:line="360" w:lineRule="exact"/>
                    <w:ind w:firstLine="210" w:firstLineChars="100"/>
                    <w:jc w:val="both"/>
                    <w:rPr>
                      <w:rFonts w:hAnsiTheme="minorEastAsia"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为页岩砖生产项目，</w:t>
                  </w:r>
                  <w:r>
                    <w:rPr>
                      <w:rFonts w:hAnsiTheme="minorEastAsia" w:eastAsiaTheme="minorEastAsia"/>
                      <w:color w:val="000000" w:themeColor="text1"/>
                      <w:kern w:val="0"/>
                      <w:szCs w:val="21"/>
                    </w:rPr>
                    <w:t>根据《产业结构调整指导目录》（2019年本），本项目不属于鼓励类、淘汰类和限制类项目，属于允许类项目，</w:t>
                  </w:r>
                  <w:r>
                    <w:rPr>
                      <w:rFonts w:hint="eastAsia" w:hAnsiTheme="minorEastAsia" w:eastAsiaTheme="minorEastAsia"/>
                      <w:color w:val="000000" w:themeColor="text1"/>
                      <w:kern w:val="0"/>
                      <w:szCs w:val="21"/>
                    </w:rPr>
                    <w:t>且</w:t>
                  </w:r>
                  <w:r>
                    <w:rPr>
                      <w:rFonts w:hAnsiTheme="minorEastAsia" w:eastAsiaTheme="minorEastAsia"/>
                      <w:color w:val="000000" w:themeColor="text1"/>
                      <w:kern w:val="0"/>
                      <w:szCs w:val="21"/>
                    </w:rPr>
                    <w:t>昆明市东川区工业和科学技术信息化局2021年9月7日出具的《关于对东川区砖瓦行业淘汰落后产能情况说明》</w:t>
                  </w:r>
                  <w:r>
                    <w:rPr>
                      <w:rFonts w:hint="eastAsia" w:hAnsiTheme="minorEastAsia" w:eastAsiaTheme="minorEastAsia"/>
                      <w:color w:val="000000" w:themeColor="text1"/>
                      <w:kern w:val="0"/>
                      <w:szCs w:val="21"/>
                    </w:rPr>
                    <w:t>，该说明文件已明确同意本项目的建设。</w:t>
                  </w:r>
                </w:p>
              </w:tc>
              <w:tc>
                <w:tcPr>
                  <w:tcW w:w="849"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禁止新建、扩建不符合国家产能置换要求的严重过剩产能行业的项目。</w:t>
                  </w:r>
                </w:p>
              </w:tc>
              <w:tc>
                <w:tcPr>
                  <w:tcW w:w="3860" w:type="dxa"/>
                  <w:vAlign w:val="center"/>
                </w:tcPr>
                <w:p>
                  <w:pPr>
                    <w:pStyle w:val="32"/>
                    <w:spacing w:line="360" w:lineRule="exact"/>
                    <w:ind w:firstLine="210" w:firstLineChars="100"/>
                    <w:jc w:val="both"/>
                    <w:rPr>
                      <w:rFonts w:hAnsiTheme="minorEastAsia"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为页岩砖生产项目，主要供给东川区市场，目前东川区仅保留本项目一家页岩砖厂，因此</w:t>
                  </w:r>
                  <w:r>
                    <w:rPr>
                      <w:rFonts w:hAnsiTheme="minorEastAsia" w:eastAsiaTheme="minorEastAsia"/>
                      <w:color w:val="000000" w:themeColor="text1"/>
                      <w:kern w:val="0"/>
                      <w:szCs w:val="21"/>
                    </w:rPr>
                    <w:t>本项目不属于国家产能置换要求的严重过剩产能行业的项目。</w:t>
                  </w:r>
                </w:p>
              </w:tc>
              <w:tc>
                <w:tcPr>
                  <w:tcW w:w="849" w:type="dxa"/>
                  <w:vAlign w:val="center"/>
                </w:tcPr>
                <w:p>
                  <w:pPr>
                    <w:pStyle w:val="3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由上表可知，本项目的建设符合《长江经济带发展负面清单指南（试行）》的要求。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（4）与《长江经济带生态环境保护规划》符合性分析</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本项目</w:t>
            </w:r>
            <w:r>
              <w:rPr>
                <w:rFonts w:hint="eastAsia" w:ascii="Times New Roman" w:cs="Times New Roman" w:hAnsiTheme="minorEastAsia"/>
                <w:color w:val="000000" w:themeColor="text1"/>
                <w:sz w:val="24"/>
                <w:szCs w:val="24"/>
              </w:rPr>
              <w:t>为页岩砖生产项目，本项目的建设与《长江经济带生态环境保护规划》的相关要求不相冲突。</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（5）</w:t>
            </w:r>
            <w:r>
              <w:rPr>
                <w:rFonts w:ascii="Times New Roman" w:cs="Times New Roman" w:hAnsiTheme="minorEastAsia"/>
                <w:b/>
                <w:color w:val="000000" w:themeColor="text1"/>
                <w:sz w:val="24"/>
                <w:szCs w:val="24"/>
              </w:rPr>
              <w:t>与城市总体规划符合性分析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本项目在</w:t>
            </w:r>
            <w:r>
              <w:rPr>
                <w:rFonts w:ascii="Times New Roman" w:hAnsi="Times New Roman" w:eastAsia="宋体" w:cs="Times New Roman"/>
                <w:color w:val="000000" w:themeColor="text1"/>
                <w:sz w:val="24"/>
                <w:szCs w:val="24"/>
              </w:rPr>
              <w:t>昆明市东川区铜都街道办事处绿茂老村，</w:t>
            </w:r>
            <w:r>
              <w:rPr>
                <w:rFonts w:hint="eastAsia" w:ascii="Times New Roman" w:hAnsi="Times New Roman" w:eastAsia="宋体" w:cs="Times New Roman"/>
                <w:color w:val="000000" w:themeColor="text1"/>
                <w:sz w:val="24"/>
                <w:szCs w:val="24"/>
              </w:rPr>
              <w:t>对原有项目在原址进行的改扩建，根据原有项目环评分析，在原有项目建设前，该土地类型</w:t>
            </w:r>
            <w:r>
              <w:rPr>
                <w:rFonts w:ascii="Times New Roman" w:hAnsi="Times New Roman" w:eastAsia="宋体" w:cs="Times New Roman"/>
                <w:color w:val="000000" w:themeColor="text1"/>
                <w:sz w:val="24"/>
                <w:szCs w:val="24"/>
              </w:rPr>
              <w:t>为未利用地</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不涉及基本农田等保护目标，符合土地利用总体规划</w:t>
            </w:r>
            <w:r>
              <w:rPr>
                <w:rFonts w:hint="eastAsia" w:ascii="Times New Roman" w:hAnsi="Times New Roman" w:eastAsia="宋体" w:cs="Times New Roman"/>
                <w:color w:val="000000" w:themeColor="text1"/>
                <w:sz w:val="24"/>
                <w:szCs w:val="24"/>
              </w:rPr>
              <w:t>。现建设单位正按照土地管理相关法律法规的要求，将土地性质调整为建设用地。</w:t>
            </w:r>
            <w:r>
              <w:rPr>
                <w:rFonts w:ascii="Times New Roman" w:hAnsi="Times New Roman" w:eastAsia="宋体" w:cs="Times New Roman"/>
                <w:color w:val="000000" w:themeColor="text1"/>
                <w:sz w:val="24"/>
                <w:szCs w:val="24"/>
              </w:rPr>
              <w:t>项目不在城市规划区范围内</w:t>
            </w:r>
            <w:r>
              <w:rPr>
                <w:rFonts w:hint="eastAsia" w:ascii="Times New Roman" w:hAnsi="Times New Roman" w:eastAsia="宋体" w:cs="Times New Roman"/>
                <w:color w:val="000000" w:themeColor="text1"/>
                <w:sz w:val="24"/>
                <w:szCs w:val="24"/>
              </w:rPr>
              <w:t>；项目建设与</w:t>
            </w:r>
            <w:r>
              <w:rPr>
                <w:rFonts w:ascii="Times New Roman" w:hAnsi="Times New Roman" w:eastAsia="宋体" w:cs="Times New Roman"/>
                <w:color w:val="000000" w:themeColor="text1"/>
                <w:sz w:val="24"/>
                <w:szCs w:val="24"/>
              </w:rPr>
              <w:t>城市总体规划</w:t>
            </w:r>
            <w:r>
              <w:rPr>
                <w:rFonts w:hint="eastAsia" w:ascii="Times New Roman" w:hAnsi="Times New Roman" w:eastAsia="宋体" w:cs="Times New Roman"/>
                <w:color w:val="000000" w:themeColor="text1"/>
                <w:sz w:val="24"/>
                <w:szCs w:val="24"/>
              </w:rPr>
              <w:t>不冲突。</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（6）与《</w:t>
            </w:r>
            <w:r>
              <w:rPr>
                <w:rFonts w:hint="eastAsia" w:ascii="Times New Roman" w:hAnsi="宋体" w:eastAsia="宋体" w:cs="Times New Roman"/>
                <w:b/>
                <w:color w:val="000000" w:themeColor="text1"/>
                <w:sz w:val="24"/>
                <w:szCs w:val="24"/>
              </w:rPr>
              <w:t>中共昆明市委  昆明市人民政府</w:t>
            </w:r>
            <w:r>
              <w:rPr>
                <w:rFonts w:ascii="Times New Roman" w:hAnsi="宋体" w:eastAsia="宋体" w:cs="Times New Roman"/>
                <w:b/>
                <w:color w:val="000000" w:themeColor="text1"/>
                <w:sz w:val="24"/>
                <w:szCs w:val="24"/>
              </w:rPr>
              <w:t>关于加快开发区及产业园区高质量发展的意见</w:t>
            </w:r>
            <w:r>
              <w:rPr>
                <w:rFonts w:hint="eastAsia" w:ascii="Times New Roman" w:cs="Times New Roman" w:hAnsiTheme="minorEastAsia"/>
                <w:b/>
                <w:color w:val="000000" w:themeColor="text1"/>
                <w:sz w:val="24"/>
                <w:szCs w:val="24"/>
              </w:rPr>
              <w:t>》（</w:t>
            </w:r>
            <w:r>
              <w:rPr>
                <w:rFonts w:ascii="Times New Roman" w:hAnsi="宋体" w:eastAsia="宋体" w:cs="Times New Roman"/>
                <w:b/>
                <w:color w:val="000000" w:themeColor="text1"/>
                <w:sz w:val="24"/>
                <w:szCs w:val="24"/>
              </w:rPr>
              <w:t>昆发</w:t>
            </w:r>
            <w:r>
              <w:rPr>
                <w:rFonts w:hint="eastAsia" w:ascii="Times New Roman" w:cs="Times New Roman" w:hAnsiTheme="minorEastAsia"/>
                <w:b/>
                <w:color w:val="000000" w:themeColor="text1"/>
                <w:sz w:val="24"/>
                <w:szCs w:val="24"/>
              </w:rPr>
              <w:t>【</w:t>
            </w:r>
            <w:r>
              <w:rPr>
                <w:rFonts w:ascii="Times New Roman" w:hAnsi="宋体" w:eastAsia="宋体" w:cs="Times New Roman"/>
                <w:b/>
                <w:color w:val="000000" w:themeColor="text1"/>
                <w:sz w:val="24"/>
                <w:szCs w:val="24"/>
              </w:rPr>
              <w:t>202</w:t>
            </w:r>
            <w:r>
              <w:rPr>
                <w:rFonts w:hint="eastAsia" w:ascii="Times New Roman" w:hAnsi="宋体" w:eastAsia="宋体" w:cs="Times New Roman"/>
                <w:b/>
                <w:color w:val="000000" w:themeColor="text1"/>
                <w:sz w:val="24"/>
                <w:szCs w:val="24"/>
              </w:rPr>
              <w:t>1</w:t>
            </w:r>
            <w:r>
              <w:rPr>
                <w:rFonts w:hint="eastAsia" w:ascii="Times New Roman" w:cs="Times New Roman" w:hAnsiTheme="minorEastAsia"/>
                <w:b/>
                <w:color w:val="000000" w:themeColor="text1"/>
                <w:sz w:val="24"/>
                <w:szCs w:val="24"/>
              </w:rPr>
              <w:t>】</w:t>
            </w:r>
            <w:r>
              <w:rPr>
                <w:rFonts w:hint="eastAsia" w:ascii="Times New Roman" w:hAnsi="宋体" w:eastAsia="宋体" w:cs="Times New Roman"/>
                <w:b/>
                <w:color w:val="000000" w:themeColor="text1"/>
                <w:sz w:val="24"/>
                <w:szCs w:val="24"/>
              </w:rPr>
              <w:t>12</w:t>
            </w:r>
            <w:r>
              <w:rPr>
                <w:rFonts w:ascii="Times New Roman" w:hAnsi="宋体" w:eastAsia="宋体" w:cs="Times New Roman"/>
                <w:b/>
                <w:color w:val="000000" w:themeColor="text1"/>
                <w:sz w:val="24"/>
                <w:szCs w:val="24"/>
              </w:rPr>
              <w:t>号</w:t>
            </w:r>
            <w:r>
              <w:rPr>
                <w:rFonts w:hint="eastAsia" w:ascii="Times New Roman" w:cs="Times New Roman" w:hAnsiTheme="minorEastAsia"/>
                <w:b/>
                <w:color w:val="000000" w:themeColor="text1"/>
                <w:sz w:val="24"/>
                <w:szCs w:val="24"/>
              </w:rPr>
              <w:t>）</w:t>
            </w:r>
            <w:r>
              <w:rPr>
                <w:rFonts w:ascii="Times New Roman" w:cs="Times New Roman" w:hAnsiTheme="minorEastAsia"/>
                <w:b/>
                <w:color w:val="000000" w:themeColor="text1"/>
                <w:sz w:val="24"/>
                <w:szCs w:val="24"/>
              </w:rPr>
              <w:t>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根据《中共昆明市委  昆明市人民政府</w:t>
            </w:r>
            <w:r>
              <w:rPr>
                <w:rFonts w:ascii="Times New Roman" w:hAnsi="Times New Roman" w:eastAsia="宋体" w:cs="Times New Roman"/>
                <w:color w:val="000000" w:themeColor="text1"/>
                <w:sz w:val="24"/>
                <w:szCs w:val="24"/>
              </w:rPr>
              <w:t>关于加快开发区及产业园区高质量发展的意见</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昆发</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202</w:t>
            </w:r>
            <w:r>
              <w:rPr>
                <w:rFonts w:hint="eastAsia" w:ascii="Times New Roman" w:hAnsi="Times New Roman" w:eastAsia="宋体" w:cs="Times New Roman"/>
                <w:color w:val="000000" w:themeColor="text1"/>
                <w:sz w:val="24"/>
                <w:szCs w:val="24"/>
              </w:rPr>
              <w:t>1】12</w:t>
            </w:r>
            <w:r>
              <w:rPr>
                <w:rFonts w:ascii="Times New Roman" w:hAnsi="Times New Roman" w:eastAsia="宋体" w:cs="Times New Roman"/>
                <w:color w:val="000000" w:themeColor="text1"/>
                <w:sz w:val="24"/>
                <w:szCs w:val="24"/>
              </w:rPr>
              <w:t>号</w:t>
            </w:r>
            <w:r>
              <w:rPr>
                <w:rFonts w:hint="eastAsia" w:ascii="Times New Roman" w:hAnsi="Times New Roman" w:eastAsia="宋体" w:cs="Times New Roman"/>
                <w:color w:val="000000" w:themeColor="text1"/>
                <w:sz w:val="24"/>
                <w:szCs w:val="24"/>
              </w:rPr>
              <w:t>）第二十四条规定：“凡新建、引进的制造业项目和企业必须入园选址发展，园区外原则上不再安排工业项目。对达不到入园条件和标准的农副产品加工、一般加工制造类项目或预拌混凝土搅拌站等不宜入园的特殊行业，须经所在地县（市）区政府、开发区管委会审核同意并报市工高办备案后方可办理其他有关审批手续。”</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根据本项目的实际情况，本项目属于改扩建项目，不属于“新建、引进的企业”，同时，建设单位已将项目基本情况向昆明市东川区人民政府进行了汇报；昆明市东川区人民政府对项目基本情况进行认真审核，明确该项目建设与东川区总体规划不冲突，不涉及生态红线，并于2021年8月13日出具了《</w:t>
            </w:r>
            <w:r>
              <w:rPr>
                <w:rFonts w:ascii="Times New Roman" w:hAnsi="Times New Roman" w:eastAsia="宋体" w:cs="Times New Roman"/>
                <w:color w:val="000000" w:themeColor="text1"/>
                <w:sz w:val="24"/>
                <w:szCs w:val="24"/>
              </w:rPr>
              <w:t>关于同意昆明北杏新型建材有限公司年产7000万块页岩砖改扩建项目选址的意见</w:t>
            </w:r>
            <w:r>
              <w:rPr>
                <w:rFonts w:hint="eastAsia" w:ascii="Times New Roman" w:hAnsi="Times New Roman" w:eastAsia="宋体" w:cs="Times New Roman"/>
                <w:color w:val="000000" w:themeColor="text1"/>
                <w:sz w:val="24"/>
                <w:szCs w:val="24"/>
              </w:rPr>
              <w:t>》，同意了该项目选址。因此项目建设与《中共昆明市委  昆明市人民政府</w:t>
            </w:r>
            <w:r>
              <w:rPr>
                <w:rFonts w:ascii="Times New Roman" w:hAnsi="Times New Roman" w:eastAsia="宋体" w:cs="Times New Roman"/>
                <w:color w:val="000000" w:themeColor="text1"/>
                <w:sz w:val="24"/>
                <w:szCs w:val="24"/>
              </w:rPr>
              <w:t>关于加快开发区及产业园区高质量发展的意见</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昆发</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202</w:t>
            </w:r>
            <w:r>
              <w:rPr>
                <w:rFonts w:hint="eastAsia" w:ascii="Times New Roman" w:hAnsi="Times New Roman" w:eastAsia="宋体" w:cs="Times New Roman"/>
                <w:color w:val="000000" w:themeColor="text1"/>
                <w:sz w:val="24"/>
                <w:szCs w:val="24"/>
              </w:rPr>
              <w:t>1】12</w:t>
            </w:r>
            <w:r>
              <w:rPr>
                <w:rFonts w:ascii="Times New Roman" w:hAnsi="Times New Roman" w:eastAsia="宋体" w:cs="Times New Roman"/>
                <w:color w:val="000000" w:themeColor="text1"/>
                <w:sz w:val="24"/>
                <w:szCs w:val="24"/>
              </w:rPr>
              <w:t>号</w:t>
            </w:r>
            <w:r>
              <w:rPr>
                <w:rFonts w:hint="eastAsia" w:ascii="Times New Roman" w:hAnsi="Times New Roman" w:eastAsia="宋体" w:cs="Times New Roman"/>
                <w:color w:val="000000" w:themeColor="text1"/>
                <w:sz w:val="24"/>
                <w:szCs w:val="24"/>
              </w:rPr>
              <w:t>）不冲突。</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（7）与行业相关规划的符合性分析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①与《全国墙体材料烧结砖瓦行业准入条件》符合性分析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本项目与《全国墙体材料烧结砖瓦行业准入条件》相符性详见下表。</w:t>
            </w: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表1-4 项目与《全国墙体材料烧结砖瓦行业准入条件》相</w:t>
            </w:r>
            <w:r>
              <w:rPr>
                <w:rFonts w:ascii="Times New Roman" w:cs="Times New Roman" w:hAnsiTheme="minorEastAsia"/>
                <w:b/>
                <w:color w:val="000000" w:themeColor="text1"/>
              </w:rPr>
              <w:t>符性分析</w:t>
            </w:r>
            <w:r>
              <w:rPr>
                <w:rFonts w:hint="eastAsia" w:ascii="Times New Roman" w:cs="Times New Roman" w:hAnsiTheme="minorEastAsia"/>
                <w:b/>
                <w:color w:val="000000" w:themeColor="text1"/>
              </w:rPr>
              <w:t>一览表</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649"/>
              <w:gridCol w:w="3686"/>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类别</w:t>
                  </w:r>
                </w:p>
              </w:tc>
              <w:tc>
                <w:tcPr>
                  <w:tcW w:w="2121" w:type="pc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行业准入条件要求</w:t>
                  </w:r>
                </w:p>
              </w:tc>
              <w:tc>
                <w:tcPr>
                  <w:tcW w:w="2142" w:type="pc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382" w:type="pc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restart"/>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生产企业布局</w:t>
                  </w:r>
                </w:p>
              </w:tc>
              <w:tc>
                <w:tcPr>
                  <w:tcW w:w="2121"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（一）</w:t>
                  </w:r>
                  <w:r>
                    <w:rPr>
                      <w:rFonts w:eastAsiaTheme="minorEastAsia"/>
                      <w:color w:val="000000" w:themeColor="text1"/>
                      <w:szCs w:val="21"/>
                    </w:rPr>
                    <w:t>新建或改建扩建（以下简称改建）烧结砖瓦生产线项目，必须符合国家产业政策和产业规划，新建或改建扩建砖瓦生产企业用地，必须符合城乡规划的要求，必须符合土地利用总体规划、土地供应政策和土地使用标准的规定。严格执行环境保护有关规定，严格禁止毁田烧砖。</w:t>
                  </w:r>
                </w:p>
              </w:tc>
              <w:tc>
                <w:tcPr>
                  <w:tcW w:w="2142"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1）本项目采用隧道窑生产烧结砖，其产量为7000万块/a，根据《产业结构调整指导目录》（2019年本），本项目不属于鼓励类、淘汰类和限制类项目，属于允许类项目，且本项目已于2020年8月18日取得昆明市东川区工业和科学技术信息化局下发的《投资项目备案证》（项目代码：2020-530113-30-03-056275）；因此项目符合国家产业政策。</w:t>
                  </w:r>
                </w:p>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2）根据昆明市东川区工业和科学技术信息化局2021年9月7日出具的《关于对东川区砖瓦行业淘汰落后产能情况说明》已明确：“为满足东川区的建设需求、方便群众，同意昆明北杏新型建材有限公司技改一条生产线” ，即同意本项目的建设，因此说明，项目建设符合东川区的产业规划。</w:t>
                  </w:r>
                </w:p>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3）本项目是在原址进行改扩建，在原有项目建设前，该土地类型为未利用地，不涉及基本农田等保护目标，符合土地利用总体规划。现建设单位正按照土地管理相关法律法规的要求，将土地性质调整为建设用地。项目不在城市规划区范围内；项目建设与城市总体规划不冲突。</w:t>
                  </w:r>
                </w:p>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（4）项目使用原料为昆明红富化肥有限公司磷矿开采产生的弃土（页岩），无毁田烧砖行为。</w:t>
                  </w:r>
                </w:p>
              </w:tc>
              <w:tc>
                <w:tcPr>
                  <w:tcW w:w="382" w:type="pc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continue"/>
                  <w:tcBorders>
                    <w:tl2br w:val="nil"/>
                    <w:tr2bl w:val="nil"/>
                  </w:tcBorders>
                  <w:vAlign w:val="center"/>
                </w:tcPr>
                <w:p>
                  <w:pPr>
                    <w:pStyle w:val="32"/>
                    <w:spacing w:line="360" w:lineRule="exact"/>
                    <w:rPr>
                      <w:rFonts w:eastAsiaTheme="minorEastAsia"/>
                      <w:color w:val="000000" w:themeColor="text1"/>
                      <w:szCs w:val="21"/>
                    </w:rPr>
                  </w:pPr>
                </w:p>
              </w:tc>
              <w:tc>
                <w:tcPr>
                  <w:tcW w:w="2121"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（二）</w:t>
                  </w:r>
                  <w:r>
                    <w:rPr>
                      <w:rFonts w:eastAsiaTheme="minorEastAsia"/>
                      <w:color w:val="000000" w:themeColor="text1"/>
                      <w:szCs w:val="21"/>
                    </w:rPr>
                    <w:t>在国家法律、法规、行政规章及规划要求确定或县级以上人民政府批准的风景名胜、生态保护、自然和文化遗产以及饮用水源保护区，不得建设烧结砖瓦生产企业。</w:t>
                  </w:r>
                </w:p>
              </w:tc>
              <w:tc>
                <w:tcPr>
                  <w:tcW w:w="2142"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根据调查，本项目在昆明市东川区铜都街道办事处绿茂老村，项目评价范围内无风景名胜、生态保护、自然和文化遗产以及饮用水源保护区</w:t>
                  </w:r>
                  <w:r>
                    <w:rPr>
                      <w:rFonts w:hint="eastAsia" w:eastAsiaTheme="minorEastAsia"/>
                      <w:color w:val="000000" w:themeColor="text1"/>
                      <w:szCs w:val="21"/>
                    </w:rPr>
                    <w:t>；2020年9月25日昆明市东川区自然资源局出具的相关证明，明确项目不涉及生态红线，</w:t>
                  </w:r>
                  <w:r>
                    <w:rPr>
                      <w:rFonts w:eastAsiaTheme="minorEastAsia"/>
                      <w:color w:val="000000" w:themeColor="text1"/>
                      <w:szCs w:val="21"/>
                    </w:rPr>
                    <w:t>同时昆明市东川区人民政府2021年8月13日出具了《关于同意昆明北杏新型建材有限公司年产7000万块页岩砖改扩建项目选址的意见》，同意了该项目选址。</w:t>
                  </w:r>
                </w:p>
              </w:tc>
              <w:tc>
                <w:tcPr>
                  <w:tcW w:w="382" w:type="pc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continue"/>
                  <w:tcBorders>
                    <w:tl2br w:val="nil"/>
                    <w:tr2bl w:val="nil"/>
                  </w:tcBorders>
                  <w:vAlign w:val="center"/>
                </w:tcPr>
                <w:p>
                  <w:pPr>
                    <w:pStyle w:val="32"/>
                    <w:spacing w:line="360" w:lineRule="exact"/>
                    <w:rPr>
                      <w:rFonts w:eastAsiaTheme="minorEastAsia"/>
                      <w:color w:val="000000" w:themeColor="text1"/>
                      <w:szCs w:val="21"/>
                    </w:rPr>
                  </w:pPr>
                </w:p>
              </w:tc>
              <w:tc>
                <w:tcPr>
                  <w:tcW w:w="2121"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（三）</w:t>
                  </w:r>
                  <w:r>
                    <w:rPr>
                      <w:rFonts w:eastAsiaTheme="minorEastAsia"/>
                      <w:color w:val="000000" w:themeColor="text1"/>
                      <w:szCs w:val="21"/>
                    </w:rPr>
                    <w:t>在距粉煤灰、煤矸石堆存地20公里范围内不准新建、扩建粘土砖厂；已建的粘土砖生产企业，必须掺用一定比例的粉煤灰、煤矸石。</w:t>
                  </w:r>
                </w:p>
              </w:tc>
              <w:tc>
                <w:tcPr>
                  <w:tcW w:w="2142"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本项目</w:t>
                  </w:r>
                  <w:r>
                    <w:rPr>
                      <w:rFonts w:eastAsiaTheme="minorEastAsia"/>
                      <w:color w:val="000000" w:themeColor="text1"/>
                      <w:szCs w:val="21"/>
                    </w:rPr>
                    <w:t>产品为页岩砖，</w:t>
                  </w:r>
                  <w:r>
                    <w:rPr>
                      <w:rFonts w:hint="eastAsia" w:eastAsiaTheme="minorEastAsia"/>
                      <w:color w:val="000000" w:themeColor="text1"/>
                      <w:szCs w:val="21"/>
                    </w:rPr>
                    <w:t>不属于</w:t>
                  </w:r>
                  <w:r>
                    <w:rPr>
                      <w:rFonts w:eastAsiaTheme="minorEastAsia"/>
                      <w:color w:val="000000" w:themeColor="text1"/>
                      <w:szCs w:val="21"/>
                    </w:rPr>
                    <w:t>粘土砖厂</w:t>
                  </w:r>
                  <w:r>
                    <w:rPr>
                      <w:rFonts w:hint="eastAsia" w:eastAsiaTheme="minorEastAsia"/>
                      <w:color w:val="000000" w:themeColor="text1"/>
                      <w:szCs w:val="21"/>
                    </w:rPr>
                    <w:t>；</w:t>
                  </w:r>
                  <w:r>
                    <w:rPr>
                      <w:rFonts w:eastAsiaTheme="minorEastAsia"/>
                      <w:color w:val="000000" w:themeColor="text1"/>
                      <w:szCs w:val="21"/>
                    </w:rPr>
                    <w:t>本项目在昆明市东川区铜都街道办事处绿茂老村，根据调查，</w:t>
                  </w:r>
                  <w:r>
                    <w:rPr>
                      <w:rFonts w:hint="eastAsia" w:eastAsiaTheme="minorEastAsia"/>
                      <w:color w:val="000000" w:themeColor="text1"/>
                      <w:szCs w:val="21"/>
                    </w:rPr>
                    <w:t>在项目区周围20公里范围内无</w:t>
                  </w:r>
                  <w:r>
                    <w:rPr>
                      <w:rFonts w:eastAsiaTheme="minorEastAsia"/>
                      <w:color w:val="000000" w:themeColor="text1"/>
                      <w:szCs w:val="21"/>
                    </w:rPr>
                    <w:t>粉煤灰、煤矸石</w:t>
                  </w:r>
                  <w:r>
                    <w:rPr>
                      <w:rFonts w:hint="eastAsia" w:eastAsiaTheme="minorEastAsia"/>
                      <w:color w:val="000000" w:themeColor="text1"/>
                      <w:szCs w:val="21"/>
                    </w:rPr>
                    <w:t>等堆场。</w:t>
                  </w:r>
                </w:p>
              </w:tc>
              <w:tc>
                <w:tcPr>
                  <w:tcW w:w="382" w:type="pc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5" w:type="pct"/>
                  <w:vMerge w:val="continue"/>
                  <w:tcBorders>
                    <w:tl2br w:val="nil"/>
                    <w:tr2bl w:val="nil"/>
                  </w:tcBorders>
                  <w:vAlign w:val="center"/>
                </w:tcPr>
                <w:p>
                  <w:pPr>
                    <w:pStyle w:val="32"/>
                    <w:spacing w:line="360" w:lineRule="exact"/>
                    <w:rPr>
                      <w:rFonts w:eastAsiaTheme="minorEastAsia"/>
                      <w:color w:val="000000" w:themeColor="text1"/>
                      <w:szCs w:val="21"/>
                    </w:rPr>
                  </w:pPr>
                </w:p>
              </w:tc>
              <w:tc>
                <w:tcPr>
                  <w:tcW w:w="2121"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（四）为促进生产力合理布局和协调发展，对烧结砖瓦实施分地区指导和区别对待的政策。</w:t>
                  </w:r>
                </w:p>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1、经济发达地区城市和人均耕地面积低于0.8亩的城市，禁止生产粘土实心砖；粘土资源较为丰富的西部地区，要发展粘土空心制品，限制生产粘土实心砖。</w:t>
                  </w:r>
                </w:p>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2、烧结砖瓦企业和质量的管理必须满足《烧结砖瓦企业质量管理规程》和《烧结砖瓦企业检验室基本条件》要求，完善质量检测手段。</w:t>
                  </w:r>
                </w:p>
              </w:tc>
              <w:tc>
                <w:tcPr>
                  <w:tcW w:w="2142"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本项目</w:t>
                  </w:r>
                  <w:r>
                    <w:rPr>
                      <w:rFonts w:eastAsiaTheme="minorEastAsia"/>
                      <w:color w:val="000000" w:themeColor="text1"/>
                      <w:szCs w:val="21"/>
                    </w:rPr>
                    <w:t>产品为页岩砖，</w:t>
                  </w:r>
                  <w:r>
                    <w:rPr>
                      <w:rFonts w:hint="eastAsia" w:eastAsiaTheme="minorEastAsia"/>
                      <w:color w:val="000000" w:themeColor="text1"/>
                      <w:szCs w:val="21"/>
                    </w:rPr>
                    <w:t>项目将严格按照</w:t>
                  </w:r>
                  <w:r>
                    <w:rPr>
                      <w:rFonts w:eastAsiaTheme="minorEastAsia"/>
                      <w:color w:val="000000" w:themeColor="text1"/>
                      <w:szCs w:val="21"/>
                    </w:rPr>
                    <w:t>《烧结砖瓦企业质量管理规程》和《烧结砖瓦企业检验室基本条件》要求</w:t>
                  </w:r>
                  <w:r>
                    <w:rPr>
                      <w:rFonts w:hint="eastAsia" w:eastAsiaTheme="minorEastAsia"/>
                      <w:color w:val="000000" w:themeColor="text1"/>
                      <w:szCs w:val="21"/>
                    </w:rPr>
                    <w:t>进行设计、建设和管理，并完善质量检测手段。</w:t>
                  </w:r>
                </w:p>
              </w:tc>
              <w:tc>
                <w:tcPr>
                  <w:tcW w:w="382" w:type="pc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restart"/>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工艺与装备（</w:t>
                  </w:r>
                  <w:r>
                    <w:rPr>
                      <w:rFonts w:eastAsiaTheme="minorEastAsia"/>
                      <w:color w:val="000000" w:themeColor="text1"/>
                      <w:szCs w:val="21"/>
                    </w:rPr>
                    <w:t>新建和改（扩）建烧结砖瓦项目</w:t>
                  </w:r>
                  <w:r>
                    <w:rPr>
                      <w:rFonts w:hint="eastAsia" w:eastAsiaTheme="minorEastAsia"/>
                      <w:color w:val="000000" w:themeColor="text1"/>
                      <w:szCs w:val="21"/>
                    </w:rPr>
                    <w:t>）</w:t>
                  </w:r>
                </w:p>
              </w:tc>
              <w:tc>
                <w:tcPr>
                  <w:tcW w:w="2121"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严禁建设粘土实心砖项目（装饰砖、铺地砖及其它特殊用途的砖除外）</w:t>
                  </w:r>
                </w:p>
              </w:tc>
              <w:tc>
                <w:tcPr>
                  <w:tcW w:w="2142"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项目产品为页岩砖，</w:t>
                  </w:r>
                  <w:r>
                    <w:rPr>
                      <w:rFonts w:hint="eastAsia" w:eastAsiaTheme="minorEastAsia"/>
                      <w:color w:val="000000" w:themeColor="text1"/>
                      <w:szCs w:val="21"/>
                    </w:rPr>
                    <w:t>不属于粘土砖生产项目。</w:t>
                  </w:r>
                </w:p>
              </w:tc>
              <w:tc>
                <w:tcPr>
                  <w:tcW w:w="382" w:type="pc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continue"/>
                  <w:tcBorders>
                    <w:tl2br w:val="nil"/>
                    <w:tr2bl w:val="nil"/>
                  </w:tcBorders>
                  <w:vAlign w:val="center"/>
                </w:tcPr>
                <w:p>
                  <w:pPr>
                    <w:pStyle w:val="32"/>
                    <w:spacing w:line="360" w:lineRule="exact"/>
                    <w:rPr>
                      <w:rFonts w:eastAsiaTheme="minorEastAsia"/>
                      <w:color w:val="000000" w:themeColor="text1"/>
                      <w:szCs w:val="21"/>
                    </w:rPr>
                  </w:pPr>
                </w:p>
              </w:tc>
              <w:tc>
                <w:tcPr>
                  <w:tcW w:w="2121"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大中城市或经济发达地区新建和改（扩）建烧结砖企业单线生产规模不小于5000万块（折普通砖）/年；其它地区单线生产规模不小于3000万块（折普通砖）/年；烧结瓦企业单线生产规模不小于70万m²/年</w:t>
                  </w:r>
                  <w:r>
                    <w:rPr>
                      <w:rFonts w:hint="eastAsia" w:eastAsiaTheme="minorEastAsia"/>
                      <w:color w:val="000000" w:themeColor="text1"/>
                      <w:szCs w:val="21"/>
                    </w:rPr>
                    <w:t>。</w:t>
                  </w:r>
                </w:p>
              </w:tc>
              <w:tc>
                <w:tcPr>
                  <w:tcW w:w="2142"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项目生产规模为7000万块/年</w:t>
                  </w:r>
                  <w:r>
                    <w:rPr>
                      <w:rFonts w:hint="eastAsia" w:eastAsiaTheme="minorEastAsia"/>
                      <w:color w:val="000000" w:themeColor="text1"/>
                      <w:szCs w:val="21"/>
                    </w:rPr>
                    <w:t>，满足生产规模要求。</w:t>
                  </w:r>
                </w:p>
              </w:tc>
              <w:tc>
                <w:tcPr>
                  <w:tcW w:w="382" w:type="pc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continue"/>
                  <w:tcBorders>
                    <w:tl2br w:val="nil"/>
                    <w:tr2bl w:val="nil"/>
                  </w:tcBorders>
                  <w:vAlign w:val="center"/>
                </w:tcPr>
                <w:p>
                  <w:pPr>
                    <w:pStyle w:val="32"/>
                    <w:spacing w:line="360" w:lineRule="exact"/>
                    <w:rPr>
                      <w:rFonts w:eastAsiaTheme="minorEastAsia"/>
                      <w:color w:val="000000" w:themeColor="text1"/>
                      <w:szCs w:val="21"/>
                    </w:rPr>
                  </w:pPr>
                </w:p>
              </w:tc>
              <w:tc>
                <w:tcPr>
                  <w:tcW w:w="2121"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新建和改（扩）建烧结砖瓦企业的设计和建设，应满足节能设计要求，待（烧结砖瓦工广节能设计规范）标准实施之日起，执行《烧结砖瓦工厂节能设计规范》标准的规定。</w:t>
                  </w:r>
                </w:p>
              </w:tc>
              <w:tc>
                <w:tcPr>
                  <w:tcW w:w="2142" w:type="pct"/>
                  <w:tcBorders>
                    <w:tl2br w:val="nil"/>
                    <w:tr2bl w:val="nil"/>
                  </w:tcBorders>
                  <w:vAlign w:val="center"/>
                </w:tcPr>
                <w:p>
                  <w:pPr>
                    <w:pStyle w:val="32"/>
                    <w:spacing w:line="360" w:lineRule="exact"/>
                    <w:ind w:firstLine="210" w:firstLineChars="100"/>
                    <w:jc w:val="both"/>
                    <w:rPr>
                      <w:bCs w:val="0"/>
                      <w:color w:val="000000" w:themeColor="text1"/>
                    </w:rPr>
                  </w:pPr>
                  <w:r>
                    <w:rPr>
                      <w:rFonts w:hint="eastAsia" w:eastAsiaTheme="minorEastAsia"/>
                      <w:color w:val="000000" w:themeColor="text1"/>
                      <w:szCs w:val="21"/>
                    </w:rPr>
                    <w:t>本项目将严格按照</w:t>
                  </w:r>
                  <w:r>
                    <w:rPr>
                      <w:rFonts w:eastAsiaTheme="minorEastAsia"/>
                      <w:color w:val="000000" w:themeColor="text1"/>
                      <w:szCs w:val="21"/>
                    </w:rPr>
                    <w:t>《烧结砖瓦工厂节能设计规范》</w:t>
                  </w:r>
                  <w:r>
                    <w:rPr>
                      <w:rFonts w:hint="eastAsia" w:eastAsiaTheme="minorEastAsia"/>
                      <w:color w:val="000000" w:themeColor="text1"/>
                      <w:szCs w:val="21"/>
                    </w:rPr>
                    <w:t>（GB50701-2011）的要求进行设计和建设，项目已于2020年10月20日取得昆明市东川区工业和科技信息化局《关于对昆明北杏新型建材有限公司年产</w:t>
                  </w:r>
                  <w:r>
                    <w:rPr>
                      <w:rFonts w:eastAsiaTheme="minorEastAsia"/>
                      <w:color w:val="000000" w:themeColor="text1"/>
                      <w:szCs w:val="21"/>
                    </w:rPr>
                    <w:t>7000</w:t>
                  </w:r>
                  <w:r>
                    <w:rPr>
                      <w:rFonts w:hint="eastAsia" w:eastAsiaTheme="minorEastAsia"/>
                      <w:color w:val="000000" w:themeColor="text1"/>
                      <w:szCs w:val="21"/>
                    </w:rPr>
                    <w:t>万块页岩砖改扩建项目的节能审查意见》（东工科信发〔</w:t>
                  </w:r>
                  <w:r>
                    <w:rPr>
                      <w:rFonts w:eastAsiaTheme="minorEastAsia"/>
                      <w:color w:val="000000" w:themeColor="text1"/>
                      <w:szCs w:val="21"/>
                    </w:rPr>
                    <w:t>2020</w:t>
                  </w:r>
                  <w:r>
                    <w:rPr>
                      <w:rFonts w:hint="eastAsia" w:eastAsiaTheme="minorEastAsia"/>
                      <w:color w:val="000000" w:themeColor="text1"/>
                      <w:szCs w:val="21"/>
                    </w:rPr>
                    <w:t>〕</w:t>
                  </w:r>
                  <w:r>
                    <w:rPr>
                      <w:rFonts w:eastAsiaTheme="minorEastAsia"/>
                      <w:color w:val="000000" w:themeColor="text1"/>
                      <w:szCs w:val="21"/>
                    </w:rPr>
                    <w:t>39</w:t>
                  </w:r>
                  <w:r>
                    <w:rPr>
                      <w:rFonts w:hint="eastAsia" w:eastAsiaTheme="minorEastAsia"/>
                      <w:color w:val="000000" w:themeColor="text1"/>
                      <w:szCs w:val="21"/>
                    </w:rPr>
                    <w:t>号），该意见明确项目采取的节能措施可行。</w:t>
                  </w:r>
                </w:p>
              </w:tc>
              <w:tc>
                <w:tcPr>
                  <w:tcW w:w="382" w:type="pc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continue"/>
                  <w:tcBorders>
                    <w:tl2br w:val="nil"/>
                    <w:tr2bl w:val="nil"/>
                  </w:tcBorders>
                  <w:vAlign w:val="center"/>
                </w:tcPr>
                <w:p>
                  <w:pPr>
                    <w:pStyle w:val="32"/>
                    <w:spacing w:line="360" w:lineRule="exact"/>
                    <w:rPr>
                      <w:rFonts w:eastAsiaTheme="minorEastAsia"/>
                      <w:color w:val="000000" w:themeColor="text1"/>
                      <w:szCs w:val="21"/>
                    </w:rPr>
                  </w:pPr>
                </w:p>
              </w:tc>
              <w:tc>
                <w:tcPr>
                  <w:tcW w:w="2121"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新建和改（扩）建烧结砖瓦企业必须采用人工干燥和隧道窑的生产工艺。</w:t>
                  </w:r>
                </w:p>
              </w:tc>
              <w:tc>
                <w:tcPr>
                  <w:tcW w:w="2142"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根据设计，本</w:t>
                  </w:r>
                  <w:r>
                    <w:rPr>
                      <w:rFonts w:eastAsiaTheme="minorEastAsia"/>
                      <w:color w:val="000000" w:themeColor="text1"/>
                      <w:szCs w:val="21"/>
                    </w:rPr>
                    <w:t>项目采用隧道窑</w:t>
                  </w:r>
                  <w:r>
                    <w:rPr>
                      <w:rFonts w:hint="eastAsia" w:eastAsiaTheme="minorEastAsia"/>
                      <w:color w:val="000000" w:themeColor="text1"/>
                      <w:szCs w:val="21"/>
                    </w:rPr>
                    <w:t>和利用焙烧余温进行人工干燥。</w:t>
                  </w:r>
                </w:p>
              </w:tc>
              <w:tc>
                <w:tcPr>
                  <w:tcW w:w="382" w:type="pc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continue"/>
                  <w:tcBorders>
                    <w:tl2br w:val="nil"/>
                    <w:tr2bl w:val="nil"/>
                  </w:tcBorders>
                  <w:vAlign w:val="center"/>
                </w:tcPr>
                <w:p>
                  <w:pPr>
                    <w:pStyle w:val="32"/>
                    <w:spacing w:line="360" w:lineRule="exact"/>
                    <w:rPr>
                      <w:rFonts w:eastAsiaTheme="minorEastAsia"/>
                      <w:color w:val="000000" w:themeColor="text1"/>
                      <w:szCs w:val="21"/>
                    </w:rPr>
                  </w:pPr>
                </w:p>
              </w:tc>
              <w:tc>
                <w:tcPr>
                  <w:tcW w:w="2121"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新建和改（扩）建隧道窑的宽度必须在3m以上（含3m），正常生产时，窑体维护结构温度无阳光照射时外墙不高于环境温度5℃，窑顶不高于环境温度8℃。以煤矸石等含热能工业废渣为原料且不用商品燃料补充热量、余热充分利用后仍有富余的可不作要求。</w:t>
                  </w:r>
                </w:p>
              </w:tc>
              <w:tc>
                <w:tcPr>
                  <w:tcW w:w="2142"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项目采用的隧道窑宽度为4.2m，正常生产时，窑体维护结构、窑顶温度等符合要求。</w:t>
                  </w:r>
                </w:p>
              </w:tc>
              <w:tc>
                <w:tcPr>
                  <w:tcW w:w="382" w:type="pc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vMerge w:val="continue"/>
                  <w:tcBorders>
                    <w:tl2br w:val="nil"/>
                    <w:tr2bl w:val="nil"/>
                  </w:tcBorders>
                  <w:vAlign w:val="center"/>
                </w:tcPr>
                <w:p>
                  <w:pPr>
                    <w:pStyle w:val="32"/>
                    <w:spacing w:line="360" w:lineRule="exact"/>
                    <w:rPr>
                      <w:rFonts w:eastAsiaTheme="minorEastAsia"/>
                      <w:color w:val="000000" w:themeColor="text1"/>
                      <w:szCs w:val="21"/>
                    </w:rPr>
                  </w:pPr>
                </w:p>
              </w:tc>
              <w:tc>
                <w:tcPr>
                  <w:tcW w:w="2121"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新建和改（扩）建烧结砖瓦企业应采用正常挤出压力2.0MPa以上、真空度≤-0.092MPa的真空挤机</w:t>
                  </w:r>
                  <w:r>
                    <w:rPr>
                      <w:rFonts w:hint="eastAsia" w:eastAsiaTheme="minorEastAsia"/>
                      <w:color w:val="000000" w:themeColor="text1"/>
                      <w:szCs w:val="21"/>
                    </w:rPr>
                    <w:t>。</w:t>
                  </w:r>
                </w:p>
              </w:tc>
              <w:tc>
                <w:tcPr>
                  <w:tcW w:w="2142"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项目设置的1台规格为</w:t>
                  </w:r>
                  <w:r>
                    <w:rPr>
                      <w:rFonts w:eastAsiaTheme="minorEastAsia"/>
                      <w:color w:val="000000" w:themeColor="text1"/>
                      <w:szCs w:val="21"/>
                    </w:rPr>
                    <w:t>JBK50/45-3.0</w:t>
                  </w:r>
                  <w:r>
                    <w:rPr>
                      <w:rFonts w:hint="eastAsia" w:eastAsiaTheme="minorEastAsia"/>
                      <w:color w:val="000000" w:themeColor="text1"/>
                      <w:szCs w:val="21"/>
                    </w:rPr>
                    <w:t>的</w:t>
                  </w:r>
                  <w:r>
                    <w:rPr>
                      <w:rFonts w:eastAsiaTheme="minorEastAsia"/>
                      <w:color w:val="000000" w:themeColor="text1"/>
                      <w:szCs w:val="21"/>
                    </w:rPr>
                    <w:t>真空挤砖机</w:t>
                  </w:r>
                  <w:r>
                    <w:rPr>
                      <w:rFonts w:hint="eastAsia" w:eastAsiaTheme="minorEastAsia"/>
                      <w:color w:val="000000" w:themeColor="text1"/>
                      <w:szCs w:val="21"/>
                    </w:rPr>
                    <w:t>，其</w:t>
                  </w:r>
                  <w:r>
                    <w:rPr>
                      <w:rFonts w:eastAsiaTheme="minorEastAsia"/>
                      <w:color w:val="000000" w:themeColor="text1"/>
                      <w:szCs w:val="21"/>
                    </w:rPr>
                    <w:t>挤出压力</w:t>
                  </w:r>
                  <w:r>
                    <w:rPr>
                      <w:rFonts w:hint="eastAsia" w:eastAsiaTheme="minorEastAsia"/>
                      <w:color w:val="000000" w:themeColor="text1"/>
                      <w:szCs w:val="21"/>
                    </w:rPr>
                    <w:t>＞</w:t>
                  </w:r>
                  <w:r>
                    <w:rPr>
                      <w:rFonts w:eastAsiaTheme="minorEastAsia"/>
                      <w:color w:val="000000" w:themeColor="text1"/>
                      <w:szCs w:val="21"/>
                    </w:rPr>
                    <w:t>2.0MPa、真空度≤-0.092MPa</w:t>
                  </w:r>
                  <w:r>
                    <w:rPr>
                      <w:rFonts w:hint="eastAsia" w:eastAsiaTheme="minorEastAsia"/>
                      <w:color w:val="000000" w:themeColor="text1"/>
                      <w:szCs w:val="21"/>
                    </w:rPr>
                    <w:t>。</w:t>
                  </w:r>
                </w:p>
              </w:tc>
              <w:tc>
                <w:tcPr>
                  <w:tcW w:w="382" w:type="pc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355" w:type="pct"/>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品种、质量</w:t>
                  </w:r>
                </w:p>
              </w:tc>
              <w:tc>
                <w:tcPr>
                  <w:tcW w:w="2121"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1、烧结普通砖应符合GB5101（烧结普通砖）标准的规定。</w:t>
                  </w:r>
                </w:p>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2、烧结多孔砖应符合GB13544（烧结多孔砖）标准的规定。</w:t>
                  </w:r>
                </w:p>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3、烧结空心砖和空心砌块应符合GB13545（烧结空心砖和空心砌块）标准的规定。</w:t>
                  </w:r>
                </w:p>
              </w:tc>
              <w:tc>
                <w:tcPr>
                  <w:tcW w:w="2142" w:type="pct"/>
                  <w:tcBorders>
                    <w:tl2br w:val="nil"/>
                    <w:tr2bl w:val="nil"/>
                  </w:tcBorders>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项目主要产品为满足</w:t>
                  </w:r>
                  <w:r>
                    <w:rPr>
                      <w:rFonts w:eastAsiaTheme="minorEastAsia"/>
                      <w:color w:val="000000" w:themeColor="text1"/>
                      <w:szCs w:val="21"/>
                    </w:rPr>
                    <w:t>《烧结普通砖》</w:t>
                  </w:r>
                  <w:r>
                    <w:rPr>
                      <w:rFonts w:hint="eastAsia" w:eastAsiaTheme="minorEastAsia"/>
                      <w:color w:val="000000" w:themeColor="text1"/>
                      <w:szCs w:val="21"/>
                    </w:rPr>
                    <w:t>（</w:t>
                  </w:r>
                  <w:r>
                    <w:rPr>
                      <w:rFonts w:eastAsiaTheme="minorEastAsia"/>
                      <w:color w:val="000000" w:themeColor="text1"/>
                      <w:szCs w:val="21"/>
                    </w:rPr>
                    <w:t>GB/T5101-2017</w:t>
                  </w:r>
                  <w:r>
                    <w:rPr>
                      <w:rFonts w:hint="eastAsia" w:eastAsiaTheme="minorEastAsia"/>
                      <w:color w:val="000000" w:themeColor="text1"/>
                      <w:szCs w:val="21"/>
                    </w:rPr>
                    <w:t>）</w:t>
                  </w:r>
                  <w:r>
                    <w:rPr>
                      <w:rFonts w:eastAsiaTheme="minorEastAsia"/>
                      <w:color w:val="000000" w:themeColor="text1"/>
                      <w:szCs w:val="21"/>
                    </w:rPr>
                    <w:t>标准</w:t>
                  </w:r>
                  <w:r>
                    <w:rPr>
                      <w:rFonts w:hint="eastAsia" w:eastAsiaTheme="minorEastAsia"/>
                      <w:color w:val="000000" w:themeColor="text1"/>
                      <w:szCs w:val="21"/>
                    </w:rPr>
                    <w:t>的</w:t>
                  </w:r>
                  <w:r>
                    <w:rPr>
                      <w:rFonts w:eastAsiaTheme="minorEastAsia"/>
                      <w:color w:val="000000" w:themeColor="text1"/>
                      <w:szCs w:val="21"/>
                    </w:rPr>
                    <w:t>高强度</w:t>
                  </w:r>
                  <w:r>
                    <w:rPr>
                      <w:rFonts w:hint="eastAsia" w:eastAsiaTheme="minorEastAsia"/>
                      <w:color w:val="000000" w:themeColor="text1"/>
                      <w:szCs w:val="21"/>
                    </w:rPr>
                    <w:t>页岩砖。</w:t>
                  </w:r>
                </w:p>
              </w:tc>
              <w:tc>
                <w:tcPr>
                  <w:tcW w:w="382" w:type="pct"/>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符合</w:t>
                  </w:r>
                </w:p>
              </w:tc>
            </w:tr>
          </w:tbl>
          <w:p>
            <w:pPr>
              <w:spacing w:beforeLines="50"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由上表可知，项目符合《全国墙体材料烧结砖瓦行业准入条件》的相关要求。</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②与《建材行业淘汰落后产能指导目录（2019版）》符合性分析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本项目与《建材行业淘汰落后产能指导目录（2019版）》相符性详见下表。</w:t>
            </w:r>
          </w:p>
          <w:p>
            <w:pPr>
              <w:spacing w:line="360" w:lineRule="auto"/>
              <w:ind w:firstLine="480" w:firstLineChars="200"/>
              <w:rPr>
                <w:rFonts w:ascii="Times New Roman" w:hAnsi="Times New Roman" w:eastAsia="宋体" w:cs="Times New Roman"/>
                <w:color w:val="000000" w:themeColor="text1"/>
                <w:sz w:val="24"/>
                <w:szCs w:val="24"/>
              </w:rPr>
            </w:pPr>
          </w:p>
          <w:p>
            <w:pPr>
              <w:jc w:val="center"/>
              <w:rPr>
                <w:rFonts w:ascii="Times New Roman" w:cs="Times New Roman" w:hAnsiTheme="minorEastAsia"/>
                <w:b/>
                <w:color w:val="000000" w:themeColor="text1"/>
              </w:rPr>
            </w:pPr>
            <w:r>
              <w:rPr>
                <w:rFonts w:ascii="Times New Roman" w:cs="Times New Roman" w:hAnsiTheme="minorEastAsia"/>
                <w:b/>
                <w:color w:val="000000" w:themeColor="text1"/>
              </w:rPr>
              <w:t>表</w:t>
            </w:r>
            <w:r>
              <w:rPr>
                <w:rFonts w:hint="eastAsia" w:ascii="Times New Roman" w:cs="Times New Roman" w:hAnsiTheme="minorEastAsia"/>
                <w:b/>
                <w:color w:val="000000" w:themeColor="text1"/>
              </w:rPr>
              <w:t>1-5</w:t>
            </w:r>
            <w:r>
              <w:rPr>
                <w:rFonts w:ascii="Times New Roman" w:cs="Times New Roman" w:hAnsiTheme="minorEastAsia"/>
                <w:b/>
                <w:color w:val="000000" w:themeColor="text1"/>
              </w:rPr>
              <w:t xml:space="preserve"> </w:t>
            </w:r>
            <w:r>
              <w:rPr>
                <w:rFonts w:hint="eastAsia" w:ascii="Times New Roman" w:cs="Times New Roman" w:hAnsiTheme="minorEastAsia"/>
                <w:b/>
                <w:color w:val="000000" w:themeColor="text1"/>
              </w:rPr>
              <w:t>项目与《建材行业淘汰落后产能指导目录（2019版）》</w:t>
            </w:r>
            <w:r>
              <w:rPr>
                <w:rFonts w:ascii="Times New Roman" w:cs="Times New Roman" w:hAnsiTheme="minorEastAsia"/>
                <w:b/>
                <w:color w:val="000000" w:themeColor="text1"/>
              </w:rPr>
              <w:t>相符性分析</w:t>
            </w:r>
            <w:r>
              <w:rPr>
                <w:rFonts w:hint="eastAsia" w:ascii="Times New Roman" w:cs="Times New Roman" w:hAnsiTheme="minorEastAsia"/>
                <w:b/>
                <w:color w:val="000000" w:themeColor="text1"/>
              </w:rPr>
              <w:t>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963"/>
              <w:gridCol w:w="337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序号</w:t>
                  </w:r>
                </w:p>
              </w:tc>
              <w:tc>
                <w:tcPr>
                  <w:tcW w:w="3831"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需淘汰落后产能的条件要求</w:t>
                  </w:r>
                </w:p>
              </w:tc>
              <w:tc>
                <w:tcPr>
                  <w:tcW w:w="3260"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项目实际情况</w:t>
                  </w:r>
                </w:p>
              </w:tc>
              <w:tc>
                <w:tcPr>
                  <w:tcW w:w="641"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w:t>
                  </w:r>
                </w:p>
              </w:tc>
              <w:tc>
                <w:tcPr>
                  <w:tcW w:w="383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砖瓦轮窑（2020年12月31日）以及立窑、无顶轮窑、马蹄窑等土窑。</w:t>
                  </w:r>
                </w:p>
              </w:tc>
              <w:tc>
                <w:tcPr>
                  <w:tcW w:w="3260"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项目采用隧道窑。</w:t>
                  </w:r>
                </w:p>
              </w:tc>
              <w:tc>
                <w:tcPr>
                  <w:tcW w:w="641"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89"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w:t>
                  </w:r>
                </w:p>
              </w:tc>
              <w:tc>
                <w:tcPr>
                  <w:tcW w:w="383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普通挤砖机。</w:t>
                  </w:r>
                </w:p>
              </w:tc>
              <w:tc>
                <w:tcPr>
                  <w:tcW w:w="3260"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项目采用真空</w:t>
                  </w:r>
                  <w:r>
                    <w:rPr>
                      <w:rFonts w:ascii="Times New Roman" w:hAnsi="Times New Roman" w:cs="Times New Roman"/>
                      <w:bCs/>
                      <w:snapToGrid w:val="0"/>
                      <w:color w:val="000000" w:themeColor="text1"/>
                      <w:kern w:val="32"/>
                      <w:lang w:val="zh-CN"/>
                    </w:rPr>
                    <w:t>挤砖机</w:t>
                  </w:r>
                  <w:r>
                    <w:rPr>
                      <w:rFonts w:hint="eastAsia" w:ascii="Times New Roman" w:hAnsi="Times New Roman" w:cs="Times New Roman"/>
                      <w:bCs/>
                      <w:snapToGrid w:val="0"/>
                      <w:color w:val="000000" w:themeColor="text1"/>
                      <w:kern w:val="32"/>
                      <w:lang w:val="zh-CN"/>
                    </w:rPr>
                    <w:t>。</w:t>
                  </w:r>
                </w:p>
              </w:tc>
              <w:tc>
                <w:tcPr>
                  <w:tcW w:w="641"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w:t>
                  </w:r>
                </w:p>
              </w:tc>
              <w:tc>
                <w:tcPr>
                  <w:tcW w:w="383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100吨以下盘转式压砖机。</w:t>
                  </w:r>
                </w:p>
              </w:tc>
              <w:tc>
                <w:tcPr>
                  <w:tcW w:w="3260"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color w:val="000000" w:themeColor="text1"/>
                    </w:rPr>
                    <w:t>项目设置1台规格为</w:t>
                  </w:r>
                  <w:r>
                    <w:rPr>
                      <w:color w:val="000000" w:themeColor="text1"/>
                    </w:rPr>
                    <w:t>JBK50/45-3.0</w:t>
                  </w:r>
                  <w:r>
                    <w:rPr>
                      <w:rFonts w:hint="eastAsia"/>
                      <w:color w:val="000000" w:themeColor="text1"/>
                    </w:rPr>
                    <w:t>的</w:t>
                  </w:r>
                  <w:r>
                    <w:rPr>
                      <w:color w:val="000000" w:themeColor="text1"/>
                    </w:rPr>
                    <w:t>真空挤砖机</w:t>
                  </w:r>
                  <w:r>
                    <w:rPr>
                      <w:rFonts w:hint="eastAsia"/>
                      <w:color w:val="000000" w:themeColor="text1"/>
                    </w:rPr>
                    <w:t>，不属于</w:t>
                  </w:r>
                  <w:r>
                    <w:rPr>
                      <w:color w:val="000000" w:themeColor="text1"/>
                    </w:rPr>
                    <w:t>100吨以下盘转式压砖机</w:t>
                  </w:r>
                  <w:r>
                    <w:rPr>
                      <w:rFonts w:hint="eastAsia"/>
                      <w:color w:val="000000" w:themeColor="text1"/>
                    </w:rPr>
                    <w:t>。</w:t>
                  </w:r>
                </w:p>
              </w:tc>
              <w:tc>
                <w:tcPr>
                  <w:tcW w:w="641"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w:t>
                  </w:r>
                </w:p>
              </w:tc>
              <w:tc>
                <w:tcPr>
                  <w:tcW w:w="383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SJ1580-3000双轴、单轴制砖搅拌机。</w:t>
                  </w:r>
                </w:p>
              </w:tc>
              <w:tc>
                <w:tcPr>
                  <w:tcW w:w="3260"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项目使用</w:t>
                  </w:r>
                  <w:r>
                    <w:rPr>
                      <w:rFonts w:ascii="Times New Roman" w:hAnsi="Times New Roman" w:cs="Times New Roman"/>
                      <w:bCs/>
                      <w:snapToGrid w:val="0"/>
                      <w:color w:val="000000" w:themeColor="text1"/>
                      <w:kern w:val="32"/>
                      <w:lang w:val="zh-CN"/>
                    </w:rPr>
                    <w:t>500×4000搅拌机</w:t>
                  </w:r>
                  <w:r>
                    <w:rPr>
                      <w:rFonts w:hint="eastAsia" w:ascii="Times New Roman" w:hAnsi="Times New Roman" w:cs="Times New Roman"/>
                      <w:bCs/>
                      <w:snapToGrid w:val="0"/>
                      <w:color w:val="000000" w:themeColor="text1"/>
                      <w:kern w:val="32"/>
                      <w:lang w:val="zh-CN"/>
                    </w:rPr>
                    <w:t>。</w:t>
                  </w:r>
                </w:p>
              </w:tc>
              <w:tc>
                <w:tcPr>
                  <w:tcW w:w="641"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5</w:t>
                  </w:r>
                </w:p>
              </w:tc>
              <w:tc>
                <w:tcPr>
                  <w:tcW w:w="383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SQP400500-700500双辊破碎机。</w:t>
                  </w:r>
                </w:p>
              </w:tc>
              <w:tc>
                <w:tcPr>
                  <w:tcW w:w="3260"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项目使用颚式破碎机、</w:t>
                  </w:r>
                  <w:r>
                    <w:rPr>
                      <w:rFonts w:ascii="Times New Roman" w:hAnsi="Times New Roman" w:cs="Times New Roman"/>
                      <w:bCs/>
                      <w:snapToGrid w:val="0"/>
                      <w:color w:val="000000" w:themeColor="text1"/>
                      <w:kern w:val="32"/>
                      <w:lang w:val="zh-CN"/>
                    </w:rPr>
                    <w:t>1300×2400</w:t>
                  </w:r>
                  <w:r>
                    <w:rPr>
                      <w:rFonts w:hint="eastAsia" w:ascii="Times New Roman" w:hAnsi="Times New Roman" w:cs="Times New Roman"/>
                      <w:bCs/>
                      <w:snapToGrid w:val="0"/>
                      <w:color w:val="000000" w:themeColor="text1"/>
                      <w:kern w:val="32"/>
                      <w:lang w:val="zh-CN"/>
                    </w:rPr>
                    <w:t>粉碎机。</w:t>
                  </w:r>
                </w:p>
              </w:tc>
              <w:tc>
                <w:tcPr>
                  <w:tcW w:w="641"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6</w:t>
                  </w:r>
                </w:p>
              </w:tc>
              <w:tc>
                <w:tcPr>
                  <w:tcW w:w="383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1000型普通切条机。</w:t>
                  </w:r>
                </w:p>
              </w:tc>
              <w:tc>
                <w:tcPr>
                  <w:tcW w:w="3260"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项目使用</w:t>
                  </w:r>
                  <w:r>
                    <w:rPr>
                      <w:rFonts w:ascii="Times New Roman" w:hAnsi="Times New Roman" w:cs="Times New Roman"/>
                      <w:bCs/>
                      <w:snapToGrid w:val="0"/>
                      <w:color w:val="000000" w:themeColor="text1"/>
                      <w:kern w:val="32"/>
                      <w:lang w:val="zh-CN"/>
                    </w:rPr>
                    <w:t>LZ系列自动切条机</w:t>
                  </w:r>
                </w:p>
              </w:tc>
              <w:tc>
                <w:tcPr>
                  <w:tcW w:w="641"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w:t>
                  </w:r>
                </w:p>
              </w:tc>
              <w:tc>
                <w:tcPr>
                  <w:tcW w:w="383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非烧结、非蒸压粉煤灰砖生产线。</w:t>
                  </w:r>
                </w:p>
              </w:tc>
              <w:tc>
                <w:tcPr>
                  <w:tcW w:w="3260"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项目不涉及</w:t>
                  </w:r>
                  <w:r>
                    <w:rPr>
                      <w:rFonts w:ascii="Times New Roman" w:hAnsi="Times New Roman" w:cs="Times New Roman"/>
                      <w:bCs/>
                      <w:snapToGrid w:val="0"/>
                      <w:color w:val="000000" w:themeColor="text1"/>
                      <w:kern w:val="32"/>
                      <w:lang w:val="zh-CN"/>
                    </w:rPr>
                    <w:t>非烧结、非蒸压粉煤灰砖生产线</w:t>
                  </w:r>
                  <w:r>
                    <w:rPr>
                      <w:rFonts w:hint="eastAsia" w:ascii="Times New Roman" w:hAnsi="Times New Roman" w:cs="Times New Roman"/>
                      <w:bCs/>
                      <w:snapToGrid w:val="0"/>
                      <w:color w:val="000000" w:themeColor="text1"/>
                      <w:kern w:val="32"/>
                      <w:lang w:val="zh-CN"/>
                    </w:rPr>
                    <w:t>。</w:t>
                  </w:r>
                </w:p>
              </w:tc>
              <w:tc>
                <w:tcPr>
                  <w:tcW w:w="641"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8</w:t>
                  </w:r>
                </w:p>
              </w:tc>
              <w:tc>
                <w:tcPr>
                  <w:tcW w:w="383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单班10万平方米/年以下的混凝土铺地砖固定式成型机。</w:t>
                  </w:r>
                </w:p>
              </w:tc>
              <w:tc>
                <w:tcPr>
                  <w:tcW w:w="3260"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项目不使用</w:t>
                  </w:r>
                  <w:r>
                    <w:rPr>
                      <w:rFonts w:ascii="Times New Roman" w:hAnsi="Times New Roman" w:cs="Times New Roman"/>
                      <w:bCs/>
                      <w:snapToGrid w:val="0"/>
                      <w:color w:val="000000" w:themeColor="text1"/>
                      <w:kern w:val="32"/>
                      <w:lang w:val="zh-CN"/>
                    </w:rPr>
                    <w:t>单班10万平方米/年以下的混凝土铺地砖固定式成型机</w:t>
                  </w:r>
                  <w:r>
                    <w:rPr>
                      <w:rFonts w:hint="eastAsia" w:ascii="Times New Roman" w:hAnsi="Times New Roman" w:cs="Times New Roman"/>
                      <w:bCs/>
                      <w:snapToGrid w:val="0"/>
                      <w:color w:val="000000" w:themeColor="text1"/>
                      <w:kern w:val="32"/>
                      <w:lang w:val="zh-CN"/>
                    </w:rPr>
                    <w:t>。</w:t>
                  </w:r>
                </w:p>
              </w:tc>
              <w:tc>
                <w:tcPr>
                  <w:tcW w:w="641"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9"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9</w:t>
                  </w:r>
                </w:p>
              </w:tc>
              <w:tc>
                <w:tcPr>
                  <w:tcW w:w="383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破坏农田、耕地和破坏环境取土烧制的实心粘土砖生产线。</w:t>
                  </w:r>
                </w:p>
              </w:tc>
              <w:tc>
                <w:tcPr>
                  <w:tcW w:w="3260"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项目使用原料为昆明红富化肥有限公司磷矿开采产生的弃土（页岩）</w:t>
                  </w:r>
                  <w:r>
                    <w:rPr>
                      <w:rFonts w:hint="eastAsia" w:ascii="Times New Roman" w:hAnsi="Times New Roman" w:cs="Times New Roman"/>
                      <w:bCs/>
                      <w:snapToGrid w:val="0"/>
                      <w:color w:val="000000" w:themeColor="text1"/>
                      <w:kern w:val="32"/>
                      <w:lang w:val="zh-CN"/>
                    </w:rPr>
                    <w:t>作为原料，不涉及</w:t>
                  </w:r>
                  <w:r>
                    <w:rPr>
                      <w:rFonts w:ascii="Times New Roman" w:hAnsi="Times New Roman" w:cs="Times New Roman"/>
                      <w:bCs/>
                      <w:snapToGrid w:val="0"/>
                      <w:color w:val="000000" w:themeColor="text1"/>
                      <w:kern w:val="32"/>
                      <w:lang w:val="zh-CN"/>
                    </w:rPr>
                    <w:t>破坏农田、耕地和破坏环境取土烧制的实心粘土砖生产线</w:t>
                  </w:r>
                  <w:r>
                    <w:rPr>
                      <w:rFonts w:hint="eastAsia" w:ascii="Times New Roman" w:hAnsi="Times New Roman" w:cs="Times New Roman"/>
                      <w:bCs/>
                      <w:snapToGrid w:val="0"/>
                      <w:color w:val="000000" w:themeColor="text1"/>
                      <w:kern w:val="32"/>
                      <w:lang w:val="zh-CN"/>
                    </w:rPr>
                    <w:t>。</w:t>
                  </w:r>
                </w:p>
              </w:tc>
              <w:tc>
                <w:tcPr>
                  <w:tcW w:w="641"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10</w:t>
                  </w:r>
                </w:p>
              </w:tc>
              <w:tc>
                <w:tcPr>
                  <w:tcW w:w="383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单位产品综合能耗超过53kgce/t的烧结多孔砖和多孔砌块生产线，综合能耗超过55kgce/t的烧结空心砖和空心砌块生产线，综合能耗超过57kgce/t的烧结保温砖和保温砌块生产线，综合能耗超过51kgce/t的烧结实心制品。</w:t>
                  </w:r>
                </w:p>
              </w:tc>
              <w:tc>
                <w:tcPr>
                  <w:tcW w:w="3260"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根据昆明市东川区工业和科技信息化局《关于对昆明北杏新型建材有限公司年产</w:t>
                  </w:r>
                  <w:r>
                    <w:rPr>
                      <w:rFonts w:ascii="Times New Roman" w:hAnsi="Times New Roman" w:cs="Times New Roman"/>
                      <w:bCs/>
                      <w:snapToGrid w:val="0"/>
                      <w:color w:val="000000" w:themeColor="text1"/>
                      <w:kern w:val="32"/>
                      <w:lang w:val="zh-CN"/>
                    </w:rPr>
                    <w:t>7000</w:t>
                  </w:r>
                  <w:r>
                    <w:rPr>
                      <w:rFonts w:hint="eastAsia" w:ascii="Times New Roman" w:hAnsi="Times New Roman" w:cs="Times New Roman"/>
                      <w:bCs/>
                      <w:snapToGrid w:val="0"/>
                      <w:color w:val="000000" w:themeColor="text1"/>
                      <w:kern w:val="32"/>
                      <w:lang w:val="zh-CN"/>
                    </w:rPr>
                    <w:t>万块页岩砖改扩建项目的节能审查意见》（东工科信发〔</w:t>
                  </w:r>
                  <w:r>
                    <w:rPr>
                      <w:rFonts w:ascii="Times New Roman" w:hAnsi="Times New Roman" w:cs="Times New Roman"/>
                      <w:bCs/>
                      <w:snapToGrid w:val="0"/>
                      <w:color w:val="000000" w:themeColor="text1"/>
                      <w:kern w:val="32"/>
                      <w:lang w:val="zh-CN"/>
                    </w:rPr>
                    <w:t>2020</w:t>
                  </w:r>
                  <w:r>
                    <w:rPr>
                      <w:rFonts w:hint="eastAsia" w:ascii="Times New Roman" w:hAnsi="Times New Roman" w:cs="Times New Roman"/>
                      <w:bCs/>
                      <w:snapToGrid w:val="0"/>
                      <w:color w:val="000000" w:themeColor="text1"/>
                      <w:kern w:val="32"/>
                      <w:lang w:val="zh-CN"/>
                    </w:rPr>
                    <w:t>〕</w:t>
                  </w:r>
                  <w:r>
                    <w:rPr>
                      <w:rFonts w:ascii="Times New Roman" w:hAnsi="Times New Roman" w:cs="Times New Roman"/>
                      <w:bCs/>
                      <w:snapToGrid w:val="0"/>
                      <w:color w:val="000000" w:themeColor="text1"/>
                      <w:kern w:val="32"/>
                      <w:lang w:val="zh-CN"/>
                    </w:rPr>
                    <w:t>39</w:t>
                  </w:r>
                  <w:r>
                    <w:rPr>
                      <w:rFonts w:hint="eastAsia" w:ascii="Times New Roman" w:hAnsi="Times New Roman" w:cs="Times New Roman"/>
                      <w:bCs/>
                      <w:snapToGrid w:val="0"/>
                      <w:color w:val="000000" w:themeColor="text1"/>
                      <w:kern w:val="32"/>
                      <w:lang w:val="zh-CN"/>
                    </w:rPr>
                    <w:t>号），项目单位产品综合能耗为：</w:t>
                  </w:r>
                  <w:r>
                    <w:rPr>
                      <w:rFonts w:ascii="Times New Roman" w:hAnsi="Times New Roman" w:cs="Times New Roman"/>
                      <w:bCs/>
                      <w:snapToGrid w:val="0"/>
                      <w:color w:val="000000" w:themeColor="text1"/>
                      <w:kern w:val="32"/>
                      <w:lang w:val="zh-CN"/>
                    </w:rPr>
                    <w:t>44.95kgce/t</w:t>
                  </w:r>
                  <w:r>
                    <w:rPr>
                      <w:rFonts w:hint="eastAsia" w:ascii="Times New Roman" w:hAnsi="Times New Roman" w:cs="Times New Roman"/>
                      <w:bCs/>
                      <w:snapToGrid w:val="0"/>
                      <w:color w:val="000000" w:themeColor="text1"/>
                      <w:kern w:val="32"/>
                      <w:lang w:val="zh-CN"/>
                    </w:rPr>
                    <w:t>，达到国家标准《烧结墙体材料和泡沫玻璃单位产品能源消耗限额》</w:t>
                  </w:r>
                  <w:r>
                    <w:rPr>
                      <w:rFonts w:ascii="Times New Roman" w:hAnsi="Times New Roman" w:cs="Times New Roman"/>
                      <w:bCs/>
                      <w:snapToGrid w:val="0"/>
                      <w:color w:val="000000" w:themeColor="text1"/>
                      <w:kern w:val="32"/>
                      <w:lang w:val="zh-CN"/>
                    </w:rPr>
                    <w:t>（GB30526-2019）2</w:t>
                  </w:r>
                  <w:r>
                    <w:rPr>
                      <w:rFonts w:hint="eastAsia" w:ascii="Times New Roman" w:hAnsi="Times New Roman" w:cs="Times New Roman"/>
                      <w:bCs/>
                      <w:snapToGrid w:val="0"/>
                      <w:color w:val="000000" w:themeColor="text1"/>
                      <w:kern w:val="32"/>
                      <w:lang w:val="zh-CN"/>
                    </w:rPr>
                    <w:t>级（准入值）要求；</w:t>
                  </w:r>
                  <w:r>
                    <w:rPr>
                      <w:rFonts w:ascii="Times New Roman" w:hAnsi="Times New Roman" w:cs="Times New Roman"/>
                      <w:bCs/>
                      <w:snapToGrid w:val="0"/>
                      <w:color w:val="000000" w:themeColor="text1"/>
                      <w:kern w:val="32"/>
                      <w:lang w:val="zh-CN"/>
                    </w:rPr>
                    <w:t>综合能耗没有超过51kgce/t。</w:t>
                  </w:r>
                </w:p>
              </w:tc>
              <w:tc>
                <w:tcPr>
                  <w:tcW w:w="641"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11</w:t>
                  </w:r>
                </w:p>
              </w:tc>
              <w:tc>
                <w:tcPr>
                  <w:tcW w:w="383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原料燃料破碎及制备成型颗粒物排放浓度超过30mg/m³，人工干燥机焙烧颗粒物、二氧化硫、氮氧化物排放浓度分别超过30mg/m³、300mg/m³、200mg/m³的砖瓦生产线。</w:t>
                  </w:r>
                </w:p>
              </w:tc>
              <w:tc>
                <w:tcPr>
                  <w:tcW w:w="3260"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项目各工序污染物排放均可达到《砖瓦工业大气污染物排放标准》（GB29620-2013）及其修改单的限值要求。</w:t>
                  </w:r>
                </w:p>
              </w:tc>
              <w:tc>
                <w:tcPr>
                  <w:tcW w:w="641"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bl>
          <w:p>
            <w:pPr>
              <w:spacing w:beforeLines="50"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由上表可知，项目符合《建材行业淘汰落后产能指导目录（2019版）》的相关要求。</w:t>
            </w:r>
          </w:p>
          <w:p>
            <w:pPr>
              <w:spacing w:line="360" w:lineRule="auto"/>
              <w:ind w:firstLine="482" w:firstLineChars="200"/>
              <w:rPr>
                <w:rFonts w:ascii="Times New Roman" w:hAnsi="Times New Roman" w:eastAsia="宋体" w:cs="Times New Roman"/>
                <w:b/>
                <w:bCs/>
                <w:color w:val="000000" w:themeColor="text1"/>
                <w:sz w:val="24"/>
                <w:szCs w:val="24"/>
              </w:rPr>
            </w:pPr>
            <w:r>
              <w:rPr>
                <w:rFonts w:hint="eastAsia" w:ascii="Times New Roman" w:hAnsi="Times New Roman" w:eastAsia="宋体" w:cs="Times New Roman"/>
                <w:b/>
                <w:bCs/>
                <w:color w:val="000000" w:themeColor="text1"/>
                <w:sz w:val="24"/>
                <w:szCs w:val="24"/>
              </w:rPr>
              <w:t>③与《工业和信息化部</w:t>
            </w:r>
            <w:r>
              <w:rPr>
                <w:rFonts w:ascii="Times New Roman" w:hAnsi="Times New Roman" w:eastAsia="宋体" w:cs="Times New Roman"/>
                <w:b/>
                <w:bCs/>
                <w:color w:val="000000" w:themeColor="text1"/>
                <w:sz w:val="24"/>
                <w:szCs w:val="24"/>
              </w:rPr>
              <w:t> </w:t>
            </w:r>
            <w:r>
              <w:rPr>
                <w:rFonts w:hint="eastAsia" w:ascii="Times New Roman" w:hAnsi="Times New Roman" w:eastAsia="宋体" w:cs="Times New Roman"/>
                <w:b/>
                <w:bCs/>
                <w:color w:val="000000" w:themeColor="text1"/>
                <w:sz w:val="24"/>
                <w:szCs w:val="24"/>
              </w:rPr>
              <w:t>环境保护部</w:t>
            </w:r>
            <w:r>
              <w:rPr>
                <w:rFonts w:ascii="Times New Roman" w:hAnsi="Times New Roman" w:eastAsia="宋体" w:cs="Times New Roman"/>
                <w:b/>
                <w:bCs/>
                <w:color w:val="000000" w:themeColor="text1"/>
                <w:sz w:val="24"/>
                <w:szCs w:val="24"/>
              </w:rPr>
              <w:t> </w:t>
            </w:r>
            <w:r>
              <w:rPr>
                <w:rFonts w:hint="eastAsia" w:ascii="Times New Roman" w:hAnsi="Times New Roman" w:eastAsia="宋体" w:cs="Times New Roman"/>
                <w:b/>
                <w:bCs/>
                <w:color w:val="000000" w:themeColor="text1"/>
                <w:sz w:val="24"/>
                <w:szCs w:val="24"/>
              </w:rPr>
              <w:t>国家安全监管总局关于加快烧结砖瓦行业转型发展的若干意见》（工信部联原【</w:t>
            </w:r>
            <w:r>
              <w:rPr>
                <w:rFonts w:ascii="Times New Roman" w:hAnsi="Times New Roman" w:eastAsia="宋体" w:cs="Times New Roman"/>
                <w:b/>
                <w:bCs/>
                <w:color w:val="000000" w:themeColor="text1"/>
                <w:sz w:val="24"/>
                <w:szCs w:val="24"/>
              </w:rPr>
              <w:t>2017</w:t>
            </w:r>
            <w:r>
              <w:rPr>
                <w:rFonts w:hint="eastAsia" w:ascii="Times New Roman" w:hAnsi="Times New Roman" w:eastAsia="宋体" w:cs="Times New Roman"/>
                <w:b/>
                <w:bCs/>
                <w:color w:val="000000" w:themeColor="text1"/>
                <w:sz w:val="24"/>
                <w:szCs w:val="24"/>
              </w:rPr>
              <w:t>】</w:t>
            </w:r>
            <w:r>
              <w:rPr>
                <w:rFonts w:ascii="Times New Roman" w:hAnsi="Times New Roman" w:eastAsia="宋体" w:cs="Times New Roman"/>
                <w:b/>
                <w:bCs/>
                <w:color w:val="000000" w:themeColor="text1"/>
                <w:sz w:val="24"/>
                <w:szCs w:val="24"/>
              </w:rPr>
              <w:t>279</w:t>
            </w:r>
            <w:r>
              <w:rPr>
                <w:rFonts w:hint="eastAsia" w:ascii="Times New Roman" w:hAnsi="Times New Roman" w:eastAsia="宋体" w:cs="Times New Roman"/>
                <w:b/>
                <w:bCs/>
                <w:color w:val="000000" w:themeColor="text1"/>
                <w:sz w:val="24"/>
                <w:szCs w:val="24"/>
              </w:rPr>
              <w:t>号）符合性分析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本项目与《工业和信息化部</w:t>
            </w:r>
            <w:r>
              <w:rPr>
                <w:rFonts w:ascii="Times New Roman" w:hAnsi="Times New Roman" w:eastAsia="宋体" w:cs="Times New Roman"/>
                <w:color w:val="000000" w:themeColor="text1"/>
                <w:sz w:val="24"/>
                <w:szCs w:val="24"/>
              </w:rPr>
              <w:t> </w:t>
            </w:r>
            <w:r>
              <w:rPr>
                <w:rFonts w:hint="eastAsia" w:ascii="Times New Roman" w:hAnsi="Times New Roman" w:eastAsia="宋体" w:cs="Times New Roman"/>
                <w:color w:val="000000" w:themeColor="text1"/>
                <w:sz w:val="24"/>
                <w:szCs w:val="24"/>
              </w:rPr>
              <w:t>环境保护部</w:t>
            </w:r>
            <w:r>
              <w:rPr>
                <w:rFonts w:ascii="Times New Roman" w:hAnsi="Times New Roman" w:eastAsia="宋体" w:cs="Times New Roman"/>
                <w:color w:val="000000" w:themeColor="text1"/>
                <w:sz w:val="24"/>
                <w:szCs w:val="24"/>
              </w:rPr>
              <w:t> </w:t>
            </w:r>
            <w:r>
              <w:rPr>
                <w:rFonts w:hint="eastAsia" w:ascii="Times New Roman" w:hAnsi="Times New Roman" w:eastAsia="宋体" w:cs="Times New Roman"/>
                <w:color w:val="000000" w:themeColor="text1"/>
                <w:sz w:val="24"/>
                <w:szCs w:val="24"/>
              </w:rPr>
              <w:t>国家安全监管总局关于加快烧结砖瓦行业转型发展的若干意见》相符性详见下表。</w:t>
            </w:r>
          </w:p>
          <w:p>
            <w:pPr>
              <w:jc w:val="center"/>
              <w:rPr>
                <w:rFonts w:ascii="Times New Roman" w:cs="Times New Roman" w:hAnsiTheme="minorEastAsia"/>
                <w:b/>
                <w:color w:val="000000" w:themeColor="text1"/>
              </w:rPr>
            </w:pPr>
            <w:r>
              <w:rPr>
                <w:rFonts w:ascii="Times New Roman" w:cs="Times New Roman" w:hAnsiTheme="minorEastAsia"/>
                <w:b/>
                <w:color w:val="000000" w:themeColor="text1"/>
              </w:rPr>
              <w:t>表1-</w:t>
            </w:r>
            <w:r>
              <w:rPr>
                <w:rFonts w:hint="eastAsia" w:ascii="Times New Roman" w:cs="Times New Roman" w:hAnsiTheme="minorEastAsia"/>
                <w:b/>
                <w:color w:val="000000" w:themeColor="text1"/>
              </w:rPr>
              <w:t xml:space="preserve">6  </w:t>
            </w:r>
            <w:r>
              <w:rPr>
                <w:rFonts w:ascii="Times New Roman" w:cs="Times New Roman" w:hAnsiTheme="minorEastAsia"/>
                <w:b/>
                <w:color w:val="000000" w:themeColor="text1"/>
              </w:rPr>
              <w:t>与</w:t>
            </w:r>
            <w:r>
              <w:rPr>
                <w:rFonts w:hint="eastAsia" w:ascii="Times New Roman" w:cs="Times New Roman" w:hAnsiTheme="minorEastAsia"/>
                <w:b/>
                <w:color w:val="000000" w:themeColor="text1"/>
              </w:rPr>
              <w:t>《关于加快烧结砖瓦行业转型发展的若干意见》相符性</w:t>
            </w:r>
            <w:r>
              <w:rPr>
                <w:rFonts w:ascii="Times New Roman" w:cs="Times New Roman" w:hAnsiTheme="minorEastAsia"/>
                <w:b/>
                <w:color w:val="000000" w:themeColor="text1"/>
              </w:rPr>
              <w:t>分析</w:t>
            </w:r>
            <w:r>
              <w:rPr>
                <w:rFonts w:hint="eastAsia" w:ascii="Times New Roman" w:cs="Times New Roman" w:hAnsiTheme="minorEastAsia"/>
                <w:b/>
                <w:color w:val="000000" w:themeColor="text1"/>
              </w:rPr>
              <w:t>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4094"/>
              <w:gridCol w:w="3221"/>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类别</w:t>
                  </w:r>
                </w:p>
              </w:tc>
              <w:tc>
                <w:tcPr>
                  <w:tcW w:w="4314"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《关于加快烧结砖瓦行业转型发展的若干意见》</w:t>
                  </w:r>
                  <w:r>
                    <w:rPr>
                      <w:rFonts w:eastAsiaTheme="minorEastAsia"/>
                      <w:color w:val="000000" w:themeColor="text1"/>
                      <w:szCs w:val="21"/>
                    </w:rPr>
                    <w:t>相关要求</w:t>
                  </w:r>
                </w:p>
              </w:tc>
              <w:tc>
                <w:tcPr>
                  <w:tcW w:w="3391" w:type="dxa"/>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695" w:type="dxa"/>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restar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大力发展先进产品，坚决淘汰落后产能</w:t>
                  </w:r>
                </w:p>
              </w:tc>
              <w:tc>
                <w:tcPr>
                  <w:tcW w:w="4314"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一）发展绿色建筑、装配式建筑和海绵城市等建设所需新产品。大力发展轻质高强、保温防火、与建筑同寿命、多功能一体化的装配式墙材、屋面及围护结构部品。引导砖瓦产品向高掺量、高孔洞率、高强度、多功能和自装饰等方向发展，重点发展结构功能一体化的烧结多孔砖、空心砖、自保温砌块、复合保温砌块、清水墙砖、透水路面砖、烧结墙板等产品，防水防腐防火保温一体化的装配式墙材、屋面等产品，以及综合性能好的烧结瓦和太阳能屋面瓦等。</w:t>
                  </w:r>
                </w:p>
              </w:tc>
              <w:tc>
                <w:tcPr>
                  <w:tcW w:w="3391" w:type="dxa"/>
                  <w:tcBorders>
                    <w:tl2br w:val="nil"/>
                    <w:tr2bl w:val="nil"/>
                  </w:tcBorders>
                  <w:vAlign w:val="center"/>
                </w:tcPr>
                <w:p>
                  <w:pPr>
                    <w:widowControl/>
                    <w:ind w:firstLine="210" w:firstLineChars="100"/>
                    <w:rPr>
                      <w:color w:val="000000" w:themeColor="text1"/>
                    </w:rPr>
                  </w:pPr>
                  <w:r>
                    <w:rPr>
                      <w:rFonts w:hint="eastAsia" w:ascii="Times New Roman" w:hAnsi="Times New Roman" w:cs="Times New Roman"/>
                      <w:bCs/>
                      <w:snapToGrid w:val="0"/>
                      <w:color w:val="000000" w:themeColor="text1"/>
                      <w:kern w:val="32"/>
                      <w:lang w:val="zh-CN"/>
                    </w:rPr>
                    <w:t>项目将根据市场需求情况，逐步发展</w:t>
                  </w:r>
                  <w:r>
                    <w:rPr>
                      <w:rFonts w:ascii="Times New Roman" w:hAnsi="Times New Roman" w:cs="Times New Roman"/>
                      <w:bCs/>
                      <w:snapToGrid w:val="0"/>
                      <w:color w:val="000000" w:themeColor="text1"/>
                      <w:kern w:val="32"/>
                      <w:lang w:val="zh-CN"/>
                    </w:rPr>
                    <w:t>绿色建筑、装配式建筑和海绵城市等建设所需新产品</w:t>
                  </w:r>
                  <w:r>
                    <w:rPr>
                      <w:rFonts w:hint="eastAsia" w:ascii="Times New Roman" w:hAnsi="Times New Roman" w:cs="Times New Roman"/>
                      <w:bCs/>
                      <w:snapToGrid w:val="0"/>
                      <w:color w:val="000000" w:themeColor="text1"/>
                      <w:kern w:val="32"/>
                      <w:lang w:val="zh-CN"/>
                    </w:rPr>
                    <w:t>以及相应先进产品。</w:t>
                  </w:r>
                </w:p>
              </w:tc>
              <w:tc>
                <w:tcPr>
                  <w:tcW w:w="695" w:type="dxa"/>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tcBorders>
                    <w:tl2br w:val="nil"/>
                    <w:tr2bl w:val="nil"/>
                  </w:tcBorders>
                  <w:vAlign w:val="center"/>
                </w:tcPr>
                <w:p>
                  <w:pPr>
                    <w:jc w:val="center"/>
                    <w:rPr>
                      <w:color w:val="000000" w:themeColor="text1"/>
                    </w:rPr>
                  </w:pPr>
                </w:p>
              </w:tc>
              <w:tc>
                <w:tcPr>
                  <w:tcW w:w="4314"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二）发展美丽乡村、传统建筑、园林园艺等建设所需新产品。统筹当地资源环境、建筑结构、文化风俗、市场需求等因素，发展高质量、低成本的砖瓦产品和具有传统文化特色的砖雕制品及砖筑文化制品，打造“产业+文化”发展模式，既满足广大农村农民建房、城市园林园艺景观建设的需要，又能满足传统建筑保护性修旧如旧和生态修复城市修补的需要，有力支撑传统建筑风格、中国文化元素传承。</w:t>
                  </w:r>
                </w:p>
              </w:tc>
              <w:tc>
                <w:tcPr>
                  <w:tcW w:w="3391" w:type="dxa"/>
                  <w:tcBorders>
                    <w:tl2br w:val="nil"/>
                    <w:tr2bl w:val="nil"/>
                  </w:tcBorders>
                  <w:vAlign w:val="center"/>
                </w:tcPr>
                <w:p>
                  <w:pPr>
                    <w:widowControl/>
                    <w:ind w:firstLine="210" w:firstLineChars="100"/>
                    <w:rPr>
                      <w:color w:val="000000" w:themeColor="text1"/>
                    </w:rPr>
                  </w:pPr>
                  <w:r>
                    <w:rPr>
                      <w:rFonts w:hint="eastAsia" w:ascii="Times New Roman" w:hAnsi="Times New Roman" w:cs="Times New Roman"/>
                      <w:bCs/>
                      <w:snapToGrid w:val="0"/>
                      <w:color w:val="000000" w:themeColor="text1"/>
                      <w:kern w:val="32"/>
                      <w:lang w:val="zh-CN"/>
                    </w:rPr>
                    <w:t>项目将在市场需求和政府引导的支配条件下，逐步发展</w:t>
                  </w:r>
                  <w:r>
                    <w:rPr>
                      <w:rFonts w:ascii="Times New Roman" w:hAnsi="Times New Roman" w:cs="Times New Roman"/>
                      <w:bCs/>
                      <w:snapToGrid w:val="0"/>
                      <w:color w:val="000000" w:themeColor="text1"/>
                      <w:kern w:val="32"/>
                      <w:lang w:val="zh-CN"/>
                    </w:rPr>
                    <w:t>美丽乡村、传统建筑、园林园艺等建设所需新产品。</w:t>
                  </w:r>
                </w:p>
              </w:tc>
              <w:tc>
                <w:tcPr>
                  <w:tcW w:w="695" w:type="dxa"/>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p>
              </w:tc>
              <w:tc>
                <w:tcPr>
                  <w:tcW w:w="4314"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（三）</w:t>
                  </w:r>
                  <w:r>
                    <w:rPr>
                      <w:rFonts w:ascii="Times New Roman" w:hAnsi="Times New Roman" w:cs="Times New Roman"/>
                      <w:bCs/>
                      <w:snapToGrid w:val="0"/>
                      <w:color w:val="000000" w:themeColor="text1"/>
                      <w:kern w:val="32"/>
                      <w:lang w:val="zh-CN"/>
                    </w:rPr>
                    <w:t>淘汰落后产品和落后产能。认真落实《产业结构调整指导目录（2011年本）（2013年修订）》和《关于利用综合标准依法依规推动落后产能退出的指导意见》（工信部联产业</w:t>
                  </w:r>
                  <w:r>
                    <w:rPr>
                      <w:rFonts w:hint="eastAsia" w:ascii="Times New Roman" w:hAnsi="Times New Roman" w:cs="Times New Roman"/>
                      <w:bCs/>
                      <w:snapToGrid w:val="0"/>
                      <w:color w:val="000000" w:themeColor="text1"/>
                      <w:kern w:val="32"/>
                      <w:lang w:val="zh-CN"/>
                    </w:rPr>
                    <w:t>【</w:t>
                  </w:r>
                  <w:r>
                    <w:rPr>
                      <w:rFonts w:ascii="Times New Roman" w:hAnsi="Times New Roman" w:cs="Times New Roman"/>
                      <w:bCs/>
                      <w:snapToGrid w:val="0"/>
                      <w:color w:val="000000" w:themeColor="text1"/>
                      <w:kern w:val="32"/>
                      <w:lang w:val="zh-CN"/>
                    </w:rPr>
                    <w:t>2017</w:t>
                  </w:r>
                  <w:r>
                    <w:rPr>
                      <w:rFonts w:hint="eastAsia" w:ascii="Times New Roman" w:hAnsi="Times New Roman" w:cs="Times New Roman"/>
                      <w:bCs/>
                      <w:snapToGrid w:val="0"/>
                      <w:color w:val="000000" w:themeColor="text1"/>
                      <w:kern w:val="32"/>
                      <w:lang w:val="zh-CN"/>
                    </w:rPr>
                    <w:t>】</w:t>
                  </w:r>
                  <w:r>
                    <w:rPr>
                      <w:rFonts w:ascii="Times New Roman" w:hAnsi="Times New Roman" w:cs="Times New Roman"/>
                      <w:bCs/>
                      <w:snapToGrid w:val="0"/>
                      <w:color w:val="000000" w:themeColor="text1"/>
                      <w:kern w:val="32"/>
                      <w:lang w:val="zh-CN"/>
                    </w:rPr>
                    <w:t>30号），依法淘汰落后工艺、装备和产品。执行环保、节能等强制性标准规范，强化环保、节能、质量、安全等执法监管，利用法治化市场化手段，督促达不到环保、能耗等标准的砖瓦企业加快整改，对整改仍不达标的依法责令关停，淘汰整改达标无望的生产线，鼓励东中部地区率先淘汰轮窑生产线。</w:t>
                  </w:r>
                </w:p>
              </w:tc>
              <w:tc>
                <w:tcPr>
                  <w:tcW w:w="339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color w:val="000000" w:themeColor="text1"/>
                    </w:rPr>
                    <w:t>本项目采用隧道窑生产烧结砖，其产量为7000万块/a，</w:t>
                  </w:r>
                  <w:r>
                    <w:rPr>
                      <w:rFonts w:hint="eastAsia" w:ascii="Times New Roman" w:hAnsi="Times New Roman" w:cs="Times New Roman"/>
                      <w:color w:val="000000" w:themeColor="text1"/>
                    </w:rPr>
                    <w:t>不属于</w:t>
                  </w:r>
                  <w:r>
                    <w:rPr>
                      <w:rFonts w:ascii="Times New Roman" w:hAnsi="Times New Roman" w:cs="Times New Roman"/>
                      <w:color w:val="000000" w:themeColor="text1"/>
                    </w:rPr>
                    <w:t>《产业结构调整指导目录》（2019年本）</w:t>
                  </w:r>
                  <w:r>
                    <w:rPr>
                      <w:rFonts w:hint="eastAsia" w:ascii="Times New Roman" w:hAnsi="Times New Roman" w:cs="Times New Roman"/>
                      <w:color w:val="000000" w:themeColor="text1"/>
                    </w:rPr>
                    <w:t>中</w:t>
                  </w:r>
                  <w:r>
                    <w:rPr>
                      <w:rFonts w:ascii="Times New Roman" w:hAnsi="Times New Roman" w:cs="Times New Roman"/>
                      <w:color w:val="000000" w:themeColor="text1"/>
                    </w:rPr>
                    <w:t>鼓励类、淘汰类和限制类项目，属于允许类项目，且本项目已于2020年8月18日取得昆明市东川区工业和科学技术信息化局下发的《投资项目备案证》（项目代码：2020-530113-30-03-056275）；因此项目符合</w:t>
                  </w:r>
                  <w:r>
                    <w:rPr>
                      <w:rFonts w:ascii="Times New Roman" w:hAnsi="Times New Roman" w:cs="Times New Roman"/>
                      <w:snapToGrid w:val="0"/>
                      <w:color w:val="000000" w:themeColor="text1"/>
                      <w:kern w:val="32"/>
                      <w:lang w:val="zh-CN"/>
                    </w:rPr>
                    <w:t>国家产业政策</w:t>
                  </w:r>
                  <w:r>
                    <w:rPr>
                      <w:rFonts w:ascii="Times New Roman" w:hAnsi="Times New Roman" w:cs="Times New Roman"/>
                      <w:color w:val="000000" w:themeColor="text1"/>
                    </w:rPr>
                    <w:t>。</w:t>
                  </w:r>
                </w:p>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项目建设将严格执行</w:t>
                  </w:r>
                  <w:r>
                    <w:rPr>
                      <w:rFonts w:ascii="Times New Roman" w:hAnsi="Times New Roman" w:cs="Times New Roman"/>
                      <w:bCs/>
                      <w:snapToGrid w:val="0"/>
                      <w:color w:val="000000" w:themeColor="text1"/>
                      <w:kern w:val="32"/>
                      <w:lang w:val="zh-CN"/>
                    </w:rPr>
                    <w:t>环保、节能</w:t>
                  </w:r>
                  <w:r>
                    <w:rPr>
                      <w:rFonts w:hint="eastAsia" w:ascii="Times New Roman" w:hAnsi="Times New Roman" w:cs="Times New Roman"/>
                      <w:bCs/>
                      <w:snapToGrid w:val="0"/>
                      <w:color w:val="000000" w:themeColor="text1"/>
                      <w:kern w:val="32"/>
                      <w:lang w:val="zh-CN"/>
                    </w:rPr>
                    <w:t>、</w:t>
                  </w:r>
                  <w:r>
                    <w:rPr>
                      <w:rFonts w:ascii="Times New Roman" w:hAnsi="Times New Roman" w:cs="Times New Roman"/>
                      <w:bCs/>
                      <w:snapToGrid w:val="0"/>
                      <w:color w:val="000000" w:themeColor="text1"/>
                      <w:kern w:val="32"/>
                      <w:lang w:val="zh-CN"/>
                    </w:rPr>
                    <w:t>质量、安全</w:t>
                  </w:r>
                  <w:r>
                    <w:rPr>
                      <w:rFonts w:hint="eastAsia" w:ascii="Times New Roman" w:hAnsi="Times New Roman" w:cs="Times New Roman"/>
                      <w:bCs/>
                      <w:snapToGrid w:val="0"/>
                      <w:color w:val="000000" w:themeColor="text1"/>
                      <w:kern w:val="32"/>
                      <w:lang w:val="zh-CN"/>
                    </w:rPr>
                    <w:t>等相关标准。</w:t>
                  </w:r>
                </w:p>
              </w:tc>
              <w:tc>
                <w:tcPr>
                  <w:tcW w:w="695"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restar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推进绿色生产，促进节能减排</w:t>
                  </w:r>
                </w:p>
              </w:tc>
              <w:tc>
                <w:tcPr>
                  <w:tcW w:w="4314"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（一）</w:t>
                  </w:r>
                  <w:r>
                    <w:rPr>
                      <w:rFonts w:ascii="Times New Roman" w:hAnsi="Times New Roman" w:cs="Times New Roman"/>
                      <w:bCs/>
                      <w:snapToGrid w:val="0"/>
                      <w:color w:val="000000" w:themeColor="text1"/>
                      <w:kern w:val="32"/>
                      <w:lang w:val="zh-CN"/>
                    </w:rPr>
                    <w:t>狠抓治污减排。开发并推广适用于砖瓦窑炉烟气脱硫、脱硝、除尘综合治理成套技术和装备，鼓励采用低氮烧成技术，使用清洁燃料（洁净煤制气或天然气）。开展清洁生产技术改造，原燃料应密闭存储或采取防风、抑尘、降尘等措施。严格控制并强化治理原燃料破碎、干燥焙烧、制备成型等工段无组织排放烟（粉）尘。安装污染物在线监控系统并与监管部门联网，主动披露污染物排放信息。全面实施排污许可证，严格按证排放污染物，禁止无证排污。加强氟化物等其他有毒有害污染物治理技术研发和应用。</w:t>
                  </w:r>
                </w:p>
              </w:tc>
              <w:tc>
                <w:tcPr>
                  <w:tcW w:w="339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项目堆场拟采用彩钢瓦顶棚，三面围挡，</w:t>
                  </w:r>
                  <w:r>
                    <w:rPr>
                      <w:rFonts w:hint="eastAsia" w:ascii="Times New Roman" w:hAnsi="Times New Roman" w:cs="Times New Roman"/>
                      <w:bCs/>
                      <w:snapToGrid w:val="0"/>
                      <w:color w:val="000000" w:themeColor="text1"/>
                      <w:kern w:val="32"/>
                      <w:lang w:val="zh-CN"/>
                    </w:rPr>
                    <w:t>地面硬化</w:t>
                  </w:r>
                  <w:r>
                    <w:rPr>
                      <w:rFonts w:ascii="Times New Roman" w:hAnsi="Times New Roman" w:cs="Times New Roman"/>
                      <w:bCs/>
                      <w:snapToGrid w:val="0"/>
                      <w:color w:val="000000" w:themeColor="text1"/>
                      <w:kern w:val="32"/>
                      <w:lang w:val="zh-CN"/>
                    </w:rPr>
                    <w:t>；</w:t>
                  </w:r>
                  <w:r>
                    <w:rPr>
                      <w:rFonts w:hint="eastAsia" w:ascii="Times New Roman" w:hAnsi="Times New Roman" w:cs="Times New Roman"/>
                      <w:bCs/>
                      <w:snapToGrid w:val="0"/>
                      <w:color w:val="000000" w:themeColor="text1"/>
                      <w:kern w:val="32"/>
                      <w:lang w:val="zh-CN"/>
                    </w:rPr>
                    <w:t>破碎、筛分粉尘拟设置集气罩，统一收集后，通过1台脉冲布袋除尘器进行处理，处理达标后通过</w:t>
                  </w:r>
                  <w:r>
                    <w:rPr>
                      <w:rFonts w:ascii="Times New Roman" w:hAnsi="Times New Roman" w:cs="Times New Roman"/>
                      <w:bCs/>
                      <w:snapToGrid w:val="0"/>
                      <w:color w:val="000000" w:themeColor="text1"/>
                      <w:kern w:val="32"/>
                      <w:lang w:val="zh-CN"/>
                    </w:rPr>
                    <w:t>1根</w:t>
                  </w:r>
                  <w:r>
                    <w:rPr>
                      <w:rFonts w:hint="eastAsia" w:ascii="Times New Roman" w:hAnsi="Times New Roman" w:cs="Times New Roman"/>
                      <w:bCs/>
                      <w:snapToGrid w:val="0"/>
                      <w:color w:val="000000" w:themeColor="text1"/>
                      <w:kern w:val="32"/>
                      <w:lang w:val="zh-CN"/>
                    </w:rPr>
                    <w:t>15m高</w:t>
                  </w:r>
                  <w:r>
                    <w:rPr>
                      <w:rFonts w:ascii="Times New Roman" w:hAnsi="Times New Roman" w:cs="Times New Roman"/>
                      <w:bCs/>
                      <w:snapToGrid w:val="0"/>
                      <w:color w:val="000000" w:themeColor="text1"/>
                      <w:kern w:val="32"/>
                      <w:lang w:val="zh-CN"/>
                    </w:rPr>
                    <w:t>排气筒（DA001）外排</w:t>
                  </w:r>
                  <w:r>
                    <w:rPr>
                      <w:rFonts w:hint="eastAsia" w:ascii="Times New Roman" w:hAnsi="Times New Roman" w:cs="Times New Roman"/>
                      <w:bCs/>
                      <w:snapToGrid w:val="0"/>
                      <w:color w:val="000000" w:themeColor="text1"/>
                      <w:kern w:val="32"/>
                      <w:lang w:val="zh-CN"/>
                    </w:rPr>
                    <w:t>；</w:t>
                  </w:r>
                  <w:r>
                    <w:rPr>
                      <w:rFonts w:ascii="Times New Roman" w:hAnsi="Times New Roman" w:cs="Times New Roman"/>
                      <w:bCs/>
                      <w:snapToGrid w:val="0"/>
                      <w:color w:val="000000" w:themeColor="text1"/>
                      <w:kern w:val="32"/>
                      <w:lang w:val="zh-CN"/>
                    </w:rPr>
                    <w:t>焙烧烟气拟拟设置1套脱硫除尘系统处理达标后排放；</w:t>
                  </w:r>
                  <w:r>
                    <w:rPr>
                      <w:rFonts w:hint="eastAsia" w:ascii="Times New Roman" w:hAnsi="Times New Roman" w:cs="Times New Roman"/>
                      <w:bCs/>
                      <w:snapToGrid w:val="0"/>
                      <w:color w:val="000000" w:themeColor="text1"/>
                      <w:kern w:val="32"/>
                      <w:lang w:val="zh-CN"/>
                    </w:rPr>
                    <w:t>项目在启动生产设施或者在实际排污之前须按照国家排污许可要求，申请排污许可证，合法排污，</w:t>
                  </w:r>
                  <w:r>
                    <w:rPr>
                      <w:rFonts w:ascii="Times New Roman" w:hAnsi="Times New Roman" w:cs="Times New Roman"/>
                      <w:bCs/>
                      <w:snapToGrid w:val="0"/>
                      <w:color w:val="000000" w:themeColor="text1"/>
                      <w:kern w:val="32"/>
                      <w:lang w:val="zh-CN"/>
                    </w:rPr>
                    <w:t>符合要求。</w:t>
                  </w:r>
                </w:p>
              </w:tc>
              <w:tc>
                <w:tcPr>
                  <w:tcW w:w="695"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tcBorders>
                    <w:tl2br w:val="nil"/>
                    <w:tr2bl w:val="nil"/>
                  </w:tcBorders>
                  <w:vAlign w:val="center"/>
                </w:tcPr>
                <w:p>
                  <w:pPr>
                    <w:pStyle w:val="32"/>
                    <w:spacing w:line="360" w:lineRule="exact"/>
                    <w:rPr>
                      <w:rFonts w:eastAsiaTheme="minorEastAsia"/>
                      <w:color w:val="000000" w:themeColor="text1"/>
                      <w:szCs w:val="21"/>
                    </w:rPr>
                  </w:pPr>
                </w:p>
              </w:tc>
              <w:tc>
                <w:tcPr>
                  <w:tcW w:w="4314"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cs="Times New Roman"/>
                      <w:color w:val="000000" w:themeColor="text1"/>
                      <w:szCs w:val="24"/>
                    </w:rPr>
                    <w:t>（二）推进节能降耗。支持利用适用技术装备进行节能改造，提升砖瓦窑炉热工效率，推广大断面隧道窑和自动焙烧技术。鼓励烧结砖瓦生产企业推进合同能源管理，建立能耗综合监测系统，开展窑炉热平衡测试，对主要能源消耗、重点耗能设备实施实时可视化管理。对现有生产烧结墙体材料的企业，要确保达到</w:t>
                  </w:r>
                  <w:r>
                    <w:rPr>
                      <w:rFonts w:ascii="Times New Roman" w:hAnsi="Times New Roman" w:cs="Times New Roman"/>
                      <w:color w:val="000000" w:themeColor="text1"/>
                      <w:szCs w:val="24"/>
                    </w:rPr>
                    <w:t>GB 30526</w:t>
                  </w:r>
                  <w:r>
                    <w:rPr>
                      <w:rFonts w:ascii="Times New Roman" w:cs="Times New Roman"/>
                      <w:color w:val="000000" w:themeColor="text1"/>
                      <w:szCs w:val="24"/>
                    </w:rPr>
                    <w:t>《烧结墙体材料单位产品能源消耗限额》限定值，争取达到先进值。引导生产烧结屋面材料的企业比照该标准执行。</w:t>
                  </w:r>
                </w:p>
              </w:tc>
              <w:tc>
                <w:tcPr>
                  <w:tcW w:w="339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cs="Times New Roman"/>
                      <w:color w:val="000000" w:themeColor="text1"/>
                      <w:szCs w:val="24"/>
                    </w:rPr>
                    <w:t>根据昆明市东川区工业和科技信息化局《关于对昆明北杏新型建材有限公司年产</w:t>
                  </w:r>
                  <w:r>
                    <w:rPr>
                      <w:rFonts w:ascii="Times New Roman" w:cs="Times New Roman"/>
                      <w:color w:val="000000" w:themeColor="text1"/>
                      <w:szCs w:val="24"/>
                    </w:rPr>
                    <w:t>7000</w:t>
                  </w:r>
                  <w:r>
                    <w:rPr>
                      <w:rFonts w:hint="eastAsia" w:ascii="Times New Roman" w:cs="Times New Roman"/>
                      <w:color w:val="000000" w:themeColor="text1"/>
                      <w:szCs w:val="24"/>
                    </w:rPr>
                    <w:t>万块页岩砖改扩建项目的节能审查意见》（东工科信发〔</w:t>
                  </w:r>
                  <w:r>
                    <w:rPr>
                      <w:rFonts w:ascii="Times New Roman" w:cs="Times New Roman"/>
                      <w:color w:val="000000" w:themeColor="text1"/>
                      <w:szCs w:val="24"/>
                    </w:rPr>
                    <w:t>2020</w:t>
                  </w:r>
                  <w:r>
                    <w:rPr>
                      <w:rFonts w:hint="eastAsia" w:ascii="Times New Roman" w:cs="Times New Roman"/>
                      <w:color w:val="000000" w:themeColor="text1"/>
                      <w:szCs w:val="24"/>
                    </w:rPr>
                    <w:t>〕</w:t>
                  </w:r>
                  <w:r>
                    <w:rPr>
                      <w:rFonts w:ascii="Times New Roman" w:cs="Times New Roman"/>
                      <w:color w:val="000000" w:themeColor="text1"/>
                      <w:szCs w:val="24"/>
                    </w:rPr>
                    <w:t>39</w:t>
                  </w:r>
                  <w:r>
                    <w:rPr>
                      <w:rFonts w:hint="eastAsia" w:ascii="Times New Roman" w:cs="Times New Roman"/>
                      <w:color w:val="000000" w:themeColor="text1"/>
                      <w:szCs w:val="24"/>
                    </w:rPr>
                    <w:t>号），项目单位产品综合能耗为：</w:t>
                  </w:r>
                  <w:r>
                    <w:rPr>
                      <w:rFonts w:ascii="Times New Roman" w:cs="Times New Roman"/>
                      <w:color w:val="000000" w:themeColor="text1"/>
                      <w:szCs w:val="24"/>
                    </w:rPr>
                    <w:t>44.95kgce/t</w:t>
                  </w:r>
                  <w:r>
                    <w:rPr>
                      <w:rFonts w:hint="eastAsia" w:ascii="Times New Roman" w:cs="Times New Roman"/>
                      <w:color w:val="000000" w:themeColor="text1"/>
                      <w:szCs w:val="24"/>
                    </w:rPr>
                    <w:t>，达到国家标准《烧结墙体材料和泡沫玻璃单位产品能源消耗限额》</w:t>
                  </w:r>
                  <w:r>
                    <w:rPr>
                      <w:rFonts w:ascii="Times New Roman" w:cs="Times New Roman"/>
                      <w:color w:val="000000" w:themeColor="text1"/>
                      <w:szCs w:val="24"/>
                    </w:rPr>
                    <w:t>（GB30526-2019）2</w:t>
                  </w:r>
                  <w:r>
                    <w:rPr>
                      <w:rFonts w:hint="eastAsia" w:ascii="Times New Roman" w:cs="Times New Roman"/>
                      <w:color w:val="000000" w:themeColor="text1"/>
                      <w:szCs w:val="24"/>
                    </w:rPr>
                    <w:t>级（准入值）要求；另外项目将根据实际生产情况进一步采取节能措施。</w:t>
                  </w:r>
                </w:p>
              </w:tc>
              <w:tc>
                <w:tcPr>
                  <w:tcW w:w="695"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tcBorders>
                    <w:tl2br w:val="nil"/>
                    <w:tr2bl w:val="nil"/>
                  </w:tcBorders>
                  <w:vAlign w:val="center"/>
                </w:tcPr>
                <w:p>
                  <w:pPr>
                    <w:pStyle w:val="32"/>
                    <w:spacing w:line="360" w:lineRule="exact"/>
                    <w:rPr>
                      <w:rFonts w:eastAsiaTheme="minorEastAsia"/>
                      <w:color w:val="000000" w:themeColor="text1"/>
                      <w:szCs w:val="21"/>
                    </w:rPr>
                  </w:pPr>
                </w:p>
              </w:tc>
              <w:tc>
                <w:tcPr>
                  <w:tcW w:w="4314" w:type="dxa"/>
                  <w:tcBorders>
                    <w:tl2br w:val="nil"/>
                    <w:tr2bl w:val="nil"/>
                  </w:tcBorders>
                  <w:vAlign w:val="center"/>
                </w:tcPr>
                <w:p>
                  <w:pPr>
                    <w:widowControl/>
                    <w:ind w:firstLine="210" w:firstLineChars="100"/>
                    <w:rPr>
                      <w:color w:val="000000" w:themeColor="text1"/>
                      <w:szCs w:val="24"/>
                    </w:rPr>
                  </w:pPr>
                  <w:r>
                    <w:rPr>
                      <w:color w:val="000000" w:themeColor="text1"/>
                      <w:szCs w:val="24"/>
                    </w:rPr>
                    <w:t>（三）强化综合利用。鼓励利用工业固废、矿物尾渣、淤泥、污泥、农林废弃物等替代一次原燃料，支持利用建筑垃圾生产砖瓦制品，进一步扩大资源综合利用范围，提高原燃料中固废掺配比例，减少对天然资源的消耗。加大力度研发利用砖瓦烧结窑炉协同处置河湖淤泥、建筑废弃土、建筑渣土及其他废弃物的成套技术，探索利用大型烧结砖隧道窑安全处置城市污泥，提高综合处置能力和利用效率。</w:t>
                  </w:r>
                </w:p>
              </w:tc>
              <w:tc>
                <w:tcPr>
                  <w:tcW w:w="3391" w:type="dxa"/>
                  <w:tcBorders>
                    <w:tl2br w:val="nil"/>
                    <w:tr2bl w:val="nil"/>
                  </w:tcBorders>
                  <w:vAlign w:val="center"/>
                </w:tcPr>
                <w:p>
                  <w:pPr>
                    <w:widowControl/>
                    <w:ind w:firstLine="210" w:firstLineChars="100"/>
                    <w:rPr>
                      <w:rFonts w:ascii="Times New Roman" w:cs="Times New Roman"/>
                      <w:color w:val="000000" w:themeColor="text1"/>
                      <w:szCs w:val="24"/>
                    </w:rPr>
                  </w:pPr>
                  <w:r>
                    <w:rPr>
                      <w:rFonts w:hint="eastAsia" w:ascii="Times New Roman" w:cs="Times New Roman"/>
                      <w:color w:val="000000" w:themeColor="text1"/>
                      <w:szCs w:val="24"/>
                    </w:rPr>
                    <w:t>项目</w:t>
                  </w:r>
                  <w:r>
                    <w:rPr>
                      <w:rFonts w:ascii="Times New Roman" w:cs="Times New Roman"/>
                      <w:color w:val="000000" w:themeColor="text1"/>
                      <w:szCs w:val="24"/>
                    </w:rPr>
                    <w:t>使用原料为昆明红富化肥有限公司磷矿开采产生的弃土（页岩），</w:t>
                  </w:r>
                  <w:r>
                    <w:rPr>
                      <w:rFonts w:hint="eastAsia" w:ascii="Times New Roman" w:cs="Times New Roman"/>
                      <w:color w:val="000000" w:themeColor="text1"/>
                      <w:szCs w:val="24"/>
                    </w:rPr>
                    <w:t>项目不单独进行页岩开采；若项目在</w:t>
                  </w:r>
                  <w:r>
                    <w:rPr>
                      <w:color w:val="000000" w:themeColor="text1"/>
                      <w:szCs w:val="24"/>
                    </w:rPr>
                    <w:t>工业固废、矿物尾渣、淤泥、污泥、农林废弃物等</w:t>
                  </w:r>
                  <w:r>
                    <w:rPr>
                      <w:rFonts w:hint="eastAsia"/>
                      <w:color w:val="000000" w:themeColor="text1"/>
                      <w:szCs w:val="24"/>
                    </w:rPr>
                    <w:t>利用满足</w:t>
                  </w:r>
                  <w:r>
                    <w:rPr>
                      <w:rFonts w:hint="eastAsia" w:ascii="Times New Roman" w:cs="Times New Roman"/>
                      <w:color w:val="000000" w:themeColor="text1"/>
                      <w:szCs w:val="24"/>
                    </w:rPr>
                    <w:t>经济技术可行、产品可满足相关质量要求的前提下，项目下一步可进行技术改造，</w:t>
                  </w:r>
                  <w:r>
                    <w:rPr>
                      <w:color w:val="000000" w:themeColor="text1"/>
                      <w:szCs w:val="24"/>
                    </w:rPr>
                    <w:t>进一步扩大资源综合利用范围</w:t>
                  </w:r>
                  <w:r>
                    <w:rPr>
                      <w:rFonts w:hint="eastAsia"/>
                      <w:color w:val="000000" w:themeColor="text1"/>
                      <w:szCs w:val="24"/>
                    </w:rPr>
                    <w:t>。</w:t>
                  </w:r>
                </w:p>
              </w:tc>
              <w:tc>
                <w:tcPr>
                  <w:tcW w:w="695"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tcBorders>
                    <w:tl2br w:val="nil"/>
                    <w:tr2bl w:val="nil"/>
                  </w:tcBorders>
                  <w:vAlign w:val="center"/>
                </w:tcPr>
                <w:p>
                  <w:pPr>
                    <w:pStyle w:val="32"/>
                    <w:spacing w:line="360" w:lineRule="exact"/>
                    <w:rPr>
                      <w:rFonts w:eastAsiaTheme="minorEastAsia"/>
                      <w:color w:val="000000" w:themeColor="text1"/>
                      <w:szCs w:val="21"/>
                    </w:rPr>
                  </w:pPr>
                </w:p>
              </w:tc>
              <w:tc>
                <w:tcPr>
                  <w:tcW w:w="4314" w:type="dxa"/>
                  <w:tcBorders>
                    <w:tl2br w:val="nil"/>
                    <w:tr2bl w:val="nil"/>
                  </w:tcBorders>
                  <w:vAlign w:val="center"/>
                </w:tcPr>
                <w:p>
                  <w:pPr>
                    <w:widowControl/>
                    <w:ind w:firstLine="210" w:firstLineChars="100"/>
                    <w:rPr>
                      <w:rFonts w:ascii="Times New Roman" w:hAnsi="Times New Roman" w:cs="Times New Roman"/>
                      <w:color w:val="000000" w:themeColor="text1"/>
                      <w:szCs w:val="24"/>
                    </w:rPr>
                  </w:pPr>
                  <w:r>
                    <w:rPr>
                      <w:rFonts w:ascii="Times New Roman" w:hAnsi="Times New Roman" w:cs="Times New Roman"/>
                      <w:color w:val="000000" w:themeColor="text1"/>
                      <w:szCs w:val="24"/>
                    </w:rPr>
                    <w:t>（四）实行错峰生产。认真执行《京津冀及周边地区2017－2018年秋冬季大气污染综合治理攻坚行动方案》，2017－2020年在京津冀及周边地区全面实施采暖季砖瓦窑错峰生产，其中京津冀大气污染传输通道“2+26”城市的烧结砖瓦窑（不含天然气为燃料的）在整个采暖季实施错峰生产；河北、山西、山东、河南四省内“2+26”城市之外的其他地区的烧结砖瓦窑（不含天然气为燃料的），错峰时间由各地自行决定，原则上停产时间不低于两个月。北方其他采暖地区可根据当地情况参考执行。</w:t>
                  </w:r>
                </w:p>
              </w:tc>
              <w:tc>
                <w:tcPr>
                  <w:tcW w:w="339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cs="Times New Roman"/>
                      <w:color w:val="000000" w:themeColor="text1"/>
                      <w:szCs w:val="24"/>
                    </w:rPr>
                    <w:t>项目所在地云南不在</w:t>
                  </w:r>
                  <w:r>
                    <w:rPr>
                      <w:rFonts w:ascii="Times New Roman" w:cs="Times New Roman"/>
                      <w:color w:val="000000" w:themeColor="text1"/>
                      <w:szCs w:val="24"/>
                    </w:rPr>
                    <w:t>京津冀及周边地区</w:t>
                  </w:r>
                  <w:r>
                    <w:rPr>
                      <w:rFonts w:hint="eastAsia" w:ascii="Times New Roman" w:cs="Times New Roman"/>
                      <w:color w:val="000000" w:themeColor="text1"/>
                      <w:szCs w:val="24"/>
                    </w:rPr>
                    <w:t>。</w:t>
                  </w:r>
                </w:p>
              </w:tc>
              <w:tc>
                <w:tcPr>
                  <w:tcW w:w="695"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restart"/>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推动智能制造，提高质量安全</w:t>
                  </w:r>
                </w:p>
              </w:tc>
              <w:tc>
                <w:tcPr>
                  <w:tcW w:w="4314"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color w:val="000000" w:themeColor="text1"/>
                      <w:szCs w:val="24"/>
                    </w:rPr>
                    <w:t>（一）加快自动化改造，推进智能制造。从原料制备、挤出成型、干燥焙烧、包装入库到运输，实现全过程自动化生产、信息化控制。推进互联网、云计算、大数据在砖瓦行业应用。开发推广电子计量精准控制配料和自动控制挤出成型、烘干焙烧系统。加快“机器代人”改造，实现高精度切坯、翻坯、码卸坯、包装仓储等环节自动化机器人化，提升砖瓦生产智能化和本质安全水平，逐步建立个性化定制的产品配送系统。</w:t>
                  </w:r>
                </w:p>
              </w:tc>
              <w:tc>
                <w:tcPr>
                  <w:tcW w:w="3391"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项目采用隧道窑工艺生产页岩砖，生产全过程实现自动化生产，符合要求。</w:t>
                  </w:r>
                  <w:r>
                    <w:rPr>
                      <w:rFonts w:hint="eastAsia" w:ascii="Times New Roman" w:hAnsi="Times New Roman" w:cs="Times New Roman"/>
                      <w:bCs/>
                      <w:snapToGrid w:val="0"/>
                      <w:color w:val="000000" w:themeColor="text1"/>
                      <w:kern w:val="32"/>
                      <w:lang w:val="zh-CN"/>
                    </w:rPr>
                    <w:t>另外若企业在经济市场等方面满足需求的前提下，将进一步提高自动化水平。</w:t>
                  </w:r>
                </w:p>
              </w:tc>
              <w:tc>
                <w:tcPr>
                  <w:tcW w:w="695"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tcBorders>
                    <w:tl2br w:val="nil"/>
                    <w:tr2bl w:val="nil"/>
                  </w:tcBorders>
                  <w:vAlign w:val="center"/>
                </w:tcPr>
                <w:p>
                  <w:pPr>
                    <w:pStyle w:val="32"/>
                    <w:spacing w:line="360" w:lineRule="exact"/>
                    <w:rPr>
                      <w:rFonts w:eastAsiaTheme="minorEastAsia"/>
                      <w:color w:val="000000" w:themeColor="text1"/>
                      <w:szCs w:val="21"/>
                    </w:rPr>
                  </w:pPr>
                </w:p>
              </w:tc>
              <w:tc>
                <w:tcPr>
                  <w:tcW w:w="4314"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color w:val="000000" w:themeColor="text1"/>
                      <w:szCs w:val="24"/>
                    </w:rPr>
                    <w:t>（二）加强质量管理，提升质保能力。落实企业质量主体责任，完善质量管理体系和管理制度。推行砖瓦企业检验室建设，推进原料标准化，加强破碎、均化、陈化等过程管理，严控原料粒度及分布和颗粒级配，严格生产工艺规范，切实提高质量和产品合格率。探索建立可追溯的产品质量管理制度，支持企业发布质量自我声明承诺，编制发布企业社会责任报告，发挥诚信示范引领作用。</w:t>
                  </w:r>
                </w:p>
              </w:tc>
              <w:tc>
                <w:tcPr>
                  <w:tcW w:w="3391" w:type="dxa"/>
                  <w:tcBorders>
                    <w:tl2br w:val="nil"/>
                    <w:tr2bl w:val="nil"/>
                  </w:tcBorders>
                  <w:vAlign w:val="center"/>
                </w:tcPr>
                <w:p>
                  <w:pPr>
                    <w:widowControl/>
                    <w:ind w:firstLine="210" w:firstLineChars="100"/>
                    <w:rPr>
                      <w:color w:val="000000" w:themeColor="text1"/>
                      <w:szCs w:val="24"/>
                    </w:rPr>
                  </w:pPr>
                  <w:r>
                    <w:rPr>
                      <w:rFonts w:hint="eastAsia"/>
                      <w:color w:val="000000" w:themeColor="text1"/>
                      <w:szCs w:val="24"/>
                    </w:rPr>
                    <w:t>项目日常管理过程中将建设</w:t>
                  </w:r>
                  <w:r>
                    <w:rPr>
                      <w:color w:val="000000" w:themeColor="text1"/>
                      <w:szCs w:val="24"/>
                    </w:rPr>
                    <w:t>可追溯的产品质量管理制度</w:t>
                  </w:r>
                  <w:r>
                    <w:rPr>
                      <w:rFonts w:hint="eastAsia"/>
                      <w:color w:val="000000" w:themeColor="text1"/>
                      <w:szCs w:val="24"/>
                    </w:rPr>
                    <w:t>，提高质量管理水平。</w:t>
                  </w:r>
                </w:p>
              </w:tc>
              <w:tc>
                <w:tcPr>
                  <w:tcW w:w="695"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tcBorders>
                    <w:tl2br w:val="nil"/>
                    <w:tr2bl w:val="nil"/>
                  </w:tcBorders>
                  <w:vAlign w:val="center"/>
                </w:tcPr>
                <w:p>
                  <w:pPr>
                    <w:pStyle w:val="32"/>
                    <w:spacing w:line="360" w:lineRule="exact"/>
                    <w:rPr>
                      <w:rFonts w:eastAsiaTheme="minorEastAsia"/>
                      <w:color w:val="000000" w:themeColor="text1"/>
                      <w:szCs w:val="21"/>
                    </w:rPr>
                  </w:pPr>
                </w:p>
              </w:tc>
              <w:tc>
                <w:tcPr>
                  <w:tcW w:w="4314"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color w:val="000000" w:themeColor="text1"/>
                      <w:szCs w:val="24"/>
                    </w:rPr>
                    <w:t>（三）完善安全生产制度，积极防治职业病。督促企业建立健全安全生产和职业病危害防治责任制，配备符合规定的安全生产和职业病防护设施，完善应急管理体系，加强应急预案的培训和演练，提高处置突发事故的能力，实现安全管理从事后查处向预警预防转变。开展安全隐患全面排查和治理，完善配料、成型、烧成、仓储等工序安全防护措施和防尘措施，定期对工作场所职业病危害因素进行检测评价，为劳动者配备合格的劳动防护用品，切实防治尘肺病等常见职业病。</w:t>
                  </w:r>
                </w:p>
              </w:tc>
              <w:tc>
                <w:tcPr>
                  <w:tcW w:w="3391" w:type="dxa"/>
                  <w:tcBorders>
                    <w:tl2br w:val="nil"/>
                    <w:tr2bl w:val="nil"/>
                  </w:tcBorders>
                  <w:vAlign w:val="center"/>
                </w:tcPr>
                <w:p>
                  <w:pPr>
                    <w:widowControl/>
                    <w:ind w:firstLine="210" w:firstLineChars="100"/>
                    <w:rPr>
                      <w:color w:val="000000" w:themeColor="text1"/>
                      <w:szCs w:val="24"/>
                    </w:rPr>
                  </w:pPr>
                  <w:r>
                    <w:rPr>
                      <w:rFonts w:hint="eastAsia"/>
                      <w:color w:val="000000" w:themeColor="text1"/>
                      <w:szCs w:val="24"/>
                    </w:rPr>
                    <w:t>项目将严格按照安全生产、职业健康等相关法律法规的要求制定生产制度。</w:t>
                  </w:r>
                </w:p>
              </w:tc>
              <w:tc>
                <w:tcPr>
                  <w:tcW w:w="695"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bl>
          <w:p>
            <w:pPr>
              <w:spacing w:beforeLines="50"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由上表可知，项目符合《工业和信息化部</w:t>
            </w:r>
            <w:r>
              <w:rPr>
                <w:rFonts w:ascii="Times New Roman" w:hAnsi="Times New Roman" w:eastAsia="宋体" w:cs="Times New Roman"/>
                <w:color w:val="000000" w:themeColor="text1"/>
                <w:sz w:val="24"/>
                <w:szCs w:val="24"/>
              </w:rPr>
              <w:t> </w:t>
            </w:r>
            <w:r>
              <w:rPr>
                <w:rFonts w:hint="eastAsia" w:ascii="Times New Roman" w:hAnsi="Times New Roman" w:eastAsia="宋体" w:cs="Times New Roman"/>
                <w:color w:val="000000" w:themeColor="text1"/>
                <w:sz w:val="24"/>
                <w:szCs w:val="24"/>
              </w:rPr>
              <w:t>环境保护部</w:t>
            </w:r>
            <w:r>
              <w:rPr>
                <w:rFonts w:ascii="Times New Roman" w:hAnsi="Times New Roman" w:eastAsia="宋体" w:cs="Times New Roman"/>
                <w:color w:val="000000" w:themeColor="text1"/>
                <w:sz w:val="24"/>
                <w:szCs w:val="24"/>
              </w:rPr>
              <w:t> </w:t>
            </w:r>
            <w:r>
              <w:rPr>
                <w:rFonts w:hint="eastAsia" w:ascii="Times New Roman" w:hAnsi="Times New Roman" w:eastAsia="宋体" w:cs="Times New Roman"/>
                <w:color w:val="000000" w:themeColor="text1"/>
                <w:sz w:val="24"/>
                <w:szCs w:val="24"/>
              </w:rPr>
              <w:t>国家安全监管总局关于加快烧结砖瓦行业转型发展的若干意见》（工信部联原【</w:t>
            </w:r>
            <w:r>
              <w:rPr>
                <w:rFonts w:ascii="Times New Roman" w:hAnsi="Times New Roman" w:eastAsia="宋体" w:cs="Times New Roman"/>
                <w:color w:val="000000" w:themeColor="text1"/>
                <w:sz w:val="24"/>
                <w:szCs w:val="24"/>
              </w:rPr>
              <w:t>2017</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279</w:t>
            </w:r>
            <w:r>
              <w:rPr>
                <w:rFonts w:hint="eastAsia" w:ascii="Times New Roman" w:hAnsi="Times New Roman" w:eastAsia="宋体" w:cs="Times New Roman"/>
                <w:color w:val="000000" w:themeColor="text1"/>
                <w:sz w:val="24"/>
                <w:szCs w:val="24"/>
              </w:rPr>
              <w:t>号）的相关要求。</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（8）昆明市砖瓦企业要求的符合性分析</w:t>
            </w:r>
          </w:p>
          <w:p>
            <w:pPr>
              <w:spacing w:line="360" w:lineRule="auto"/>
              <w:ind w:firstLine="482" w:firstLineChars="200"/>
              <w:rPr>
                <w:rFonts w:ascii="Times New Roman" w:hAnsi="Times New Roman" w:eastAsia="宋体" w:cs="Times New Roman"/>
                <w:b/>
                <w:bCs/>
                <w:color w:val="000000" w:themeColor="text1"/>
                <w:sz w:val="24"/>
                <w:szCs w:val="24"/>
              </w:rPr>
            </w:pPr>
            <w:r>
              <w:rPr>
                <w:rFonts w:hint="eastAsia" w:ascii="Times New Roman" w:hAnsi="Times New Roman" w:eastAsia="宋体" w:cs="Times New Roman"/>
                <w:b/>
                <w:bCs/>
                <w:color w:val="000000" w:themeColor="text1"/>
                <w:sz w:val="24"/>
                <w:szCs w:val="24"/>
              </w:rPr>
              <w:t>①与《昆明市人民政府关于全面加强生态环境保护坚决打好污染防治攻坚战的实施意见》符合性分析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本项目与《昆明市人民政府关于全面加强生态环境保护坚决打好污染防治攻坚战的实施意见》相符性详见下表。</w:t>
            </w:r>
          </w:p>
          <w:p>
            <w:pPr>
              <w:jc w:val="center"/>
              <w:rPr>
                <w:rFonts w:ascii="Times New Roman" w:cs="Times New Roman" w:hAnsiTheme="minorEastAsia"/>
                <w:b/>
                <w:color w:val="000000" w:themeColor="text1"/>
              </w:rPr>
            </w:pPr>
            <w:r>
              <w:rPr>
                <w:rFonts w:ascii="Times New Roman" w:cs="Times New Roman" w:hAnsiTheme="minorEastAsia"/>
                <w:b/>
                <w:color w:val="000000" w:themeColor="text1"/>
              </w:rPr>
              <w:t>表</w:t>
            </w:r>
            <w:r>
              <w:rPr>
                <w:rFonts w:hint="eastAsia" w:ascii="Times New Roman" w:cs="Times New Roman" w:hAnsiTheme="minorEastAsia"/>
                <w:b/>
                <w:color w:val="000000" w:themeColor="text1"/>
              </w:rPr>
              <w:t>1-7</w:t>
            </w:r>
            <w:r>
              <w:rPr>
                <w:rFonts w:ascii="Times New Roman" w:cs="Times New Roman" w:hAnsiTheme="minorEastAsia"/>
                <w:b/>
                <w:color w:val="000000" w:themeColor="text1"/>
              </w:rPr>
              <w:t xml:space="preserve"> </w:t>
            </w:r>
            <w:r>
              <w:rPr>
                <w:rFonts w:hint="eastAsia" w:ascii="Times New Roman" w:cs="Times New Roman" w:hAnsiTheme="minorEastAsia"/>
                <w:b/>
                <w:color w:val="000000" w:themeColor="text1"/>
              </w:rPr>
              <w:t>与全面加强生态环境保护坚决打好污染防治攻坚战的实施意见</w:t>
            </w:r>
            <w:r>
              <w:rPr>
                <w:rFonts w:ascii="Times New Roman" w:cs="Times New Roman" w:hAnsiTheme="minorEastAsia"/>
                <w:b/>
                <w:color w:val="000000" w:themeColor="text1"/>
              </w:rPr>
              <w:t>相符性分析</w:t>
            </w:r>
            <w:r>
              <w:rPr>
                <w:rFonts w:hint="eastAsia" w:ascii="Times New Roman" w:cs="Times New Roman" w:hAnsiTheme="minorEastAsia"/>
                <w:b/>
                <w:color w:val="000000" w:themeColor="text1"/>
              </w:rPr>
              <w:t>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959"/>
              <w:gridCol w:w="3375"/>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序号</w:t>
                  </w:r>
                </w:p>
              </w:tc>
              <w:tc>
                <w:tcPr>
                  <w:tcW w:w="3827" w:type="dxa"/>
                  <w:tcBorders>
                    <w:tl2br w:val="nil"/>
                    <w:tr2bl w:val="nil"/>
                  </w:tcBorders>
                </w:tcPr>
                <w:p>
                  <w:pPr>
                    <w:pStyle w:val="32"/>
                    <w:spacing w:line="360" w:lineRule="exact"/>
                    <w:rPr>
                      <w:rFonts w:eastAsiaTheme="minorEastAsia"/>
                      <w:color w:val="000000" w:themeColor="text1"/>
                      <w:szCs w:val="21"/>
                    </w:rPr>
                  </w:pPr>
                  <w:r>
                    <w:rPr>
                      <w:rFonts w:hint="eastAsia" w:eastAsiaTheme="minorEastAsia"/>
                      <w:color w:val="000000" w:themeColor="text1"/>
                      <w:szCs w:val="21"/>
                    </w:rPr>
                    <w:t>昆明市人民政府关于全面加强生态环境保护坚决打好污染防治攻坚战的实施意见相关要求</w:t>
                  </w:r>
                </w:p>
              </w:tc>
              <w:tc>
                <w:tcPr>
                  <w:tcW w:w="3262"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项目实际情况</w:t>
                  </w:r>
                </w:p>
              </w:tc>
              <w:tc>
                <w:tcPr>
                  <w:tcW w:w="639" w:type="dxa"/>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1</w:t>
                  </w:r>
                </w:p>
              </w:tc>
              <w:tc>
                <w:tcPr>
                  <w:tcW w:w="3827"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对全市砖瓦行业进行清理整治，淘汰不符合产业政策的砖瓦企业。加强监管，督促符合产业政策的砖瓦企业落实环保措施，2018年底，完成滇池流域二级保护区内砖瓦企业关停取缔工作和全市范围内不符合产业政策的砖瓦企业关停取缔工作。2019年底，完成符合产业政策的砖瓦企业综合整治，达标排放。</w:t>
                  </w:r>
                </w:p>
              </w:tc>
              <w:tc>
                <w:tcPr>
                  <w:tcW w:w="3262"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根据昆明市东川区工业和科学技术信息化局2021年9月7日出具的《关于对东川区砖瓦行业淘汰落后产能情况说明》已明确：“为满足东川区的建设需求、方便群众，同意昆明北杏新型建材有限公司技改一条生产线” ，即同意本项目的建设。</w:t>
                  </w:r>
                </w:p>
              </w:tc>
              <w:tc>
                <w:tcPr>
                  <w:tcW w:w="639" w:type="dxa"/>
                  <w:tcBorders>
                    <w:tl2br w:val="nil"/>
                    <w:tr2bl w:val="nil"/>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符合</w:t>
                  </w:r>
                </w:p>
              </w:tc>
            </w:tr>
          </w:tbl>
          <w:p>
            <w:pPr>
              <w:spacing w:beforeLines="50"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由上表可知，项目符合《昆明市人民政府关于全面加强生态环境保护坚决打好污染防治攻坚战的实施意见》（昆发〔2018〕20号）的相关要求。</w:t>
            </w:r>
          </w:p>
          <w:p>
            <w:pPr>
              <w:spacing w:line="360" w:lineRule="auto"/>
              <w:ind w:firstLine="482" w:firstLineChars="200"/>
              <w:rPr>
                <w:rFonts w:ascii="Times New Roman" w:hAnsi="Times New Roman" w:eastAsia="宋体" w:cs="Times New Roman"/>
                <w:b/>
                <w:bCs/>
                <w:color w:val="000000" w:themeColor="text1"/>
                <w:sz w:val="24"/>
                <w:szCs w:val="24"/>
              </w:rPr>
            </w:pPr>
            <w:r>
              <w:rPr>
                <w:rFonts w:hint="eastAsia" w:ascii="Times New Roman" w:hAnsi="Times New Roman" w:eastAsia="宋体" w:cs="Times New Roman"/>
                <w:b/>
                <w:bCs/>
                <w:color w:val="000000" w:themeColor="text1"/>
                <w:sz w:val="24"/>
                <w:szCs w:val="24"/>
              </w:rPr>
              <w:t>②与《关于开展砖瓦行业淘汰验收工作的通知》（昆淘汰办【2018】16号）和《关于下达2020年市级淘汰落后产能计划的通知》（昆淘汰办【2020】1号）的符合性分析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昆明市淘汰落后产能工作领导小组办公室下发了《关于开展砖瓦行业淘汰验收工作的通知》（昆淘汰办【2018】16号）和《关于下达2020年市级淘汰落后产能计划的通知》（昆淘汰办【2020】1号）的要求，将限期拆除不符合产业政策的砖瓦窑生产设施。</w:t>
            </w:r>
            <w:r>
              <w:rPr>
                <w:rFonts w:ascii="Times New Roman" w:hAnsi="Times New Roman" w:eastAsia="宋体" w:cs="Times New Roman"/>
                <w:color w:val="000000" w:themeColor="text1"/>
                <w:sz w:val="24"/>
                <w:szCs w:val="24"/>
              </w:rPr>
              <w:t>昆明市东川区工业和科学技术信息化局2021年9月7日出具的《关于对东川区砖瓦行业淘汰落后产能情况说明》</w:t>
            </w:r>
            <w:r>
              <w:rPr>
                <w:rFonts w:hint="eastAsia" w:ascii="Times New Roman" w:hAnsi="Times New Roman" w:eastAsia="宋体" w:cs="Times New Roman"/>
                <w:color w:val="000000" w:themeColor="text1"/>
                <w:sz w:val="24"/>
                <w:szCs w:val="24"/>
              </w:rPr>
              <w:t>，该说明文件已明确：含本项目在内的应拆除项目其生产设施及主体设备都已全部拆除，并通过省、工信部门邀请专家现场核查验收，为满足东川区的建设需求、方便群众，同意昆明北杏新型建材有限公司技改一条生产线（即同意本技改项目的建设）。因此项目的建设符合《关于开展砖瓦行业淘汰验收工作的通知》（昆淘汰办【2018】16号）和《关于下达2020年市级淘汰落后产能计划的通知》（昆淘汰办【2020】1号）的相关要求。</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（9）与《工业炉窑大气污染综合治理方案》（环大气【2019】56号）的符合性分析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项目建设的隧道窑属于工业炉窑中的焙（煅）烧炉（窑），项目与《工业炉窑大气污染综合治理方案》（环大气【2019】56号）的符合性分析情况如下表所示。</w:t>
            </w:r>
          </w:p>
          <w:p>
            <w:pPr>
              <w:spacing w:line="360" w:lineRule="auto"/>
              <w:ind w:firstLine="480" w:firstLineChars="200"/>
              <w:rPr>
                <w:rFonts w:ascii="Times New Roman" w:hAnsi="Times New Roman" w:eastAsia="宋体" w:cs="Times New Roman"/>
                <w:color w:val="000000" w:themeColor="text1"/>
                <w:sz w:val="24"/>
                <w:szCs w:val="24"/>
              </w:rPr>
            </w:pPr>
          </w:p>
          <w:p>
            <w:pPr>
              <w:jc w:val="center"/>
              <w:rPr>
                <w:rFonts w:ascii="Times New Roman" w:cs="Times New Roman" w:hAnsiTheme="minorEastAsia"/>
                <w:b/>
                <w:color w:val="000000" w:themeColor="text1"/>
              </w:rPr>
            </w:pPr>
            <w:r>
              <w:rPr>
                <w:rFonts w:ascii="Times New Roman" w:cs="Times New Roman" w:hAnsiTheme="minorEastAsia"/>
                <w:b/>
                <w:color w:val="000000" w:themeColor="text1"/>
              </w:rPr>
              <w:t>表</w:t>
            </w:r>
            <w:r>
              <w:rPr>
                <w:rFonts w:hint="eastAsia" w:ascii="Times New Roman" w:cs="Times New Roman" w:hAnsiTheme="minorEastAsia"/>
                <w:b/>
                <w:color w:val="000000" w:themeColor="text1"/>
              </w:rPr>
              <w:t>1-8</w:t>
            </w:r>
            <w:r>
              <w:rPr>
                <w:rFonts w:ascii="Times New Roman" w:cs="Times New Roman" w:hAnsiTheme="minorEastAsia"/>
                <w:b/>
                <w:color w:val="000000" w:themeColor="text1"/>
              </w:rPr>
              <w:t xml:space="preserve"> </w:t>
            </w:r>
            <w:r>
              <w:rPr>
                <w:rFonts w:hint="eastAsia" w:ascii="Times New Roman" w:cs="Times New Roman" w:hAnsiTheme="minorEastAsia"/>
                <w:b/>
                <w:color w:val="000000" w:themeColor="text1"/>
              </w:rPr>
              <w:t>与工业炉窑大气污染综合治理方案</w:t>
            </w:r>
            <w:r>
              <w:rPr>
                <w:rFonts w:ascii="Times New Roman" w:cs="Times New Roman" w:hAnsiTheme="minorEastAsia"/>
                <w:b/>
                <w:color w:val="000000" w:themeColor="text1"/>
              </w:rPr>
              <w:t>相符性分析</w:t>
            </w:r>
            <w:r>
              <w:rPr>
                <w:rFonts w:hint="eastAsia" w:ascii="Times New Roman" w:cs="Times New Roman" w:hAnsiTheme="minorEastAsia"/>
                <w:b/>
                <w:color w:val="000000" w:themeColor="text1"/>
              </w:rPr>
              <w:t>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344"/>
              <w:gridCol w:w="314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序号</w:t>
                  </w:r>
                </w:p>
              </w:tc>
              <w:tc>
                <w:tcPr>
                  <w:tcW w:w="4344" w:type="dxa"/>
                  <w:tcBorders>
                    <w:tl2br w:val="nil"/>
                    <w:tr2bl w:val="nil"/>
                  </w:tcBorders>
                </w:tcPr>
                <w:p>
                  <w:pPr>
                    <w:pStyle w:val="32"/>
                    <w:spacing w:line="360" w:lineRule="exact"/>
                    <w:rPr>
                      <w:rFonts w:eastAsiaTheme="minorEastAsia"/>
                      <w:color w:val="000000" w:themeColor="text1"/>
                      <w:szCs w:val="21"/>
                    </w:rPr>
                  </w:pPr>
                  <w:r>
                    <w:rPr>
                      <w:rFonts w:hint="eastAsia" w:eastAsiaTheme="minorEastAsia"/>
                      <w:color w:val="000000" w:themeColor="text1"/>
                      <w:szCs w:val="21"/>
                    </w:rPr>
                    <w:t>工业炉窑大气污染综合治理方案相关要求</w:t>
                  </w:r>
                </w:p>
              </w:tc>
              <w:tc>
                <w:tcPr>
                  <w:tcW w:w="3140"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项目实际情况</w:t>
                  </w:r>
                </w:p>
              </w:tc>
              <w:tc>
                <w:tcPr>
                  <w:tcW w:w="670" w:type="dxa"/>
                  <w:tcBorders>
                    <w:tl2br w:val="nil"/>
                    <w:tr2bl w:val="nil"/>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w:t>
                  </w:r>
                </w:p>
              </w:tc>
              <w:tc>
                <w:tcPr>
                  <w:tcW w:w="4344" w:type="dxa"/>
                  <w:tcBorders>
                    <w:tl2br w:val="nil"/>
                    <w:tr2bl w:val="nil"/>
                  </w:tcBorders>
                </w:tcPr>
                <w:p>
                  <w:pPr>
                    <w:widowControl/>
                    <w:spacing w:line="360" w:lineRule="exact"/>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一）加大产业结构调整力度。严格建设项目环境准入。新建涉工业炉窑的建设项目，原则上要入园区，配套建设高效环保治理设施。重点区域严格控制涉工业炉窑建设项目，严禁新增钢铁、焦化、电解铝、铸造、水泥和平板玻璃等产能；严格执行钢铁、水泥、平板玻璃等行业产能置换实施办法；原则上禁止新建燃料类煤气发生炉（园区现有企业统一建设的清洁煤制气中心除外）。</w:t>
                  </w:r>
                </w:p>
                <w:p>
                  <w:pPr>
                    <w:widowControl/>
                    <w:spacing w:line="360" w:lineRule="exact"/>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加大落后产能和不达标工业炉窑淘汰力度。分行业清理《产业结构调整指导目录》淘汰类工业炉窑。天津、河北、山西、江苏、山东等地要按时完成各地已出台的钢铁、焦化、化工等行业产业结构调整任务。鼓励各地制定更加严格的环保标准，进一步促进产业结构调整。对热效率低下、敞开未封闭，装备简易落后、自动化程度低，无组织排放突出，以及无治理设施或</w:t>
                  </w:r>
                  <w:r>
                    <w:rPr>
                      <w:rFonts w:hint="eastAsia" w:ascii="Times New Roman" w:cs="Times New Roman"/>
                      <w:color w:val="000000" w:themeColor="text1"/>
                      <w:kern w:val="32"/>
                    </w:rPr>
                    <w:t>治理设施工艺落后等严重污染环境的工业炉窑，依法责令停业关闭。</w:t>
                  </w:r>
                </w:p>
              </w:tc>
              <w:tc>
                <w:tcPr>
                  <w:tcW w:w="3140" w:type="dxa"/>
                  <w:tcBorders>
                    <w:tl2br w:val="nil"/>
                    <w:tr2bl w:val="nil"/>
                  </w:tcBorders>
                  <w:vAlign w:val="center"/>
                </w:tcPr>
                <w:p>
                  <w:pPr>
                    <w:widowControl/>
                    <w:spacing w:line="360" w:lineRule="exact"/>
                    <w:ind w:firstLine="210" w:firstLineChars="100"/>
                    <w:rPr>
                      <w:rFonts w:ascii="Times New Roman" w:cs="Times New Roman"/>
                      <w:color w:val="000000" w:themeColor="text1"/>
                      <w:kern w:val="32"/>
                    </w:rPr>
                  </w:pPr>
                  <w:r>
                    <w:rPr>
                      <w:rFonts w:hint="eastAsia" w:ascii="Times New Roman" w:cs="Times New Roman"/>
                      <w:color w:val="000000" w:themeColor="text1"/>
                      <w:kern w:val="32"/>
                    </w:rPr>
                    <w:t>①2021年9月13日中共昆明市委  昆明市人民政府发布《</w:t>
                  </w:r>
                  <w:r>
                    <w:rPr>
                      <w:rFonts w:ascii="Times New Roman" w:cs="Times New Roman"/>
                      <w:color w:val="000000" w:themeColor="text1"/>
                      <w:kern w:val="32"/>
                    </w:rPr>
                    <w:t>关于加快开发区及产业园区高质量发展的意见</w:t>
                  </w:r>
                  <w:r>
                    <w:rPr>
                      <w:rFonts w:hint="eastAsia" w:ascii="Times New Roman" w:cs="Times New Roman"/>
                      <w:color w:val="000000" w:themeColor="text1"/>
                      <w:kern w:val="32"/>
                    </w:rPr>
                    <w:t>》（</w:t>
                  </w:r>
                  <w:r>
                    <w:rPr>
                      <w:rFonts w:ascii="Times New Roman" w:cs="Times New Roman"/>
                      <w:color w:val="000000" w:themeColor="text1"/>
                      <w:kern w:val="32"/>
                    </w:rPr>
                    <w:t>昆发</w:t>
                  </w:r>
                  <w:r>
                    <w:rPr>
                      <w:rFonts w:hint="eastAsia" w:ascii="Times New Roman" w:cs="Times New Roman"/>
                      <w:color w:val="000000" w:themeColor="text1"/>
                      <w:kern w:val="32"/>
                    </w:rPr>
                    <w:t>【</w:t>
                  </w:r>
                  <w:r>
                    <w:rPr>
                      <w:rFonts w:ascii="Times New Roman" w:cs="Times New Roman"/>
                      <w:color w:val="000000" w:themeColor="text1"/>
                      <w:kern w:val="32"/>
                    </w:rPr>
                    <w:t>202</w:t>
                  </w:r>
                  <w:r>
                    <w:rPr>
                      <w:rFonts w:hint="eastAsia" w:ascii="Times New Roman" w:cs="Times New Roman"/>
                      <w:color w:val="000000" w:themeColor="text1"/>
                      <w:kern w:val="32"/>
                    </w:rPr>
                    <w:t>1】12</w:t>
                  </w:r>
                  <w:r>
                    <w:rPr>
                      <w:rFonts w:ascii="Times New Roman" w:cs="Times New Roman"/>
                      <w:color w:val="000000" w:themeColor="text1"/>
                      <w:kern w:val="32"/>
                    </w:rPr>
                    <w:t>号</w:t>
                  </w:r>
                  <w:r>
                    <w:rPr>
                      <w:rFonts w:hint="eastAsia" w:ascii="Times New Roman" w:cs="Times New Roman"/>
                      <w:color w:val="000000" w:themeColor="text1"/>
                      <w:kern w:val="32"/>
                    </w:rPr>
                    <w:t>），该文件第二十四条规定：“凡新建、引进的制造业项目和企业必须入园选址发展，园区外原则上不再安排工业项目。对达不到入园条件和标准的农副产品加工、一般加工制造类项目或预拌混凝土搅拌站等不宜入园的特殊行业，须经所在地县（市）区政府、开发区管委会审核同意并报市工高办备案后方可办理其他有关审批手续。”本项目所在区不属于工业园区，建设单位已将项目基本情况向昆明市东川区人民政府进行了汇报；昆明市东川区人民政府对项目基本情况进行认真审核，明确同意该项目选址；</w:t>
                  </w:r>
                </w:p>
                <w:p>
                  <w:pPr>
                    <w:widowControl/>
                    <w:spacing w:line="360" w:lineRule="exact"/>
                    <w:ind w:firstLine="210" w:firstLineChars="100"/>
                    <w:rPr>
                      <w:rFonts w:ascii="Times New Roman" w:cs="Times New Roman"/>
                      <w:color w:val="000000" w:themeColor="text1"/>
                      <w:kern w:val="32"/>
                    </w:rPr>
                  </w:pPr>
                  <w:r>
                    <w:rPr>
                      <w:rFonts w:hint="eastAsia" w:ascii="Times New Roman" w:cs="Times New Roman"/>
                      <w:color w:val="000000" w:themeColor="text1"/>
                      <w:kern w:val="32"/>
                    </w:rPr>
                    <w:t>②项目配套了高效的环保治理设施；</w:t>
                  </w:r>
                </w:p>
                <w:p>
                  <w:pPr>
                    <w:widowControl/>
                    <w:spacing w:line="360" w:lineRule="exact"/>
                    <w:ind w:firstLine="210" w:firstLineChars="100"/>
                    <w:rPr>
                      <w:rFonts w:ascii="Times New Roman" w:cs="Times New Roman"/>
                      <w:color w:val="000000" w:themeColor="text1"/>
                      <w:kern w:val="32"/>
                    </w:rPr>
                  </w:pPr>
                  <w:r>
                    <w:rPr>
                      <w:rFonts w:hint="eastAsia" w:ascii="Times New Roman" w:cs="Times New Roman"/>
                      <w:color w:val="000000" w:themeColor="text1"/>
                      <w:kern w:val="32"/>
                    </w:rPr>
                    <w:t>③本项目不在《工业炉窑大气污染综合治理方案》（环大气【2019】56号）提出的重点区域范围；</w:t>
                  </w:r>
                </w:p>
                <w:p>
                  <w:pPr>
                    <w:widowControl/>
                    <w:spacing w:line="360" w:lineRule="exact"/>
                    <w:ind w:firstLine="210" w:firstLineChars="100"/>
                    <w:rPr>
                      <w:rFonts w:ascii="Times New Roman" w:cs="Times New Roman"/>
                      <w:color w:val="000000" w:themeColor="text1"/>
                      <w:kern w:val="32"/>
                    </w:rPr>
                  </w:pPr>
                  <w:r>
                    <w:rPr>
                      <w:rFonts w:hint="eastAsia" w:ascii="Times New Roman" w:cs="Times New Roman"/>
                      <w:color w:val="000000" w:themeColor="text1"/>
                      <w:kern w:val="32"/>
                    </w:rPr>
                    <w:t>④本项目采用的隧道窑不属于</w:t>
                  </w:r>
                  <w:r>
                    <w:rPr>
                      <w:rFonts w:ascii="Times New Roman" w:cs="Times New Roman"/>
                      <w:color w:val="000000" w:themeColor="text1"/>
                      <w:kern w:val="32"/>
                    </w:rPr>
                    <w:t>《产业结构调整指导目录（2019年本）》</w:t>
                  </w:r>
                  <w:r>
                    <w:rPr>
                      <w:rFonts w:hint="eastAsia" w:ascii="Times New Roman" w:cs="Times New Roman"/>
                      <w:color w:val="000000" w:themeColor="text1"/>
                      <w:kern w:val="32"/>
                    </w:rPr>
                    <w:t>中淘汰类工业炉窑。</w:t>
                  </w:r>
                </w:p>
                <w:p>
                  <w:pPr>
                    <w:widowControl/>
                    <w:spacing w:line="360" w:lineRule="exact"/>
                    <w:ind w:firstLine="210" w:firstLineChars="100"/>
                    <w:rPr>
                      <w:rFonts w:ascii="Times New Roman" w:cs="Times New Roman"/>
                      <w:color w:val="000000" w:themeColor="text1"/>
                      <w:kern w:val="32"/>
                    </w:rPr>
                  </w:pPr>
                  <w:r>
                    <w:rPr>
                      <w:rFonts w:hint="eastAsia" w:ascii="Times New Roman" w:cs="Times New Roman"/>
                      <w:color w:val="000000" w:themeColor="text1"/>
                      <w:kern w:val="32"/>
                    </w:rPr>
                    <w:t>⑤项目各无组织产污环节拟采取的封闭、密闭运输等措施均属于《工业炉窑大气污染综合治理方案》（环大气【2019】56号）界定的无组织污染防治措施。</w:t>
                  </w:r>
                </w:p>
              </w:tc>
              <w:tc>
                <w:tcPr>
                  <w:tcW w:w="670" w:type="dxa"/>
                  <w:tcBorders>
                    <w:tl2br w:val="nil"/>
                    <w:tr2bl w:val="nil"/>
                  </w:tcBorders>
                  <w:vAlign w:val="center"/>
                </w:tcPr>
                <w:p>
                  <w:pPr>
                    <w:pStyle w:val="32"/>
                    <w:spacing w:line="360" w:lineRule="exact"/>
                    <w:rPr>
                      <w:rFonts w:eastAsiaTheme="minorEastAsia"/>
                      <w:color w:val="000000" w:themeColor="text1"/>
                      <w:szCs w:val="21"/>
                    </w:rPr>
                  </w:pPr>
                  <w:r>
                    <w:rPr>
                      <w:rFonts w:hint="eastAsia"/>
                      <w:bCs w:val="0"/>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w:t>
                  </w:r>
                </w:p>
              </w:tc>
              <w:tc>
                <w:tcPr>
                  <w:tcW w:w="4344" w:type="dxa"/>
                  <w:tcBorders>
                    <w:tl2br w:val="nil"/>
                    <w:tr2bl w:val="nil"/>
                  </w:tcBorders>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（二）加快燃料清洁低碳化替代。对以煤、石油焦、渣油、重油等为燃料的工业炉窑，加快使用清洁低碳能源以及利用工厂余热、电厂热力等进行替代。重点区域禁止掺烧高硫石油焦（硫含量大于</w:t>
                  </w:r>
                  <w:r>
                    <w:rPr>
                      <w:rFonts w:ascii="Times New Roman" w:hAnsi="Times New Roman" w:cs="Times New Roman"/>
                      <w:bCs/>
                      <w:snapToGrid w:val="0"/>
                      <w:color w:val="000000" w:themeColor="text1"/>
                      <w:kern w:val="32"/>
                      <w:lang w:val="zh-CN"/>
                    </w:rPr>
                    <w:t>3%</w:t>
                  </w:r>
                  <w:r>
                    <w:rPr>
                      <w:rFonts w:hint="eastAsia" w:ascii="Times New Roman" w:hAnsi="Times New Roman" w:cs="Times New Roman"/>
                      <w:bCs/>
                      <w:snapToGrid w:val="0"/>
                      <w:color w:val="000000" w:themeColor="text1"/>
                      <w:kern w:val="32"/>
                      <w:lang w:val="zh-CN"/>
                    </w:rPr>
                    <w:t>）。玻璃行业全面禁止掺烧高硫石油焦。</w:t>
                  </w:r>
                </w:p>
              </w:tc>
              <w:tc>
                <w:tcPr>
                  <w:tcW w:w="3140" w:type="dxa"/>
                  <w:tcBorders>
                    <w:tl2br w:val="nil"/>
                    <w:tr2bl w:val="nil"/>
                  </w:tcBorders>
                  <w:vAlign w:val="center"/>
                </w:tcPr>
                <w:p>
                  <w:pPr>
                    <w:widowControl/>
                    <w:spacing w:line="360" w:lineRule="exact"/>
                    <w:ind w:firstLine="210" w:firstLineChars="100"/>
                    <w:rPr>
                      <w:rFonts w:ascii="Times New Roman" w:cs="Times New Roman"/>
                      <w:color w:val="000000" w:themeColor="text1"/>
                      <w:kern w:val="32"/>
                    </w:rPr>
                  </w:pPr>
                  <w:r>
                    <w:rPr>
                      <w:rFonts w:hint="eastAsia" w:ascii="Times New Roman" w:cs="Times New Roman"/>
                      <w:color w:val="000000" w:themeColor="text1"/>
                      <w:kern w:val="32"/>
                    </w:rPr>
                    <w:t>本项目所在区域不属于</w:t>
                  </w:r>
                  <w:r>
                    <w:rPr>
                      <w:rFonts w:hint="eastAsia" w:ascii="Times New Roman" w:hAnsi="Times New Roman" w:cs="Times New Roman"/>
                      <w:bCs/>
                      <w:snapToGrid w:val="0"/>
                      <w:color w:val="000000" w:themeColor="text1"/>
                      <w:kern w:val="32"/>
                      <w:lang w:val="zh-CN"/>
                    </w:rPr>
                    <w:t>重点区域，同时</w:t>
                  </w:r>
                  <w:r>
                    <w:rPr>
                      <w:rFonts w:hint="eastAsia" w:ascii="Times New Roman" w:cs="Times New Roman"/>
                      <w:color w:val="000000" w:themeColor="text1"/>
                      <w:kern w:val="32"/>
                    </w:rPr>
                    <w:t>本次技改项目的建设，通过设置有效的环保设施，使</w:t>
                  </w:r>
                  <w:r>
                    <w:rPr>
                      <w:rFonts w:ascii="Times New Roman" w:cs="Times New Roman"/>
                      <w:color w:val="000000" w:themeColor="text1"/>
                      <w:kern w:val="32"/>
                    </w:rPr>
                    <w:t>SO</w:t>
                  </w:r>
                  <w:r>
                    <w:rPr>
                      <w:rFonts w:ascii="Times New Roman" w:cs="Times New Roman"/>
                      <w:color w:val="000000" w:themeColor="text1"/>
                      <w:kern w:val="32"/>
                      <w:vertAlign w:val="subscript"/>
                    </w:rPr>
                    <w:t>2</w:t>
                  </w:r>
                  <w:r>
                    <w:rPr>
                      <w:rFonts w:hint="eastAsia" w:ascii="Times New Roman" w:cs="Times New Roman"/>
                      <w:color w:val="000000" w:themeColor="text1"/>
                      <w:kern w:val="32"/>
                    </w:rPr>
                    <w:t>排放量降低35.62t/a，NOx排放量降低3.68t/a。</w:t>
                  </w:r>
                </w:p>
              </w:tc>
              <w:tc>
                <w:tcPr>
                  <w:tcW w:w="670" w:type="dxa"/>
                  <w:tcBorders>
                    <w:tl2br w:val="nil"/>
                    <w:tr2bl w:val="nil"/>
                  </w:tcBorders>
                  <w:vAlign w:val="center"/>
                </w:tcPr>
                <w:p>
                  <w:pPr>
                    <w:pStyle w:val="32"/>
                    <w:spacing w:line="360" w:lineRule="exact"/>
                    <w:rPr>
                      <w:rFonts w:eastAsiaTheme="minorEastAsia"/>
                      <w:color w:val="000000" w:themeColor="text1"/>
                      <w:szCs w:val="21"/>
                    </w:rPr>
                  </w:pPr>
                  <w:r>
                    <w:rPr>
                      <w:rFonts w:hint="eastAsia"/>
                      <w:bCs w:val="0"/>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w:t>
                  </w:r>
                </w:p>
              </w:tc>
              <w:tc>
                <w:tcPr>
                  <w:tcW w:w="4344" w:type="dxa"/>
                  <w:tcBorders>
                    <w:tl2br w:val="nil"/>
                    <w:tr2bl w:val="nil"/>
                  </w:tcBorders>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（三）实施污染深度治理。推进工业炉窑全面达标排放。已有行业排放标准的工业炉窑，严格执行行业排放标准相关规定，配套建设高效脱硫脱硝除尘设施（见附件</w:t>
                  </w:r>
                  <w:r>
                    <w:rPr>
                      <w:rFonts w:ascii="Times New Roman" w:hAnsi="Times New Roman" w:cs="Times New Roman"/>
                      <w:bCs/>
                      <w:snapToGrid w:val="0"/>
                      <w:color w:val="000000" w:themeColor="text1"/>
                      <w:kern w:val="32"/>
                      <w:lang w:val="zh-CN"/>
                    </w:rPr>
                    <w:t>4</w:t>
                  </w:r>
                  <w:r>
                    <w:rPr>
                      <w:rFonts w:hint="eastAsia" w:ascii="Times New Roman" w:hAnsi="Times New Roman" w:cs="Times New Roman"/>
                      <w:bCs/>
                      <w:snapToGrid w:val="0"/>
                      <w:color w:val="000000" w:themeColor="text1"/>
                      <w:kern w:val="32"/>
                      <w:lang w:val="zh-CN"/>
                    </w:rPr>
                    <w:t>），确保稳定达标排放。已制定更严格地方排放标准的，按地方标准执行。重点区域钢铁、水泥、焦化、石化、化工、有色等行业，二氧化硫、氮氧化物、颗粒物、挥发性有机物（</w:t>
                  </w:r>
                  <w:r>
                    <w:rPr>
                      <w:rFonts w:ascii="Times New Roman" w:hAnsi="Times New Roman" w:cs="Times New Roman"/>
                      <w:bCs/>
                      <w:snapToGrid w:val="0"/>
                      <w:color w:val="000000" w:themeColor="text1"/>
                      <w:kern w:val="32"/>
                      <w:lang w:val="zh-CN"/>
                    </w:rPr>
                    <w:t>VOCs</w:t>
                  </w:r>
                  <w:r>
                    <w:rPr>
                      <w:rFonts w:hint="eastAsia" w:ascii="Times New Roman" w:hAnsi="Times New Roman" w:cs="Times New Roman"/>
                      <w:bCs/>
                      <w:snapToGrid w:val="0"/>
                      <w:color w:val="000000" w:themeColor="text1"/>
                      <w:kern w:val="32"/>
                      <w:lang w:val="zh-CN"/>
                    </w:rPr>
                    <w:t>）排放全面执行大气污染物特别排放限值。已核发排污许可证的，应严格执行许可要求。</w:t>
                  </w:r>
                </w:p>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暂未制订行业排放标准的工业炉窑，包括铸造，日用玻璃，玻璃纤维、耐火材料、石灰、矿物棉等建材行业，钨、工业硅、金属冶炼废渣（灰）二次提取等有色金属行业，氮肥、电石、无机磷、活性炭等化工行业，应参照相关行业已出台的标准，全面加大污染治理力度（见附件</w:t>
                  </w:r>
                  <w:r>
                    <w:rPr>
                      <w:rFonts w:ascii="Times New Roman" w:hAnsi="Times New Roman" w:cs="Times New Roman"/>
                      <w:bCs/>
                      <w:snapToGrid w:val="0"/>
                      <w:color w:val="000000" w:themeColor="text1"/>
                      <w:kern w:val="32"/>
                      <w:lang w:val="zh-CN"/>
                    </w:rPr>
                    <w:t>4</w:t>
                  </w:r>
                  <w:r>
                    <w:rPr>
                      <w:rFonts w:hint="eastAsia" w:ascii="Times New Roman" w:hAnsi="Times New Roman" w:cs="Times New Roman"/>
                      <w:bCs/>
                      <w:snapToGrid w:val="0"/>
                      <w:color w:val="000000" w:themeColor="text1"/>
                      <w:kern w:val="32"/>
                      <w:lang w:val="zh-CN"/>
                    </w:rPr>
                    <w:t>），铸造行业烧结、高炉工序污染排放控制按照钢铁行业相关标准要求执行；重点区域原则上按照颗粒物、二氧化硫、氮氧化物排放限值分别不高于</w:t>
                  </w:r>
                  <w:r>
                    <w:rPr>
                      <w:rFonts w:ascii="Times New Roman" w:hAnsi="Times New Roman" w:cs="Times New Roman"/>
                      <w:bCs/>
                      <w:snapToGrid w:val="0"/>
                      <w:color w:val="000000" w:themeColor="text1"/>
                      <w:kern w:val="32"/>
                      <w:lang w:val="zh-CN"/>
                    </w:rPr>
                    <w:t>30</w:t>
                  </w:r>
                  <w:r>
                    <w:rPr>
                      <w:rFonts w:hint="eastAsia" w:ascii="Times New Roman" w:hAnsi="Times New Roman" w:cs="Times New Roman"/>
                      <w:bCs/>
                      <w:snapToGrid w:val="0"/>
                      <w:color w:val="000000" w:themeColor="text1"/>
                      <w:kern w:val="32"/>
                      <w:lang w:val="zh-CN"/>
                    </w:rPr>
                    <w:t>、</w:t>
                  </w:r>
                  <w:r>
                    <w:rPr>
                      <w:rFonts w:ascii="Times New Roman" w:hAnsi="Times New Roman" w:cs="Times New Roman"/>
                      <w:bCs/>
                      <w:snapToGrid w:val="0"/>
                      <w:color w:val="000000" w:themeColor="text1"/>
                      <w:kern w:val="32"/>
                      <w:lang w:val="zh-CN"/>
                    </w:rPr>
                    <w:t>200</w:t>
                  </w:r>
                  <w:r>
                    <w:rPr>
                      <w:rFonts w:hint="eastAsia" w:ascii="Times New Roman" w:hAnsi="Times New Roman" w:cs="Times New Roman"/>
                      <w:bCs/>
                      <w:snapToGrid w:val="0"/>
                      <w:color w:val="000000" w:themeColor="text1"/>
                      <w:kern w:val="32"/>
                      <w:lang w:val="zh-CN"/>
                    </w:rPr>
                    <w:t>、</w:t>
                  </w:r>
                  <w:r>
                    <w:rPr>
                      <w:rFonts w:ascii="Times New Roman" w:hAnsi="Times New Roman" w:cs="Times New Roman"/>
                      <w:bCs/>
                      <w:snapToGrid w:val="0"/>
                      <w:color w:val="000000" w:themeColor="text1"/>
                      <w:kern w:val="32"/>
                      <w:lang w:val="zh-CN"/>
                    </w:rPr>
                    <w:t xml:space="preserve">300 </w:t>
                  </w:r>
                  <w:r>
                    <w:rPr>
                      <w:rFonts w:hint="eastAsia" w:ascii="Times New Roman" w:hAnsi="Times New Roman" w:cs="Times New Roman"/>
                      <w:bCs/>
                      <w:snapToGrid w:val="0"/>
                      <w:color w:val="000000" w:themeColor="text1"/>
                      <w:kern w:val="32"/>
                      <w:lang w:val="zh-CN"/>
                    </w:rPr>
                    <w:t>毫克</w:t>
                  </w:r>
                  <w:r>
                    <w:rPr>
                      <w:rFonts w:ascii="Times New Roman" w:hAnsi="Times New Roman" w:cs="Times New Roman"/>
                      <w:bCs/>
                      <w:snapToGrid w:val="0"/>
                      <w:color w:val="000000" w:themeColor="text1"/>
                      <w:kern w:val="32"/>
                      <w:lang w:val="zh-CN"/>
                    </w:rPr>
                    <w:t>/</w:t>
                  </w:r>
                  <w:r>
                    <w:rPr>
                      <w:rFonts w:hint="eastAsia" w:ascii="Times New Roman" w:hAnsi="Times New Roman" w:cs="Times New Roman"/>
                      <w:bCs/>
                      <w:snapToGrid w:val="0"/>
                      <w:color w:val="000000" w:themeColor="text1"/>
                      <w:kern w:val="32"/>
                      <w:lang w:val="zh-CN"/>
                    </w:rPr>
                    <w:t>立方米实施改造，其中，日用玻璃、玻璃棉氮氧化物排放限值不高于</w:t>
                  </w:r>
                  <w:r>
                    <w:rPr>
                      <w:rFonts w:ascii="Times New Roman" w:hAnsi="Times New Roman" w:cs="Times New Roman"/>
                      <w:bCs/>
                      <w:snapToGrid w:val="0"/>
                      <w:color w:val="000000" w:themeColor="text1"/>
                      <w:kern w:val="32"/>
                      <w:lang w:val="zh-CN"/>
                    </w:rPr>
                    <w:t xml:space="preserve">400 </w:t>
                  </w:r>
                  <w:r>
                    <w:rPr>
                      <w:rFonts w:hint="eastAsia" w:ascii="Times New Roman" w:hAnsi="Times New Roman" w:cs="Times New Roman"/>
                      <w:bCs/>
                      <w:snapToGrid w:val="0"/>
                      <w:color w:val="000000" w:themeColor="text1"/>
                      <w:kern w:val="32"/>
                      <w:lang w:val="zh-CN"/>
                    </w:rPr>
                    <w:t>毫克</w:t>
                  </w:r>
                  <w:r>
                    <w:rPr>
                      <w:rFonts w:ascii="Times New Roman" w:hAnsi="Times New Roman" w:cs="Times New Roman"/>
                      <w:bCs/>
                      <w:snapToGrid w:val="0"/>
                      <w:color w:val="000000" w:themeColor="text1"/>
                      <w:kern w:val="32"/>
                      <w:lang w:val="zh-CN"/>
                    </w:rPr>
                    <w:t>/</w:t>
                  </w:r>
                  <w:r>
                    <w:rPr>
                      <w:rFonts w:hint="eastAsia" w:ascii="Times New Roman" w:hAnsi="Times New Roman" w:cs="Times New Roman"/>
                      <w:bCs/>
                      <w:snapToGrid w:val="0"/>
                      <w:color w:val="000000" w:themeColor="text1"/>
                      <w:kern w:val="32"/>
                      <w:lang w:val="zh-CN"/>
                    </w:rPr>
                    <w:t>立方米；已制定更严格地方排放标准的地区，执行地方排放标准。</w:t>
                  </w:r>
                </w:p>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全面加强无组织排放管理。严格控制工业炉窑生产工艺过程及相关物料储存、输送等无组织排放，在保障生产安全的前提下，采取密闭、封闭等有效措施（见附件</w:t>
                  </w:r>
                  <w:r>
                    <w:rPr>
                      <w:rFonts w:ascii="Times New Roman" w:hAnsi="Times New Roman" w:cs="Times New Roman"/>
                      <w:bCs/>
                      <w:snapToGrid w:val="0"/>
                      <w:color w:val="000000" w:themeColor="text1"/>
                      <w:kern w:val="32"/>
                      <w:lang w:val="zh-CN"/>
                    </w:rPr>
                    <w:t>5</w:t>
                  </w:r>
                  <w:r>
                    <w:rPr>
                      <w:rFonts w:hint="eastAsia" w:ascii="Times New Roman" w:hAnsi="Times New Roman" w:cs="Times New Roman"/>
                      <w:bCs/>
                      <w:snapToGrid w:val="0"/>
                      <w:color w:val="000000" w:themeColor="text1"/>
                      <w:kern w:val="32"/>
                      <w:lang w:val="zh-CN"/>
                    </w:rPr>
                    <w:t>），有效提高废气收集率，产尘点及车间不得有可见烟粉尘外逸。生产工艺产尘点（装置）应采取密闭、封闭或设置集气罩等措施。煤粉、粉煤灰、石灰、除尘灰、脱硫灰等粉状物料应密闭或封闭储存，采用密闭皮带、封闭通廊、管状带式输送机或密闭车厢、真空罐车、气力输送等方式输送。粒状、块状物料应采用入棚入仓或建设防风抑尘网等方式进行储存，粒状物料采用密闭、封闭等方式输送。物料输送过程中产尘点应采取有效抑尘措施。</w:t>
                  </w:r>
                </w:p>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推进重点行业污染深度治理。落实《关于推进实施钢铁行业超低排放的意见》，加快推进钢铁行业超低排放改造。积极推进电解铝、平板玻璃、水泥、焦化等行业污染治理升级改造。重点区域内电解铝企业全面推进烟气脱硫设施建设；全面加大热残极冷却过程无组织排放治理力度，建设封闭高效的烟气收集系统，实现残极冷却烟气有效处理。重点区域内平板玻璃、建筑陶瓷企业应逐步取消脱硫脱硝烟气旁路或设置备用脱硫脱硝等设施，鼓励水泥企业实施全流程污染深度治理。推进具备条件的焦化企业实施干熄焦改造，在保证安全生产前提下，重点区域城市建成区内焦炉实施炉体加罩封闭，并对废气进行收集处理。</w:t>
                  </w:r>
                </w:p>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加大煤气发生炉</w:t>
                  </w:r>
                  <w:r>
                    <w:rPr>
                      <w:rFonts w:ascii="Times New Roman" w:hAnsi="Times New Roman" w:cs="Times New Roman"/>
                      <w:bCs/>
                      <w:snapToGrid w:val="0"/>
                      <w:color w:val="000000" w:themeColor="text1"/>
                      <w:kern w:val="32"/>
                      <w:lang w:val="zh-CN"/>
                    </w:rPr>
                    <w:t xml:space="preserve">VOCs </w:t>
                  </w:r>
                  <w:r>
                    <w:rPr>
                      <w:rFonts w:hint="eastAsia" w:ascii="Times New Roman" w:hAnsi="Times New Roman" w:cs="Times New Roman"/>
                      <w:bCs/>
                      <w:snapToGrid w:val="0"/>
                      <w:color w:val="000000" w:themeColor="text1"/>
                      <w:kern w:val="32"/>
                      <w:lang w:val="zh-CN"/>
                    </w:rPr>
                    <w:t>治理力度。酚水系统应封闭，产生的废气应收集处理，鼓励送至煤气发生炉鼓风机入口进行再利用；酚水应送至煤气发生炉处置，或回收酚、氨后深度处理，或送至水煤浆炉进行焚烧等。禁止含酚废水直接作为煤气水封水、冲渣水。氮肥等行业采用固定床间歇式煤气化炉的，加快推进煤气冷却由直接水洗改为间接冷却；其他区域采用直接水洗冷却方式的，造气循环水集输、储存、处理系统应封闭，收集的废气送至三废炉处理。吹风气、弛放气应全部收集利用。</w:t>
                  </w:r>
                </w:p>
              </w:tc>
              <w:tc>
                <w:tcPr>
                  <w:tcW w:w="3140"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①本项目已配备高效除尘设施和脱硫除尘系统（</w:t>
                  </w:r>
                  <w:r>
                    <w:rPr>
                      <w:rFonts w:ascii="Times New Roman" w:hAnsi="Times New Roman" w:cs="Times New Roman"/>
                      <w:bCs/>
                      <w:snapToGrid w:val="0"/>
                      <w:color w:val="000000" w:themeColor="text1"/>
                      <w:kern w:val="32"/>
                      <w:lang w:val="zh-CN"/>
                    </w:rPr>
                    <w:t>钠碱双碱还原法脱硫除尘</w:t>
                  </w:r>
                  <w:r>
                    <w:rPr>
                      <w:rFonts w:hint="eastAsia" w:ascii="Times New Roman" w:hAnsi="Times New Roman" w:cs="Times New Roman"/>
                      <w:bCs/>
                      <w:snapToGrid w:val="0"/>
                      <w:color w:val="000000" w:themeColor="text1"/>
                      <w:kern w:val="32"/>
                      <w:lang w:val="zh-CN"/>
                    </w:rPr>
                    <w:t>）满足《工业炉窑大气污染综合治理方案》（环大气【2019】56号）附件4提出的治理措施要求，同时项目污染物排放达到</w:t>
                  </w:r>
                  <w:r>
                    <w:rPr>
                      <w:rFonts w:ascii="Times New Roman" w:hAnsi="Times New Roman" w:cs="Times New Roman"/>
                      <w:bCs/>
                      <w:snapToGrid w:val="0"/>
                      <w:color w:val="000000" w:themeColor="text1"/>
                      <w:kern w:val="32"/>
                      <w:lang w:val="zh-CN"/>
                    </w:rPr>
                    <w:t>《砖瓦工业大气污染物排放标准》（GB29620-2013）</w:t>
                  </w:r>
                  <w:r>
                    <w:rPr>
                      <w:rFonts w:hint="eastAsia" w:ascii="Times New Roman" w:hAnsi="Times New Roman" w:cs="Times New Roman"/>
                      <w:bCs/>
                      <w:snapToGrid w:val="0"/>
                      <w:color w:val="000000" w:themeColor="text1"/>
                      <w:kern w:val="32"/>
                      <w:lang w:val="zh-CN"/>
                    </w:rPr>
                    <w:t>及其修改单要求。</w:t>
                  </w:r>
                </w:p>
                <w:p>
                  <w:pPr>
                    <w:widowControl/>
                    <w:ind w:firstLine="210" w:firstLineChars="100"/>
                    <w:rPr>
                      <w:rFonts w:eastAsia="宋体"/>
                      <w:color w:val="000000" w:themeColor="text1"/>
                    </w:rPr>
                  </w:pPr>
                  <w:r>
                    <w:rPr>
                      <w:rFonts w:hint="eastAsia" w:ascii="Times New Roman" w:cs="Times New Roman"/>
                      <w:color w:val="000000" w:themeColor="text1"/>
                      <w:kern w:val="32"/>
                    </w:rPr>
                    <w:t>②项目各无组织产污环节拟采取的封闭、密闭运输等措施均属于《工业炉窑大气污染综合治理方案》（环大气【2019】56号）界定的无组织污染防治措施。</w:t>
                  </w:r>
                </w:p>
              </w:tc>
              <w:tc>
                <w:tcPr>
                  <w:tcW w:w="670" w:type="dxa"/>
                  <w:tcBorders>
                    <w:tl2br w:val="nil"/>
                    <w:tr2bl w:val="nil"/>
                  </w:tcBorders>
                  <w:vAlign w:val="center"/>
                </w:tcPr>
                <w:p>
                  <w:pPr>
                    <w:pStyle w:val="32"/>
                    <w:spacing w:line="360" w:lineRule="exact"/>
                    <w:rPr>
                      <w:rFonts w:eastAsiaTheme="minorEastAsia"/>
                      <w:color w:val="000000" w:themeColor="text1"/>
                      <w:szCs w:val="21"/>
                    </w:rPr>
                  </w:pPr>
                  <w:r>
                    <w:rPr>
                      <w:rFonts w:hint="eastAsia"/>
                      <w:bCs w:val="0"/>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Borders>
                    <w:tl2br w:val="nil"/>
                    <w:tr2bl w:val="nil"/>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w:t>
                  </w:r>
                </w:p>
              </w:tc>
              <w:tc>
                <w:tcPr>
                  <w:tcW w:w="4344" w:type="dxa"/>
                  <w:tcBorders>
                    <w:tl2br w:val="nil"/>
                    <w:tr2bl w:val="nil"/>
                  </w:tcBorders>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四）开展工业园区和产业集群综合整治。各地要加大涉工业炉窑类工业园区和产业集群的综合整治力度，结合“三线一单”（生态保护红线、环境质量底线、资源利用上线和生态环境准入清单）、规划环评等要求，进一步梳理确定园区和产业发展定位、规模及结构等。制定综合整治方案，对标先进企业，从生产工艺、产能规模、燃料类型、污染治理等方面提出明确要求，提升产业发展质量和环保治理水平。按照统一标准、统一时间表的要求，同步推进区域环境综合整治和企业升级改造。加强工业园区能源替代利用与资源共享，积极推广集中供汽供热或建设清洁低碳能源中心等，替代工业炉窑燃料用煤；充分利用园区内工厂余热、焦炉煤气等清洁低碳能源，加强分质与梯级利用，提高能源利用效率，促进形成清洁低碳高效产业链。</w:t>
                  </w:r>
                </w:p>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加强涉工业炉窑企业运输结构调整，京津冀及周边地区大宗货物年货运量</w:t>
                  </w:r>
                  <w:r>
                    <w:rPr>
                      <w:rFonts w:ascii="Times New Roman" w:hAnsi="Times New Roman" w:cs="Times New Roman"/>
                      <w:bCs/>
                      <w:snapToGrid w:val="0"/>
                      <w:color w:val="000000" w:themeColor="text1"/>
                      <w:kern w:val="32"/>
                      <w:lang w:val="zh-CN"/>
                    </w:rPr>
                    <w:t xml:space="preserve">150 </w:t>
                  </w:r>
                  <w:r>
                    <w:rPr>
                      <w:rFonts w:hint="eastAsia" w:ascii="Times New Roman" w:hAnsi="Times New Roman" w:cs="Times New Roman"/>
                      <w:bCs/>
                      <w:snapToGrid w:val="0"/>
                      <w:color w:val="000000" w:themeColor="text1"/>
                      <w:kern w:val="32"/>
                      <w:lang w:val="zh-CN"/>
                    </w:rPr>
                    <w:t>万吨及以上的，原则上全部修建铁路专用线；具有铁路专用线的，大宗货物铁路运输比例应达到</w:t>
                  </w:r>
                  <w:r>
                    <w:rPr>
                      <w:rFonts w:ascii="Times New Roman" w:hAnsi="Times New Roman" w:cs="Times New Roman"/>
                      <w:bCs/>
                      <w:snapToGrid w:val="0"/>
                      <w:color w:val="000000" w:themeColor="text1"/>
                      <w:kern w:val="32"/>
                      <w:lang w:val="zh-CN"/>
                    </w:rPr>
                    <w:t>80%</w:t>
                  </w:r>
                  <w:r>
                    <w:rPr>
                      <w:rFonts w:hint="eastAsia" w:ascii="Times New Roman" w:hAnsi="Times New Roman" w:cs="Times New Roman"/>
                      <w:bCs/>
                      <w:snapToGrid w:val="0"/>
                      <w:color w:val="000000" w:themeColor="text1"/>
                      <w:kern w:val="32"/>
                      <w:lang w:val="zh-CN"/>
                    </w:rPr>
                    <w:t>以上。</w:t>
                  </w:r>
                </w:p>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涉工业炉窑类产业集群主要包括陶瓷、玻璃、砖瓦、耐火材料、石灰、矿物棉、铸造、独立轧钢、铁合金、再生有色金属、炭素、化工等行业。各地应结合当地产业发展特征等自行确定。</w:t>
                  </w:r>
                </w:p>
              </w:tc>
              <w:tc>
                <w:tcPr>
                  <w:tcW w:w="3140" w:type="dxa"/>
                  <w:tcBorders>
                    <w:tl2br w:val="nil"/>
                    <w:tr2bl w:val="nil"/>
                  </w:tcBorders>
                  <w:vAlign w:val="center"/>
                </w:tcPr>
                <w:p>
                  <w:pPr>
                    <w:widowControl/>
                    <w:ind w:firstLine="210" w:firstLineChars="10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地方出台的产业集群综合整治方案包括《昆明市人民政府关于全面加强生态环境保护坚决打好污染防治攻坚战的实施意见》、《关于开展砖瓦行业淘汰验收工作的通知》（昆淘汰办【2018】16号）和《关于下达2020年市级淘汰落后产能计划的通知》（昆淘汰办【2020】1号）等，根据对照分析，本项目的建设满足地方产业集群综合整治的相关要求。</w:t>
                  </w:r>
                </w:p>
              </w:tc>
              <w:tc>
                <w:tcPr>
                  <w:tcW w:w="670" w:type="dxa"/>
                  <w:tcBorders>
                    <w:tl2br w:val="nil"/>
                    <w:tr2bl w:val="nil"/>
                  </w:tcBorders>
                  <w:vAlign w:val="center"/>
                </w:tcPr>
                <w:p>
                  <w:pPr>
                    <w:pStyle w:val="32"/>
                    <w:spacing w:line="360" w:lineRule="exact"/>
                    <w:rPr>
                      <w:rFonts w:eastAsiaTheme="minorEastAsia"/>
                      <w:color w:val="000000" w:themeColor="text1"/>
                      <w:szCs w:val="21"/>
                    </w:rPr>
                  </w:pPr>
                  <w:r>
                    <w:rPr>
                      <w:rFonts w:hint="eastAsia"/>
                      <w:bCs w:val="0"/>
                      <w:color w:val="000000" w:themeColor="text1"/>
                    </w:rPr>
                    <w:t>符合</w:t>
                  </w:r>
                </w:p>
              </w:tc>
            </w:tr>
          </w:tbl>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1" w:type="dxa"/>
            <w:vAlign w:val="center"/>
          </w:tcPr>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2007年，昆明市北杏新型建材有限公司在</w:t>
            </w:r>
            <w:r>
              <w:rPr>
                <w:rFonts w:ascii="Times New Roman" w:hAnsi="Times New Roman" w:cs="Times New Roman"/>
                <w:color w:val="000000" w:themeColor="text1"/>
                <w:sz w:val="24"/>
                <w:szCs w:val="24"/>
              </w:rPr>
              <w:t>昆明市东川区铜都街道办事处绿茂老村</w:t>
            </w:r>
            <w:r>
              <w:rPr>
                <w:rFonts w:hint="eastAsia" w:ascii="Times New Roman" w:hAnsi="Times New Roman" w:cs="Times New Roman"/>
                <w:color w:val="000000" w:themeColor="text1"/>
                <w:sz w:val="24"/>
                <w:szCs w:val="24"/>
              </w:rPr>
              <w:t>建成了“昆明市北杏新型建材有限公司原年产3000万块页岩砖项目”（环评批文号为：东环保【2007】123号），2012年，昆明市北杏新型建材有限公司对该项目进行了改扩建，建成了“昆明市北杏新型建材有限公司原年产3000万块页岩砖改扩建为年产6000万块页岩砖技术改造项目”（环评批文号为：东环保复【2012】60号），但由于2012年技改后的项目主体结构依然为轮窑，属于</w:t>
            </w:r>
            <w:r>
              <w:rPr>
                <w:rFonts w:ascii="Times New Roman" w:hAnsi="Times New Roman" w:cs="Times New Roman"/>
                <w:color w:val="000000" w:themeColor="text1"/>
                <w:sz w:val="24"/>
                <w:szCs w:val="24"/>
              </w:rPr>
              <w:t>《产业结构调整指导目录》（2019年本）</w:t>
            </w:r>
            <w:r>
              <w:rPr>
                <w:rFonts w:hint="eastAsia" w:ascii="Times New Roman" w:hAnsi="Times New Roman" w:cs="Times New Roman"/>
                <w:color w:val="000000" w:themeColor="text1"/>
                <w:sz w:val="24"/>
                <w:szCs w:val="24"/>
              </w:rPr>
              <w:t>中的淘汰类设施；为了</w:t>
            </w:r>
            <w:r>
              <w:rPr>
                <w:rFonts w:ascii="Times New Roman" w:hAnsi="Times New Roman" w:cs="Times New Roman"/>
                <w:color w:val="000000" w:themeColor="text1"/>
                <w:sz w:val="24"/>
                <w:szCs w:val="24"/>
              </w:rPr>
              <w:t>满足东川区的建设需求、方便群众，昆明市东川区工业和科学技术信息化局</w:t>
            </w:r>
            <w:r>
              <w:rPr>
                <w:rFonts w:hint="eastAsia" w:ascii="Times New Roman" w:hAnsi="Times New Roman" w:cs="Times New Roman"/>
                <w:color w:val="000000" w:themeColor="text1"/>
                <w:sz w:val="24"/>
                <w:szCs w:val="24"/>
              </w:rPr>
              <w:t>同意</w:t>
            </w:r>
            <w:r>
              <w:rPr>
                <w:rFonts w:ascii="Times New Roman" w:hAnsi="Times New Roman" w:cs="Times New Roman"/>
                <w:color w:val="000000" w:themeColor="text1"/>
                <w:sz w:val="24"/>
                <w:szCs w:val="24"/>
              </w:rPr>
              <w:t>昆明北杏新型建材有限公司</w:t>
            </w:r>
            <w:r>
              <w:rPr>
                <w:rFonts w:hint="eastAsia" w:ascii="Times New Roman" w:hAnsi="Times New Roman" w:cs="Times New Roman"/>
                <w:color w:val="000000" w:themeColor="text1"/>
                <w:sz w:val="24"/>
                <w:szCs w:val="24"/>
              </w:rPr>
              <w:t>在原址进行改扩建，建设</w:t>
            </w:r>
            <w:r>
              <w:rPr>
                <w:rFonts w:ascii="Times New Roman" w:hAnsi="Times New Roman" w:cs="Times New Roman"/>
                <w:color w:val="000000" w:themeColor="text1"/>
                <w:sz w:val="24"/>
                <w:szCs w:val="24"/>
              </w:rPr>
              <w:t>年产7000万块页岩砖改扩建项目</w:t>
            </w:r>
            <w:r>
              <w:rPr>
                <w:rFonts w:hint="eastAsia" w:ascii="Times New Roman" w:hAnsi="Times New Roman" w:cs="Times New Roman"/>
                <w:color w:val="000000" w:themeColor="text1"/>
                <w:sz w:val="24"/>
                <w:szCs w:val="24"/>
              </w:rPr>
              <w:t>。</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本项目改扩建完成后，页岩砖的生产规模为7000万块/a。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项目在原有用地范围内进行改扩建，</w:t>
            </w:r>
            <w:r>
              <w:rPr>
                <w:rFonts w:ascii="Times New Roman" w:hAnsi="Times New Roman" w:cs="Times New Roman"/>
                <w:color w:val="000000" w:themeColor="text1"/>
                <w:sz w:val="24"/>
                <w:szCs w:val="24"/>
              </w:rPr>
              <w:t>占地面积10300m</w:t>
            </w:r>
            <w:r>
              <w:rPr>
                <w:rFonts w:hint="eastAsia" w:ascii="Times New Roman" w:hAnsi="Times New Roman" w:cs="Times New Roman"/>
                <w:color w:val="000000" w:themeColor="text1"/>
                <w:sz w:val="24"/>
                <w:szCs w:val="24"/>
              </w:rPr>
              <w:t>²</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约</w:t>
            </w:r>
            <w:r>
              <w:rPr>
                <w:rFonts w:ascii="Times New Roman" w:hAnsi="Times New Roman" w:cs="Times New Roman"/>
                <w:color w:val="000000" w:themeColor="text1"/>
                <w:sz w:val="24"/>
                <w:szCs w:val="24"/>
              </w:rPr>
              <w:t>15.45亩），拆除原有</w:t>
            </w:r>
            <w:r>
              <w:rPr>
                <w:rFonts w:hint="eastAsia" w:ascii="Times New Roman" w:hAnsi="Times New Roman" w:cs="Times New Roman"/>
                <w:color w:val="000000" w:themeColor="text1"/>
                <w:sz w:val="24"/>
                <w:szCs w:val="24"/>
              </w:rPr>
              <w:t>项目</w:t>
            </w:r>
            <w:r>
              <w:rPr>
                <w:rFonts w:ascii="Times New Roman" w:hAnsi="Times New Roman" w:cs="Times New Roman"/>
                <w:color w:val="000000" w:themeColor="text1"/>
                <w:sz w:val="24"/>
                <w:szCs w:val="24"/>
              </w:rPr>
              <w:t>24门轮窑</w:t>
            </w:r>
            <w:r>
              <w:rPr>
                <w:rFonts w:hint="eastAsia" w:ascii="Times New Roman" w:hAnsi="Times New Roman" w:cs="Times New Roman"/>
                <w:color w:val="000000" w:themeColor="text1"/>
                <w:sz w:val="24"/>
                <w:szCs w:val="24"/>
              </w:rPr>
              <w:t>及其他配套设施</w:t>
            </w:r>
            <w:r>
              <w:rPr>
                <w:rFonts w:ascii="Times New Roman" w:hAnsi="Times New Roman" w:cs="Times New Roman"/>
                <w:color w:val="000000" w:themeColor="text1"/>
                <w:sz w:val="24"/>
                <w:szCs w:val="24"/>
              </w:rPr>
              <w:t>，新建2条新型隧道窑</w:t>
            </w:r>
            <w:r>
              <w:rPr>
                <w:rFonts w:hint="eastAsia" w:ascii="Times New Roman" w:hAnsi="Times New Roman" w:cs="Times New Roman"/>
                <w:color w:val="000000" w:themeColor="text1"/>
                <w:sz w:val="24"/>
                <w:szCs w:val="24"/>
              </w:rPr>
              <w:t>（一烘一焙</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项目改造包含主体工程、公用工程、环保工程及其他配套工程，更新相关生产设备。</w:t>
            </w:r>
            <w:r>
              <w:rPr>
                <w:rFonts w:ascii="Times New Roman" w:hAnsi="Times New Roman" w:cs="Times New Roman"/>
                <w:color w:val="000000" w:themeColor="text1"/>
                <w:sz w:val="24"/>
                <w:szCs w:val="24"/>
              </w:rPr>
              <w:t>项目主要工程内容如下表所示。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21"/>
              <w:gridCol w:w="1070"/>
              <w:gridCol w:w="5017"/>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pPr>
                    <w:pStyle w:val="32"/>
                    <w:spacing w:line="360" w:lineRule="exact"/>
                    <w:rPr>
                      <w:color w:val="000000" w:themeColor="text1"/>
                      <w:szCs w:val="21"/>
                    </w:rPr>
                  </w:pPr>
                  <w:r>
                    <w:rPr>
                      <w:color w:val="000000" w:themeColor="text1"/>
                      <w:szCs w:val="21"/>
                    </w:rPr>
                    <w:t>类别</w:t>
                  </w:r>
                </w:p>
              </w:tc>
              <w:tc>
                <w:tcPr>
                  <w:tcW w:w="1041" w:type="pct"/>
                  <w:gridSpan w:val="2"/>
                  <w:vAlign w:val="center"/>
                </w:tcPr>
                <w:p>
                  <w:pPr>
                    <w:pStyle w:val="32"/>
                    <w:spacing w:line="360" w:lineRule="exact"/>
                    <w:rPr>
                      <w:color w:val="000000" w:themeColor="text1"/>
                      <w:szCs w:val="21"/>
                    </w:rPr>
                  </w:pPr>
                  <w:r>
                    <w:rPr>
                      <w:color w:val="000000" w:themeColor="text1"/>
                      <w:szCs w:val="21"/>
                    </w:rPr>
                    <w:t>工程内容</w:t>
                  </w:r>
                </w:p>
              </w:tc>
              <w:tc>
                <w:tcPr>
                  <w:tcW w:w="2915" w:type="pct"/>
                  <w:vAlign w:val="center"/>
                </w:tcPr>
                <w:p>
                  <w:pPr>
                    <w:pStyle w:val="32"/>
                    <w:spacing w:line="360" w:lineRule="exact"/>
                    <w:rPr>
                      <w:color w:val="000000" w:themeColor="text1"/>
                      <w:szCs w:val="21"/>
                    </w:rPr>
                  </w:pPr>
                  <w:r>
                    <w:rPr>
                      <w:color w:val="000000" w:themeColor="text1"/>
                      <w:szCs w:val="21"/>
                    </w:rPr>
                    <w:t>建筑内容及规模</w:t>
                  </w:r>
                </w:p>
              </w:tc>
              <w:tc>
                <w:tcPr>
                  <w:tcW w:w="618" w:type="pct"/>
                  <w:vAlign w:val="center"/>
                </w:tcPr>
                <w:p>
                  <w:pPr>
                    <w:pStyle w:val="32"/>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2"/>
                    <w:spacing w:line="360" w:lineRule="exact"/>
                    <w:rPr>
                      <w:color w:val="000000" w:themeColor="text1"/>
                      <w:szCs w:val="21"/>
                    </w:rPr>
                  </w:pPr>
                  <w:r>
                    <w:rPr>
                      <w:color w:val="000000" w:themeColor="text1"/>
                      <w:szCs w:val="21"/>
                    </w:rPr>
                    <w:t>主体工程</w:t>
                  </w:r>
                </w:p>
              </w:tc>
              <w:tc>
                <w:tcPr>
                  <w:tcW w:w="419" w:type="pct"/>
                  <w:vMerge w:val="restart"/>
                  <w:vAlign w:val="center"/>
                </w:tcPr>
                <w:p>
                  <w:pPr>
                    <w:pStyle w:val="32"/>
                    <w:spacing w:line="360" w:lineRule="exact"/>
                    <w:rPr>
                      <w:color w:val="000000" w:themeColor="text1"/>
                      <w:szCs w:val="21"/>
                    </w:rPr>
                  </w:pPr>
                  <w:r>
                    <w:rPr>
                      <w:rFonts w:hint="eastAsia"/>
                      <w:color w:val="000000" w:themeColor="text1"/>
                      <w:szCs w:val="21"/>
                    </w:rPr>
                    <w:t>生产车间</w:t>
                  </w:r>
                </w:p>
              </w:tc>
              <w:tc>
                <w:tcPr>
                  <w:tcW w:w="622" w:type="pct"/>
                  <w:vAlign w:val="center"/>
                </w:tcPr>
                <w:p>
                  <w:pPr>
                    <w:pStyle w:val="32"/>
                    <w:spacing w:line="360" w:lineRule="exact"/>
                    <w:rPr>
                      <w:color w:val="000000" w:themeColor="text1"/>
                      <w:szCs w:val="21"/>
                    </w:rPr>
                  </w:pPr>
                  <w:r>
                    <w:rPr>
                      <w:rFonts w:hint="eastAsia"/>
                      <w:color w:val="000000" w:themeColor="text1"/>
                      <w:szCs w:val="21"/>
                    </w:rPr>
                    <w:t>破碎车间</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根据设计，项目拟在厂区南侧设置1个建筑面积约为1170</w:t>
                  </w:r>
                  <w:r>
                    <w:rPr>
                      <w:color w:val="000000" w:themeColor="text1"/>
                      <w:szCs w:val="21"/>
                    </w:rPr>
                    <w:t>m²</w:t>
                  </w:r>
                  <w:r>
                    <w:rPr>
                      <w:rFonts w:hint="eastAsia"/>
                      <w:color w:val="000000" w:themeColor="text1"/>
                      <w:szCs w:val="21"/>
                    </w:rPr>
                    <w:t>的破碎车间，该车间内分别配套设置了1台颚式破碎机、1台自动配煤机、1台</w:t>
                  </w:r>
                  <w:r>
                    <w:rPr>
                      <w:color w:val="000000" w:themeColor="text1"/>
                      <w:szCs w:val="21"/>
                    </w:rPr>
                    <w:t>搅拌机</w:t>
                  </w:r>
                  <w:r>
                    <w:rPr>
                      <w:rFonts w:hint="eastAsia"/>
                      <w:color w:val="000000" w:themeColor="text1"/>
                      <w:szCs w:val="21"/>
                    </w:rPr>
                    <w:t>、1台粉碎机和1台</w:t>
                  </w:r>
                  <w:r>
                    <w:rPr>
                      <w:color w:val="000000" w:themeColor="text1"/>
                      <w:szCs w:val="21"/>
                    </w:rPr>
                    <w:t>滚筒筛</w:t>
                  </w:r>
                  <w:r>
                    <w:rPr>
                      <w:rFonts w:hint="eastAsia"/>
                      <w:color w:val="000000" w:themeColor="text1"/>
                      <w:szCs w:val="21"/>
                    </w:rPr>
                    <w:t>；页岩经颚式破碎机破碎后和煤粉按5：1的比例搅拌混合后进行破碎筛分，得到</w:t>
                  </w:r>
                  <w:r>
                    <w:rPr>
                      <w:color w:val="000000" w:themeColor="text1"/>
                      <w:szCs w:val="21"/>
                    </w:rPr>
                    <w:t>Φ</w:t>
                  </w:r>
                  <w:r>
                    <w:rPr>
                      <w:rFonts w:hint="eastAsia"/>
                      <w:color w:val="000000" w:themeColor="text1"/>
                      <w:szCs w:val="21"/>
                    </w:rPr>
                    <w:t>＜</w:t>
                  </w:r>
                  <w:r>
                    <w:rPr>
                      <w:color w:val="000000" w:themeColor="text1"/>
                      <w:szCs w:val="21"/>
                    </w:rPr>
                    <w:t>0.5mm</w:t>
                  </w:r>
                  <w:r>
                    <w:rPr>
                      <w:rFonts w:hint="eastAsia"/>
                      <w:color w:val="000000" w:themeColor="text1"/>
                      <w:szCs w:val="21"/>
                    </w:rPr>
                    <w:t>的混合料。</w:t>
                  </w:r>
                </w:p>
              </w:tc>
              <w:tc>
                <w:tcPr>
                  <w:tcW w:w="618" w:type="pct"/>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陈化车间</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根据设计，为了</w:t>
                  </w:r>
                  <w:r>
                    <w:rPr>
                      <w:color w:val="000000" w:themeColor="text1"/>
                      <w:szCs w:val="21"/>
                    </w:rPr>
                    <w:t>使原料中的水分有足够的时间充分迁移，湿润粉料中的每一个颗粒，进一步提高原料的均匀性，从而改善泥料的物理性能</w:t>
                  </w:r>
                  <w:r>
                    <w:rPr>
                      <w:rFonts w:hint="eastAsia"/>
                      <w:color w:val="000000" w:themeColor="text1"/>
                      <w:szCs w:val="21"/>
                    </w:rPr>
                    <w:t>，项目在破碎车间东侧设置了1个建筑面积约为2200</w:t>
                  </w:r>
                  <w:r>
                    <w:rPr>
                      <w:color w:val="000000" w:themeColor="text1"/>
                      <w:szCs w:val="21"/>
                    </w:rPr>
                    <w:t>m²</w:t>
                  </w:r>
                  <w:r>
                    <w:rPr>
                      <w:rFonts w:hint="eastAsia"/>
                      <w:color w:val="000000" w:themeColor="text1"/>
                      <w:szCs w:val="21"/>
                    </w:rPr>
                    <w:t>的陈化车间对经筛分得到的</w:t>
                  </w:r>
                  <w:r>
                    <w:rPr>
                      <w:color w:val="000000" w:themeColor="text1"/>
                      <w:szCs w:val="21"/>
                    </w:rPr>
                    <w:t>Φ</w:t>
                  </w:r>
                  <w:r>
                    <w:rPr>
                      <w:rFonts w:hint="eastAsia"/>
                      <w:color w:val="000000" w:themeColor="text1"/>
                      <w:szCs w:val="21"/>
                    </w:rPr>
                    <w:t>＜</w:t>
                  </w:r>
                  <w:r>
                    <w:rPr>
                      <w:color w:val="000000" w:themeColor="text1"/>
                      <w:szCs w:val="21"/>
                    </w:rPr>
                    <w:t>0.5mm</w:t>
                  </w:r>
                  <w:r>
                    <w:rPr>
                      <w:rFonts w:hint="eastAsia"/>
                      <w:color w:val="000000" w:themeColor="text1"/>
                      <w:szCs w:val="21"/>
                    </w:rPr>
                    <w:t>的混合料</w:t>
                  </w:r>
                  <w:r>
                    <w:rPr>
                      <w:color w:val="000000" w:themeColor="text1"/>
                      <w:szCs w:val="21"/>
                    </w:rPr>
                    <w:t>进行陈化</w:t>
                  </w:r>
                  <w:r>
                    <w:rPr>
                      <w:rFonts w:hint="eastAsia"/>
                      <w:color w:val="000000" w:themeColor="text1"/>
                      <w:szCs w:val="21"/>
                    </w:rPr>
                    <w:t>。</w:t>
                  </w:r>
                </w:p>
              </w:tc>
              <w:tc>
                <w:tcPr>
                  <w:tcW w:w="618" w:type="pct"/>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成型车间</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根据设计，项目拟在陈化车间北侧设置1个建筑面积约为800</w:t>
                  </w:r>
                  <w:r>
                    <w:rPr>
                      <w:color w:val="000000" w:themeColor="text1"/>
                      <w:szCs w:val="21"/>
                    </w:rPr>
                    <w:t>m²</w:t>
                  </w:r>
                  <w:r>
                    <w:rPr>
                      <w:rFonts w:hint="eastAsia"/>
                      <w:color w:val="000000" w:themeColor="text1"/>
                      <w:szCs w:val="21"/>
                    </w:rPr>
                    <w:t>的成型车间，成型车间内分别配套设置1台</w:t>
                  </w:r>
                  <w:r>
                    <w:rPr>
                      <w:color w:val="000000" w:themeColor="text1"/>
                      <w:szCs w:val="21"/>
                    </w:rPr>
                    <w:t>搅拌机</w:t>
                  </w:r>
                  <w:r>
                    <w:rPr>
                      <w:rFonts w:hint="eastAsia"/>
                      <w:color w:val="000000" w:themeColor="text1"/>
                      <w:szCs w:val="21"/>
                    </w:rPr>
                    <w:t>、1台</w:t>
                  </w:r>
                  <w:r>
                    <w:rPr>
                      <w:color w:val="000000" w:themeColor="text1"/>
                      <w:szCs w:val="21"/>
                    </w:rPr>
                    <w:t>真空挤砖机</w:t>
                  </w:r>
                  <w:r>
                    <w:rPr>
                      <w:rFonts w:hint="eastAsia"/>
                      <w:color w:val="000000" w:themeColor="text1"/>
                      <w:szCs w:val="21"/>
                    </w:rPr>
                    <w:t>、1台</w:t>
                  </w:r>
                  <w:r>
                    <w:rPr>
                      <w:color w:val="000000" w:themeColor="text1"/>
                      <w:szCs w:val="21"/>
                    </w:rPr>
                    <w:t>自动切条机</w:t>
                  </w:r>
                  <w:r>
                    <w:rPr>
                      <w:rFonts w:hint="eastAsia"/>
                      <w:color w:val="000000" w:themeColor="text1"/>
                      <w:szCs w:val="21"/>
                    </w:rPr>
                    <w:t>、1台</w:t>
                  </w:r>
                  <w:r>
                    <w:rPr>
                      <w:color w:val="000000" w:themeColor="text1"/>
                      <w:szCs w:val="21"/>
                    </w:rPr>
                    <w:t>自动切坯机</w:t>
                  </w:r>
                  <w:r>
                    <w:rPr>
                      <w:rFonts w:hint="eastAsia"/>
                      <w:color w:val="000000" w:themeColor="text1"/>
                      <w:szCs w:val="21"/>
                    </w:rPr>
                    <w:t>和2台</w:t>
                  </w:r>
                  <w:r>
                    <w:rPr>
                      <w:color w:val="000000" w:themeColor="text1"/>
                      <w:szCs w:val="21"/>
                    </w:rPr>
                    <w:t>码坯机</w:t>
                  </w:r>
                  <w:r>
                    <w:rPr>
                      <w:rFonts w:hint="eastAsia"/>
                      <w:color w:val="000000" w:themeColor="text1"/>
                      <w:szCs w:val="21"/>
                    </w:rPr>
                    <w:t>，将混合料加水搅拌混合，挤出成型制成砖坯，并进行堆码。</w:t>
                  </w:r>
                </w:p>
              </w:tc>
              <w:tc>
                <w:tcPr>
                  <w:tcW w:w="618" w:type="pct"/>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存坯车间</w:t>
                  </w:r>
                </w:p>
              </w:tc>
              <w:tc>
                <w:tcPr>
                  <w:tcW w:w="2915" w:type="pct"/>
                  <w:vAlign w:val="center"/>
                </w:tcPr>
                <w:p>
                  <w:pPr>
                    <w:pStyle w:val="32"/>
                    <w:spacing w:line="360" w:lineRule="exact"/>
                    <w:ind w:firstLine="210" w:firstLineChars="100"/>
                    <w:jc w:val="both"/>
                    <w:rPr>
                      <w:bCs w:val="0"/>
                      <w:color w:val="000000" w:themeColor="text1"/>
                      <w:sz w:val="24"/>
                      <w:szCs w:val="24"/>
                    </w:rPr>
                  </w:pPr>
                  <w:r>
                    <w:rPr>
                      <w:rFonts w:hint="eastAsia"/>
                      <w:color w:val="000000" w:themeColor="text1"/>
                      <w:szCs w:val="21"/>
                    </w:rPr>
                    <w:t>根据设计，由于</w:t>
                  </w:r>
                  <w:r>
                    <w:rPr>
                      <w:color w:val="000000" w:themeColor="text1"/>
                      <w:szCs w:val="21"/>
                    </w:rPr>
                    <w:t>成型的砖坯由于受热膨胀须进行静停冷却，使砖坯收缩，</w:t>
                  </w:r>
                  <w:r>
                    <w:rPr>
                      <w:rFonts w:hint="eastAsia"/>
                      <w:color w:val="000000" w:themeColor="text1"/>
                      <w:szCs w:val="21"/>
                    </w:rPr>
                    <w:t>为了</w:t>
                  </w:r>
                  <w:r>
                    <w:rPr>
                      <w:color w:val="000000" w:themeColor="text1"/>
                      <w:szCs w:val="21"/>
                    </w:rPr>
                    <w:t>提高砖坯烘干、焙烧质量，</w:t>
                  </w:r>
                  <w:r>
                    <w:rPr>
                      <w:rFonts w:hint="eastAsia"/>
                      <w:color w:val="000000" w:themeColor="text1"/>
                      <w:szCs w:val="21"/>
                    </w:rPr>
                    <w:t>项目拟配套设置1个建筑面积约为1600</w:t>
                  </w:r>
                  <w:r>
                    <w:rPr>
                      <w:color w:val="000000" w:themeColor="text1"/>
                      <w:szCs w:val="21"/>
                    </w:rPr>
                    <w:t>m²</w:t>
                  </w:r>
                  <w:r>
                    <w:rPr>
                      <w:rFonts w:hint="eastAsia"/>
                      <w:color w:val="000000" w:themeColor="text1"/>
                      <w:szCs w:val="21"/>
                    </w:rPr>
                    <w:t>的存坯车间对砖坯进行</w:t>
                  </w:r>
                  <w:r>
                    <w:rPr>
                      <w:color w:val="000000" w:themeColor="text1"/>
                      <w:szCs w:val="21"/>
                    </w:rPr>
                    <w:t>静停</w:t>
                  </w:r>
                  <w:r>
                    <w:rPr>
                      <w:rFonts w:hint="eastAsia"/>
                      <w:color w:val="000000" w:themeColor="text1"/>
                      <w:szCs w:val="21"/>
                    </w:rPr>
                    <w:t>。</w:t>
                  </w:r>
                </w:p>
              </w:tc>
              <w:tc>
                <w:tcPr>
                  <w:tcW w:w="618" w:type="pct"/>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烘干车间</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根据设计，项目采用一烘一烧的工艺结构，项目拟设置1条4.2m×130m的干燥窑（隧道窑），将焙烧窑中高温烟气全部通过风机引入干燥窑，利用焙烧窑焙烧烟气余热进行</w:t>
                  </w:r>
                  <w:r>
                    <w:rPr>
                      <w:color w:val="000000" w:themeColor="text1"/>
                      <w:szCs w:val="21"/>
                    </w:rPr>
                    <w:t>砖坯烘干</w:t>
                  </w:r>
                  <w:r>
                    <w:rPr>
                      <w:rFonts w:hint="eastAsia"/>
                      <w:color w:val="000000" w:themeColor="text1"/>
                      <w:szCs w:val="21"/>
                    </w:rPr>
                    <w:t>。</w:t>
                  </w:r>
                </w:p>
                <w:p>
                  <w:pPr>
                    <w:pStyle w:val="32"/>
                    <w:spacing w:line="360" w:lineRule="exact"/>
                    <w:ind w:firstLine="210" w:firstLineChars="100"/>
                    <w:jc w:val="both"/>
                    <w:rPr>
                      <w:color w:val="000000" w:themeColor="text1"/>
                      <w:szCs w:val="21"/>
                    </w:rPr>
                  </w:pPr>
                  <w:r>
                    <w:rPr>
                      <w:rFonts w:hint="eastAsia"/>
                      <w:color w:val="000000" w:themeColor="text1"/>
                      <w:szCs w:val="21"/>
                    </w:rPr>
                    <w:t>烟气则通过脱硫除尘系统处理后，经18m排气筒外排。</w:t>
                  </w:r>
                </w:p>
              </w:tc>
              <w:tc>
                <w:tcPr>
                  <w:tcW w:w="618" w:type="pct"/>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焙烧车间</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根据设计，项目拟设置1条4.2m×130m的焙烧窑（隧道窑），砖坯焙烧采用内燃焙烧工艺，焙烧窑体内分别设有预热、焙烧、保温和冷却几个不同的分区。</w:t>
                  </w:r>
                </w:p>
              </w:tc>
              <w:tc>
                <w:tcPr>
                  <w:tcW w:w="618" w:type="pct"/>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auto" w:fill="auto"/>
                  <w:vAlign w:val="center"/>
                </w:tcPr>
                <w:p>
                  <w:pPr>
                    <w:pStyle w:val="32"/>
                    <w:spacing w:line="360" w:lineRule="exact"/>
                    <w:rPr>
                      <w:color w:val="000000" w:themeColor="text1"/>
                      <w:szCs w:val="21"/>
                    </w:rPr>
                  </w:pPr>
                  <w:r>
                    <w:rPr>
                      <w:color w:val="000000" w:themeColor="text1"/>
                      <w:szCs w:val="21"/>
                    </w:rPr>
                    <w:t>储运工程</w:t>
                  </w:r>
                </w:p>
              </w:tc>
              <w:tc>
                <w:tcPr>
                  <w:tcW w:w="419" w:type="pct"/>
                  <w:vMerge w:val="restart"/>
                  <w:vAlign w:val="center"/>
                </w:tcPr>
                <w:p>
                  <w:pPr>
                    <w:pStyle w:val="32"/>
                    <w:spacing w:line="360" w:lineRule="exact"/>
                    <w:rPr>
                      <w:color w:val="000000" w:themeColor="text1"/>
                      <w:szCs w:val="21"/>
                    </w:rPr>
                  </w:pPr>
                  <w:r>
                    <w:rPr>
                      <w:rFonts w:hint="eastAsia"/>
                      <w:color w:val="000000" w:themeColor="text1"/>
                      <w:szCs w:val="21"/>
                    </w:rPr>
                    <w:t>原料堆场</w:t>
                  </w:r>
                </w:p>
              </w:tc>
              <w:tc>
                <w:tcPr>
                  <w:tcW w:w="622" w:type="pct"/>
                  <w:vAlign w:val="center"/>
                </w:tcPr>
                <w:p>
                  <w:pPr>
                    <w:pStyle w:val="32"/>
                    <w:spacing w:line="360" w:lineRule="exact"/>
                    <w:rPr>
                      <w:color w:val="000000" w:themeColor="text1"/>
                      <w:szCs w:val="21"/>
                    </w:rPr>
                  </w:pPr>
                  <w:r>
                    <w:rPr>
                      <w:rFonts w:hint="eastAsia"/>
                      <w:color w:val="000000" w:themeColor="text1"/>
                      <w:szCs w:val="21"/>
                    </w:rPr>
                    <w:t>页岩堆场</w:t>
                  </w:r>
                </w:p>
              </w:tc>
              <w:tc>
                <w:tcPr>
                  <w:tcW w:w="2915" w:type="pct"/>
                  <w:shd w:val="clear" w:color="auto" w:fill="auto"/>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根据设计，项目区拟设置1个建筑面积约为1500</w:t>
                  </w:r>
                  <w:r>
                    <w:rPr>
                      <w:color w:val="000000" w:themeColor="text1"/>
                      <w:szCs w:val="21"/>
                    </w:rPr>
                    <w:t>m²</w:t>
                  </w:r>
                  <w:r>
                    <w:rPr>
                      <w:rFonts w:hint="eastAsia"/>
                      <w:color w:val="000000" w:themeColor="text1"/>
                      <w:szCs w:val="21"/>
                    </w:rPr>
                    <w:t>的页岩堆场，对拟用于生产的页岩进行暂存，该页岩堆场为不规则的多边形结构，除车辆进出区域，其他区域均需设置围挡和顶棚，进行地面硬化。并在页岩堆场内设置洒水抑尘设施。</w:t>
                  </w:r>
                </w:p>
              </w:tc>
              <w:tc>
                <w:tcPr>
                  <w:tcW w:w="618"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shd w:val="clear" w:color="auto" w:fill="auto"/>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煤料堆场</w:t>
                  </w:r>
                </w:p>
              </w:tc>
              <w:tc>
                <w:tcPr>
                  <w:tcW w:w="2915" w:type="pct"/>
                  <w:shd w:val="clear" w:color="auto" w:fill="auto"/>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根据设计，项目区拟设置1个建筑面积约为600</w:t>
                  </w:r>
                  <w:r>
                    <w:rPr>
                      <w:color w:val="000000" w:themeColor="text1"/>
                      <w:szCs w:val="21"/>
                    </w:rPr>
                    <w:t>m²</w:t>
                  </w:r>
                  <w:r>
                    <w:rPr>
                      <w:rFonts w:hint="eastAsia"/>
                      <w:color w:val="000000" w:themeColor="text1"/>
                      <w:szCs w:val="21"/>
                    </w:rPr>
                    <w:t>的煤料堆场，对拟用于生产的煤料进行暂存，该煤料堆场为除车辆进出区域，其他区域均需设置围挡和顶棚，进行地面硬化。并在煤料堆场内设置洒水抑尘设施。</w:t>
                  </w:r>
                </w:p>
              </w:tc>
              <w:tc>
                <w:tcPr>
                  <w:tcW w:w="618"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shd w:val="clear" w:color="auto" w:fill="auto"/>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rFonts w:hint="eastAsia"/>
                      <w:color w:val="000000" w:themeColor="text1"/>
                      <w:szCs w:val="21"/>
                    </w:rPr>
                    <w:t>产品堆场</w:t>
                  </w:r>
                </w:p>
              </w:tc>
              <w:tc>
                <w:tcPr>
                  <w:tcW w:w="2915" w:type="pct"/>
                  <w:shd w:val="clear" w:color="auto" w:fill="auto"/>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根据设计，项目拟在焙烧窑旁设置一条卸砖线，占地面积约为1000</w:t>
                  </w:r>
                  <w:r>
                    <w:rPr>
                      <w:color w:val="000000" w:themeColor="text1"/>
                      <w:szCs w:val="21"/>
                    </w:rPr>
                    <w:t>m²</w:t>
                  </w:r>
                  <w:r>
                    <w:rPr>
                      <w:rFonts w:hint="eastAsia"/>
                      <w:color w:val="000000" w:themeColor="text1"/>
                      <w:szCs w:val="21"/>
                    </w:rPr>
                    <w:t>，该卸砖线即为项目产品堆场。</w:t>
                  </w:r>
                </w:p>
              </w:tc>
              <w:tc>
                <w:tcPr>
                  <w:tcW w:w="618"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auto" w:fill="auto"/>
                  <w:vAlign w:val="center"/>
                </w:tcPr>
                <w:p>
                  <w:pPr>
                    <w:pStyle w:val="32"/>
                    <w:spacing w:line="360" w:lineRule="exact"/>
                    <w:rPr>
                      <w:color w:val="000000" w:themeColor="text1"/>
                      <w:szCs w:val="21"/>
                    </w:rPr>
                  </w:pPr>
                  <w:r>
                    <w:rPr>
                      <w:rFonts w:hint="eastAsia"/>
                      <w:color w:val="000000" w:themeColor="text1"/>
                      <w:szCs w:val="21"/>
                    </w:rPr>
                    <w:t>依托工程</w:t>
                  </w:r>
                </w:p>
              </w:tc>
              <w:tc>
                <w:tcPr>
                  <w:tcW w:w="1041" w:type="pct"/>
                  <w:gridSpan w:val="2"/>
                  <w:vAlign w:val="center"/>
                </w:tcPr>
                <w:p>
                  <w:pPr>
                    <w:pStyle w:val="32"/>
                    <w:spacing w:line="360" w:lineRule="exact"/>
                    <w:rPr>
                      <w:color w:val="000000" w:themeColor="text1"/>
                      <w:szCs w:val="21"/>
                    </w:rPr>
                  </w:pPr>
                  <w:r>
                    <w:rPr>
                      <w:rFonts w:hint="eastAsia"/>
                      <w:color w:val="000000" w:themeColor="text1"/>
                      <w:szCs w:val="21"/>
                    </w:rPr>
                    <w:t>办公区</w:t>
                  </w:r>
                </w:p>
              </w:tc>
              <w:tc>
                <w:tcPr>
                  <w:tcW w:w="2915" w:type="pct"/>
                  <w:shd w:val="clear" w:color="auto" w:fill="auto"/>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根据调查，项目区西南侧现有1栋2层建筑面积约为120</w:t>
                  </w:r>
                  <w:r>
                    <w:rPr>
                      <w:color w:val="000000" w:themeColor="text1"/>
                      <w:szCs w:val="21"/>
                    </w:rPr>
                    <w:t>m²</w:t>
                  </w:r>
                  <w:r>
                    <w:rPr>
                      <w:rFonts w:hint="eastAsia"/>
                      <w:color w:val="000000" w:themeColor="text1"/>
                      <w:szCs w:val="21"/>
                    </w:rPr>
                    <w:t>的办公楼，该办公楼未拆除，根据设计，建设单位拟对其进行装修改造后作为改扩建项目的办公楼使用。</w:t>
                  </w:r>
                </w:p>
              </w:tc>
              <w:tc>
                <w:tcPr>
                  <w:tcW w:w="618" w:type="pct"/>
                  <w:vAlign w:val="center"/>
                </w:tcPr>
                <w:p>
                  <w:pPr>
                    <w:pStyle w:val="32"/>
                    <w:spacing w:line="360" w:lineRule="exact"/>
                    <w:rPr>
                      <w:color w:val="000000" w:themeColor="text1"/>
                      <w:szCs w:val="21"/>
                    </w:rPr>
                  </w:pPr>
                  <w:r>
                    <w:rPr>
                      <w:rFonts w:hint="eastAsia"/>
                      <w:color w:val="000000" w:themeColor="text1"/>
                      <w:szCs w:val="21"/>
                    </w:rPr>
                    <w:t>依托改造后使用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shd w:val="clear" w:color="auto" w:fill="auto"/>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rFonts w:hint="eastAsia"/>
                      <w:color w:val="000000" w:themeColor="text1"/>
                      <w:szCs w:val="21"/>
                    </w:rPr>
                    <w:t>生活区</w:t>
                  </w:r>
                </w:p>
              </w:tc>
              <w:tc>
                <w:tcPr>
                  <w:tcW w:w="2915" w:type="pct"/>
                  <w:shd w:val="clear" w:color="auto" w:fill="auto"/>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根据调查，项目区西南侧现有1栋1层建筑面积约为330</w:t>
                  </w:r>
                  <w:r>
                    <w:rPr>
                      <w:color w:val="000000" w:themeColor="text1"/>
                      <w:szCs w:val="21"/>
                    </w:rPr>
                    <w:t>m²</w:t>
                  </w:r>
                  <w:r>
                    <w:rPr>
                      <w:rFonts w:hint="eastAsia"/>
                      <w:color w:val="000000" w:themeColor="text1"/>
                      <w:szCs w:val="21"/>
                    </w:rPr>
                    <w:t>的生活用房，该生活用房未拆除，根据设计，建设单位拟对其进行装修改造后作为改扩建项目的生活区使用，供给员工食宿。</w:t>
                  </w:r>
                </w:p>
              </w:tc>
              <w:tc>
                <w:tcPr>
                  <w:tcW w:w="618" w:type="pct"/>
                  <w:vAlign w:val="center"/>
                </w:tcPr>
                <w:p>
                  <w:pPr>
                    <w:pStyle w:val="32"/>
                    <w:spacing w:line="360" w:lineRule="exact"/>
                    <w:rPr>
                      <w:color w:val="000000" w:themeColor="text1"/>
                      <w:szCs w:val="21"/>
                    </w:rPr>
                  </w:pPr>
                  <w:r>
                    <w:rPr>
                      <w:rFonts w:hint="eastAsia"/>
                      <w:color w:val="000000" w:themeColor="text1"/>
                      <w:szCs w:val="21"/>
                    </w:rPr>
                    <w:t>依托改造后使用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shd w:val="clear" w:color="auto" w:fill="auto"/>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rFonts w:hint="eastAsia"/>
                      <w:color w:val="000000" w:themeColor="text1"/>
                      <w:szCs w:val="21"/>
                    </w:rPr>
                    <w:t>库房</w:t>
                  </w:r>
                </w:p>
              </w:tc>
              <w:tc>
                <w:tcPr>
                  <w:tcW w:w="2915" w:type="pct"/>
                  <w:shd w:val="clear" w:color="auto" w:fill="auto"/>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根据调查，项目区北侧现有1栋1层建筑面积约为150</w:t>
                  </w:r>
                  <w:r>
                    <w:rPr>
                      <w:color w:val="000000" w:themeColor="text1"/>
                      <w:szCs w:val="21"/>
                    </w:rPr>
                    <w:t>m²</w:t>
                  </w:r>
                  <w:r>
                    <w:rPr>
                      <w:rFonts w:hint="eastAsia"/>
                      <w:color w:val="000000" w:themeColor="text1"/>
                      <w:szCs w:val="21"/>
                    </w:rPr>
                    <w:t>的闲置用房，该闲置用房未拆除，根据设计，建设单位拟对其进行装修改造后作为脱硫剂等暂存库房使用。</w:t>
                  </w:r>
                </w:p>
              </w:tc>
              <w:tc>
                <w:tcPr>
                  <w:tcW w:w="618"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依托改造后使用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2"/>
                    <w:spacing w:line="360" w:lineRule="exact"/>
                    <w:rPr>
                      <w:color w:val="000000" w:themeColor="text1"/>
                      <w:szCs w:val="21"/>
                    </w:rPr>
                  </w:pPr>
                  <w:r>
                    <w:rPr>
                      <w:color w:val="000000" w:themeColor="text1"/>
                      <w:szCs w:val="21"/>
                    </w:rPr>
                    <w:t>公用工程</w:t>
                  </w:r>
                </w:p>
              </w:tc>
              <w:tc>
                <w:tcPr>
                  <w:tcW w:w="1041" w:type="pct"/>
                  <w:gridSpan w:val="2"/>
                  <w:vAlign w:val="center"/>
                </w:tcPr>
                <w:p>
                  <w:pPr>
                    <w:pStyle w:val="32"/>
                    <w:spacing w:line="360" w:lineRule="exact"/>
                    <w:rPr>
                      <w:color w:val="000000" w:themeColor="text1"/>
                      <w:szCs w:val="21"/>
                    </w:rPr>
                  </w:pPr>
                  <w:r>
                    <w:rPr>
                      <w:color w:val="000000" w:themeColor="text1"/>
                      <w:szCs w:val="21"/>
                    </w:rPr>
                    <w:t>供电</w:t>
                  </w:r>
                </w:p>
              </w:tc>
              <w:tc>
                <w:tcPr>
                  <w:tcW w:w="2915" w:type="pct"/>
                  <w:vAlign w:val="center"/>
                </w:tcPr>
                <w:p>
                  <w:pPr>
                    <w:pStyle w:val="32"/>
                    <w:spacing w:line="360" w:lineRule="exact"/>
                    <w:ind w:firstLine="210" w:firstLineChars="100"/>
                    <w:jc w:val="both"/>
                    <w:rPr>
                      <w:color w:val="000000" w:themeColor="text1"/>
                      <w:szCs w:val="21"/>
                    </w:rPr>
                  </w:pPr>
                  <w:r>
                    <w:rPr>
                      <w:color w:val="000000" w:themeColor="text1"/>
                      <w:szCs w:val="21"/>
                    </w:rPr>
                    <w:t>项目供电由</w:t>
                  </w:r>
                  <w:r>
                    <w:rPr>
                      <w:rFonts w:hint="eastAsia"/>
                      <w:color w:val="000000" w:themeColor="text1"/>
                      <w:szCs w:val="21"/>
                    </w:rPr>
                    <w:t>南方电网东川</w:t>
                  </w:r>
                  <w:r>
                    <w:rPr>
                      <w:color w:val="000000" w:themeColor="text1"/>
                      <w:szCs w:val="21"/>
                    </w:rPr>
                    <w:t>电力公司供给。</w:t>
                  </w:r>
                  <w:r>
                    <w:rPr>
                      <w:rFonts w:hint="eastAsia"/>
                      <w:color w:val="000000" w:themeColor="text1"/>
                      <w:szCs w:val="21"/>
                    </w:rPr>
                    <w:t>利用现有供电线路，能满足项目需求，项目区拟设置一台400kVA变压器。</w:t>
                  </w:r>
                </w:p>
              </w:tc>
              <w:tc>
                <w:tcPr>
                  <w:tcW w:w="618" w:type="pct"/>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color w:val="000000" w:themeColor="text1"/>
                      <w:szCs w:val="21"/>
                    </w:rPr>
                    <w:t>给水</w:t>
                  </w:r>
                </w:p>
              </w:tc>
              <w:tc>
                <w:tcPr>
                  <w:tcW w:w="2915" w:type="pct"/>
                  <w:vAlign w:val="center"/>
                </w:tcPr>
                <w:p>
                  <w:pPr>
                    <w:pStyle w:val="32"/>
                    <w:spacing w:line="360" w:lineRule="exact"/>
                    <w:ind w:firstLine="210" w:firstLineChars="100"/>
                    <w:jc w:val="both"/>
                    <w:rPr>
                      <w:color w:val="000000" w:themeColor="text1"/>
                      <w:szCs w:val="21"/>
                    </w:rPr>
                  </w:pPr>
                  <w:r>
                    <w:rPr>
                      <w:color w:val="000000" w:themeColor="text1"/>
                      <w:szCs w:val="21"/>
                    </w:rPr>
                    <w:t>（1）生产用水</w:t>
                  </w:r>
                </w:p>
                <w:p>
                  <w:pPr>
                    <w:pStyle w:val="32"/>
                    <w:spacing w:line="360" w:lineRule="exact"/>
                    <w:ind w:firstLine="210" w:firstLineChars="100"/>
                    <w:jc w:val="both"/>
                    <w:rPr>
                      <w:color w:val="000000" w:themeColor="text1"/>
                      <w:szCs w:val="21"/>
                    </w:rPr>
                  </w:pPr>
                  <w:r>
                    <w:rPr>
                      <w:color w:val="000000" w:themeColor="text1"/>
                      <w:szCs w:val="21"/>
                    </w:rPr>
                    <w:t>生产用水</w:t>
                  </w:r>
                  <w:r>
                    <w:rPr>
                      <w:rFonts w:hint="eastAsia"/>
                      <w:color w:val="000000" w:themeColor="text1"/>
                      <w:szCs w:val="21"/>
                    </w:rPr>
                    <w:t>使用自来水。</w:t>
                  </w:r>
                </w:p>
                <w:p>
                  <w:pPr>
                    <w:pStyle w:val="32"/>
                    <w:spacing w:line="360" w:lineRule="exact"/>
                    <w:ind w:firstLine="210" w:firstLineChars="100"/>
                    <w:jc w:val="both"/>
                    <w:rPr>
                      <w:color w:val="000000" w:themeColor="text1"/>
                      <w:szCs w:val="21"/>
                    </w:rPr>
                  </w:pPr>
                  <w:r>
                    <w:rPr>
                      <w:color w:val="000000" w:themeColor="text1"/>
                      <w:szCs w:val="21"/>
                    </w:rPr>
                    <w:t>（2）生活用水</w:t>
                  </w:r>
                </w:p>
                <w:p>
                  <w:pPr>
                    <w:pStyle w:val="32"/>
                    <w:spacing w:line="360" w:lineRule="exact"/>
                    <w:ind w:firstLine="210" w:firstLineChars="100"/>
                    <w:jc w:val="both"/>
                    <w:rPr>
                      <w:color w:val="000000" w:themeColor="text1"/>
                      <w:szCs w:val="21"/>
                    </w:rPr>
                  </w:pPr>
                  <w:r>
                    <w:rPr>
                      <w:color w:val="000000" w:themeColor="text1"/>
                      <w:szCs w:val="21"/>
                    </w:rPr>
                    <w:t>生活用水使用自来水。</w:t>
                  </w:r>
                </w:p>
              </w:tc>
              <w:tc>
                <w:tcPr>
                  <w:tcW w:w="618"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原有项目已拆除，但供水管网已接入项目区，依托并完善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color w:val="000000" w:themeColor="text1"/>
                      <w:szCs w:val="21"/>
                    </w:rPr>
                    <w:t>排水</w:t>
                  </w:r>
                </w:p>
              </w:tc>
              <w:tc>
                <w:tcPr>
                  <w:tcW w:w="2915" w:type="pct"/>
                  <w:vAlign w:val="center"/>
                </w:tcPr>
                <w:p>
                  <w:pPr>
                    <w:pStyle w:val="32"/>
                    <w:spacing w:line="360" w:lineRule="exact"/>
                    <w:ind w:firstLine="210" w:firstLineChars="100"/>
                    <w:jc w:val="both"/>
                    <w:rPr>
                      <w:color w:val="000000" w:themeColor="text1"/>
                      <w:szCs w:val="21"/>
                    </w:rPr>
                  </w:pPr>
                  <w:r>
                    <w:rPr>
                      <w:color w:val="000000" w:themeColor="text1"/>
                      <w:szCs w:val="21"/>
                    </w:rPr>
                    <w:t>根据项目特点，</w:t>
                  </w:r>
                  <w:r>
                    <w:rPr>
                      <w:rFonts w:hint="eastAsia"/>
                      <w:color w:val="000000" w:themeColor="text1"/>
                      <w:szCs w:val="21"/>
                    </w:rPr>
                    <w:t>本项目废水主要为脱硫废水、生活污水和初期雨水，项目拟采取雨污分流。项目排水情况具体如下：</w:t>
                  </w:r>
                </w:p>
                <w:p>
                  <w:pPr>
                    <w:pStyle w:val="32"/>
                    <w:spacing w:line="360" w:lineRule="exact"/>
                    <w:ind w:firstLine="210" w:firstLineChars="100"/>
                    <w:jc w:val="both"/>
                    <w:rPr>
                      <w:color w:val="000000" w:themeColor="text1"/>
                      <w:szCs w:val="21"/>
                    </w:rPr>
                  </w:pPr>
                  <w:r>
                    <w:rPr>
                      <w:rFonts w:hint="eastAsia"/>
                      <w:color w:val="000000" w:themeColor="text1"/>
                      <w:szCs w:val="21"/>
                    </w:rPr>
                    <w:t>（1）脱硫废水：项目定期排出脱硫除尘系统的脱硫废水经脱硫废水沉淀池处理，并调节其pH值后，用于生产，不外排。</w:t>
                  </w:r>
                </w:p>
                <w:p>
                  <w:pPr>
                    <w:pStyle w:val="32"/>
                    <w:spacing w:line="360" w:lineRule="exact"/>
                    <w:ind w:firstLine="210" w:firstLineChars="100"/>
                    <w:jc w:val="both"/>
                    <w:rPr>
                      <w:color w:val="000000" w:themeColor="text1"/>
                      <w:szCs w:val="21"/>
                    </w:rPr>
                  </w:pPr>
                  <w:r>
                    <w:rPr>
                      <w:color w:val="000000" w:themeColor="text1"/>
                      <w:szCs w:val="21"/>
                    </w:rPr>
                    <w:t>（</w:t>
                  </w:r>
                  <w:r>
                    <w:rPr>
                      <w:rFonts w:hint="eastAsia"/>
                      <w:color w:val="000000" w:themeColor="text1"/>
                      <w:szCs w:val="21"/>
                    </w:rPr>
                    <w:t>2</w:t>
                  </w:r>
                  <w:r>
                    <w:rPr>
                      <w:color w:val="000000" w:themeColor="text1"/>
                      <w:szCs w:val="21"/>
                    </w:rPr>
                    <w:t>）</w:t>
                  </w:r>
                  <w:r>
                    <w:rPr>
                      <w:rFonts w:hint="eastAsia"/>
                      <w:color w:val="000000" w:themeColor="text1"/>
                      <w:szCs w:val="21"/>
                    </w:rPr>
                    <w:t>生活污水：根据调查，项目区域未配套建设污水管网，不具备排水条件，项目拟配套设置隔油池、化粪池和一体化污水处理设施对生活污水进行处理达到《城市污水再生利用 城市杂用水水质》（GB/T18920-2020）城市绿化标准后，回用于项目区绿化，不外排。</w:t>
                  </w:r>
                </w:p>
                <w:p>
                  <w:pPr>
                    <w:pStyle w:val="32"/>
                    <w:spacing w:line="360" w:lineRule="exact"/>
                    <w:ind w:firstLine="210" w:firstLineChars="100"/>
                    <w:jc w:val="both"/>
                    <w:rPr>
                      <w:color w:val="000000" w:themeColor="text1"/>
                      <w:szCs w:val="21"/>
                    </w:rPr>
                  </w:pPr>
                  <w:r>
                    <w:rPr>
                      <w:rFonts w:hint="eastAsia"/>
                      <w:color w:val="000000" w:themeColor="text1"/>
                      <w:szCs w:val="21"/>
                    </w:rPr>
                    <w:t>（3）初期雨水：项目拟采取雨污分流，项目拟配套设置了1个60m³的初期雨水收集池</w:t>
                  </w:r>
                  <w:r>
                    <w:rPr>
                      <w:color w:val="000000" w:themeColor="text1"/>
                      <w:szCs w:val="21"/>
                    </w:rPr>
                    <w:t>，对厂区的初期雨水进行收集；收集后</w:t>
                  </w:r>
                  <w:r>
                    <w:rPr>
                      <w:rFonts w:hint="eastAsia"/>
                      <w:color w:val="000000" w:themeColor="text1"/>
                      <w:szCs w:val="21"/>
                    </w:rPr>
                    <w:t>用于本项目生产，</w:t>
                  </w:r>
                  <w:r>
                    <w:rPr>
                      <w:color w:val="000000" w:themeColor="text1"/>
                      <w:szCs w:val="21"/>
                    </w:rPr>
                    <w:t>不外排</w:t>
                  </w:r>
                  <w:r>
                    <w:rPr>
                      <w:rFonts w:hint="eastAsia"/>
                      <w:color w:val="000000" w:themeColor="text1"/>
                      <w:szCs w:val="21"/>
                    </w:rPr>
                    <w:t>。</w:t>
                  </w:r>
                </w:p>
              </w:tc>
              <w:tc>
                <w:tcPr>
                  <w:tcW w:w="618"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原有排水设施已拆除，全部新建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2"/>
                    <w:spacing w:line="360" w:lineRule="exact"/>
                    <w:rPr>
                      <w:color w:val="000000" w:themeColor="text1"/>
                      <w:szCs w:val="21"/>
                    </w:rPr>
                  </w:pPr>
                  <w:r>
                    <w:rPr>
                      <w:color w:val="000000" w:themeColor="text1"/>
                      <w:szCs w:val="21"/>
                    </w:rPr>
                    <w:t>环保工程</w:t>
                  </w:r>
                </w:p>
              </w:tc>
              <w:tc>
                <w:tcPr>
                  <w:tcW w:w="419" w:type="pct"/>
                  <w:vMerge w:val="restart"/>
                  <w:vAlign w:val="center"/>
                </w:tcPr>
                <w:p>
                  <w:pPr>
                    <w:pStyle w:val="32"/>
                    <w:spacing w:line="360" w:lineRule="exact"/>
                    <w:rPr>
                      <w:color w:val="000000" w:themeColor="text1"/>
                      <w:szCs w:val="21"/>
                    </w:rPr>
                  </w:pPr>
                  <w:r>
                    <w:rPr>
                      <w:color w:val="000000" w:themeColor="text1"/>
                      <w:szCs w:val="21"/>
                    </w:rPr>
                    <w:t>废气</w:t>
                  </w:r>
                </w:p>
              </w:tc>
              <w:tc>
                <w:tcPr>
                  <w:tcW w:w="622" w:type="pct"/>
                  <w:vAlign w:val="center"/>
                </w:tcPr>
                <w:p>
                  <w:pPr>
                    <w:pStyle w:val="32"/>
                    <w:spacing w:line="360" w:lineRule="exact"/>
                    <w:rPr>
                      <w:color w:val="000000" w:themeColor="text1"/>
                      <w:szCs w:val="21"/>
                    </w:rPr>
                  </w:pPr>
                  <w:r>
                    <w:rPr>
                      <w:rFonts w:hint="eastAsia"/>
                      <w:color w:val="000000" w:themeColor="text1"/>
                      <w:szCs w:val="21"/>
                    </w:rPr>
                    <w:t>油烟净化器</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环评要求，</w:t>
                  </w:r>
                  <w:r>
                    <w:rPr>
                      <w:color w:val="000000" w:themeColor="text1"/>
                      <w:szCs w:val="21"/>
                    </w:rPr>
                    <w:t>针对员工拟设置一间厨房（含一个灶头），因此拟配套设置1台处理效率不低于60%的油烟净化器，并通过高于房顶1.5m的烟道外排。</w:t>
                  </w:r>
                </w:p>
              </w:tc>
              <w:tc>
                <w:tcPr>
                  <w:tcW w:w="618" w:type="pct"/>
                  <w:vAlign w:val="center"/>
                </w:tcPr>
                <w:p>
                  <w:pPr>
                    <w:pStyle w:val="32"/>
                    <w:spacing w:line="360" w:lineRule="exact"/>
                    <w:rPr>
                      <w:color w:val="000000" w:themeColor="text1"/>
                      <w:szCs w:val="21"/>
                    </w:rPr>
                  </w:pPr>
                  <w:r>
                    <w:rPr>
                      <w:rFonts w:hint="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洒水抑尘设施</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项目拟设置的洒水抑尘设施区域包括页岩采装区域（红富公司弃土场）、页岩堆场和煤料堆场；具体如下：</w:t>
                  </w:r>
                </w:p>
                <w:p>
                  <w:pPr>
                    <w:pStyle w:val="32"/>
                    <w:spacing w:line="360" w:lineRule="exact"/>
                    <w:ind w:firstLine="210" w:firstLineChars="100"/>
                    <w:jc w:val="both"/>
                    <w:rPr>
                      <w:color w:val="000000" w:themeColor="text1"/>
                      <w:szCs w:val="21"/>
                    </w:rPr>
                  </w:pPr>
                  <w:r>
                    <w:rPr>
                      <w:rFonts w:hint="eastAsia"/>
                      <w:color w:val="000000" w:themeColor="text1"/>
                      <w:szCs w:val="21"/>
                    </w:rPr>
                    <w:t>①页岩采装区域洒水抑尘设施</w:t>
                  </w:r>
                </w:p>
                <w:p>
                  <w:pPr>
                    <w:pStyle w:val="32"/>
                    <w:spacing w:line="360" w:lineRule="exact"/>
                    <w:ind w:firstLine="210" w:firstLineChars="100"/>
                    <w:jc w:val="both"/>
                    <w:rPr>
                      <w:color w:val="000000" w:themeColor="text1"/>
                      <w:szCs w:val="21"/>
                    </w:rPr>
                  </w:pPr>
                  <w:r>
                    <w:rPr>
                      <w:rFonts w:hint="eastAsia"/>
                      <w:color w:val="000000" w:themeColor="text1"/>
                      <w:szCs w:val="21"/>
                    </w:rPr>
                    <w:t>在采装过程会有扬尘产生，因此项目拟配套设置1套洒水抑尘设施对在弃土场采装页岩时产生的扬尘进行抑制，该洒水抑尘设施为可移动式洒水抑尘设施，由水泵、引水管道和喷头组成，洒水抑尘扬尘抑制率约50%。</w:t>
                  </w:r>
                </w:p>
                <w:p>
                  <w:pPr>
                    <w:pStyle w:val="32"/>
                    <w:spacing w:line="360" w:lineRule="exact"/>
                    <w:ind w:firstLine="210" w:firstLineChars="100"/>
                    <w:jc w:val="both"/>
                    <w:rPr>
                      <w:color w:val="000000" w:themeColor="text1"/>
                      <w:szCs w:val="21"/>
                    </w:rPr>
                  </w:pPr>
                  <w:r>
                    <w:rPr>
                      <w:rFonts w:hint="eastAsia"/>
                      <w:color w:val="000000" w:themeColor="text1"/>
                      <w:szCs w:val="21"/>
                    </w:rPr>
                    <w:t>②页岩堆场洒水抑尘设施</w:t>
                  </w:r>
                </w:p>
                <w:p>
                  <w:pPr>
                    <w:pStyle w:val="32"/>
                    <w:spacing w:line="360" w:lineRule="exact"/>
                    <w:ind w:firstLine="210" w:firstLineChars="100"/>
                    <w:jc w:val="both"/>
                    <w:rPr>
                      <w:color w:val="000000" w:themeColor="text1"/>
                      <w:szCs w:val="21"/>
                    </w:rPr>
                  </w:pPr>
                  <w:r>
                    <w:rPr>
                      <w:rFonts w:hint="eastAsia"/>
                      <w:color w:val="000000" w:themeColor="text1"/>
                      <w:szCs w:val="21"/>
                    </w:rPr>
                    <w:t>项目为抑制页岩堆场的扬尘产生，拟在页岩堆场顶棚内侧四周设置固定式洒水抑尘设施，该设施由水泵、引水管道和喷头组成，围挡及顶棚+洒水扬尘抑制率约80%。</w:t>
                  </w:r>
                </w:p>
                <w:p>
                  <w:pPr>
                    <w:pStyle w:val="32"/>
                    <w:spacing w:line="360" w:lineRule="exact"/>
                    <w:ind w:firstLine="210" w:firstLineChars="100"/>
                    <w:jc w:val="both"/>
                    <w:rPr>
                      <w:color w:val="000000" w:themeColor="text1"/>
                      <w:szCs w:val="21"/>
                    </w:rPr>
                  </w:pPr>
                  <w:r>
                    <w:rPr>
                      <w:rFonts w:hint="eastAsia"/>
                      <w:color w:val="000000" w:themeColor="text1"/>
                      <w:szCs w:val="21"/>
                    </w:rPr>
                    <w:t>③煤料堆场洒水抑尘设施</w:t>
                  </w:r>
                </w:p>
                <w:p>
                  <w:pPr>
                    <w:pStyle w:val="32"/>
                    <w:spacing w:line="360" w:lineRule="exact"/>
                    <w:ind w:firstLine="210" w:firstLineChars="100"/>
                    <w:jc w:val="both"/>
                    <w:rPr>
                      <w:color w:val="000000" w:themeColor="text1"/>
                      <w:szCs w:val="21"/>
                    </w:rPr>
                  </w:pPr>
                  <w:r>
                    <w:rPr>
                      <w:rFonts w:hint="eastAsia"/>
                      <w:color w:val="000000" w:themeColor="text1"/>
                      <w:szCs w:val="21"/>
                    </w:rPr>
                    <w:t>项目为抑制煤料堆场的扬尘产生，拟在煤料堆场顶棚内侧四周设置固定式洒水抑尘设施，该设施由水泵、引水管道和喷头组成，围挡及顶棚+洒水扬尘抑制率约80%。</w:t>
                  </w:r>
                </w:p>
                <w:p>
                  <w:pPr>
                    <w:pStyle w:val="32"/>
                    <w:spacing w:line="360" w:lineRule="exact"/>
                    <w:ind w:firstLine="210" w:firstLineChars="100"/>
                    <w:jc w:val="both"/>
                    <w:rPr>
                      <w:color w:val="000000" w:themeColor="text1"/>
                      <w:szCs w:val="21"/>
                    </w:rPr>
                  </w:pPr>
                  <w:r>
                    <w:rPr>
                      <w:rFonts w:hint="eastAsia"/>
                      <w:color w:val="000000" w:themeColor="text1"/>
                      <w:szCs w:val="21"/>
                    </w:rPr>
                    <w:t>合计设置3套洒水抑尘设施。</w:t>
                  </w:r>
                </w:p>
              </w:tc>
              <w:tc>
                <w:tcPr>
                  <w:tcW w:w="618" w:type="pct"/>
                  <w:vAlign w:val="center"/>
                </w:tcPr>
                <w:p>
                  <w:pPr>
                    <w:pStyle w:val="32"/>
                    <w:spacing w:line="360" w:lineRule="exact"/>
                    <w:rPr>
                      <w:color w:val="000000" w:themeColor="text1"/>
                      <w:szCs w:val="21"/>
                    </w:rPr>
                  </w:pPr>
                  <w:r>
                    <w:rPr>
                      <w:rFonts w:hint="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雾炮机</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项目拟在车间内设置1台雾炮机对厂区内的页岩、煤料装载机对页岩、煤料采装、卸料及运输过程扬尘进行洒水降尘。</w:t>
                  </w:r>
                </w:p>
              </w:tc>
              <w:tc>
                <w:tcPr>
                  <w:tcW w:w="618" w:type="pct"/>
                  <w:vAlign w:val="center"/>
                </w:tcPr>
                <w:p>
                  <w:pPr>
                    <w:pStyle w:val="32"/>
                    <w:spacing w:line="360" w:lineRule="exact"/>
                    <w:rPr>
                      <w:color w:val="000000" w:themeColor="text1"/>
                      <w:szCs w:val="21"/>
                    </w:rPr>
                  </w:pPr>
                  <w:r>
                    <w:rPr>
                      <w:rFonts w:hint="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围挡及顶棚</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根据设计，项目拟设置1个页岩堆场和1个煤料堆场，为防止扬尘产生，项目拟对页岩堆场和煤料堆场设置不低于物料堆存高度围挡和顶棚。使其满足“</w:t>
                  </w:r>
                  <w:r>
                    <w:rPr>
                      <w:color w:val="000000" w:themeColor="text1"/>
                      <w:szCs w:val="21"/>
                    </w:rPr>
                    <w:t>防扬散、防雨、防流失</w:t>
                  </w:r>
                  <w:r>
                    <w:rPr>
                      <w:rFonts w:hint="eastAsia"/>
                      <w:color w:val="000000" w:themeColor="text1"/>
                      <w:szCs w:val="21"/>
                    </w:rPr>
                    <w:t>”的三防要求。</w:t>
                  </w:r>
                </w:p>
              </w:tc>
              <w:tc>
                <w:tcPr>
                  <w:tcW w:w="618" w:type="pct"/>
                  <w:vAlign w:val="center"/>
                </w:tcPr>
                <w:p>
                  <w:pPr>
                    <w:pStyle w:val="32"/>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密闭运输</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根据设计，为降低扬尘对环境的影响，各工段之间的粉料运输均采用皮带密闭运输。</w:t>
                  </w:r>
                </w:p>
              </w:tc>
              <w:tc>
                <w:tcPr>
                  <w:tcW w:w="618" w:type="pct"/>
                  <w:vAlign w:val="center"/>
                </w:tcPr>
                <w:p>
                  <w:pPr>
                    <w:pStyle w:val="32"/>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集气罩</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根据设计，项目破碎车间颚破、混合、粉碎和筛分四个环节均会产生粉尘，因此项目拟分别对上述工序进行密闭，并设置集气罩，将粉尘进行有效收集。</w:t>
                  </w:r>
                </w:p>
                <w:p>
                  <w:pPr>
                    <w:pStyle w:val="32"/>
                    <w:spacing w:line="360" w:lineRule="exact"/>
                    <w:ind w:firstLine="210" w:firstLineChars="100"/>
                    <w:jc w:val="both"/>
                    <w:rPr>
                      <w:color w:val="000000" w:themeColor="text1"/>
                      <w:szCs w:val="21"/>
                    </w:rPr>
                  </w:pPr>
                  <w:r>
                    <w:rPr>
                      <w:color w:val="000000" w:themeColor="text1"/>
                      <w:szCs w:val="21"/>
                    </w:rPr>
                    <w:t>项目共设置4个集气罩，集气效率不低于90%。</w:t>
                  </w:r>
                </w:p>
              </w:tc>
              <w:tc>
                <w:tcPr>
                  <w:tcW w:w="618" w:type="pct"/>
                  <w:vAlign w:val="center"/>
                </w:tcPr>
                <w:p>
                  <w:pPr>
                    <w:pStyle w:val="32"/>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脉冲布袋除尘器</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根据设计，针对破碎车间的粉尘，项目已对各工序配套设置了集气罩，将其有效统一收集后，通过1台脉冲布袋除尘器进行处理，处理后通过</w:t>
                  </w:r>
                  <w:r>
                    <w:rPr>
                      <w:color w:val="000000" w:themeColor="text1"/>
                      <w:szCs w:val="21"/>
                    </w:rPr>
                    <w:t>1根</w:t>
                  </w:r>
                  <w:r>
                    <w:rPr>
                      <w:rFonts w:hint="eastAsia"/>
                      <w:color w:val="000000" w:themeColor="text1"/>
                      <w:szCs w:val="21"/>
                    </w:rPr>
                    <w:t>15m高</w:t>
                  </w:r>
                  <w:r>
                    <w:rPr>
                      <w:color w:val="000000" w:themeColor="text1"/>
                      <w:szCs w:val="21"/>
                    </w:rPr>
                    <w:t>排气筒（DA001）外排。</w:t>
                  </w:r>
                </w:p>
                <w:p>
                  <w:pPr>
                    <w:pStyle w:val="32"/>
                    <w:spacing w:line="360" w:lineRule="exact"/>
                    <w:ind w:firstLine="210" w:firstLineChars="100"/>
                    <w:jc w:val="both"/>
                    <w:rPr>
                      <w:color w:val="000000" w:themeColor="text1"/>
                      <w:szCs w:val="21"/>
                    </w:rPr>
                  </w:pPr>
                  <w:r>
                    <w:rPr>
                      <w:color w:val="000000" w:themeColor="text1"/>
                      <w:szCs w:val="21"/>
                    </w:rPr>
                    <w:t>脉冲布袋除尘器</w:t>
                  </w:r>
                  <w:r>
                    <w:rPr>
                      <w:rFonts w:hint="eastAsia"/>
                      <w:color w:val="000000" w:themeColor="text1"/>
                      <w:szCs w:val="21"/>
                    </w:rPr>
                    <w:t>的除尘效率不低于98%。</w:t>
                  </w:r>
                </w:p>
              </w:tc>
              <w:tc>
                <w:tcPr>
                  <w:tcW w:w="618" w:type="pct"/>
                  <w:vAlign w:val="center"/>
                </w:tcPr>
                <w:p>
                  <w:pPr>
                    <w:pStyle w:val="32"/>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脱硫除尘系统</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根据设计，项目拟设置1套脱硫除尘系统，对烟气进行处理，该</w:t>
                  </w:r>
                  <w:r>
                    <w:rPr>
                      <w:color w:val="000000" w:themeColor="text1"/>
                      <w:szCs w:val="21"/>
                    </w:rPr>
                    <w:t>脱硫</w:t>
                  </w:r>
                  <w:r>
                    <w:rPr>
                      <w:rFonts w:hint="eastAsia"/>
                      <w:color w:val="000000" w:themeColor="text1"/>
                      <w:szCs w:val="21"/>
                    </w:rPr>
                    <w:t>除尘系统</w:t>
                  </w:r>
                  <w:r>
                    <w:rPr>
                      <w:color w:val="000000" w:themeColor="text1"/>
                      <w:szCs w:val="21"/>
                    </w:rPr>
                    <w:t>核心工艺采用钠碱双碱还原法脱硫除尘工艺，烟尘去除率85%、二氧化硫去除率为90%、氟化物去除率为</w:t>
                  </w:r>
                  <w:r>
                    <w:rPr>
                      <w:rFonts w:hint="eastAsia"/>
                      <w:color w:val="000000" w:themeColor="text1"/>
                      <w:szCs w:val="21"/>
                    </w:rPr>
                    <w:t>70</w:t>
                  </w:r>
                  <w:r>
                    <w:rPr>
                      <w:color w:val="000000" w:themeColor="text1"/>
                      <w:szCs w:val="21"/>
                    </w:rPr>
                    <w:t>%</w:t>
                  </w:r>
                  <w:r>
                    <w:rPr>
                      <w:rFonts w:hint="eastAsia"/>
                      <w:color w:val="000000" w:themeColor="text1"/>
                      <w:szCs w:val="21"/>
                    </w:rPr>
                    <w:t>。</w:t>
                  </w:r>
                </w:p>
              </w:tc>
              <w:tc>
                <w:tcPr>
                  <w:tcW w:w="618" w:type="pct"/>
                  <w:vAlign w:val="center"/>
                </w:tcPr>
                <w:p>
                  <w:pPr>
                    <w:pStyle w:val="32"/>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排气筒</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根据设计，项目拟配套设置两根排气筒，具体如下：</w:t>
                  </w:r>
                </w:p>
                <w:p>
                  <w:pPr>
                    <w:pStyle w:val="32"/>
                    <w:spacing w:line="360" w:lineRule="exact"/>
                    <w:ind w:firstLine="210" w:firstLineChars="100"/>
                    <w:jc w:val="both"/>
                    <w:rPr>
                      <w:color w:val="000000" w:themeColor="text1"/>
                      <w:szCs w:val="21"/>
                    </w:rPr>
                  </w:pPr>
                  <w:r>
                    <w:rPr>
                      <w:rFonts w:hint="eastAsia"/>
                      <w:color w:val="000000" w:themeColor="text1"/>
                      <w:szCs w:val="21"/>
                    </w:rPr>
                    <w:t>①1#排气筒编号为：DA001，排气筒内径为0.8m，高为15m，排放破碎车间经脉冲除尘处理后的粉尘。</w:t>
                  </w:r>
                </w:p>
                <w:p>
                  <w:pPr>
                    <w:pStyle w:val="32"/>
                    <w:spacing w:line="360" w:lineRule="exact"/>
                    <w:ind w:firstLine="210" w:firstLineChars="100"/>
                    <w:jc w:val="both"/>
                    <w:rPr>
                      <w:color w:val="000000" w:themeColor="text1"/>
                      <w:szCs w:val="21"/>
                    </w:rPr>
                  </w:pPr>
                  <w:r>
                    <w:rPr>
                      <w:rFonts w:hint="eastAsia"/>
                      <w:color w:val="000000" w:themeColor="text1"/>
                      <w:szCs w:val="21"/>
                    </w:rPr>
                    <w:t>②2#排气筒编号为：DA002，排气筒内径为1.2m，高为18m，经脱硫除尘系统处理后的烟气通过2#排气筒外排。</w:t>
                  </w:r>
                </w:p>
              </w:tc>
              <w:tc>
                <w:tcPr>
                  <w:tcW w:w="618" w:type="pct"/>
                  <w:vAlign w:val="center"/>
                </w:tcPr>
                <w:p>
                  <w:pPr>
                    <w:pStyle w:val="32"/>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color w:val="000000" w:themeColor="text1"/>
                      <w:szCs w:val="21"/>
                    </w:rPr>
                    <w:t>雨污分流</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根据调查，项目区已设置了雨污分流设施。</w:t>
                  </w:r>
                </w:p>
              </w:tc>
              <w:tc>
                <w:tcPr>
                  <w:tcW w:w="618" w:type="pct"/>
                  <w:vAlign w:val="center"/>
                </w:tcPr>
                <w:p>
                  <w:pPr>
                    <w:pStyle w:val="32"/>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restart"/>
                  <w:vAlign w:val="center"/>
                </w:tcPr>
                <w:p>
                  <w:pPr>
                    <w:pStyle w:val="32"/>
                    <w:spacing w:line="360" w:lineRule="exact"/>
                    <w:rPr>
                      <w:color w:val="000000" w:themeColor="text1"/>
                      <w:szCs w:val="21"/>
                    </w:rPr>
                  </w:pPr>
                  <w:r>
                    <w:rPr>
                      <w:color w:val="000000" w:themeColor="text1"/>
                      <w:szCs w:val="21"/>
                    </w:rPr>
                    <w:t>废水</w:t>
                  </w:r>
                </w:p>
              </w:tc>
              <w:tc>
                <w:tcPr>
                  <w:tcW w:w="622" w:type="pc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脱硫废水沉淀池</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项目特点，项目脱硫除尘系统内水循环使用，但由于进入脱硫除尘系统中烟气的含水率较高，会导致脱硫除尘系统内的水量增大，同时为保证脱硫除尘系统烟气处理效率，项目需定期将部分废水排出脱硫除尘系统；因此项目拟单独配套设置1个30</w:t>
                  </w:r>
                  <w:r>
                    <w:rPr>
                      <w:color w:val="000000" w:themeColor="text1"/>
                      <w:szCs w:val="21"/>
                    </w:rPr>
                    <w:t>m³</w:t>
                  </w:r>
                  <w:r>
                    <w:rPr>
                      <w:rFonts w:hint="eastAsia"/>
                      <w:color w:val="000000" w:themeColor="text1"/>
                      <w:szCs w:val="21"/>
                    </w:rPr>
                    <w:t>的脱硫废水沉淀池对脱硫废水进行收集沉淀处理，并调节其pH值后，用于生产，不外排。</w:t>
                  </w:r>
                </w:p>
              </w:tc>
              <w:tc>
                <w:tcPr>
                  <w:tcW w:w="618" w:type="pct"/>
                  <w:vAlign w:val="center"/>
                </w:tcPr>
                <w:p>
                  <w:pPr>
                    <w:pStyle w:val="32"/>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初期雨水收集池</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根据设计，本项目拟配套设置了1个60m³的初期雨水收集池</w:t>
                  </w:r>
                  <w:r>
                    <w:rPr>
                      <w:color w:val="000000" w:themeColor="text1"/>
                      <w:szCs w:val="21"/>
                    </w:rPr>
                    <w:t>，对厂区的初期雨水进行收集；收集后</w:t>
                  </w:r>
                  <w:r>
                    <w:rPr>
                      <w:rFonts w:hint="eastAsia"/>
                      <w:color w:val="000000" w:themeColor="text1"/>
                      <w:szCs w:val="21"/>
                    </w:rPr>
                    <w:t>用于本项目生产用水，</w:t>
                  </w:r>
                  <w:r>
                    <w:rPr>
                      <w:color w:val="000000" w:themeColor="text1"/>
                      <w:szCs w:val="21"/>
                    </w:rPr>
                    <w:t>不外排</w:t>
                  </w:r>
                  <w:r>
                    <w:rPr>
                      <w:rFonts w:hint="eastAsia"/>
                      <w:color w:val="000000" w:themeColor="text1"/>
                      <w:szCs w:val="21"/>
                    </w:rPr>
                    <w:t>。</w:t>
                  </w:r>
                </w:p>
              </w:tc>
              <w:tc>
                <w:tcPr>
                  <w:tcW w:w="618" w:type="pct"/>
                  <w:vAlign w:val="center"/>
                </w:tcPr>
                <w:p>
                  <w:pPr>
                    <w:pStyle w:val="32"/>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隔油池</w:t>
                  </w:r>
                </w:p>
              </w:tc>
              <w:tc>
                <w:tcPr>
                  <w:tcW w:w="2915" w:type="pct"/>
                  <w:vAlign w:val="center"/>
                </w:tcPr>
                <w:p>
                  <w:pPr>
                    <w:pStyle w:val="32"/>
                    <w:spacing w:line="360" w:lineRule="exact"/>
                    <w:ind w:firstLine="210" w:firstLineChars="100"/>
                    <w:jc w:val="both"/>
                    <w:rPr>
                      <w:color w:val="000000" w:themeColor="text1"/>
                      <w:szCs w:val="21"/>
                    </w:rPr>
                  </w:pPr>
                  <w:r>
                    <w:rPr>
                      <w:color w:val="000000" w:themeColor="text1"/>
                      <w:szCs w:val="21"/>
                    </w:rPr>
                    <w:t>环评要求，针对项目厨房废水，项目拟配套设置1个1m³的隔油池对厨房废水进行预处理。</w:t>
                  </w:r>
                </w:p>
              </w:tc>
              <w:tc>
                <w:tcPr>
                  <w:tcW w:w="618"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化粪池</w:t>
                  </w:r>
                </w:p>
              </w:tc>
              <w:tc>
                <w:tcPr>
                  <w:tcW w:w="2915" w:type="pct"/>
                  <w:vAlign w:val="center"/>
                </w:tcPr>
                <w:p>
                  <w:pPr>
                    <w:pStyle w:val="32"/>
                    <w:spacing w:line="360" w:lineRule="exact"/>
                    <w:ind w:firstLine="210" w:firstLineChars="100"/>
                    <w:jc w:val="both"/>
                    <w:rPr>
                      <w:color w:val="000000" w:themeColor="text1"/>
                      <w:szCs w:val="21"/>
                    </w:rPr>
                  </w:pPr>
                  <w:r>
                    <w:rPr>
                      <w:color w:val="000000" w:themeColor="text1"/>
                      <w:szCs w:val="21"/>
                    </w:rPr>
                    <w:t>此次对生活区改造过程中，将重新建设1个有效容积为10m³的化粪池，对生活污水进行预处理。</w:t>
                  </w:r>
                </w:p>
              </w:tc>
              <w:tc>
                <w:tcPr>
                  <w:tcW w:w="618"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一体化污水处理设施</w:t>
                  </w:r>
                </w:p>
              </w:tc>
              <w:tc>
                <w:tcPr>
                  <w:tcW w:w="2915" w:type="pct"/>
                  <w:vAlign w:val="center"/>
                </w:tcPr>
                <w:p>
                  <w:pPr>
                    <w:pStyle w:val="32"/>
                    <w:spacing w:line="360" w:lineRule="exact"/>
                    <w:ind w:firstLine="210" w:firstLineChars="100"/>
                    <w:jc w:val="both"/>
                    <w:rPr>
                      <w:color w:val="000000" w:themeColor="text1"/>
                      <w:szCs w:val="21"/>
                    </w:rPr>
                  </w:pPr>
                  <w:r>
                    <w:rPr>
                      <w:color w:val="000000" w:themeColor="text1"/>
                      <w:szCs w:val="21"/>
                    </w:rPr>
                    <w:t>环评要求，项目区域未配套建设污水管网，不具备排水条件，因此项目拟配套设置1套处理能力为5m³/d的一体化污水处理设施对生活污水进行处理达到《城市污水再生利用 城市杂用水水质》（GB/T18920-2020）城市绿化标准后，回用于项目区绿化，不外排。</w:t>
                  </w:r>
                </w:p>
              </w:tc>
              <w:tc>
                <w:tcPr>
                  <w:tcW w:w="618"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清水池</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根据设计，生活污水经处理后将回用于绿化，为满足雨天等特殊情况，处理后生活污水的暂存要求，项目拟配套设置1个有效容积为10m³的清水池对处理后的生活污水进行暂存。</w:t>
                  </w:r>
                </w:p>
              </w:tc>
              <w:tc>
                <w:tcPr>
                  <w:tcW w:w="618" w:type="pct"/>
                  <w:vAlign w:val="center"/>
                </w:tcPr>
                <w:p>
                  <w:pPr>
                    <w:pStyle w:val="32"/>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地下水防渗</w:t>
                  </w:r>
                </w:p>
              </w:tc>
              <w:tc>
                <w:tcPr>
                  <w:tcW w:w="622"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重点防渗区</w:t>
                  </w:r>
                </w:p>
              </w:tc>
              <w:tc>
                <w:tcPr>
                  <w:tcW w:w="2915" w:type="pct"/>
                  <w:vAlign w:val="center"/>
                </w:tcPr>
                <w:p>
                  <w:pPr>
                    <w:pStyle w:val="32"/>
                    <w:spacing w:line="360" w:lineRule="exact"/>
                    <w:ind w:firstLine="210" w:firstLineChars="100"/>
                    <w:jc w:val="both"/>
                    <w:rPr>
                      <w:color w:val="000000" w:themeColor="text1"/>
                      <w:szCs w:val="21"/>
                    </w:rPr>
                  </w:pPr>
                  <w:r>
                    <w:rPr>
                      <w:color w:val="000000" w:themeColor="text1"/>
                      <w:szCs w:val="21"/>
                    </w:rPr>
                    <w:t>项目重点防渗区为危险废物贮存间</w:t>
                  </w:r>
                  <w:r>
                    <w:rPr>
                      <w:rFonts w:hint="eastAsia"/>
                      <w:color w:val="000000" w:themeColor="text1"/>
                      <w:szCs w:val="21"/>
                    </w:rPr>
                    <w:t>：</w:t>
                  </w:r>
                  <w:r>
                    <w:rPr>
                      <w:color w:val="000000" w:themeColor="text1"/>
                      <w:szCs w:val="21"/>
                    </w:rPr>
                    <w:t>危险废物贮存间</w:t>
                  </w:r>
                  <w:r>
                    <w:rPr>
                      <w:rFonts w:hint="eastAsia"/>
                      <w:color w:val="000000" w:themeColor="text1"/>
                      <w:szCs w:val="21"/>
                    </w:rPr>
                    <w:t>地面和裙墙应采用</w:t>
                  </w:r>
                  <w:r>
                    <w:rPr>
                      <w:color w:val="000000" w:themeColor="text1"/>
                      <w:szCs w:val="21"/>
                    </w:rPr>
                    <w:t>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618" w:type="pct"/>
                  <w:vAlign w:val="center"/>
                </w:tcPr>
                <w:p>
                  <w:pPr>
                    <w:pStyle w:val="32"/>
                    <w:spacing w:line="360" w:lineRule="exact"/>
                    <w:rPr>
                      <w:color w:val="000000" w:themeColor="text1"/>
                      <w:szCs w:val="21"/>
                    </w:rPr>
                  </w:pPr>
                  <w:r>
                    <w:rPr>
                      <w:rFonts w:hint="eastAsia"/>
                      <w:color w:val="000000" w:themeColor="text1"/>
                      <w:szCs w:val="21"/>
                    </w:rPr>
                    <w:t>环评</w:t>
                  </w:r>
                  <w:r>
                    <w:rPr>
                      <w:color w:val="000000" w:themeColor="text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rFonts w:eastAsiaTheme="minorEastAsia"/>
                      <w:color w:val="000000" w:themeColor="text1"/>
                      <w:szCs w:val="21"/>
                    </w:rPr>
                  </w:pPr>
                </w:p>
              </w:tc>
              <w:tc>
                <w:tcPr>
                  <w:tcW w:w="622"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一般防渗区</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根据分区防渗规范要求，项目脱硫除尘系统、库房、生活污水处理设施区域划定为一般防渗区</w:t>
                  </w:r>
                  <w:r>
                    <w:rPr>
                      <w:color w:val="000000" w:themeColor="text1"/>
                      <w:szCs w:val="21"/>
                    </w:rPr>
                    <w:t>，一般防渗区措施在地面采取粘土铺底，并在上层铺30cm的混凝土进行硬化。确保防渗性能</w:t>
                  </w:r>
                  <w:r>
                    <w:rPr>
                      <w:rFonts w:hint="eastAsia"/>
                      <w:color w:val="000000" w:themeColor="text1"/>
                      <w:szCs w:val="21"/>
                    </w:rPr>
                    <w:t>，使其渗透系数</w:t>
                  </w:r>
                  <w:r>
                    <w:rPr>
                      <w:color w:val="000000" w:themeColor="text1"/>
                      <w:szCs w:val="21"/>
                    </w:rPr>
                    <w:t>≤1.0×10</w:t>
                  </w:r>
                  <w:r>
                    <w:rPr>
                      <w:color w:val="000000" w:themeColor="text1"/>
                      <w:szCs w:val="21"/>
                      <w:vertAlign w:val="superscript"/>
                    </w:rPr>
                    <w:t>-</w:t>
                  </w:r>
                  <w:r>
                    <w:rPr>
                      <w:rFonts w:hint="eastAsia"/>
                      <w:color w:val="000000" w:themeColor="text1"/>
                      <w:szCs w:val="21"/>
                      <w:vertAlign w:val="superscript"/>
                    </w:rPr>
                    <w:t>7</w:t>
                  </w:r>
                  <w:r>
                    <w:rPr>
                      <w:color w:val="000000" w:themeColor="text1"/>
                      <w:szCs w:val="21"/>
                    </w:rPr>
                    <w:t>cm/s</w:t>
                  </w:r>
                  <w:r>
                    <w:rPr>
                      <w:rFonts w:hint="eastAsia"/>
                      <w:color w:val="000000" w:themeColor="text1"/>
                      <w:szCs w:val="21"/>
                    </w:rPr>
                    <w:t>。</w:t>
                  </w:r>
                </w:p>
              </w:tc>
              <w:tc>
                <w:tcPr>
                  <w:tcW w:w="618"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Align w:val="center"/>
                </w:tcPr>
                <w:p>
                  <w:pPr>
                    <w:pStyle w:val="32"/>
                    <w:spacing w:line="360" w:lineRule="exact"/>
                    <w:rPr>
                      <w:color w:val="000000" w:themeColor="text1"/>
                      <w:szCs w:val="21"/>
                    </w:rPr>
                  </w:pPr>
                  <w:r>
                    <w:rPr>
                      <w:color w:val="000000" w:themeColor="text1"/>
                      <w:szCs w:val="21"/>
                    </w:rPr>
                    <w:t>噪声</w:t>
                  </w:r>
                </w:p>
              </w:tc>
              <w:tc>
                <w:tcPr>
                  <w:tcW w:w="622" w:type="pct"/>
                  <w:vAlign w:val="center"/>
                </w:tcPr>
                <w:p>
                  <w:pPr>
                    <w:pStyle w:val="32"/>
                    <w:spacing w:line="360" w:lineRule="exact"/>
                    <w:rPr>
                      <w:color w:val="000000" w:themeColor="text1"/>
                      <w:szCs w:val="21"/>
                    </w:rPr>
                  </w:pPr>
                  <w:r>
                    <w:rPr>
                      <w:color w:val="000000" w:themeColor="text1"/>
                      <w:szCs w:val="21"/>
                    </w:rPr>
                    <w:t>设备噪声</w:t>
                  </w:r>
                </w:p>
              </w:tc>
              <w:tc>
                <w:tcPr>
                  <w:tcW w:w="2915" w:type="pct"/>
                  <w:vAlign w:val="center"/>
                </w:tcPr>
                <w:p>
                  <w:pPr>
                    <w:pStyle w:val="32"/>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618"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restart"/>
                  <w:vAlign w:val="center"/>
                </w:tcPr>
                <w:p>
                  <w:pPr>
                    <w:pStyle w:val="32"/>
                    <w:spacing w:line="360" w:lineRule="exact"/>
                    <w:rPr>
                      <w:color w:val="000000" w:themeColor="text1"/>
                      <w:szCs w:val="21"/>
                    </w:rPr>
                  </w:pPr>
                  <w:r>
                    <w:rPr>
                      <w:color w:val="000000" w:themeColor="text1"/>
                      <w:szCs w:val="21"/>
                    </w:rPr>
                    <w:t>固废</w:t>
                  </w:r>
                </w:p>
              </w:tc>
              <w:tc>
                <w:tcPr>
                  <w:tcW w:w="622" w:type="pct"/>
                  <w:vAlign w:val="center"/>
                </w:tcPr>
                <w:p>
                  <w:pPr>
                    <w:pStyle w:val="32"/>
                    <w:spacing w:line="360" w:lineRule="exact"/>
                    <w:rPr>
                      <w:color w:val="000000" w:themeColor="text1"/>
                      <w:szCs w:val="21"/>
                    </w:rPr>
                  </w:pPr>
                  <w:r>
                    <w:rPr>
                      <w:color w:val="000000" w:themeColor="text1"/>
                      <w:szCs w:val="21"/>
                    </w:rPr>
                    <w:t>危险废物贮存间</w:t>
                  </w:r>
                </w:p>
              </w:tc>
              <w:tc>
                <w:tcPr>
                  <w:tcW w:w="2915" w:type="pct"/>
                  <w:vAlign w:val="center"/>
                </w:tcPr>
                <w:p>
                  <w:pPr>
                    <w:pStyle w:val="32"/>
                    <w:spacing w:line="360" w:lineRule="exact"/>
                    <w:ind w:firstLine="210" w:firstLineChars="100"/>
                    <w:jc w:val="both"/>
                    <w:rPr>
                      <w:color w:val="000000" w:themeColor="text1"/>
                    </w:rPr>
                  </w:pPr>
                  <w:r>
                    <w:rPr>
                      <w:rFonts w:hint="eastAsia"/>
                      <w:color w:val="000000" w:themeColor="text1"/>
                    </w:rPr>
                    <w:t>针对项目产生的废机油和废弃沾油抹布，厂区拟建设了1个10m²的危险废物贮存间对项目区产生的危险废物进行分类暂存。废机油部分用于生产设备润滑使用，无法使用部分委托有资质的单位处置</w:t>
                  </w:r>
                  <w:r>
                    <w:rPr>
                      <w:color w:val="000000" w:themeColor="text1"/>
                    </w:rPr>
                    <w:t>。</w:t>
                  </w:r>
                </w:p>
              </w:tc>
              <w:tc>
                <w:tcPr>
                  <w:tcW w:w="618"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生活垃圾桶</w:t>
                  </w:r>
                </w:p>
              </w:tc>
              <w:tc>
                <w:tcPr>
                  <w:tcW w:w="2915" w:type="pct"/>
                  <w:vAlign w:val="center"/>
                </w:tcPr>
                <w:p>
                  <w:pPr>
                    <w:pStyle w:val="32"/>
                    <w:spacing w:line="360" w:lineRule="exact"/>
                    <w:ind w:firstLine="210" w:firstLineChars="100"/>
                    <w:jc w:val="both"/>
                    <w:rPr>
                      <w:color w:val="000000" w:themeColor="text1"/>
                    </w:rPr>
                  </w:pPr>
                  <w:r>
                    <w:rPr>
                      <w:rFonts w:hint="eastAsia"/>
                      <w:color w:val="000000" w:themeColor="text1"/>
                    </w:rPr>
                    <w:t>项目拟设置生活垃圾桶，对生活垃圾收集后委托环卫部门进行处理。</w:t>
                  </w:r>
                </w:p>
              </w:tc>
              <w:tc>
                <w:tcPr>
                  <w:tcW w:w="618"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restart"/>
                  <w:vAlign w:val="center"/>
                </w:tcPr>
                <w:p>
                  <w:pPr>
                    <w:pStyle w:val="32"/>
                    <w:spacing w:line="360" w:lineRule="exact"/>
                    <w:rPr>
                      <w:color w:val="000000" w:themeColor="text1"/>
                      <w:szCs w:val="21"/>
                    </w:rPr>
                  </w:pPr>
                  <w:r>
                    <w:rPr>
                      <w:color w:val="000000" w:themeColor="text1"/>
                      <w:szCs w:val="21"/>
                    </w:rPr>
                    <w:t>其他</w:t>
                  </w:r>
                </w:p>
              </w:tc>
              <w:tc>
                <w:tcPr>
                  <w:tcW w:w="622" w:type="pct"/>
                  <w:vAlign w:val="center"/>
                </w:tcPr>
                <w:p>
                  <w:pPr>
                    <w:pStyle w:val="32"/>
                    <w:spacing w:line="360" w:lineRule="exact"/>
                    <w:rPr>
                      <w:color w:val="000000" w:themeColor="text1"/>
                      <w:szCs w:val="21"/>
                    </w:rPr>
                  </w:pPr>
                  <w:r>
                    <w:rPr>
                      <w:color w:val="000000" w:themeColor="text1"/>
                      <w:szCs w:val="21"/>
                    </w:rPr>
                    <w:t>标识牌</w:t>
                  </w:r>
                </w:p>
              </w:tc>
              <w:tc>
                <w:tcPr>
                  <w:tcW w:w="2915" w:type="pct"/>
                  <w:vAlign w:val="center"/>
                </w:tcPr>
                <w:p>
                  <w:pPr>
                    <w:pStyle w:val="32"/>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618"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绿化</w:t>
                  </w:r>
                </w:p>
              </w:tc>
              <w:tc>
                <w:tcPr>
                  <w:tcW w:w="2915"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根据设计，项目区将设置1500</w:t>
                  </w:r>
                  <w:r>
                    <w:rPr>
                      <w:color w:val="000000" w:themeColor="text1"/>
                    </w:rPr>
                    <w:t>m²</w:t>
                  </w:r>
                  <w:r>
                    <w:rPr>
                      <w:rFonts w:hint="eastAsia"/>
                      <w:color w:val="000000" w:themeColor="text1"/>
                    </w:rPr>
                    <w:t>的绿化区域。</w:t>
                  </w:r>
                </w:p>
              </w:tc>
              <w:tc>
                <w:tcPr>
                  <w:tcW w:w="618" w:type="pct"/>
                  <w:vAlign w:val="center"/>
                </w:tcPr>
                <w:p>
                  <w:pPr>
                    <w:pStyle w:val="32"/>
                    <w:spacing w:line="360" w:lineRule="exact"/>
                    <w:rPr>
                      <w:color w:val="000000" w:themeColor="text1"/>
                      <w:szCs w:val="21"/>
                    </w:rPr>
                  </w:pPr>
                  <w:r>
                    <w:rPr>
                      <w:color w:val="000000" w:themeColor="text1"/>
                      <w:szCs w:val="21"/>
                    </w:rPr>
                    <w:t>设计提出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33544969"/>
            <w:bookmarkStart w:id="1" w:name="_Toc493693536"/>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根据设计，项目按照场地的结构进行布置，由于</w:t>
            </w:r>
            <w:r>
              <w:rPr>
                <w:rFonts w:ascii="Times New Roman" w:hAnsi="Times New Roman" w:cs="Times New Roman"/>
                <w:color w:val="000000" w:themeColor="text1"/>
                <w:sz w:val="24"/>
                <w:szCs w:val="24"/>
              </w:rPr>
              <w:t>昆明红富化肥有限公司</w:t>
            </w:r>
            <w:r>
              <w:rPr>
                <w:rFonts w:hint="eastAsia" w:ascii="Times New Roman" w:hAnsi="Times New Roman" w:cs="Times New Roman"/>
                <w:color w:val="000000" w:themeColor="text1"/>
                <w:sz w:val="24"/>
                <w:szCs w:val="24"/>
              </w:rPr>
              <w:t>弃土场位于项目区东侧及南侧，因此项目区东南侧区域设计为原料处理区域，东侧区域为成型车间、中部区域为烘干焙烧区域，西侧区域为产品堆场，而办公区和生活区依托现有工程设施进行改造使用，其中页岩堆场和煤料堆场位于最南侧，在其北侧为破碎车间和陈化车间，而存坯车间、成型车间位于西侧，中部为干燥窑和焙烧窑，西侧为卸砖线和产品堆场，而办公区位于生产区西侧，生活区位于生产区南侧，库房位于生产区北侧；项目破碎车间配套设置的脉冲布袋除尘器及1#排气筒位于破碎车间东侧，而脱硫除尘系统及2#排气筒位于生产区北侧，脱硫废水沉淀池位于存胚车间旁，初期雨水收集池位于破碎车间旁，危险废物暂存间位于库房旁，隔油池、化粪池、一体化污水处理设施和清水池位于生活区旁。</w:t>
            </w:r>
            <w:r>
              <w:rPr>
                <w:rFonts w:ascii="Times New Roman" w:hAnsi="Times New Roman" w:cs="Times New Roman"/>
                <w:color w:val="000000" w:themeColor="text1"/>
                <w:sz w:val="24"/>
                <w:szCs w:val="24"/>
              </w:rPr>
              <w:t>根据项目特点可知，本项目生产工艺的平面布置对环境影响不大，因此项目平面布置合理。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项目生产车间平面布置详见附图2-2  项目生产</w:t>
            </w:r>
            <w:r>
              <w:rPr>
                <w:rFonts w:hint="eastAsia" w:ascii="Times New Roman" w:hAnsi="Times New Roman" w:cs="Times New Roman"/>
                <w:color w:val="000000" w:themeColor="text1"/>
                <w:sz w:val="24"/>
                <w:szCs w:val="24"/>
              </w:rPr>
              <w:t>线</w:t>
            </w:r>
            <w:r>
              <w:rPr>
                <w:rFonts w:ascii="Times New Roman" w:hAnsi="Times New Roman" w:cs="Times New Roman"/>
                <w:color w:val="000000" w:themeColor="text1"/>
                <w:sz w:val="24"/>
                <w:szCs w:val="24"/>
              </w:rPr>
              <w:t>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主要产品及产能</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根据设计，项目主要产品为满足</w:t>
            </w:r>
            <w:r>
              <w:rPr>
                <w:rFonts w:ascii="Times New Roman" w:hAnsi="Times New Roman" w:cs="Times New Roman"/>
                <w:bCs/>
                <w:color w:val="000000" w:themeColor="text1"/>
                <w:sz w:val="24"/>
                <w:szCs w:val="24"/>
              </w:rPr>
              <w:t>《烧结普通砖》</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GB/T5101-2017</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标准</w:t>
            </w:r>
            <w:r>
              <w:rPr>
                <w:rFonts w:hint="eastAsia" w:ascii="Times New Roman" w:hAnsi="Times New Roman" w:cs="Times New Roman"/>
                <w:bCs/>
                <w:color w:val="000000" w:themeColor="text1"/>
                <w:sz w:val="24"/>
                <w:szCs w:val="24"/>
              </w:rPr>
              <w:t>的</w:t>
            </w:r>
            <w:r>
              <w:rPr>
                <w:rFonts w:ascii="Times New Roman" w:hAnsi="Times New Roman" w:cs="Times New Roman"/>
                <w:bCs/>
                <w:color w:val="000000" w:themeColor="text1"/>
                <w:sz w:val="24"/>
                <w:szCs w:val="24"/>
              </w:rPr>
              <w:t>高强度</w:t>
            </w:r>
            <w:r>
              <w:rPr>
                <w:rFonts w:hint="eastAsia" w:ascii="Times New Roman" w:hAnsi="Times New Roman" w:cs="Times New Roman"/>
                <w:bCs/>
                <w:color w:val="000000" w:themeColor="text1"/>
                <w:sz w:val="24"/>
                <w:szCs w:val="24"/>
              </w:rPr>
              <w:t>页岩砖，具体如下表所示。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int="eastAsia" w:hAnsi="Times New Roman" w:eastAsiaTheme="minorEastAsia"/>
                <w:bCs/>
                <w:snapToGrid w:val="0"/>
                <w:color w:val="000000" w:themeColor="text1"/>
                <w:sz w:val="21"/>
                <w:szCs w:val="21"/>
              </w:rPr>
              <w:t>表2.3-1</w:t>
            </w:r>
            <w:r>
              <w:rPr>
                <w:rFonts w:hAnsi="Times New Roman" w:eastAsiaTheme="minorEastAsia"/>
                <w:bCs/>
                <w:snapToGrid w:val="0"/>
                <w:color w:val="000000" w:themeColor="text1"/>
                <w:sz w:val="21"/>
                <w:szCs w:val="21"/>
              </w:rPr>
              <w:t xml:space="preserve"> </w:t>
            </w:r>
            <w:r>
              <w:rPr>
                <w:rFonts w:hint="eastAsia" w:hAnsi="Times New Roman" w:eastAsiaTheme="minorEastAsia"/>
                <w:bCs/>
                <w:snapToGrid w:val="0"/>
                <w:color w:val="000000" w:themeColor="text1"/>
                <w:sz w:val="21"/>
                <w:szCs w:val="21"/>
              </w:rPr>
              <w:t>项目主要产品及产能一览表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974"/>
              <w:gridCol w:w="2273"/>
              <w:gridCol w:w="2275"/>
              <w:gridCol w:w="1132"/>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序号</w:t>
                  </w:r>
                </w:p>
              </w:tc>
              <w:tc>
                <w:tcPr>
                  <w:tcW w:w="566"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主要产品</w:t>
                  </w:r>
                </w:p>
              </w:tc>
              <w:tc>
                <w:tcPr>
                  <w:tcW w:w="1321"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产品规格</w:t>
                  </w:r>
                </w:p>
              </w:tc>
              <w:tc>
                <w:tcPr>
                  <w:tcW w:w="1322"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产品质量指标</w:t>
                  </w:r>
                </w:p>
              </w:tc>
              <w:tc>
                <w:tcPr>
                  <w:tcW w:w="658"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重量</w:t>
                  </w:r>
                </w:p>
              </w:tc>
              <w:tc>
                <w:tcPr>
                  <w:tcW w:w="784"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产能</w:t>
                  </w:r>
                  <w:r>
                    <w:rPr>
                      <w:rFonts w:hint="eastAsia" w:ascii="Times New Roman" w:hAnsi="Times New Roman" w:eastAsia="宋体" w:cs="Times New Roman"/>
                      <w:bCs/>
                      <w:snapToGrid w:val="0"/>
                      <w:color w:val="000000" w:themeColor="text1"/>
                      <w:kern w:val="32"/>
                      <w:lang w:val="zh-CN"/>
                    </w:rPr>
                    <w:t>（标砖）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w:t>
                  </w:r>
                </w:p>
              </w:tc>
              <w:tc>
                <w:tcPr>
                  <w:tcW w:w="566"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烧结砖</w:t>
                  </w:r>
                </w:p>
              </w:tc>
              <w:tc>
                <w:tcPr>
                  <w:tcW w:w="1321"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240mm×115mm×53mm</w:t>
                  </w:r>
                </w:p>
              </w:tc>
              <w:tc>
                <w:tcPr>
                  <w:tcW w:w="1322"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抗压强度为MU30、MU25、MU20、MU15、MU10</w:t>
                  </w:r>
                </w:p>
              </w:tc>
              <w:tc>
                <w:tcPr>
                  <w:tcW w:w="658"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2.63</w:t>
                  </w:r>
                  <w:r>
                    <w:rPr>
                      <w:rFonts w:ascii="Times New Roman" w:hAnsi="Times New Roman" w:eastAsia="宋体" w:cs="Times New Roman"/>
                      <w:bCs/>
                      <w:snapToGrid w:val="0"/>
                      <w:color w:val="000000" w:themeColor="text1"/>
                      <w:kern w:val="32"/>
                      <w:lang w:val="zh-CN"/>
                    </w:rPr>
                    <w:t>kg/块</w:t>
                  </w:r>
                </w:p>
              </w:tc>
              <w:tc>
                <w:tcPr>
                  <w:tcW w:w="784"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w:t>
                  </w:r>
                  <w:r>
                    <w:rPr>
                      <w:rFonts w:ascii="Times New Roman" w:hAnsi="Times New Roman" w:eastAsia="宋体" w:cs="Times New Roman"/>
                      <w:bCs/>
                      <w:snapToGrid w:val="0"/>
                      <w:color w:val="000000" w:themeColor="text1"/>
                      <w:kern w:val="32"/>
                      <w:lang w:val="zh-CN"/>
                    </w:rPr>
                    <w:t>000万块/</w:t>
                  </w:r>
                  <w:r>
                    <w:rPr>
                      <w:rFonts w:hint="eastAsia" w:ascii="Times New Roman" w:hAnsi="Times New Roman" w:eastAsia="宋体" w:cs="Times New Roman"/>
                      <w:bCs/>
                      <w:snapToGrid w:val="0"/>
                      <w:color w:val="000000" w:themeColor="text1"/>
                      <w:kern w:val="32"/>
                      <w:lang w:val="zh-CN"/>
                    </w:rPr>
                    <w:t>a</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（2）产品的变化情况</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根据调查，本项目主要产品和原有项目相同，其主要变化为产量发生变化，具体如下表所示。</w:t>
            </w:r>
          </w:p>
          <w:p>
            <w:pPr>
              <w:jc w:val="center"/>
              <w:rPr>
                <w:rFonts w:ascii="Times New Roman" w:cs="Times New Roman"/>
                <w:b/>
                <w:color w:val="000000" w:themeColor="text1"/>
                <w:szCs w:val="24"/>
              </w:rPr>
            </w:pPr>
            <w:r>
              <w:rPr>
                <w:rFonts w:hint="eastAsia" w:ascii="Times New Roman" w:cs="Times New Roman"/>
                <w:b/>
                <w:color w:val="000000" w:themeColor="text1"/>
                <w:szCs w:val="24"/>
              </w:rPr>
              <w:t>表2.3-2 产品的变化情况一览表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76"/>
              <w:gridCol w:w="1886"/>
              <w:gridCol w:w="1887"/>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序号</w:t>
                  </w:r>
                </w:p>
              </w:tc>
              <w:tc>
                <w:tcPr>
                  <w:tcW w:w="1443"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产品种类</w:t>
                  </w:r>
                </w:p>
              </w:tc>
              <w:tc>
                <w:tcPr>
                  <w:tcW w:w="396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产能</w:t>
                  </w:r>
                  <w:r>
                    <w:rPr>
                      <w:rFonts w:hint="eastAsia" w:ascii="Times New Roman" w:hAnsi="Times New Roman" w:eastAsia="宋体" w:cs="Times New Roman"/>
                      <w:bCs/>
                      <w:snapToGrid w:val="0"/>
                      <w:color w:val="000000" w:themeColor="text1"/>
                      <w:kern w:val="32"/>
                      <w:lang w:val="zh-CN"/>
                    </w:rPr>
                    <w:t>（标砖）</w:t>
                  </w:r>
                </w:p>
              </w:tc>
              <w:tc>
                <w:tcPr>
                  <w:tcW w:w="272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4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原有项目</w:t>
                  </w:r>
                </w:p>
              </w:tc>
              <w:tc>
                <w:tcPr>
                  <w:tcW w:w="198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本次改扩建项目</w:t>
                  </w:r>
                </w:p>
              </w:tc>
              <w:tc>
                <w:tcPr>
                  <w:tcW w:w="272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w:t>
                  </w:r>
                </w:p>
              </w:tc>
              <w:tc>
                <w:tcPr>
                  <w:tcW w:w="144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烧结砖</w:t>
                  </w: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6000万块/a</w:t>
                  </w:r>
                </w:p>
              </w:tc>
              <w:tc>
                <w:tcPr>
                  <w:tcW w:w="198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7000万块/a</w:t>
                  </w:r>
                </w:p>
              </w:tc>
              <w:tc>
                <w:tcPr>
                  <w:tcW w:w="2724"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产量增加1000万块/a</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w:t>
            </w:r>
            <w:r>
              <w:rPr>
                <w:rFonts w:hint="eastAsia" w:ascii="Times New Roman" w:hAnsi="Times New Roman" w:cs="Times New Roman"/>
                <w:bCs/>
                <w:color w:val="000000" w:themeColor="text1"/>
                <w:sz w:val="24"/>
                <w:szCs w:val="24"/>
              </w:rPr>
              <w:t>项目原有设施已全部拆除，改扩建项目设备全为新增；</w:t>
            </w:r>
            <w:r>
              <w:rPr>
                <w:rFonts w:ascii="Times New Roman" w:hAnsi="Times New Roman" w:cs="Times New Roman"/>
                <w:bCs/>
                <w:color w:val="000000" w:themeColor="text1"/>
                <w:sz w:val="24"/>
                <w:szCs w:val="24"/>
              </w:rPr>
              <w:t>项目主要生产单元、主要工艺、生产设施及设施参数如下表所示。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970"/>
              <w:gridCol w:w="1690"/>
              <w:gridCol w:w="1375"/>
              <w:gridCol w:w="1495"/>
              <w:gridCol w:w="1227"/>
              <w:gridCol w:w="9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97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3065"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规格型号</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设施参数</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97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破碎</w:t>
                  </w:r>
                </w:p>
              </w:tc>
              <w:tc>
                <w:tcPr>
                  <w:tcW w:w="1690"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破碎车间</w:t>
                  </w: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颚式破碎机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38.4</w:t>
                  </w:r>
                  <w:r>
                    <w:rPr>
                      <w:rFonts w:ascii="Times New Roman" w:hAnsi="Times New Roman" w:eastAsia="宋体" w:cs="Times New Roman"/>
                      <w:bCs/>
                      <w:snapToGrid w:val="0"/>
                      <w:color w:val="000000" w:themeColor="text1"/>
                      <w:kern w:val="32"/>
                      <w:lang w:val="zh-CN"/>
                    </w:rPr>
                    <w:t>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color w:val="000000" w:themeColor="text1"/>
                    </w:rPr>
                    <w:t>自动配煤机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38.4</w:t>
                  </w:r>
                  <w:r>
                    <w:rPr>
                      <w:rFonts w:ascii="Times New Roman" w:hAnsi="Times New Roman" w:eastAsia="宋体" w:cs="Times New Roman"/>
                      <w:bCs/>
                      <w:snapToGrid w:val="0"/>
                      <w:color w:val="000000" w:themeColor="text1"/>
                      <w:kern w:val="32"/>
                      <w:lang w:val="zh-CN"/>
                    </w:rPr>
                    <w:t>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500×4000</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38.4</w:t>
                  </w:r>
                  <w:r>
                    <w:rPr>
                      <w:rFonts w:ascii="Times New Roman" w:hAnsi="Times New Roman" w:eastAsia="宋体" w:cs="Times New Roman"/>
                      <w:bCs/>
                      <w:snapToGrid w:val="0"/>
                      <w:color w:val="000000" w:themeColor="text1"/>
                      <w:kern w:val="32"/>
                      <w:lang w:val="zh-CN"/>
                    </w:rPr>
                    <w:t>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粉碎机</w:t>
                  </w:r>
                </w:p>
              </w:tc>
              <w:tc>
                <w:tcPr>
                  <w:tcW w:w="1495" w:type="dxa"/>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1300×2400</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38.4</w:t>
                  </w:r>
                  <w:r>
                    <w:rPr>
                      <w:rFonts w:ascii="Times New Roman" w:hAnsi="Times New Roman" w:eastAsia="宋体" w:cs="Times New Roman"/>
                      <w:bCs/>
                      <w:snapToGrid w:val="0"/>
                      <w:color w:val="000000" w:themeColor="text1"/>
                      <w:kern w:val="32"/>
                      <w:lang w:val="zh-CN"/>
                    </w:rPr>
                    <w:t>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滚筒筛</w:t>
                  </w:r>
                </w:p>
              </w:tc>
              <w:tc>
                <w:tcPr>
                  <w:tcW w:w="1495" w:type="dxa"/>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2200×6000</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38.4</w:t>
                  </w:r>
                  <w:r>
                    <w:rPr>
                      <w:rFonts w:ascii="Times New Roman" w:hAnsi="Times New Roman" w:eastAsia="宋体" w:cs="Times New Roman"/>
                      <w:bCs/>
                      <w:snapToGrid w:val="0"/>
                      <w:color w:val="000000" w:themeColor="text1"/>
                      <w:kern w:val="32"/>
                      <w:lang w:val="zh-CN"/>
                    </w:rPr>
                    <w:t>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皮带机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800</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38.4</w:t>
                  </w:r>
                  <w:r>
                    <w:rPr>
                      <w:rFonts w:ascii="Times New Roman" w:hAnsi="Times New Roman" w:eastAsia="宋体" w:cs="Times New Roman"/>
                      <w:bCs/>
                      <w:snapToGrid w:val="0"/>
                      <w:color w:val="000000" w:themeColor="text1"/>
                      <w:kern w:val="32"/>
                      <w:lang w:val="zh-CN"/>
                    </w:rPr>
                    <w:t>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 w:hRule="atLeast"/>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陈化</w:t>
                  </w:r>
                </w:p>
              </w:tc>
              <w:tc>
                <w:tcPr>
                  <w:tcW w:w="1690"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陈化车间</w:t>
                  </w: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装载机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山东产</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皮带机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800</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38.4</w:t>
                  </w:r>
                  <w:r>
                    <w:rPr>
                      <w:rFonts w:ascii="Times New Roman" w:hAnsi="Times New Roman" w:eastAsia="宋体" w:cs="Times New Roman"/>
                      <w:bCs/>
                      <w:snapToGrid w:val="0"/>
                      <w:color w:val="000000" w:themeColor="text1"/>
                      <w:kern w:val="32"/>
                      <w:lang w:val="zh-CN"/>
                    </w:rPr>
                    <w:t>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w:t>
                  </w:r>
                  <w:r>
                    <w:rPr>
                      <w:rFonts w:ascii="Times New Roman" w:hAnsi="Times New Roman" w:eastAsia="宋体" w:cs="Times New Roman"/>
                      <w:bCs/>
                      <w:snapToGrid w:val="0"/>
                      <w:color w:val="000000" w:themeColor="text1"/>
                      <w:kern w:val="32"/>
                      <w:lang w:val="zh-CN"/>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成型</w:t>
                  </w:r>
                </w:p>
              </w:tc>
              <w:tc>
                <w:tcPr>
                  <w:tcW w:w="1690"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成型车间</w:t>
                  </w: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38.4</w:t>
                  </w:r>
                  <w:r>
                    <w:rPr>
                      <w:rFonts w:ascii="Times New Roman" w:hAnsi="Times New Roman" w:eastAsia="宋体" w:cs="Times New Roman"/>
                      <w:bCs/>
                      <w:snapToGrid w:val="0"/>
                      <w:color w:val="000000" w:themeColor="text1"/>
                      <w:kern w:val="32"/>
                      <w:lang w:val="zh-CN"/>
                    </w:rPr>
                    <w:t>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真空挤砖机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JBK50/45-3.0</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38.4</w:t>
                  </w:r>
                  <w:r>
                    <w:rPr>
                      <w:rFonts w:ascii="Times New Roman" w:hAnsi="Times New Roman" w:eastAsia="宋体" w:cs="Times New Roman"/>
                      <w:bCs/>
                      <w:snapToGrid w:val="0"/>
                      <w:color w:val="000000" w:themeColor="text1"/>
                      <w:kern w:val="32"/>
                      <w:lang w:val="zh-CN"/>
                    </w:rPr>
                    <w:t>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w:t>
                  </w:r>
                  <w:r>
                    <w:rPr>
                      <w:rFonts w:ascii="Times New Roman" w:hAnsi="Times New Roman" w:eastAsia="宋体" w:cs="Times New Roman"/>
                      <w:bCs/>
                      <w:snapToGrid w:val="0"/>
                      <w:color w:val="000000" w:themeColor="text1"/>
                      <w:kern w:val="32"/>
                      <w:lang w:val="zh-CN"/>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自动切条机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LZ系列</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38.4</w:t>
                  </w:r>
                  <w:r>
                    <w:rPr>
                      <w:rFonts w:ascii="Times New Roman" w:hAnsi="Times New Roman" w:eastAsia="宋体" w:cs="Times New Roman"/>
                      <w:bCs/>
                      <w:snapToGrid w:val="0"/>
                      <w:color w:val="000000" w:themeColor="text1"/>
                      <w:kern w:val="32"/>
                      <w:lang w:val="zh-CN"/>
                    </w:rPr>
                    <w:t>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w:t>
                  </w:r>
                  <w:r>
                    <w:rPr>
                      <w:rFonts w:ascii="Times New Roman" w:hAnsi="Times New Roman" w:eastAsia="宋体" w:cs="Times New Roman"/>
                      <w:bCs/>
                      <w:snapToGrid w:val="0"/>
                      <w:color w:val="000000" w:themeColor="text1"/>
                      <w:kern w:val="32"/>
                      <w:lang w:val="zh-CN"/>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自动切坯机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38.4</w:t>
                  </w:r>
                  <w:r>
                    <w:rPr>
                      <w:rFonts w:ascii="Times New Roman" w:hAnsi="Times New Roman" w:eastAsia="宋体" w:cs="Times New Roman"/>
                      <w:bCs/>
                      <w:snapToGrid w:val="0"/>
                      <w:color w:val="000000" w:themeColor="text1"/>
                      <w:kern w:val="32"/>
                      <w:lang w:val="zh-CN"/>
                    </w:rPr>
                    <w:t>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w:t>
                  </w:r>
                  <w:r>
                    <w:rPr>
                      <w:rFonts w:ascii="Times New Roman" w:hAnsi="Times New Roman" w:eastAsia="宋体" w:cs="Times New Roman"/>
                      <w:bCs/>
                      <w:snapToGrid w:val="0"/>
                      <w:color w:val="000000" w:themeColor="text1"/>
                      <w:kern w:val="32"/>
                      <w:lang w:val="zh-CN"/>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码坯机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3.7m</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38.4</w:t>
                  </w:r>
                  <w:r>
                    <w:rPr>
                      <w:rFonts w:ascii="Times New Roman" w:hAnsi="Times New Roman" w:eastAsia="宋体" w:cs="Times New Roman"/>
                      <w:bCs/>
                      <w:snapToGrid w:val="0"/>
                      <w:color w:val="000000" w:themeColor="text1"/>
                      <w:kern w:val="32"/>
                      <w:lang w:val="zh-CN"/>
                    </w:rPr>
                    <w:t>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烘干</w:t>
                  </w:r>
                </w:p>
              </w:tc>
              <w:tc>
                <w:tcPr>
                  <w:tcW w:w="1690"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干燥窑</w:t>
                  </w:r>
                </w:p>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（4.2m×130m×5m）</w:t>
                  </w: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19.2</w:t>
                  </w:r>
                  <w:r>
                    <w:rPr>
                      <w:rFonts w:ascii="Times New Roman" w:hAnsi="Times New Roman" w:eastAsia="宋体" w:cs="Times New Roman"/>
                      <w:bCs/>
                      <w:snapToGrid w:val="0"/>
                      <w:color w:val="000000" w:themeColor="text1"/>
                      <w:kern w:val="32"/>
                      <w:lang w:val="zh-CN"/>
                    </w:rPr>
                    <w:t>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color w:val="000000" w:themeColor="text1"/>
                    </w:rPr>
                    <w:t>窑车</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150台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顶机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风机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焙烧</w:t>
                  </w:r>
                </w:p>
              </w:tc>
              <w:tc>
                <w:tcPr>
                  <w:tcW w:w="1690"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焙烧窑</w:t>
                  </w:r>
                </w:p>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（4.2m×130m×5m）</w:t>
                  </w: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color w:val="000000" w:themeColor="text1"/>
                    </w:rPr>
                    <w:t>窑车</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150台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顶机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风机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储运工程</w:t>
                  </w:r>
                </w:p>
              </w:tc>
              <w:tc>
                <w:tcPr>
                  <w:tcW w:w="97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储运</w:t>
                  </w:r>
                </w:p>
              </w:tc>
              <w:tc>
                <w:tcPr>
                  <w:tcW w:w="1690"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原料堆场</w:t>
                  </w: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装载机</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山东产</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0"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产品堆场</w:t>
                  </w:r>
                </w:p>
              </w:tc>
              <w:tc>
                <w:tcPr>
                  <w:tcW w:w="137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叉车</w:t>
                  </w:r>
                </w:p>
              </w:tc>
              <w:tc>
                <w:tcPr>
                  <w:tcW w:w="149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2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原辅料来源及性质</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2.5.1 </w:t>
            </w:r>
            <w:r>
              <w:rPr>
                <w:rFonts w:hint="eastAsia" w:ascii="Times New Roman" w:hAnsi="Times New Roman" w:cs="Times New Roman"/>
                <w:b/>
                <w:color w:val="000000" w:themeColor="text1"/>
                <w:sz w:val="24"/>
                <w:szCs w:val="24"/>
              </w:rPr>
              <w:t>原辅料</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（1）生产用原辅料的用量及来源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根据设计，项目主要原辅料为页岩、煤和水，</w:t>
            </w:r>
            <w:r>
              <w:rPr>
                <w:rFonts w:ascii="Times New Roman" w:hAnsi="Times New Roman" w:cs="Times New Roman"/>
                <w:color w:val="000000" w:themeColor="text1"/>
                <w:sz w:val="24"/>
                <w:szCs w:val="24"/>
              </w:rPr>
              <w:t>其</w:t>
            </w:r>
            <w:r>
              <w:rPr>
                <w:rFonts w:hint="eastAsia" w:ascii="Times New Roman" w:hAnsi="Times New Roman" w:cs="Times New Roman"/>
                <w:color w:val="000000" w:themeColor="text1"/>
                <w:sz w:val="24"/>
                <w:szCs w:val="24"/>
              </w:rPr>
              <w:t>页岩：煤的体积配比为5：1；</w:t>
            </w:r>
            <w:r>
              <w:rPr>
                <w:rFonts w:ascii="Times New Roman" w:hAnsi="Times New Roman" w:cs="Times New Roman"/>
                <w:color w:val="000000" w:themeColor="text1"/>
                <w:sz w:val="24"/>
                <w:szCs w:val="24"/>
              </w:rPr>
              <w:t>本项目</w:t>
            </w:r>
            <w:r>
              <w:rPr>
                <w:rFonts w:hint="eastAsia" w:ascii="Times New Roman" w:hAnsi="Times New Roman" w:cs="Times New Roman"/>
                <w:color w:val="000000" w:themeColor="text1"/>
                <w:sz w:val="24"/>
                <w:szCs w:val="24"/>
              </w:rPr>
              <w:t>使用的原辅料种类和来源和原有项目一致。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主要原辅料用量如下表所示。</w:t>
            </w:r>
          </w:p>
          <w:p>
            <w:pPr>
              <w:jc w:val="center"/>
              <w:rPr>
                <w:rFonts w:ascii="Times New Roman" w:hAnsi="Times New Roman" w:cs="Times New Roman"/>
                <w:b/>
                <w:color w:val="000000" w:themeColor="text1"/>
                <w:szCs w:val="24"/>
              </w:rPr>
            </w:pPr>
            <w:r>
              <w:rPr>
                <w:rFonts w:ascii="Times New Roman" w:cs="Times New Roman"/>
                <w:b/>
                <w:color w:val="000000" w:themeColor="text1"/>
                <w:szCs w:val="24"/>
              </w:rPr>
              <w:t>表</w:t>
            </w:r>
            <w:r>
              <w:rPr>
                <w:rFonts w:hint="eastAsia" w:ascii="Times New Roman" w:hAnsi="Times New Roman" w:cs="Times New Roman"/>
                <w:b/>
                <w:color w:val="000000" w:themeColor="text1"/>
                <w:szCs w:val="24"/>
              </w:rPr>
              <w:t>2.5.1</w:t>
            </w:r>
            <w:r>
              <w:rPr>
                <w:rFonts w:ascii="Times New Roman" w:hAnsi="Times New Roman" w:cs="Times New Roman"/>
                <w:b/>
                <w:color w:val="000000" w:themeColor="text1"/>
                <w:szCs w:val="24"/>
              </w:rPr>
              <w:t xml:space="preserve">-1  </w:t>
            </w:r>
            <w:r>
              <w:rPr>
                <w:rFonts w:ascii="Times New Roman" w:cs="Times New Roman"/>
                <w:b/>
                <w:color w:val="000000" w:themeColor="text1"/>
                <w:szCs w:val="24"/>
              </w:rPr>
              <w:t>项目原辅量消耗表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808"/>
              <w:gridCol w:w="1337"/>
              <w:gridCol w:w="1204"/>
              <w:gridCol w:w="1205"/>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序号</w:t>
                  </w:r>
                </w:p>
              </w:tc>
              <w:tc>
                <w:tcPr>
                  <w:tcW w:w="850"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类型</w:t>
                  </w:r>
                </w:p>
              </w:tc>
              <w:tc>
                <w:tcPr>
                  <w:tcW w:w="1418"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名称</w:t>
                  </w:r>
                </w:p>
              </w:tc>
              <w:tc>
                <w:tcPr>
                  <w:tcW w:w="2551" w:type="dxa"/>
                  <w:gridSpan w:val="2"/>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lang w:val="zh-CN"/>
                    </w:rPr>
                    <w:t>用量</w:t>
                  </w:r>
                </w:p>
              </w:tc>
              <w:tc>
                <w:tcPr>
                  <w:tcW w:w="3706"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850"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418"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27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万</w:t>
                  </w:r>
                  <w:r>
                    <w:rPr>
                      <w:rFonts w:ascii="Times New Roman" w:hAnsi="Times New Roman" w:eastAsia="宋体" w:cs="Times New Roman"/>
                      <w:bCs/>
                      <w:snapToGrid w:val="0"/>
                      <w:color w:val="000000" w:themeColor="text1"/>
                      <w:kern w:val="32"/>
                    </w:rPr>
                    <w:t>m³</w:t>
                  </w:r>
                  <w:r>
                    <w:rPr>
                      <w:rFonts w:hint="eastAsia" w:ascii="Times New Roman" w:hAnsi="Times New Roman" w:eastAsia="宋体" w:cs="Times New Roman"/>
                      <w:bCs/>
                      <w:snapToGrid w:val="0"/>
                      <w:color w:val="000000" w:themeColor="text1"/>
                      <w:kern w:val="32"/>
                    </w:rPr>
                    <w:t>/a</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万</w:t>
                  </w:r>
                  <w:r>
                    <w:rPr>
                      <w:rFonts w:ascii="Times New Roman" w:hAnsi="Times New Roman" w:eastAsia="宋体" w:cs="Times New Roman"/>
                      <w:bCs/>
                      <w:snapToGrid w:val="0"/>
                      <w:color w:val="000000" w:themeColor="text1"/>
                      <w:kern w:val="32"/>
                    </w:rPr>
                    <w:t>t</w:t>
                  </w:r>
                  <w:r>
                    <w:rPr>
                      <w:rFonts w:hint="eastAsia" w:ascii="Times New Roman" w:hAnsi="Times New Roman" w:eastAsia="宋体" w:cs="Times New Roman"/>
                      <w:bCs/>
                      <w:snapToGrid w:val="0"/>
                      <w:color w:val="000000" w:themeColor="text1"/>
                      <w:kern w:val="32"/>
                    </w:rPr>
                    <w:t>/a</w:t>
                  </w:r>
                </w:p>
              </w:tc>
              <w:tc>
                <w:tcPr>
                  <w:tcW w:w="3706"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1</w:t>
                  </w:r>
                </w:p>
              </w:tc>
              <w:tc>
                <w:tcPr>
                  <w:tcW w:w="850"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原料</w:t>
                  </w:r>
                </w:p>
              </w:tc>
              <w:tc>
                <w:tcPr>
                  <w:tcW w:w="141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页岩</w:t>
                  </w:r>
                </w:p>
              </w:tc>
              <w:tc>
                <w:tcPr>
                  <w:tcW w:w="127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6.06</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15.76</w:t>
                  </w:r>
                </w:p>
              </w:tc>
              <w:tc>
                <w:tcPr>
                  <w:tcW w:w="3706"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项目页岩来源于</w:t>
                  </w:r>
                  <w:r>
                    <w:rPr>
                      <w:rFonts w:ascii="Times New Roman" w:hAnsi="Times New Roman" w:eastAsia="宋体" w:cs="Times New Roman"/>
                      <w:bCs/>
                      <w:snapToGrid w:val="0"/>
                      <w:color w:val="000000" w:themeColor="text1"/>
                      <w:kern w:val="32"/>
                      <w:lang w:val="zh-CN"/>
                    </w:rPr>
                    <w:t>昆明红富化肥有限公司磷矿矿山</w:t>
                  </w:r>
                  <w:r>
                    <w:rPr>
                      <w:rFonts w:hint="eastAsia" w:ascii="Times New Roman" w:hAnsi="Times New Roman" w:eastAsia="宋体" w:cs="Times New Roman"/>
                      <w:bCs/>
                      <w:snapToGrid w:val="0"/>
                      <w:color w:val="000000" w:themeColor="text1"/>
                      <w:kern w:val="32"/>
                      <w:lang w:val="zh-CN"/>
                    </w:rPr>
                    <w:t>开采剥离的页岩。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1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煤</w:t>
                  </w:r>
                </w:p>
              </w:tc>
              <w:tc>
                <w:tcPr>
                  <w:tcW w:w="127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3.15</w:t>
                  </w:r>
                </w:p>
              </w:tc>
              <w:tc>
                <w:tcPr>
                  <w:tcW w:w="3706"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w:t>
                  </w:r>
                </w:p>
              </w:tc>
              <w:tc>
                <w:tcPr>
                  <w:tcW w:w="8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辅料</w:t>
                  </w:r>
                </w:p>
              </w:tc>
              <w:tc>
                <w:tcPr>
                  <w:tcW w:w="141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新鲜</w:t>
                  </w:r>
                  <w:r>
                    <w:rPr>
                      <w:rFonts w:ascii="Times New Roman" w:hAnsi="Times New Roman" w:eastAsia="宋体" w:cs="Times New Roman"/>
                      <w:bCs/>
                      <w:snapToGrid w:val="0"/>
                      <w:color w:val="000000" w:themeColor="text1"/>
                      <w:kern w:val="32"/>
                      <w:lang w:val="zh-CN"/>
                    </w:rPr>
                    <w:t>水</w:t>
                  </w:r>
                </w:p>
              </w:tc>
              <w:tc>
                <w:tcPr>
                  <w:tcW w:w="2551" w:type="dxa"/>
                  <w:gridSpan w:val="2"/>
                  <w:vAlign w:val="center"/>
                </w:tcPr>
                <w:p>
                  <w:pPr>
                    <w:spacing w:line="360" w:lineRule="exact"/>
                    <w:jc w:val="center"/>
                    <w:rPr>
                      <w:rFonts w:ascii="宋体" w:hAnsi="宋体" w:eastAsia="宋体" w:cs="宋体"/>
                      <w:color w:val="000000" w:themeColor="text1"/>
                      <w:sz w:val="22"/>
                      <w:szCs w:val="22"/>
                    </w:rPr>
                  </w:pPr>
                  <w:r>
                    <w:rPr>
                      <w:rFonts w:hint="eastAsia" w:ascii="Times New Roman" w:hAnsi="Times New Roman" w:eastAsia="宋体" w:cs="Times New Roman"/>
                      <w:bCs/>
                      <w:snapToGrid w:val="0"/>
                      <w:color w:val="000000" w:themeColor="text1"/>
                      <w:kern w:val="32"/>
                      <w:lang w:val="zh-CN"/>
                    </w:rPr>
                    <w:t>18518.55</w:t>
                  </w:r>
                  <w:r>
                    <w:rPr>
                      <w:rFonts w:ascii="Times New Roman" w:hAnsi="Times New Roman" w:eastAsia="宋体" w:cs="Times New Roman"/>
                      <w:bCs/>
                      <w:snapToGrid w:val="0"/>
                      <w:color w:val="000000" w:themeColor="text1"/>
                      <w:kern w:val="32"/>
                      <w:lang w:val="zh-CN"/>
                    </w:rPr>
                    <w:t>m³/a</w:t>
                  </w:r>
                </w:p>
              </w:tc>
              <w:tc>
                <w:tcPr>
                  <w:tcW w:w="3706"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5" w:type="dxa"/>
                  <w:gridSpan w:val="6"/>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备注：</w:t>
                  </w:r>
                  <w:r>
                    <w:rPr>
                      <w:rFonts w:hint="eastAsia" w:ascii="Times New Roman" w:hAnsi="Times New Roman" w:eastAsia="宋体" w:cs="Times New Roman"/>
                      <w:bCs/>
                      <w:snapToGrid w:val="0"/>
                      <w:color w:val="000000" w:themeColor="text1"/>
                      <w:kern w:val="32"/>
                      <w:lang w:val="zh-CN"/>
                    </w:rPr>
                    <w:t>项目生产的页岩砖属于内燃砖，隧道窑常年不熄火，正常生产期间不需要外部供给燃料，若因放假等原因熄火后，将采用</w:t>
                  </w:r>
                  <w:r>
                    <w:rPr>
                      <w:rFonts w:ascii="Times New Roman" w:hAnsi="Times New Roman" w:eastAsia="宋体" w:cs="Times New Roman"/>
                      <w:bCs/>
                      <w:snapToGrid w:val="0"/>
                      <w:color w:val="000000" w:themeColor="text1"/>
                      <w:kern w:val="32"/>
                      <w:lang w:val="zh-CN"/>
                    </w:rPr>
                    <w:t>燃煤（</w:t>
                  </w:r>
                  <w:r>
                    <w:rPr>
                      <w:rFonts w:hint="eastAsia" w:ascii="Times New Roman" w:hAnsi="Times New Roman" w:eastAsia="宋体" w:cs="Times New Roman"/>
                      <w:bCs/>
                      <w:snapToGrid w:val="0"/>
                      <w:color w:val="000000" w:themeColor="text1"/>
                      <w:kern w:val="32"/>
                      <w:lang w:val="zh-CN"/>
                    </w:rPr>
                    <w:t>400</w:t>
                  </w:r>
                  <w:r>
                    <w:rPr>
                      <w:rFonts w:ascii="Times New Roman" w:hAnsi="Times New Roman" w:eastAsia="宋体" w:cs="Times New Roman"/>
                      <w:bCs/>
                      <w:snapToGrid w:val="0"/>
                      <w:color w:val="000000" w:themeColor="text1"/>
                      <w:kern w:val="32"/>
                      <w:lang w:val="zh-CN"/>
                    </w:rPr>
                    <w:t>kg</w:t>
                  </w:r>
                  <w:r>
                    <w:rPr>
                      <w:rFonts w:hint="eastAsia" w:ascii="Times New Roman" w:hAnsi="Times New Roman" w:eastAsia="宋体" w:cs="Times New Roman"/>
                      <w:bCs/>
                      <w:snapToGrid w:val="0"/>
                      <w:color w:val="000000" w:themeColor="text1"/>
                      <w:kern w:val="32"/>
                      <w:lang w:val="zh-CN"/>
                    </w:rPr>
                    <w:t>/次</w:t>
                  </w:r>
                  <w:r>
                    <w:rPr>
                      <w:rFonts w:ascii="Times New Roman" w:hAnsi="Times New Roman" w:eastAsia="宋体" w:cs="Times New Roman"/>
                      <w:bCs/>
                      <w:snapToGrid w:val="0"/>
                      <w:color w:val="000000" w:themeColor="text1"/>
                      <w:kern w:val="32"/>
                      <w:lang w:val="zh-CN"/>
                    </w:rPr>
                    <w:t>）进行点火</w:t>
                  </w:r>
                  <w:r>
                    <w:rPr>
                      <w:rFonts w:hint="eastAsia" w:ascii="Times New Roman" w:hAnsi="Times New Roman" w:eastAsia="宋体" w:cs="Times New Roman"/>
                      <w:bCs/>
                      <w:snapToGrid w:val="0"/>
                      <w:color w:val="000000" w:themeColor="text1"/>
                      <w:kern w:val="32"/>
                      <w:lang w:val="zh-CN"/>
                    </w:rPr>
                    <w:t>，预计每年最多点火次数为3次，点火使用的煤和原料煤一致。</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（2）生产用原辅料的性质及保障</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①页岩的性质及保障</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页岩是一种</w:t>
            </w:r>
            <w:r>
              <w:fldChar w:fldCharType="begin"/>
            </w:r>
            <w:r>
              <w:instrText xml:space="preserve"> HYPERLINK "https://baike.so.com/doc/2251083-2381722.html" \t "_blank" </w:instrText>
            </w:r>
            <w:r>
              <w:fldChar w:fldCharType="separate"/>
            </w:r>
            <w:r>
              <w:rPr>
                <w:rFonts w:ascii="Times New Roman" w:hAnsi="Times New Roman" w:cs="Times New Roman"/>
                <w:color w:val="000000" w:themeColor="text1"/>
                <w:sz w:val="24"/>
                <w:szCs w:val="24"/>
              </w:rPr>
              <w:t>沉积岩</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，成分复杂，但都具有薄页状或薄片层状的节理，主要是由</w:t>
            </w:r>
            <w:r>
              <w:fldChar w:fldCharType="begin"/>
            </w:r>
            <w:r>
              <w:instrText xml:space="preserve"> HYPERLINK "https://baike.so.com/doc/6075371-6288448.html" \t "_blank" </w:instrText>
            </w:r>
            <w:r>
              <w:fldChar w:fldCharType="separate"/>
            </w:r>
            <w:r>
              <w:rPr>
                <w:rFonts w:ascii="Times New Roman" w:hAnsi="Times New Roman" w:cs="Times New Roman"/>
                <w:color w:val="000000" w:themeColor="text1"/>
                <w:sz w:val="24"/>
                <w:szCs w:val="24"/>
              </w:rPr>
              <w:t>黏土</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沉积经压力和温度形成的岩石，但其中混杂有石英、长石的碎屑以及其他化学物质。</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根据可研，本项目使用的页岩主要成分如下表所示。</w:t>
            </w:r>
          </w:p>
          <w:p>
            <w:pPr>
              <w:jc w:val="center"/>
              <w:rPr>
                <w:rFonts w:ascii="Times New Roman" w:cs="Times New Roman"/>
                <w:b/>
                <w:color w:val="000000" w:themeColor="text1"/>
                <w:szCs w:val="24"/>
              </w:rPr>
            </w:pPr>
            <w:r>
              <w:rPr>
                <w:rFonts w:hint="eastAsia" w:ascii="Times New Roman" w:cs="Times New Roman"/>
                <w:b/>
                <w:color w:val="000000" w:themeColor="text1"/>
                <w:szCs w:val="24"/>
              </w:rPr>
              <w:t>表2.5.1-2 页岩成分一览表 单位:%</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
              <w:gridCol w:w="704"/>
              <w:gridCol w:w="812"/>
              <w:gridCol w:w="881"/>
              <w:gridCol w:w="885"/>
              <w:gridCol w:w="885"/>
              <w:gridCol w:w="888"/>
              <w:gridCol w:w="888"/>
              <w:gridCol w:w="888"/>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 w:hRule="atLeast"/>
                <w:jc w:val="center"/>
              </w:trPr>
              <w:tc>
                <w:tcPr>
                  <w:tcW w:w="516"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分析成分</w:t>
                  </w:r>
                </w:p>
              </w:tc>
              <w:tc>
                <w:tcPr>
                  <w:tcW w:w="409"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CaO</w:t>
                  </w:r>
                </w:p>
              </w:tc>
              <w:tc>
                <w:tcPr>
                  <w:tcW w:w="472"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SiO</w:t>
                  </w:r>
                  <w:r>
                    <w:rPr>
                      <w:rFonts w:hint="eastAsia" w:ascii="Times New Roman" w:hAnsi="Times New Roman" w:eastAsia="宋体" w:cs="Times New Roman"/>
                      <w:bCs/>
                      <w:snapToGrid w:val="0"/>
                      <w:color w:val="000000" w:themeColor="text1"/>
                      <w:kern w:val="32"/>
                      <w:vertAlign w:val="subscript"/>
                      <w:lang w:val="zh-CN"/>
                    </w:rPr>
                    <w:t>2</w:t>
                  </w:r>
                </w:p>
              </w:tc>
              <w:tc>
                <w:tcPr>
                  <w:tcW w:w="512"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MgO</w:t>
                  </w:r>
                </w:p>
              </w:tc>
              <w:tc>
                <w:tcPr>
                  <w:tcW w:w="514"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Fe</w:t>
                  </w:r>
                  <w:r>
                    <w:rPr>
                      <w:rFonts w:hint="eastAsia" w:ascii="Times New Roman" w:hAnsi="Times New Roman" w:eastAsia="宋体" w:cs="Times New Roman"/>
                      <w:bCs/>
                      <w:snapToGrid w:val="0"/>
                      <w:color w:val="000000" w:themeColor="text1"/>
                      <w:kern w:val="32"/>
                      <w:vertAlign w:val="subscript"/>
                      <w:lang w:val="zh-CN"/>
                    </w:rPr>
                    <w:t>2</w:t>
                  </w:r>
                  <w:r>
                    <w:rPr>
                      <w:rFonts w:hint="eastAsia" w:ascii="Times New Roman" w:hAnsi="Times New Roman" w:eastAsia="宋体" w:cs="Times New Roman"/>
                      <w:bCs/>
                      <w:snapToGrid w:val="0"/>
                      <w:color w:val="000000" w:themeColor="text1"/>
                      <w:kern w:val="32"/>
                      <w:lang w:val="zh-CN"/>
                    </w:rPr>
                    <w:t>O</w:t>
                  </w:r>
                  <w:r>
                    <w:rPr>
                      <w:rFonts w:hint="eastAsia" w:ascii="Times New Roman" w:hAnsi="Times New Roman" w:eastAsia="宋体" w:cs="Times New Roman"/>
                      <w:bCs/>
                      <w:snapToGrid w:val="0"/>
                      <w:color w:val="000000" w:themeColor="text1"/>
                      <w:kern w:val="32"/>
                      <w:vertAlign w:val="subscript"/>
                      <w:lang w:val="zh-CN"/>
                    </w:rPr>
                    <w:t>3</w:t>
                  </w:r>
                </w:p>
              </w:tc>
              <w:tc>
                <w:tcPr>
                  <w:tcW w:w="514"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Al</w:t>
                  </w:r>
                  <w:r>
                    <w:rPr>
                      <w:rFonts w:hint="eastAsia" w:ascii="Times New Roman" w:hAnsi="Times New Roman" w:eastAsia="宋体" w:cs="Times New Roman"/>
                      <w:bCs/>
                      <w:snapToGrid w:val="0"/>
                      <w:color w:val="000000" w:themeColor="text1"/>
                      <w:kern w:val="32"/>
                      <w:vertAlign w:val="subscript"/>
                      <w:lang w:val="zh-CN"/>
                    </w:rPr>
                    <w:t>2</w:t>
                  </w:r>
                  <w:r>
                    <w:rPr>
                      <w:rFonts w:hint="eastAsia" w:ascii="Times New Roman" w:hAnsi="Times New Roman" w:eastAsia="宋体" w:cs="Times New Roman"/>
                      <w:bCs/>
                      <w:snapToGrid w:val="0"/>
                      <w:color w:val="000000" w:themeColor="text1"/>
                      <w:kern w:val="32"/>
                      <w:lang w:val="zh-CN"/>
                    </w:rPr>
                    <w:t>O</w:t>
                  </w:r>
                  <w:r>
                    <w:rPr>
                      <w:rFonts w:hint="eastAsia" w:ascii="Times New Roman" w:hAnsi="Times New Roman" w:eastAsia="宋体" w:cs="Times New Roman"/>
                      <w:bCs/>
                      <w:snapToGrid w:val="0"/>
                      <w:color w:val="000000" w:themeColor="text1"/>
                      <w:kern w:val="32"/>
                      <w:vertAlign w:val="subscript"/>
                      <w:lang w:val="zh-CN"/>
                    </w:rPr>
                    <w:t>3</w:t>
                  </w:r>
                </w:p>
              </w:tc>
              <w:tc>
                <w:tcPr>
                  <w:tcW w:w="516"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MnO</w:t>
                  </w:r>
                </w:p>
              </w:tc>
              <w:tc>
                <w:tcPr>
                  <w:tcW w:w="516"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CO</w:t>
                  </w:r>
                  <w:r>
                    <w:rPr>
                      <w:rFonts w:hint="eastAsia" w:ascii="Times New Roman" w:hAnsi="Times New Roman" w:eastAsia="宋体" w:cs="Times New Roman"/>
                      <w:bCs/>
                      <w:snapToGrid w:val="0"/>
                      <w:color w:val="000000" w:themeColor="text1"/>
                      <w:kern w:val="32"/>
                      <w:vertAlign w:val="subscript"/>
                      <w:lang w:val="zh-CN"/>
                    </w:rPr>
                    <w:t>2</w:t>
                  </w:r>
                </w:p>
              </w:tc>
              <w:tc>
                <w:tcPr>
                  <w:tcW w:w="516"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氟</w:t>
                  </w:r>
                </w:p>
              </w:tc>
              <w:tc>
                <w:tcPr>
                  <w:tcW w:w="516"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 w:hRule="atLeast"/>
                <w:jc w:val="center"/>
              </w:trPr>
              <w:tc>
                <w:tcPr>
                  <w:tcW w:w="516"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含量（%）</w:t>
                  </w:r>
                </w:p>
              </w:tc>
              <w:tc>
                <w:tcPr>
                  <w:tcW w:w="409"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32.61</w:t>
                  </w:r>
                </w:p>
              </w:tc>
              <w:tc>
                <w:tcPr>
                  <w:tcW w:w="472"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2.26</w:t>
                  </w:r>
                </w:p>
              </w:tc>
              <w:tc>
                <w:tcPr>
                  <w:tcW w:w="512"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18.32</w:t>
                  </w:r>
                </w:p>
              </w:tc>
              <w:tc>
                <w:tcPr>
                  <w:tcW w:w="514"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1.19</w:t>
                  </w:r>
                </w:p>
              </w:tc>
              <w:tc>
                <w:tcPr>
                  <w:tcW w:w="514"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0.25</w:t>
                  </w:r>
                </w:p>
              </w:tc>
              <w:tc>
                <w:tcPr>
                  <w:tcW w:w="516"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0.13</w:t>
                  </w:r>
                </w:p>
              </w:tc>
              <w:tc>
                <w:tcPr>
                  <w:tcW w:w="516"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30.33</w:t>
                  </w:r>
                </w:p>
              </w:tc>
              <w:tc>
                <w:tcPr>
                  <w:tcW w:w="516"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0.002</w:t>
                  </w:r>
                </w:p>
              </w:tc>
              <w:tc>
                <w:tcPr>
                  <w:tcW w:w="516"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14.90</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根据项目实际情况，本项目未配套页岩采场，项目使用的页岩来源于</w:t>
            </w:r>
            <w:r>
              <w:rPr>
                <w:rFonts w:ascii="Times New Roman" w:hAnsi="Times New Roman" w:cs="Times New Roman"/>
                <w:color w:val="000000" w:themeColor="text1"/>
                <w:sz w:val="24"/>
                <w:szCs w:val="24"/>
              </w:rPr>
              <w:t>昆明红富化肥有限公司磷矿矿山</w:t>
            </w:r>
            <w:r>
              <w:rPr>
                <w:rFonts w:hint="eastAsia" w:ascii="Times New Roman" w:hAnsi="Times New Roman" w:cs="Times New Roman"/>
                <w:color w:val="000000" w:themeColor="text1"/>
                <w:sz w:val="24"/>
                <w:szCs w:val="24"/>
              </w:rPr>
              <w:t>开采剥离的页岩；根据建设单位的预算，目前</w:t>
            </w:r>
            <w:r>
              <w:rPr>
                <w:rFonts w:ascii="Times New Roman" w:hAnsi="Times New Roman" w:cs="Times New Roman"/>
                <w:color w:val="000000" w:themeColor="text1"/>
                <w:sz w:val="24"/>
                <w:szCs w:val="24"/>
              </w:rPr>
              <w:t>昆明红富化肥有限公司磷矿矿山</w:t>
            </w:r>
            <w:r>
              <w:rPr>
                <w:rFonts w:hint="eastAsia" w:ascii="Times New Roman" w:hAnsi="Times New Roman" w:cs="Times New Roman"/>
                <w:color w:val="000000" w:themeColor="text1"/>
                <w:sz w:val="24"/>
                <w:szCs w:val="24"/>
              </w:rPr>
              <w:t>开采剥离过程已产生且堆放于项目区旁弃土场内的页岩也超过70万</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，目前的页岩量可满足本项目满负荷运行10年以上的原料保证，同时</w:t>
            </w:r>
            <w:r>
              <w:rPr>
                <w:rFonts w:ascii="Times New Roman" w:hAnsi="Times New Roman" w:cs="Times New Roman"/>
                <w:color w:val="000000" w:themeColor="text1"/>
                <w:sz w:val="24"/>
                <w:szCs w:val="24"/>
              </w:rPr>
              <w:t>昆明红富化肥有限公司</w:t>
            </w:r>
            <w:r>
              <w:rPr>
                <w:rFonts w:hint="eastAsia" w:ascii="Times New Roman" w:hAnsi="Times New Roman" w:cs="Times New Roman"/>
                <w:color w:val="000000" w:themeColor="text1"/>
                <w:sz w:val="24"/>
                <w:szCs w:val="24"/>
              </w:rPr>
              <w:t>还继续产生页岩。因此项目原料供应有保障。若将来</w:t>
            </w:r>
            <w:r>
              <w:rPr>
                <w:rFonts w:ascii="Times New Roman" w:hAnsi="Times New Roman" w:cs="Times New Roman"/>
                <w:color w:val="000000" w:themeColor="text1"/>
                <w:sz w:val="24"/>
                <w:szCs w:val="24"/>
              </w:rPr>
              <w:t>昆明红富化肥有限公司</w:t>
            </w:r>
            <w:r>
              <w:rPr>
                <w:rFonts w:hint="eastAsia" w:ascii="Times New Roman" w:hAnsi="Times New Roman" w:cs="Times New Roman"/>
                <w:color w:val="000000" w:themeColor="text1"/>
                <w:sz w:val="24"/>
                <w:szCs w:val="24"/>
              </w:rPr>
              <w:t>的页岩无法满足本项目生产要求时，建设单位须单独办理页岩开采手续，也保证项目的正常运行，建设单位不得非法取土。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②煤的性质及保障</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煤是采煤过程和洗煤过程中排放的固体废物，是一种在成煤过程中与</w:t>
            </w:r>
            <w:r>
              <w:fldChar w:fldCharType="begin"/>
            </w:r>
            <w:r>
              <w:instrText xml:space="preserve"> HYPERLINK "https://baike.so.com/doc/7678019-7952114.html" \t "_blank" </w:instrText>
            </w:r>
            <w:r>
              <w:fldChar w:fldCharType="separate"/>
            </w:r>
            <w:r>
              <w:rPr>
                <w:rFonts w:ascii="Times New Roman" w:hAnsi="Times New Roman" w:cs="Times New Roman"/>
                <w:color w:val="000000" w:themeColor="text1"/>
                <w:sz w:val="24"/>
                <w:szCs w:val="24"/>
              </w:rPr>
              <w:t>煤层</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伴生的一种含碳量较低、比煤坚硬的黑灰色岩石。</w:t>
            </w:r>
            <w:r>
              <w:rPr>
                <w:rFonts w:hint="eastAsia" w:ascii="Times New Roman" w:hAnsi="Times New Roman" w:cs="Times New Roman"/>
                <w:color w:val="000000" w:themeColor="text1"/>
                <w:sz w:val="24"/>
                <w:szCs w:val="24"/>
              </w:rPr>
              <w:t>根据可研，本项目使用的煤主要成分如下表。</w:t>
            </w:r>
          </w:p>
          <w:p>
            <w:pPr>
              <w:jc w:val="center"/>
              <w:rPr>
                <w:rFonts w:ascii="Times New Roman" w:cs="Times New Roman"/>
                <w:b/>
                <w:color w:val="000000" w:themeColor="text1"/>
                <w:szCs w:val="24"/>
              </w:rPr>
            </w:pPr>
            <w:r>
              <w:rPr>
                <w:rFonts w:hint="eastAsia" w:ascii="Times New Roman" w:cs="Times New Roman"/>
                <w:b/>
                <w:color w:val="000000" w:themeColor="text1"/>
                <w:szCs w:val="24"/>
              </w:rPr>
              <w:t>表2.5.1-3 煤质成分一览表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75"/>
              <w:gridCol w:w="1277"/>
              <w:gridCol w:w="1560"/>
              <w:gridCol w:w="1555"/>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分析成分</w:t>
                  </w:r>
                </w:p>
              </w:tc>
              <w:tc>
                <w:tcPr>
                  <w:tcW w:w="127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水分Mad%</w:t>
                  </w:r>
                </w:p>
              </w:tc>
              <w:tc>
                <w:tcPr>
                  <w:tcW w:w="12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灰分</w:t>
                  </w:r>
                  <w:r>
                    <w:rPr>
                      <w:rFonts w:ascii="Times New Roman" w:hAnsi="Times New Roman" w:eastAsia="宋体" w:cs="Times New Roman"/>
                      <w:bCs/>
                      <w:snapToGrid w:val="0"/>
                      <w:color w:val="000000" w:themeColor="text1"/>
                      <w:kern w:val="32"/>
                      <w:lang w:val="zh-CN"/>
                    </w:rPr>
                    <w:t>Aad%</w:t>
                  </w:r>
                </w:p>
              </w:tc>
              <w:tc>
                <w:tcPr>
                  <w:tcW w:w="155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挥发分</w:t>
                  </w:r>
                  <w:r>
                    <w:rPr>
                      <w:rFonts w:ascii="Times New Roman" w:hAnsi="Times New Roman" w:eastAsia="宋体" w:cs="Times New Roman"/>
                      <w:bCs/>
                      <w:snapToGrid w:val="0"/>
                      <w:color w:val="000000" w:themeColor="text1"/>
                      <w:kern w:val="32"/>
                      <w:lang w:val="zh-CN"/>
                    </w:rPr>
                    <w:t>Vad%</w:t>
                  </w:r>
                </w:p>
              </w:tc>
              <w:tc>
                <w:tcPr>
                  <w:tcW w:w="155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固定碳Fcad</w:t>
                  </w:r>
                  <w:r>
                    <w:rPr>
                      <w:rFonts w:ascii="Times New Roman" w:hAnsi="Times New Roman" w:eastAsia="宋体" w:cs="Times New Roman"/>
                      <w:bCs/>
                      <w:snapToGrid w:val="0"/>
                      <w:color w:val="000000" w:themeColor="text1"/>
                      <w:kern w:val="32"/>
                      <w:lang w:val="zh-CN"/>
                    </w:rPr>
                    <w:t>%</w:t>
                  </w:r>
                </w:p>
              </w:tc>
              <w:tc>
                <w:tcPr>
                  <w:tcW w:w="149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全硫St</w:t>
                  </w:r>
                  <w:r>
                    <w:rPr>
                      <w:rFonts w:hint="eastAsia" w:ascii="Times New Roman" w:hAnsi="Times New Roman" w:eastAsia="宋体" w:cs="Times New Roman"/>
                      <w:bCs/>
                      <w:snapToGrid w:val="0"/>
                      <w:color w:val="000000" w:themeColor="text1"/>
                      <w:kern w:val="32"/>
                      <w:lang w:val="zh-CN"/>
                    </w:rPr>
                    <w:t>a</w:t>
                  </w:r>
                  <w:r>
                    <w:rPr>
                      <w:rFonts w:ascii="Times New Roman" w:hAnsi="Times New Roman" w:eastAsia="宋体" w:cs="Times New Roman"/>
                      <w:bCs/>
                      <w:snapToGrid w:val="0"/>
                      <w:color w:val="000000" w:themeColor="text1"/>
                      <w:kern w:val="32"/>
                      <w:lang w:val="zh-CN"/>
                    </w:rPr>
                    <w:t>d</w:t>
                  </w:r>
                  <w:r>
                    <w:rPr>
                      <w:rFonts w:hint="eastAsia" w:ascii="Times New Roman" w:hAnsi="Times New Roman" w:eastAsia="宋体" w:cs="Times New Roman"/>
                      <w:bCs/>
                      <w:snapToGrid w:val="0"/>
                      <w:color w:val="000000" w:themeColor="text1"/>
                      <w:kern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检测结果</w:t>
                  </w:r>
                </w:p>
              </w:tc>
              <w:tc>
                <w:tcPr>
                  <w:tcW w:w="127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11.2</w:t>
                  </w:r>
                </w:p>
              </w:tc>
              <w:tc>
                <w:tcPr>
                  <w:tcW w:w="12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18.88</w:t>
                  </w:r>
                </w:p>
              </w:tc>
              <w:tc>
                <w:tcPr>
                  <w:tcW w:w="155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40.08</w:t>
                  </w:r>
                </w:p>
              </w:tc>
              <w:tc>
                <w:tcPr>
                  <w:tcW w:w="155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29.84</w:t>
                  </w:r>
                </w:p>
              </w:tc>
              <w:tc>
                <w:tcPr>
                  <w:tcW w:w="149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1.07</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由上表可知，本项目使用煤硫含量低于2%，属于低硫煤</w:t>
            </w:r>
            <w:r>
              <w:rPr>
                <w:rFonts w:hint="eastAsia" w:ascii="Times New Roman" w:hAnsi="Times New Roman" w:cs="Times New Roman"/>
                <w:color w:val="000000" w:themeColor="text1"/>
                <w:sz w:val="24"/>
                <w:szCs w:val="24"/>
              </w:rPr>
              <w:t>，项目用煤从市场购买，来源有保障。</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（3）脱硫剂的用量及性质</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①生石灰</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根据设计，本项目采用生石灰（CaO）作为脱硫剂进行湿法脱硫，CaO的使用量约为77.25</w:t>
            </w:r>
            <w:r>
              <w:rPr>
                <w:rFonts w:ascii="Times New Roman" w:hAnsi="Times New Roman" w:cs="Times New Roman"/>
                <w:color w:val="000000" w:themeColor="text1"/>
                <w:sz w:val="24"/>
                <w:szCs w:val="24"/>
              </w:rPr>
              <w:t>t</w:t>
            </w:r>
            <w:r>
              <w:rPr>
                <w:rFonts w:hint="eastAsia" w:ascii="Times New Roman" w:hAnsi="Times New Roman" w:cs="Times New Roman"/>
                <w:color w:val="000000" w:themeColor="text1"/>
                <w:sz w:val="24"/>
                <w:szCs w:val="24"/>
              </w:rPr>
              <w:t>/a，贮存于脱硫剂等暂存库房。最大贮存量约为5t。</w:t>
            </w:r>
            <w:r>
              <w:rPr>
                <w:rFonts w:ascii="Times New Roman" w:hAnsi="Times New Roman" w:cs="Times New Roman"/>
                <w:color w:val="000000" w:themeColor="text1"/>
                <w:sz w:val="24"/>
                <w:szCs w:val="24"/>
              </w:rPr>
              <w:t>氧化钙</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calcium oxide</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，是一种无机化合物，它的</w:t>
            </w:r>
            <w:r>
              <w:fldChar w:fldCharType="begin"/>
            </w:r>
            <w:r>
              <w:instrText xml:space="preserve"> HYPERLINK "https://baike.so.com/doc/804239-850746.html" \t "_blank" </w:instrText>
            </w:r>
            <w:r>
              <w:fldChar w:fldCharType="separate"/>
            </w:r>
            <w:r>
              <w:rPr>
                <w:rFonts w:ascii="Times New Roman" w:hAnsi="Times New Roman" w:cs="Times New Roman"/>
                <w:color w:val="000000" w:themeColor="text1"/>
                <w:sz w:val="24"/>
                <w:szCs w:val="24"/>
              </w:rPr>
              <w:t>化学式</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是CaO，俗名</w:t>
            </w:r>
            <w:r>
              <w:fldChar w:fldCharType="begin"/>
            </w:r>
            <w:r>
              <w:instrText xml:space="preserve"> HYPERLINK "https://baike.so.com/doc/5068151-5295612.html" \t "_blank" </w:instrText>
            </w:r>
            <w:r>
              <w:fldChar w:fldCharType="separate"/>
            </w:r>
            <w:r>
              <w:rPr>
                <w:rFonts w:ascii="Times New Roman" w:hAnsi="Times New Roman" w:cs="Times New Roman"/>
                <w:color w:val="000000" w:themeColor="text1"/>
                <w:sz w:val="24"/>
                <w:szCs w:val="24"/>
              </w:rPr>
              <w:t>生石灰</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。物理性质是表面白色粉末，不纯者为灰白色，含有杂质时呈淡黄色或灰色，具有吸湿性。氧化钙为</w:t>
            </w:r>
            <w:r>
              <w:fldChar w:fldCharType="begin"/>
            </w:r>
            <w:r>
              <w:instrText xml:space="preserve"> HYPERLINK "https://baike.so.com/doc/364738-386388.html" \t "_blank" </w:instrText>
            </w:r>
            <w:r>
              <w:fldChar w:fldCharType="separate"/>
            </w:r>
            <w:r>
              <w:rPr>
                <w:rFonts w:ascii="Times New Roman" w:hAnsi="Times New Roman" w:cs="Times New Roman"/>
                <w:color w:val="000000" w:themeColor="text1"/>
                <w:sz w:val="24"/>
                <w:szCs w:val="24"/>
              </w:rPr>
              <w:t>碱性氧化物</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，对湿敏感。易从空气中吸收二氧化碳及水分。与水反应生成</w:t>
            </w:r>
            <w:r>
              <w:fldChar w:fldCharType="begin"/>
            </w:r>
            <w:r>
              <w:instrText xml:space="preserve"> HYPERLINK "https://baike.so.com/doc/1302981-7116841.html" \t "_blank" </w:instrText>
            </w:r>
            <w:r>
              <w:fldChar w:fldCharType="separate"/>
            </w:r>
            <w:r>
              <w:rPr>
                <w:rFonts w:ascii="Times New Roman" w:hAnsi="Times New Roman" w:cs="Times New Roman"/>
                <w:color w:val="000000" w:themeColor="text1"/>
                <w:sz w:val="24"/>
                <w:szCs w:val="24"/>
              </w:rPr>
              <w:t>氢氧化钙</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（Ca（OH）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）并产生大量热，有腐蚀性。</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②氢氧化钠</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根据设计，在</w:t>
            </w:r>
            <w:r>
              <w:rPr>
                <w:rFonts w:ascii="Times New Roman" w:hAnsi="Times New Roman" w:cs="Times New Roman"/>
                <w:color w:val="000000" w:themeColor="text1"/>
                <w:sz w:val="24"/>
                <w:szCs w:val="24"/>
              </w:rPr>
              <w:t>钠碱双碱还原法脱硫系统</w:t>
            </w:r>
            <w:r>
              <w:rPr>
                <w:rFonts w:hint="eastAsia" w:ascii="Times New Roman" w:hAnsi="Times New Roman" w:cs="Times New Roman"/>
                <w:color w:val="000000" w:themeColor="text1"/>
                <w:sz w:val="24"/>
                <w:szCs w:val="24"/>
              </w:rPr>
              <w:t>，氢氧化钠（NaOH）主要作用为循环介质，Na</w:t>
            </w:r>
            <w:r>
              <w:rPr>
                <w:rFonts w:hint="eastAsia" w:ascii="Times New Roman" w:hAnsi="Times New Roman" w:cs="Times New Roman"/>
                <w:color w:val="000000" w:themeColor="text1"/>
                <w:sz w:val="24"/>
                <w:szCs w:val="24"/>
                <w:vertAlign w:val="superscript"/>
              </w:rPr>
              <w:t>+</w:t>
            </w:r>
            <w:r>
              <w:rPr>
                <w:rFonts w:hint="eastAsia" w:ascii="Times New Roman" w:hAnsi="Times New Roman" w:cs="Times New Roman"/>
                <w:color w:val="000000" w:themeColor="text1"/>
                <w:sz w:val="24"/>
                <w:szCs w:val="24"/>
              </w:rPr>
              <w:t>在系统内不断循环，使用量约为20</w:t>
            </w:r>
            <w:r>
              <w:rPr>
                <w:rFonts w:ascii="Times New Roman" w:hAnsi="Times New Roman" w:cs="Times New Roman"/>
                <w:color w:val="000000" w:themeColor="text1"/>
                <w:sz w:val="24"/>
                <w:szCs w:val="24"/>
              </w:rPr>
              <w:t>t</w:t>
            </w:r>
            <w:r>
              <w:rPr>
                <w:rFonts w:hint="eastAsia" w:ascii="Times New Roman" w:hAnsi="Times New Roman" w:cs="Times New Roman"/>
                <w:color w:val="000000" w:themeColor="text1"/>
                <w:sz w:val="24"/>
                <w:szCs w:val="24"/>
              </w:rPr>
              <w:t>/a，最大存储量为1.8t。NaOH俗称烧碱、火碱、苛性钠，为一种具有强腐蚀性的</w:t>
            </w:r>
            <w:r>
              <w:fldChar w:fldCharType="begin"/>
            </w:r>
            <w:r>
              <w:instrText xml:space="preserve"> HYPERLINK "https://baike.so.com/doc/81217-85715.html" \t "https://baike.so.com/doc/_blank" </w:instrText>
            </w:r>
            <w:r>
              <w:fldChar w:fldCharType="separate"/>
            </w:r>
            <w:r>
              <w:rPr>
                <w:rFonts w:hint="eastAsia" w:ascii="Times New Roman" w:hAnsi="Times New Roman" w:cs="Times New Roman"/>
                <w:color w:val="000000" w:themeColor="text1"/>
                <w:sz w:val="24"/>
                <w:szCs w:val="24"/>
              </w:rPr>
              <w:t>强碱</w:t>
            </w:r>
            <w:r>
              <w:rPr>
                <w:rFonts w:hint="eastAsia"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，一般为片状或颗粒形态，易溶于水（溶于水时放热）并形成碱性溶液，另有</w:t>
            </w:r>
            <w:r>
              <w:fldChar w:fldCharType="begin"/>
            </w:r>
            <w:r>
              <w:instrText xml:space="preserve"> HYPERLINK "https://baike.so.com/doc/2628817-2775779.html" \t "https://baike.so.com/doc/_blank" </w:instrText>
            </w:r>
            <w:r>
              <w:fldChar w:fldCharType="separate"/>
            </w:r>
            <w:r>
              <w:rPr>
                <w:rFonts w:hint="eastAsia" w:ascii="Times New Roman" w:hAnsi="Times New Roman" w:cs="Times New Roman"/>
                <w:color w:val="000000" w:themeColor="text1"/>
                <w:sz w:val="24"/>
                <w:szCs w:val="24"/>
              </w:rPr>
              <w:t>潮解性</w:t>
            </w:r>
            <w:r>
              <w:rPr>
                <w:rFonts w:hint="eastAsia"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，易吸取空气中的水蒸气（潮解）和二氧化碳（变质）。是</w:t>
            </w:r>
            <w:r>
              <w:fldChar w:fldCharType="begin"/>
            </w:r>
            <w:r>
              <w:instrText xml:space="preserve"> HYPERLINK "https://baike.so.com/doc/6554657-6768406.html" \t "https://baike.so.com/doc/_blank" </w:instrText>
            </w:r>
            <w:r>
              <w:fldChar w:fldCharType="separate"/>
            </w:r>
            <w:r>
              <w:rPr>
                <w:rFonts w:hint="eastAsia" w:ascii="Times New Roman" w:hAnsi="Times New Roman" w:cs="Times New Roman"/>
                <w:color w:val="000000" w:themeColor="text1"/>
                <w:sz w:val="24"/>
                <w:szCs w:val="24"/>
              </w:rPr>
              <w:t>化学实验室</w:t>
            </w:r>
            <w:r>
              <w:rPr>
                <w:rFonts w:hint="eastAsia"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其中一种必备的化学品，亦为常见的化工品之一。纯品是无色透明的晶体。密度</w:t>
            </w:r>
            <w:r>
              <w:rPr>
                <w:rFonts w:ascii="Times New Roman" w:hAnsi="Times New Roman" w:cs="Times New Roman"/>
                <w:color w:val="000000" w:themeColor="text1"/>
                <w:sz w:val="24"/>
                <w:szCs w:val="24"/>
              </w:rPr>
              <w:t>2.130g/cm³</w:t>
            </w:r>
            <w:r>
              <w:rPr>
                <w:rFonts w:hint="eastAsia" w:ascii="Times New Roman" w:hAnsi="Times New Roman" w:cs="Times New Roman"/>
                <w:color w:val="000000" w:themeColor="text1"/>
                <w:sz w:val="24"/>
                <w:szCs w:val="24"/>
              </w:rPr>
              <w:t>。熔点318.4℃。沸点1390℃。工业品含有少量的</w:t>
            </w:r>
            <w:r>
              <w:fldChar w:fldCharType="begin"/>
            </w:r>
            <w:r>
              <w:instrText xml:space="preserve"> HYPERLINK "https://baike.so.com/doc/1243217-1314844.html" \t "https://baike.so.com/doc/_blank" </w:instrText>
            </w:r>
            <w:r>
              <w:fldChar w:fldCharType="separate"/>
            </w:r>
            <w:r>
              <w:rPr>
                <w:rFonts w:hint="eastAsia" w:ascii="Times New Roman" w:hAnsi="Times New Roman" w:cs="Times New Roman"/>
                <w:color w:val="000000" w:themeColor="text1"/>
                <w:sz w:val="24"/>
                <w:szCs w:val="24"/>
              </w:rPr>
              <w:t>氯化钠</w:t>
            </w:r>
            <w:r>
              <w:rPr>
                <w:rFonts w:hint="eastAsia"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和碳酸钠，是白色不透明的晶体。有块状，片状，粒状和棒状等。式量40.01氢氧化钠在水处理中可作为碱性清洗剂，溶于乙醇和甘油，不溶于丙醇、乙醚。在高温下对碳钠也有腐蚀作用。与氯、溴、碘等卤素发生歧化反应，与酸类起中和作用而生成盐和水。</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（4）一体化污水处理设施消毒剂用量及性质</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根据一体化污水处理设施的设计及其参数，使用次氯酸钠作为消毒剂，年使用量为50kg；由于其遇碱会发生反应，且用量极少，因此单独暂存于办公区内。其性质如下表所示。</w:t>
            </w:r>
          </w:p>
          <w:p>
            <w:pPr>
              <w:jc w:val="center"/>
              <w:rPr>
                <w:rFonts w:ascii="Times New Roman" w:cs="Times New Roman"/>
                <w:b/>
                <w:color w:val="000000" w:themeColor="text1"/>
                <w:szCs w:val="24"/>
              </w:rPr>
            </w:pPr>
            <w:r>
              <w:rPr>
                <w:rFonts w:hint="eastAsia" w:ascii="Times New Roman" w:cs="Times New Roman"/>
                <w:b/>
                <w:color w:val="000000" w:themeColor="text1"/>
                <w:szCs w:val="24"/>
              </w:rPr>
              <w:t>表2.5.1-4 次氯酸钠物质特性一览表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0"/>
              <w:gridCol w:w="1488"/>
              <w:gridCol w:w="906"/>
              <w:gridCol w:w="1180"/>
              <w:gridCol w:w="37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次氯酸钠</w:t>
                  </w: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89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次氯酸钠</w:t>
                  </w:r>
                </w:p>
              </w:tc>
              <w:tc>
                <w:tcPr>
                  <w:tcW w:w="116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69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89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169"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69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w:t>
                  </w:r>
                  <w:r>
                    <w:rPr>
                      <w:rFonts w:hint="eastAsia" w:ascii="Times New Roman" w:hAnsi="Times New Roman" w:eastAsia="宋体" w:cs="Times New Roman"/>
                      <w:bCs/>
                      <w:snapToGrid w:val="0"/>
                      <w:color w:val="000000" w:themeColor="text1"/>
                      <w:kern w:val="32"/>
                      <w:lang w:val="zh-CN"/>
                    </w:rPr>
                    <w:t>-类别1B，</w:t>
                  </w:r>
                  <w:r>
                    <w:rPr>
                      <w:rFonts w:ascii="Times New Roman" w:hAnsi="Times New Roman" w:eastAsia="宋体" w:cs="Times New Roman"/>
                      <w:bCs/>
                      <w:snapToGrid w:val="0"/>
                      <w:color w:val="000000" w:themeColor="text1"/>
                      <w:kern w:val="32"/>
                      <w:lang w:val="zh-CN"/>
                    </w:rPr>
                    <w:t>严重眼损伤/眼刺激</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类别1</w:t>
                  </w:r>
                  <w:r>
                    <w:rPr>
                      <w:rFonts w:hint="eastAsia" w:ascii="Times New Roman" w:hAnsi="Times New Roman" w:eastAsia="宋体" w:cs="Times New Roman"/>
                      <w:bCs/>
                      <w:snapToGrid w:val="0"/>
                      <w:color w:val="000000" w:themeColor="text1"/>
                      <w:kern w:val="32"/>
                      <w:lang w:val="zh-CN"/>
                    </w:rPr>
                    <w:t>，危害水生环境-急性危害-类别1，危害水生环境-长期危害-类别1，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w:t>
                  </w:r>
                  <w:r>
                    <w:rPr>
                      <w:rFonts w:hint="eastAsia" w:ascii="Times New Roman" w:hAnsi="Times New Roman" w:eastAsia="宋体" w:cs="Times New Roman"/>
                      <w:bCs/>
                      <w:snapToGrid w:val="0"/>
                      <w:color w:val="000000" w:themeColor="text1"/>
                      <w:kern w:val="32"/>
                      <w:lang w:val="zh-CN"/>
                    </w:rPr>
                    <w:t>4</w:t>
                  </w:r>
                  <w:r>
                    <w:rPr>
                      <w:rFonts w:ascii="Times New Roman" w:hAnsi="Times New Roman" w:eastAsia="宋体" w:cs="Times New Roman"/>
                      <w:bCs/>
                      <w:snapToGrid w:val="0"/>
                      <w:color w:val="000000" w:themeColor="text1"/>
                      <w:kern w:val="32"/>
                      <w:lang w:val="zh-CN"/>
                    </w:rPr>
                    <w:t>:造成严重</w:t>
                  </w:r>
                  <w:r>
                    <w:rPr>
                      <w:rFonts w:hint="eastAsia" w:ascii="Times New Roman" w:hAnsi="Times New Roman" w:eastAsia="宋体" w:cs="Times New Roman"/>
                      <w:bCs/>
                      <w:snapToGrid w:val="0"/>
                      <w:color w:val="000000" w:themeColor="text1"/>
                      <w:kern w:val="32"/>
                      <w:lang w:val="zh-CN"/>
                    </w:rPr>
                    <w:t>的皮肤灼伤和眼</w:t>
                  </w:r>
                  <w:r>
                    <w:rPr>
                      <w:rFonts w:ascii="Times New Roman" w:hAnsi="Times New Roman" w:eastAsia="宋体" w:cs="Times New Roman"/>
                      <w:bCs/>
                      <w:snapToGrid w:val="0"/>
                      <w:color w:val="000000" w:themeColor="text1"/>
                      <w:kern w:val="32"/>
                      <w:lang w:val="zh-CN"/>
                    </w:rPr>
                    <w:t>损伤</w:t>
                  </w:r>
                  <w:r>
                    <w:rPr>
                      <w:rFonts w:hint="eastAsia" w:ascii="Times New Roman" w:hAnsi="Times New Roman" w:eastAsia="宋体" w:cs="Times New Roman"/>
                      <w:bCs/>
                      <w:snapToGrid w:val="0"/>
                      <w:color w:val="000000" w:themeColor="text1"/>
                      <w:kern w:val="32"/>
                      <w:lang w:val="zh-CN"/>
                    </w:rPr>
                    <w:t>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理</w:t>
                  </w:r>
                  <w:r>
                    <w:rPr>
                      <w:rFonts w:ascii="Times New Roman" w:hAnsi="Times New Roman" w:eastAsia="宋体" w:cs="Times New Roman"/>
                      <w:bCs/>
                      <w:snapToGrid w:val="0"/>
                      <w:color w:val="000000" w:themeColor="text1"/>
                      <w:kern w:val="32"/>
                      <w:lang w:val="zh-CN"/>
                    </w:rPr>
                    <w:t>化特性：</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w:t>
                  </w:r>
                  <w:r>
                    <w:rPr>
                      <w:rFonts w:hint="eastAsia" w:ascii="Times New Roman" w:hAnsi="Times New Roman" w:eastAsia="宋体" w:cs="Times New Roman"/>
                      <w:bCs/>
                      <w:snapToGrid w:val="0"/>
                      <w:color w:val="000000" w:themeColor="text1"/>
                      <w:kern w:val="32"/>
                      <w:lang w:val="zh-CN"/>
                    </w:rPr>
                    <w:t>，无特殊燃爆特性。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碱</w:t>
                  </w:r>
                  <w:r>
                    <w:rPr>
                      <w:rFonts w:ascii="Times New Roman" w:hAnsi="Times New Roman" w:eastAsia="宋体" w:cs="Times New Roman"/>
                      <w:bCs/>
                      <w:snapToGrid w:val="0"/>
                      <w:color w:val="000000" w:themeColor="text1"/>
                      <w:kern w:val="32"/>
                      <w:lang w:val="zh-CN"/>
                    </w:rPr>
                    <w:t>类</w:t>
                  </w: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LD50：8500mg/kg（大鼠腹腔）</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（5）原辅料的变化情况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根据调查，本项目较原有项目使用原辅料的种类、数量和来源并未发生变化，其主要变化为使用量发生变化，具体如下表所示。</w:t>
            </w:r>
          </w:p>
          <w:p>
            <w:pPr>
              <w:jc w:val="center"/>
              <w:rPr>
                <w:rFonts w:ascii="Times New Roman" w:cs="Times New Roman"/>
                <w:b/>
                <w:color w:val="000000" w:themeColor="text1"/>
                <w:szCs w:val="24"/>
              </w:rPr>
            </w:pPr>
            <w:r>
              <w:rPr>
                <w:rFonts w:hint="eastAsia" w:ascii="Times New Roman" w:cs="Times New Roman"/>
                <w:b/>
                <w:color w:val="000000" w:themeColor="text1"/>
                <w:szCs w:val="24"/>
              </w:rPr>
              <w:t>表2.5.1-5 原辅料的变化情况一览表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321"/>
              <w:gridCol w:w="1127"/>
              <w:gridCol w:w="1127"/>
              <w:gridCol w:w="1130"/>
              <w:gridCol w:w="2032"/>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序号</w:t>
                  </w:r>
                </w:p>
              </w:tc>
              <w:tc>
                <w:tcPr>
                  <w:tcW w:w="132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原辅料种类</w:t>
                  </w:r>
                </w:p>
              </w:tc>
              <w:tc>
                <w:tcPr>
                  <w:tcW w:w="2254"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原辅料使用量</w:t>
                  </w:r>
                </w:p>
              </w:tc>
              <w:tc>
                <w:tcPr>
                  <w:tcW w:w="113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改扩建项目最大存储量</w:t>
                  </w:r>
                </w:p>
              </w:tc>
              <w:tc>
                <w:tcPr>
                  <w:tcW w:w="2032"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来源</w:t>
                  </w:r>
                </w:p>
              </w:tc>
              <w:tc>
                <w:tcPr>
                  <w:tcW w:w="144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原有项目</w:t>
                  </w: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本次改扩建项目</w:t>
                  </w:r>
                </w:p>
              </w:tc>
              <w:tc>
                <w:tcPr>
                  <w:tcW w:w="113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03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4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w:t>
                  </w:r>
                </w:p>
              </w:tc>
              <w:tc>
                <w:tcPr>
                  <w:tcW w:w="132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页岩</w:t>
                  </w: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13.51</w:t>
                  </w:r>
                  <w:r>
                    <w:rPr>
                      <w:rFonts w:ascii="Times New Roman" w:hAnsi="Times New Roman" w:eastAsia="宋体" w:cs="Times New Roman"/>
                      <w:bCs/>
                      <w:snapToGrid w:val="0"/>
                      <w:color w:val="000000" w:themeColor="text1"/>
                      <w:kern w:val="32"/>
                      <w:lang w:val="zh-CN"/>
                    </w:rPr>
                    <w:t>万t</w:t>
                  </w:r>
                  <w:r>
                    <w:rPr>
                      <w:rFonts w:hint="eastAsia" w:ascii="Times New Roman" w:hAnsi="Times New Roman" w:eastAsia="宋体" w:cs="Times New Roman"/>
                      <w:bCs/>
                      <w:snapToGrid w:val="0"/>
                      <w:color w:val="000000" w:themeColor="text1"/>
                      <w:kern w:val="32"/>
                      <w:lang w:val="zh-CN"/>
                    </w:rPr>
                    <w:t>/a</w:t>
                  </w: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15.76万t</w:t>
                  </w:r>
                  <w:r>
                    <w:rPr>
                      <w:rFonts w:hint="eastAsia" w:ascii="Times New Roman" w:hAnsi="Times New Roman" w:eastAsia="宋体" w:cs="Times New Roman"/>
                      <w:bCs/>
                      <w:snapToGrid w:val="0"/>
                      <w:color w:val="000000" w:themeColor="text1"/>
                      <w:kern w:val="32"/>
                      <w:lang w:val="zh-CN"/>
                    </w:rPr>
                    <w:t>/a</w:t>
                  </w:r>
                </w:p>
              </w:tc>
              <w:tc>
                <w:tcPr>
                  <w:tcW w:w="113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1576</w:t>
                  </w:r>
                  <w:r>
                    <w:rPr>
                      <w:rFonts w:ascii="Times New Roman" w:hAnsi="Times New Roman" w:eastAsia="宋体" w:cs="Times New Roman"/>
                      <w:bCs/>
                      <w:snapToGrid w:val="0"/>
                      <w:color w:val="000000" w:themeColor="text1"/>
                      <w:kern w:val="32"/>
                      <w:lang w:val="zh-CN"/>
                    </w:rPr>
                    <w:t>t</w:t>
                  </w:r>
                  <w:r>
                    <w:rPr>
                      <w:rFonts w:hint="eastAsia" w:ascii="Times New Roman" w:hAnsi="Times New Roman" w:eastAsia="宋体" w:cs="Times New Roman"/>
                      <w:bCs/>
                      <w:snapToGrid w:val="0"/>
                      <w:color w:val="000000" w:themeColor="text1"/>
                      <w:kern w:val="32"/>
                      <w:lang w:val="zh-CN"/>
                    </w:rPr>
                    <w:t>/a</w:t>
                  </w:r>
                </w:p>
              </w:tc>
              <w:tc>
                <w:tcPr>
                  <w:tcW w:w="2032"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昆明红富化肥有限公司磷矿矿山</w:t>
                  </w:r>
                  <w:r>
                    <w:rPr>
                      <w:rFonts w:hint="eastAsia" w:ascii="Times New Roman" w:hAnsi="Times New Roman" w:eastAsia="宋体" w:cs="Times New Roman"/>
                      <w:bCs/>
                      <w:snapToGrid w:val="0"/>
                      <w:color w:val="000000" w:themeColor="text1"/>
                      <w:kern w:val="32"/>
                      <w:lang w:val="zh-CN"/>
                    </w:rPr>
                    <w:t>开采剥离的页岩</w:t>
                  </w:r>
                </w:p>
              </w:tc>
              <w:tc>
                <w:tcPr>
                  <w:tcW w:w="1444"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用量增加2.25</w:t>
                  </w:r>
                  <w:r>
                    <w:rPr>
                      <w:rFonts w:ascii="Times New Roman" w:hAnsi="Times New Roman" w:eastAsia="宋体" w:cs="Times New Roman"/>
                      <w:bCs/>
                      <w:snapToGrid w:val="0"/>
                      <w:color w:val="000000" w:themeColor="text1"/>
                      <w:kern w:val="32"/>
                      <w:lang w:val="zh-CN"/>
                    </w:rPr>
                    <w:t>万t</w:t>
                  </w:r>
                  <w:r>
                    <w:rPr>
                      <w:rFonts w:hint="eastAsia" w:ascii="Times New Roman" w:hAnsi="Times New Roman" w:eastAsia="宋体" w:cs="Times New Roman"/>
                      <w:bCs/>
                      <w:snapToGrid w:val="0"/>
                      <w:color w:val="000000" w:themeColor="text1"/>
                      <w:kern w:val="32"/>
                      <w:lang w:val="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w:t>
                  </w:r>
                </w:p>
              </w:tc>
              <w:tc>
                <w:tcPr>
                  <w:tcW w:w="132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煤</w:t>
                  </w: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2.7</w:t>
                  </w:r>
                  <w:r>
                    <w:rPr>
                      <w:rFonts w:ascii="Times New Roman" w:hAnsi="Times New Roman" w:eastAsia="宋体" w:cs="Times New Roman"/>
                      <w:bCs/>
                      <w:snapToGrid w:val="0"/>
                      <w:color w:val="000000" w:themeColor="text1"/>
                      <w:kern w:val="32"/>
                      <w:lang w:val="zh-CN"/>
                    </w:rPr>
                    <w:t>万t</w:t>
                  </w:r>
                  <w:r>
                    <w:rPr>
                      <w:rFonts w:hint="eastAsia" w:ascii="Times New Roman" w:hAnsi="Times New Roman" w:eastAsia="宋体" w:cs="Times New Roman"/>
                      <w:bCs/>
                      <w:snapToGrid w:val="0"/>
                      <w:color w:val="000000" w:themeColor="text1"/>
                      <w:kern w:val="32"/>
                      <w:lang w:val="zh-CN"/>
                    </w:rPr>
                    <w:t>/a</w:t>
                  </w: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3.15万t</w:t>
                  </w:r>
                  <w:r>
                    <w:rPr>
                      <w:rFonts w:hint="eastAsia" w:ascii="Times New Roman" w:hAnsi="Times New Roman" w:eastAsia="宋体" w:cs="Times New Roman"/>
                      <w:bCs/>
                      <w:snapToGrid w:val="0"/>
                      <w:color w:val="000000" w:themeColor="text1"/>
                      <w:kern w:val="32"/>
                      <w:lang w:val="zh-CN"/>
                    </w:rPr>
                    <w:t>/a</w:t>
                  </w:r>
                </w:p>
              </w:tc>
              <w:tc>
                <w:tcPr>
                  <w:tcW w:w="113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630</w:t>
                  </w:r>
                  <w:r>
                    <w:rPr>
                      <w:rFonts w:ascii="Times New Roman" w:hAnsi="Times New Roman" w:eastAsia="宋体" w:cs="Times New Roman"/>
                      <w:bCs/>
                      <w:snapToGrid w:val="0"/>
                      <w:color w:val="000000" w:themeColor="text1"/>
                      <w:kern w:val="32"/>
                      <w:lang w:val="zh-CN"/>
                    </w:rPr>
                    <w:t xml:space="preserve"> t</w:t>
                  </w:r>
                  <w:r>
                    <w:rPr>
                      <w:rFonts w:hint="eastAsia" w:ascii="Times New Roman" w:hAnsi="Times New Roman" w:eastAsia="宋体" w:cs="Times New Roman"/>
                      <w:bCs/>
                      <w:snapToGrid w:val="0"/>
                      <w:color w:val="000000" w:themeColor="text1"/>
                      <w:kern w:val="32"/>
                      <w:lang w:val="zh-CN"/>
                    </w:rPr>
                    <w:t>/a</w:t>
                  </w:r>
                </w:p>
              </w:tc>
              <w:tc>
                <w:tcPr>
                  <w:tcW w:w="2032"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市场购买</w:t>
                  </w:r>
                </w:p>
              </w:tc>
              <w:tc>
                <w:tcPr>
                  <w:tcW w:w="1444"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用量增加0.45</w:t>
                  </w:r>
                  <w:r>
                    <w:rPr>
                      <w:rFonts w:ascii="Times New Roman" w:hAnsi="Times New Roman" w:eastAsia="宋体" w:cs="Times New Roman"/>
                      <w:bCs/>
                      <w:snapToGrid w:val="0"/>
                      <w:color w:val="000000" w:themeColor="text1"/>
                      <w:kern w:val="32"/>
                      <w:lang w:val="zh-CN"/>
                    </w:rPr>
                    <w:t>万t</w:t>
                  </w:r>
                  <w:r>
                    <w:rPr>
                      <w:rFonts w:hint="eastAsia" w:ascii="Times New Roman" w:hAnsi="Times New Roman" w:eastAsia="宋体" w:cs="Times New Roman"/>
                      <w:bCs/>
                      <w:snapToGrid w:val="0"/>
                      <w:color w:val="000000" w:themeColor="text1"/>
                      <w:kern w:val="32"/>
                      <w:lang w:val="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w:t>
                  </w:r>
                </w:p>
              </w:tc>
              <w:tc>
                <w:tcPr>
                  <w:tcW w:w="132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水</w:t>
                  </w: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17108.57m³/a</w:t>
                  </w: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18518.55</w:t>
                  </w:r>
                  <w:r>
                    <w:rPr>
                      <w:rFonts w:ascii="Times New Roman" w:hAnsi="Times New Roman" w:eastAsia="宋体" w:cs="Times New Roman"/>
                      <w:bCs/>
                      <w:snapToGrid w:val="0"/>
                      <w:color w:val="000000" w:themeColor="text1"/>
                      <w:kern w:val="32"/>
                      <w:lang w:val="zh-CN"/>
                    </w:rPr>
                    <w:t>m³/a</w:t>
                  </w:r>
                </w:p>
              </w:tc>
              <w:tc>
                <w:tcPr>
                  <w:tcW w:w="113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2032"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自来水</w:t>
                  </w:r>
                </w:p>
              </w:tc>
              <w:tc>
                <w:tcPr>
                  <w:tcW w:w="1444"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用量增加1409.98</w:t>
                  </w:r>
                  <w:r>
                    <w:rPr>
                      <w:rFonts w:ascii="Times New Roman" w:hAnsi="Times New Roman" w:eastAsia="宋体" w:cs="Times New Roman"/>
                      <w:bCs/>
                      <w:snapToGrid w:val="0"/>
                      <w:color w:val="000000" w:themeColor="text1"/>
                      <w:kern w:val="32"/>
                      <w:lang w:val="zh-CN"/>
                    </w:rPr>
                    <w:t>m³/a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4</w:t>
                  </w:r>
                </w:p>
              </w:tc>
              <w:tc>
                <w:tcPr>
                  <w:tcW w:w="1321"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生石灰</w:t>
                  </w: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0</w:t>
                  </w: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77.25</w:t>
                  </w:r>
                  <w:r>
                    <w:rPr>
                      <w:rFonts w:ascii="Times New Roman" w:hAnsi="Times New Roman" w:eastAsia="宋体" w:cs="Times New Roman"/>
                      <w:bCs/>
                      <w:snapToGrid w:val="0"/>
                      <w:color w:val="000000" w:themeColor="text1"/>
                      <w:kern w:val="32"/>
                    </w:rPr>
                    <w:t>t</w:t>
                  </w:r>
                  <w:r>
                    <w:rPr>
                      <w:rFonts w:hint="eastAsia" w:ascii="Times New Roman" w:hAnsi="Times New Roman" w:eastAsia="宋体" w:cs="Times New Roman"/>
                      <w:bCs/>
                      <w:snapToGrid w:val="0"/>
                      <w:color w:val="000000" w:themeColor="text1"/>
                      <w:kern w:val="32"/>
                    </w:rPr>
                    <w:t>/a</w:t>
                  </w:r>
                </w:p>
              </w:tc>
              <w:tc>
                <w:tcPr>
                  <w:tcW w:w="1130" w:type="dxa"/>
                  <w:vAlign w:val="center"/>
                </w:tcPr>
                <w:p>
                  <w:pPr>
                    <w:pStyle w:val="32"/>
                    <w:spacing w:line="360" w:lineRule="exact"/>
                    <w:ind w:left="11"/>
                    <w:rPr>
                      <w:color w:val="000000" w:themeColor="text1"/>
                      <w:szCs w:val="21"/>
                    </w:rPr>
                  </w:pPr>
                  <w:r>
                    <w:rPr>
                      <w:rFonts w:hint="eastAsia"/>
                      <w:color w:val="000000" w:themeColor="text1"/>
                      <w:szCs w:val="21"/>
                    </w:rPr>
                    <w:t>5t</w:t>
                  </w:r>
                </w:p>
              </w:tc>
              <w:tc>
                <w:tcPr>
                  <w:tcW w:w="2032"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市场购买</w:t>
                  </w:r>
                </w:p>
              </w:tc>
              <w:tc>
                <w:tcPr>
                  <w:tcW w:w="1444"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lang w:val="zh-CN"/>
                    </w:rPr>
                    <w:t>用量增加</w:t>
                  </w:r>
                  <w:r>
                    <w:rPr>
                      <w:rFonts w:hint="eastAsia" w:ascii="Times New Roman" w:hAnsi="Times New Roman" w:eastAsia="宋体" w:cs="Times New Roman"/>
                      <w:bCs/>
                      <w:snapToGrid w:val="0"/>
                      <w:color w:val="000000" w:themeColor="text1"/>
                      <w:kern w:val="32"/>
                    </w:rPr>
                    <w:t>77.25</w:t>
                  </w:r>
                  <w:r>
                    <w:rPr>
                      <w:rFonts w:ascii="Times New Roman" w:hAnsi="Times New Roman" w:eastAsia="宋体" w:cs="Times New Roman"/>
                      <w:bCs/>
                      <w:snapToGrid w:val="0"/>
                      <w:color w:val="000000" w:themeColor="text1"/>
                      <w:kern w:val="32"/>
                    </w:rPr>
                    <w:t>t</w:t>
                  </w:r>
                  <w:r>
                    <w:rPr>
                      <w:rFonts w:hint="eastAsia" w:ascii="Times New Roman" w:hAnsi="Times New Roman" w:eastAsia="宋体" w:cs="Times New Roman"/>
                      <w:bCs/>
                      <w:snapToGrid w:val="0"/>
                      <w:color w:val="000000" w:themeColor="text1"/>
                      <w:kern w:val="3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5</w:t>
                  </w:r>
                </w:p>
              </w:tc>
              <w:tc>
                <w:tcPr>
                  <w:tcW w:w="1321"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氢氧化钠</w:t>
                  </w: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0</w:t>
                  </w: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20</w:t>
                  </w:r>
                  <w:r>
                    <w:rPr>
                      <w:rFonts w:ascii="Times New Roman" w:hAnsi="Times New Roman" w:eastAsia="宋体" w:cs="Times New Roman"/>
                      <w:bCs/>
                      <w:snapToGrid w:val="0"/>
                      <w:color w:val="000000" w:themeColor="text1"/>
                      <w:kern w:val="32"/>
                    </w:rPr>
                    <w:t>t</w:t>
                  </w:r>
                  <w:r>
                    <w:rPr>
                      <w:rFonts w:hint="eastAsia" w:ascii="Times New Roman" w:hAnsi="Times New Roman" w:eastAsia="宋体" w:cs="Times New Roman"/>
                      <w:bCs/>
                      <w:snapToGrid w:val="0"/>
                      <w:color w:val="000000" w:themeColor="text1"/>
                      <w:kern w:val="32"/>
                    </w:rPr>
                    <w:t>/a</w:t>
                  </w:r>
                </w:p>
              </w:tc>
              <w:tc>
                <w:tcPr>
                  <w:tcW w:w="1130" w:type="dxa"/>
                  <w:vAlign w:val="center"/>
                </w:tcPr>
                <w:p>
                  <w:pPr>
                    <w:pStyle w:val="32"/>
                    <w:spacing w:line="360" w:lineRule="exact"/>
                    <w:ind w:left="11"/>
                    <w:rPr>
                      <w:color w:val="000000" w:themeColor="text1"/>
                      <w:szCs w:val="21"/>
                    </w:rPr>
                  </w:pPr>
                  <w:r>
                    <w:rPr>
                      <w:rFonts w:hint="eastAsia"/>
                      <w:color w:val="000000" w:themeColor="text1"/>
                      <w:szCs w:val="21"/>
                    </w:rPr>
                    <w:t>1.8t</w:t>
                  </w:r>
                </w:p>
              </w:tc>
              <w:tc>
                <w:tcPr>
                  <w:tcW w:w="2032"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市场购买</w:t>
                  </w:r>
                </w:p>
              </w:tc>
              <w:tc>
                <w:tcPr>
                  <w:tcW w:w="1444"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lang w:val="zh-CN"/>
                    </w:rPr>
                    <w:t>用量增加</w:t>
                  </w:r>
                  <w:r>
                    <w:rPr>
                      <w:rFonts w:hint="eastAsia" w:ascii="Times New Roman" w:hAnsi="Times New Roman" w:eastAsia="宋体" w:cs="Times New Roman"/>
                      <w:bCs/>
                      <w:snapToGrid w:val="0"/>
                      <w:color w:val="000000" w:themeColor="text1"/>
                      <w:kern w:val="32"/>
                    </w:rPr>
                    <w:t>20</w:t>
                  </w:r>
                  <w:r>
                    <w:rPr>
                      <w:rFonts w:ascii="Times New Roman" w:hAnsi="Times New Roman" w:eastAsia="宋体" w:cs="Times New Roman"/>
                      <w:bCs/>
                      <w:snapToGrid w:val="0"/>
                      <w:color w:val="000000" w:themeColor="text1"/>
                      <w:kern w:val="32"/>
                    </w:rPr>
                    <w:t>t</w:t>
                  </w:r>
                  <w:r>
                    <w:rPr>
                      <w:rFonts w:hint="eastAsia" w:ascii="Times New Roman" w:hAnsi="Times New Roman" w:eastAsia="宋体" w:cs="Times New Roman"/>
                      <w:bCs/>
                      <w:snapToGrid w:val="0"/>
                      <w:color w:val="000000" w:themeColor="text1"/>
                      <w:kern w:val="3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6</w:t>
                  </w:r>
                </w:p>
              </w:tc>
              <w:tc>
                <w:tcPr>
                  <w:tcW w:w="1321"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次氯酸钠</w:t>
                  </w: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0</w:t>
                  </w:r>
                </w:p>
              </w:tc>
              <w:tc>
                <w:tcPr>
                  <w:tcW w:w="1127"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0.05t/a</w:t>
                  </w:r>
                </w:p>
              </w:tc>
              <w:tc>
                <w:tcPr>
                  <w:tcW w:w="113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0.05t</w:t>
                  </w:r>
                </w:p>
              </w:tc>
              <w:tc>
                <w:tcPr>
                  <w:tcW w:w="2032"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市场购买</w:t>
                  </w:r>
                </w:p>
              </w:tc>
              <w:tc>
                <w:tcPr>
                  <w:tcW w:w="1444"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用量增加</w:t>
                  </w:r>
                  <w:r>
                    <w:rPr>
                      <w:rFonts w:hint="eastAsia" w:ascii="Times New Roman" w:hAnsi="Times New Roman" w:eastAsia="宋体" w:cs="Times New Roman"/>
                      <w:bCs/>
                      <w:snapToGrid w:val="0"/>
                      <w:color w:val="000000" w:themeColor="text1"/>
                      <w:kern w:val="32"/>
                    </w:rPr>
                    <w:t>0.05t/a</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2.5.3 </w:t>
            </w:r>
            <w:r>
              <w:rPr>
                <w:rFonts w:hint="eastAsia" w:ascii="Times New Roman" w:hAnsi="Times New Roman" w:cs="Times New Roman"/>
                <w:b/>
                <w:color w:val="000000" w:themeColor="text1"/>
                <w:sz w:val="24"/>
                <w:szCs w:val="24"/>
              </w:rPr>
              <w:t>能源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项目使用能源主要电能和煤。根据项目节能评估报告，项目用电量为</w:t>
            </w:r>
            <w:r>
              <w:rPr>
                <w:rFonts w:ascii="Times New Roman" w:hAnsi="Times New Roman" w:eastAsia="宋体" w:cs="Times New Roman"/>
                <w:color w:val="000000" w:themeColor="text1"/>
                <w:sz w:val="24"/>
                <w:szCs w:val="24"/>
              </w:rPr>
              <w:t>500×10</w:t>
            </w:r>
            <w:r>
              <w:rPr>
                <w:rFonts w:ascii="Times New Roman" w:hAnsi="Times New Roman" w:eastAsia="宋体" w:cs="Times New Roman"/>
                <w:color w:val="000000" w:themeColor="text1"/>
                <w:sz w:val="24"/>
                <w:szCs w:val="24"/>
                <w:vertAlign w:val="superscript"/>
              </w:rPr>
              <w:t>4</w:t>
            </w:r>
            <w:r>
              <w:rPr>
                <w:rFonts w:ascii="Times New Roman" w:hAnsi="Times New Roman" w:eastAsia="宋体" w:cs="Times New Roman"/>
                <w:color w:val="000000" w:themeColor="text1"/>
                <w:sz w:val="24"/>
                <w:szCs w:val="24"/>
              </w:rPr>
              <w:t xml:space="preserve"> kW.h/a</w:t>
            </w:r>
            <w:r>
              <w:rPr>
                <w:rFonts w:hint="eastAsia" w:ascii="Times New Roman" w:hAnsi="Times New Roman" w:cs="Times New Roman"/>
                <w:color w:val="000000" w:themeColor="text1"/>
                <w:sz w:val="24"/>
                <w:szCs w:val="24"/>
              </w:rPr>
              <w:t>；燃煤量为3.15</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/a，其中大部分作为原料进入砖坯内在焙烧窑中内燃焙烧，约400kg/次作为</w:t>
            </w:r>
            <w:r>
              <w:rPr>
                <w:rFonts w:ascii="Times New Roman" w:hAnsi="Times New Roman" w:cs="Times New Roman"/>
                <w:color w:val="000000" w:themeColor="text1"/>
                <w:sz w:val="24"/>
                <w:szCs w:val="24"/>
              </w:rPr>
              <w:t>点火</w:t>
            </w:r>
            <w:r>
              <w:rPr>
                <w:rFonts w:hint="eastAsia" w:ascii="Times New Roman" w:hAnsi="Times New Roman" w:cs="Times New Roman"/>
                <w:color w:val="000000" w:themeColor="text1"/>
                <w:sz w:val="24"/>
                <w:szCs w:val="24"/>
              </w:rPr>
              <w:t>燃料，正常情况下焙烧窑年点火次数不超过3次。</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 xml:space="preserve"> 劳动定员及工作制度</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.1 劳动定员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根据项目特点，</w:t>
            </w:r>
            <w:r>
              <w:rPr>
                <w:rFonts w:hint="eastAsia" w:ascii="Times New Roman" w:hAnsi="Times New Roman" w:cs="Times New Roman"/>
                <w:bCs/>
                <w:color w:val="000000" w:themeColor="text1"/>
                <w:sz w:val="24"/>
                <w:szCs w:val="24"/>
              </w:rPr>
              <w:t>本项目拟设置员工20人，均在</w:t>
            </w:r>
            <w:r>
              <w:rPr>
                <w:rFonts w:ascii="Times New Roman" w:hAnsi="Times New Roman" w:cs="Times New Roman"/>
                <w:bCs/>
                <w:color w:val="000000" w:themeColor="text1"/>
                <w:sz w:val="24"/>
                <w:szCs w:val="24"/>
              </w:rPr>
              <w:t>厂区吃饭，但住宿人数约为</w:t>
            </w:r>
            <w:r>
              <w:rPr>
                <w:rFonts w:hint="eastAsia"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人，其余</w:t>
            </w:r>
            <w:r>
              <w:rPr>
                <w:rFonts w:hint="eastAsia"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人回家住宿。</w:t>
            </w:r>
            <w:r>
              <w:rPr>
                <w:rFonts w:hint="eastAsia" w:ascii="Times New Roman" w:hAnsi="Times New Roman" w:cs="Times New Roman"/>
                <w:bCs/>
                <w:color w:val="000000" w:themeColor="text1"/>
                <w:sz w:val="24"/>
                <w:szCs w:val="24"/>
              </w:rPr>
              <w:t>项目改扩建后拟设置员工数量不发生变化。</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.2 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年工作3</w:t>
            </w:r>
            <w:r>
              <w:rPr>
                <w:rFonts w:hint="eastAsia" w:ascii="Times New Roman" w:hAnsi="Times New Roman" w:cs="Times New Roman"/>
                <w:bCs/>
                <w:color w:val="000000" w:themeColor="text1"/>
                <w:sz w:val="24"/>
                <w:szCs w:val="24"/>
              </w:rPr>
              <w:t>0</w:t>
            </w:r>
            <w:r>
              <w:rPr>
                <w:rFonts w:ascii="Times New Roman" w:hAnsi="Times New Roman" w:cs="Times New Roman"/>
                <w:bCs/>
                <w:color w:val="000000" w:themeColor="text1"/>
                <w:sz w:val="24"/>
                <w:szCs w:val="24"/>
              </w:rPr>
              <w:t>0d，</w:t>
            </w:r>
            <w:r>
              <w:rPr>
                <w:rFonts w:hint="eastAsia" w:ascii="Times New Roman" w:hAnsi="Times New Roman" w:cs="Times New Roman"/>
                <w:bCs/>
                <w:color w:val="000000" w:themeColor="text1"/>
                <w:sz w:val="24"/>
                <w:szCs w:val="24"/>
              </w:rPr>
              <w:t>其中烘干及焙烧工序</w:t>
            </w:r>
            <w:r>
              <w:rPr>
                <w:rFonts w:ascii="Times New Roman" w:hAnsi="Times New Roman" w:cs="Times New Roman"/>
                <w:bCs/>
                <w:color w:val="000000" w:themeColor="text1"/>
                <w:sz w:val="24"/>
                <w:szCs w:val="24"/>
              </w:rPr>
              <w:t>实行每天3班制，每班8h</w:t>
            </w:r>
            <w:r>
              <w:rPr>
                <w:rFonts w:hint="eastAsia" w:ascii="Times New Roman" w:hAnsi="Times New Roman" w:cs="Times New Roman"/>
                <w:bCs/>
                <w:color w:val="000000" w:themeColor="text1"/>
                <w:sz w:val="24"/>
                <w:szCs w:val="24"/>
              </w:rPr>
              <w:t>；其他工序</w:t>
            </w:r>
            <w:r>
              <w:rPr>
                <w:rFonts w:ascii="Times New Roman" w:hAnsi="Times New Roman" w:cs="Times New Roman"/>
                <w:bCs/>
                <w:color w:val="000000" w:themeColor="text1"/>
                <w:sz w:val="24"/>
                <w:szCs w:val="24"/>
              </w:rPr>
              <w:t>实行每天</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班制，每班8h</w:t>
            </w:r>
            <w:r>
              <w:rPr>
                <w:rFonts w:hint="eastAsia" w:ascii="Times New Roman" w:hAnsi="Times New Roman" w:cs="Times New Roman"/>
                <w:bCs/>
                <w:color w:val="000000" w:themeColor="text1"/>
                <w:sz w:val="24"/>
                <w:szCs w:val="24"/>
              </w:rPr>
              <w:t>。</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2.7</w:t>
            </w:r>
            <w:r>
              <w:rPr>
                <w:rFonts w:ascii="Times New Roman" w:hAnsi="Times New Roman" w:cs="Times New Roman"/>
                <w:b/>
                <w:color w:val="000000" w:themeColor="text1"/>
                <w:sz w:val="24"/>
                <w:szCs w:val="24"/>
              </w:rPr>
              <w:t xml:space="preserve"> 项目建设进度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根据调查，该项目还未建设；建设单位根据项目手续办理的实际情况，拟定建设时间为202</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月-202</w:t>
            </w:r>
            <w:r>
              <w:rPr>
                <w:rFonts w:hint="eastAsia"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月，建设期为</w:t>
            </w:r>
            <w:r>
              <w:rPr>
                <w:rFonts w:hint="eastAsia"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2个月。</w:t>
            </w:r>
          </w:p>
          <w:p>
            <w:pPr>
              <w:autoSpaceDE w:val="0"/>
              <w:autoSpaceDN w:val="0"/>
              <w:spacing w:line="360" w:lineRule="auto"/>
              <w:ind w:firstLine="241" w:firstLineChars="100"/>
              <w:rPr>
                <w:rFonts w:ascii="Times New Roman" w:hAnsi="Times New Roman" w:cs="Times New Roman"/>
                <w:b/>
                <w:color w:val="000000" w:themeColor="text1"/>
                <w:sz w:val="24"/>
                <w:szCs w:val="24"/>
              </w:rPr>
            </w:pPr>
            <w:bookmarkStart w:id="2" w:name="_Toc493693537"/>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w:t>
            </w:r>
            <w:r>
              <w:rPr>
                <w:rFonts w:hint="eastAsia" w:ascii="Times New Roman" w:hAnsi="Times New Roman" w:cs="Times New Roman"/>
                <w:b/>
                <w:color w:val="000000" w:themeColor="text1"/>
                <w:sz w:val="24"/>
                <w:szCs w:val="24"/>
              </w:rPr>
              <w:t>相关</w:t>
            </w:r>
            <w:r>
              <w:rPr>
                <w:rFonts w:ascii="Times New Roman" w:hAnsi="Times New Roman" w:cs="Times New Roman"/>
                <w:b/>
                <w:color w:val="000000" w:themeColor="text1"/>
                <w:sz w:val="24"/>
                <w:szCs w:val="24"/>
              </w:rPr>
              <w:t>平衡</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2.8.1 物料平衡</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（1）物料平衡表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根据项目生产工艺分析，本项目物料平衡如下</w:t>
            </w:r>
            <w:r>
              <w:rPr>
                <w:rFonts w:hint="eastAsia" w:ascii="Times New Roman" w:hAnsi="Times New Roman" w:cs="Times New Roman"/>
                <w:color w:val="000000" w:themeColor="text1"/>
                <w:sz w:val="24"/>
                <w:szCs w:val="24"/>
              </w:rPr>
              <w:t>表</w:t>
            </w:r>
            <w:r>
              <w:rPr>
                <w:rFonts w:ascii="Times New Roman" w:hAnsi="Times New Roman" w:cs="Times New Roman"/>
                <w:color w:val="000000" w:themeColor="text1"/>
                <w:sz w:val="24"/>
                <w:szCs w:val="24"/>
              </w:rPr>
              <w:t>所示。</w:t>
            </w:r>
          </w:p>
          <w:p>
            <w:pPr>
              <w:jc w:val="center"/>
              <w:rPr>
                <w:rFonts w:ascii="Times New Roman" w:cs="Times New Roman"/>
                <w:b/>
                <w:color w:val="000000" w:themeColor="text1"/>
                <w:szCs w:val="24"/>
              </w:rPr>
            </w:pPr>
            <w:r>
              <w:rPr>
                <w:rFonts w:hint="eastAsia" w:ascii="Times New Roman" w:cs="Times New Roman"/>
                <w:b/>
                <w:color w:val="000000" w:themeColor="text1"/>
                <w:szCs w:val="24"/>
              </w:rPr>
              <w:t>表</w:t>
            </w:r>
            <w:r>
              <w:rPr>
                <w:rFonts w:ascii="Times New Roman" w:cs="Times New Roman"/>
                <w:b/>
                <w:color w:val="000000" w:themeColor="text1"/>
                <w:szCs w:val="24"/>
              </w:rPr>
              <w:t>2.8.</w:t>
            </w:r>
            <w:r>
              <w:rPr>
                <w:rFonts w:hint="eastAsia" w:ascii="Times New Roman" w:cs="Times New Roman"/>
                <w:b/>
                <w:color w:val="000000" w:themeColor="text1"/>
                <w:szCs w:val="24"/>
              </w:rPr>
              <w:t>1</w:t>
            </w:r>
            <w:r>
              <w:rPr>
                <w:rFonts w:ascii="Times New Roman" w:cs="Times New Roman"/>
                <w:b/>
                <w:color w:val="000000" w:themeColor="text1"/>
                <w:szCs w:val="24"/>
              </w:rPr>
              <w:t>-1 本项目物料平衡</w:t>
            </w:r>
            <w:r>
              <w:rPr>
                <w:rFonts w:hint="eastAsia" w:ascii="Times New Roman" w:cs="Times New Roman"/>
                <w:b/>
                <w:color w:val="000000" w:themeColor="text1"/>
                <w:szCs w:val="24"/>
              </w:rPr>
              <w:t>一览表</w:t>
            </w:r>
          </w:p>
          <w:tbl>
            <w:tblPr>
              <w:tblStyle w:val="20"/>
              <w:tblW w:w="5000" w:type="pct"/>
              <w:tblInd w:w="0" w:type="dxa"/>
              <w:tblLayout w:type="fixed"/>
              <w:tblCellMar>
                <w:top w:w="0" w:type="dxa"/>
                <w:left w:w="108" w:type="dxa"/>
                <w:bottom w:w="0" w:type="dxa"/>
                <w:right w:w="108" w:type="dxa"/>
              </w:tblCellMar>
            </w:tblPr>
            <w:tblGrid>
              <w:gridCol w:w="1025"/>
              <w:gridCol w:w="1986"/>
              <w:gridCol w:w="2065"/>
              <w:gridCol w:w="1505"/>
              <w:gridCol w:w="2034"/>
            </w:tblGrid>
            <w:tr>
              <w:tblPrEx>
                <w:tblCellMar>
                  <w:top w:w="0" w:type="dxa"/>
                  <w:left w:w="108" w:type="dxa"/>
                  <w:bottom w:w="0" w:type="dxa"/>
                  <w:right w:w="108" w:type="dxa"/>
                </w:tblCellMar>
              </w:tblPrEx>
              <w:tc>
                <w:tcPr>
                  <w:tcW w:w="10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序号</w:t>
                  </w:r>
                </w:p>
              </w:tc>
              <w:tc>
                <w:tcPr>
                  <w:tcW w:w="4252" w:type="dxa"/>
                  <w:gridSpan w:val="2"/>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投入情况</w:t>
                  </w:r>
                </w:p>
              </w:tc>
              <w:tc>
                <w:tcPr>
                  <w:tcW w:w="3712" w:type="dxa"/>
                  <w:gridSpan w:val="2"/>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产出情况</w:t>
                  </w:r>
                </w:p>
              </w:tc>
            </w:tr>
            <w:tr>
              <w:tblPrEx>
                <w:tblCellMar>
                  <w:top w:w="0" w:type="dxa"/>
                  <w:left w:w="108" w:type="dxa"/>
                  <w:bottom w:w="0" w:type="dxa"/>
                  <w:right w:w="108" w:type="dxa"/>
                </w:tblCellMar>
              </w:tblPrEx>
              <w:tc>
                <w:tcPr>
                  <w:tcW w:w="107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0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投入物质</w:t>
                  </w:r>
                </w:p>
              </w:tc>
              <w:tc>
                <w:tcPr>
                  <w:tcW w:w="216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投入量（</w:t>
                  </w:r>
                  <w:r>
                    <w:rPr>
                      <w:rFonts w:ascii="Times New Roman" w:hAnsi="Times New Roman" w:eastAsia="宋体" w:cs="Times New Roman"/>
                      <w:bCs/>
                      <w:snapToGrid w:val="0"/>
                      <w:color w:val="000000" w:themeColor="text1"/>
                      <w:kern w:val="32"/>
                      <w:lang w:val="zh-CN"/>
                    </w:rPr>
                    <w:t>t/a</w:t>
                  </w:r>
                  <w:r>
                    <w:rPr>
                      <w:rFonts w:hint="eastAsia" w:ascii="Times New Roman" w:hAnsi="Times New Roman" w:eastAsia="宋体" w:cs="Times New Roman"/>
                      <w:bCs/>
                      <w:snapToGrid w:val="0"/>
                      <w:color w:val="000000" w:themeColor="text1"/>
                      <w:kern w:val="32"/>
                      <w:lang w:val="zh-CN"/>
                    </w:rPr>
                    <w:t>）</w:t>
                  </w:r>
                </w:p>
              </w:tc>
              <w:tc>
                <w:tcPr>
                  <w:tcW w:w="157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产出物质</w:t>
                  </w:r>
                </w:p>
              </w:tc>
              <w:tc>
                <w:tcPr>
                  <w:tcW w:w="2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产出量（</w:t>
                  </w:r>
                  <w:r>
                    <w:rPr>
                      <w:rFonts w:ascii="Times New Roman" w:hAnsi="Times New Roman" w:eastAsia="宋体" w:cs="Times New Roman"/>
                      <w:bCs/>
                      <w:snapToGrid w:val="0"/>
                      <w:color w:val="000000" w:themeColor="text1"/>
                      <w:kern w:val="32"/>
                      <w:lang w:val="zh-CN"/>
                    </w:rPr>
                    <w:t>t/a</w:t>
                  </w:r>
                  <w:r>
                    <w:rPr>
                      <w:rFonts w:hint="eastAsia" w:ascii="Times New Roman" w:hAnsi="Times New Roman" w:eastAsia="宋体" w:cs="Times New Roman"/>
                      <w:bCs/>
                      <w:snapToGrid w:val="0"/>
                      <w:color w:val="000000" w:themeColor="text1"/>
                      <w:kern w:val="32"/>
                      <w:lang w:val="zh-CN"/>
                    </w:rPr>
                    <w:t>）</w:t>
                  </w:r>
                </w:p>
              </w:tc>
            </w:tr>
            <w:tr>
              <w:tblPrEx>
                <w:tblCellMar>
                  <w:top w:w="0" w:type="dxa"/>
                  <w:left w:w="108" w:type="dxa"/>
                  <w:bottom w:w="0" w:type="dxa"/>
                  <w:right w:w="108" w:type="dxa"/>
                </w:tblCellMar>
              </w:tblPrEx>
              <w:tc>
                <w:tcPr>
                  <w:tcW w:w="1070"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w:t>
                  </w:r>
                </w:p>
              </w:tc>
              <w:tc>
                <w:tcPr>
                  <w:tcW w:w="20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页岩</w:t>
                  </w:r>
                </w:p>
              </w:tc>
              <w:tc>
                <w:tcPr>
                  <w:tcW w:w="216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15760</w:t>
                  </w:r>
                  <w:r>
                    <w:rPr>
                      <w:rFonts w:hint="eastAsia" w:ascii="Times New Roman" w:hAnsi="Times New Roman" w:eastAsia="宋体" w:cs="Times New Roman"/>
                      <w:bCs/>
                      <w:snapToGrid w:val="0"/>
                      <w:color w:val="000000" w:themeColor="text1"/>
                      <w:kern w:val="32"/>
                      <w:lang w:val="zh-CN"/>
                    </w:rPr>
                    <w:t>9.25</w:t>
                  </w:r>
                </w:p>
              </w:tc>
              <w:tc>
                <w:tcPr>
                  <w:tcW w:w="157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无组织粉尘</w:t>
                  </w:r>
                </w:p>
              </w:tc>
              <w:tc>
                <w:tcPr>
                  <w:tcW w:w="2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13.11</w:t>
                  </w:r>
                </w:p>
              </w:tc>
            </w:tr>
            <w:tr>
              <w:tblPrEx>
                <w:tblCellMar>
                  <w:top w:w="0" w:type="dxa"/>
                  <w:left w:w="108" w:type="dxa"/>
                  <w:bottom w:w="0" w:type="dxa"/>
                  <w:right w:w="108" w:type="dxa"/>
                </w:tblCellMar>
              </w:tblPrEx>
              <w:tc>
                <w:tcPr>
                  <w:tcW w:w="1070"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w:t>
                  </w:r>
                </w:p>
              </w:tc>
              <w:tc>
                <w:tcPr>
                  <w:tcW w:w="20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煤</w:t>
                  </w:r>
                </w:p>
              </w:tc>
              <w:tc>
                <w:tcPr>
                  <w:tcW w:w="216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3150</w:t>
                  </w:r>
                  <w:r>
                    <w:rPr>
                      <w:rFonts w:hint="eastAsia" w:ascii="Times New Roman" w:hAnsi="Times New Roman" w:eastAsia="宋体" w:cs="Times New Roman"/>
                      <w:bCs/>
                      <w:snapToGrid w:val="0"/>
                      <w:color w:val="000000" w:themeColor="text1"/>
                      <w:kern w:val="32"/>
                      <w:lang w:val="zh-CN"/>
                    </w:rPr>
                    <w:t>3</w:t>
                  </w:r>
                </w:p>
              </w:tc>
              <w:tc>
                <w:tcPr>
                  <w:tcW w:w="157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有组织粉尘</w:t>
                  </w:r>
                </w:p>
              </w:tc>
              <w:tc>
                <w:tcPr>
                  <w:tcW w:w="2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0.15</w:t>
                  </w:r>
                </w:p>
              </w:tc>
            </w:tr>
            <w:tr>
              <w:tblPrEx>
                <w:tblCellMar>
                  <w:top w:w="0" w:type="dxa"/>
                  <w:left w:w="108" w:type="dxa"/>
                  <w:bottom w:w="0" w:type="dxa"/>
                  <w:right w:w="108" w:type="dxa"/>
                </w:tblCellMar>
              </w:tblPrEx>
              <w:tc>
                <w:tcPr>
                  <w:tcW w:w="1070"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w:t>
                  </w:r>
                </w:p>
              </w:tc>
              <w:tc>
                <w:tcPr>
                  <w:tcW w:w="20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生产用水</w:t>
                  </w:r>
                </w:p>
              </w:tc>
              <w:tc>
                <w:tcPr>
                  <w:tcW w:w="216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19960</w:t>
                  </w:r>
                </w:p>
              </w:tc>
              <w:tc>
                <w:tcPr>
                  <w:tcW w:w="157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脉冲布袋除尘器收集粉尘</w:t>
                  </w:r>
                </w:p>
              </w:tc>
              <w:tc>
                <w:tcPr>
                  <w:tcW w:w="2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w:t>
                  </w:r>
                </w:p>
              </w:tc>
            </w:tr>
            <w:tr>
              <w:tblPrEx>
                <w:tblCellMar>
                  <w:top w:w="0" w:type="dxa"/>
                  <w:left w:w="108" w:type="dxa"/>
                  <w:bottom w:w="0" w:type="dxa"/>
                  <w:right w:w="108" w:type="dxa"/>
                </w:tblCellMar>
              </w:tblPrEx>
              <w:tc>
                <w:tcPr>
                  <w:tcW w:w="1070"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w:t>
                  </w:r>
                </w:p>
              </w:tc>
              <w:tc>
                <w:tcPr>
                  <w:tcW w:w="20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脱硫剂水等</w:t>
                  </w:r>
                </w:p>
              </w:tc>
              <w:tc>
                <w:tcPr>
                  <w:tcW w:w="216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645.37</w:t>
                  </w:r>
                </w:p>
              </w:tc>
              <w:tc>
                <w:tcPr>
                  <w:tcW w:w="157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水（蒸气）</w:t>
                  </w:r>
                </w:p>
              </w:tc>
              <w:tc>
                <w:tcPr>
                  <w:tcW w:w="2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24951.39</w:t>
                  </w:r>
                </w:p>
              </w:tc>
            </w:tr>
            <w:tr>
              <w:tblPrEx>
                <w:tblCellMar>
                  <w:top w:w="0" w:type="dxa"/>
                  <w:left w:w="108" w:type="dxa"/>
                  <w:bottom w:w="0" w:type="dxa"/>
                  <w:right w:w="108" w:type="dxa"/>
                </w:tblCellMar>
              </w:tblPrEx>
              <w:tc>
                <w:tcPr>
                  <w:tcW w:w="1070"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w:t>
                  </w:r>
                </w:p>
              </w:tc>
              <w:tc>
                <w:tcPr>
                  <w:tcW w:w="20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空气中的氧气</w:t>
                  </w:r>
                </w:p>
              </w:tc>
              <w:tc>
                <w:tcPr>
                  <w:tcW w:w="216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150.04</w:t>
                  </w:r>
                </w:p>
              </w:tc>
              <w:tc>
                <w:tcPr>
                  <w:tcW w:w="157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烟尘</w:t>
                  </w:r>
                </w:p>
              </w:tc>
              <w:tc>
                <w:tcPr>
                  <w:tcW w:w="2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4.97</w:t>
                  </w:r>
                </w:p>
              </w:tc>
            </w:tr>
            <w:tr>
              <w:tblPrEx>
                <w:tblCellMar>
                  <w:top w:w="0" w:type="dxa"/>
                  <w:left w:w="108" w:type="dxa"/>
                  <w:bottom w:w="0" w:type="dxa"/>
                  <w:right w:w="108" w:type="dxa"/>
                </w:tblCellMar>
              </w:tblPrEx>
              <w:tc>
                <w:tcPr>
                  <w:tcW w:w="1070"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w:t>
                  </w:r>
                </w:p>
              </w:tc>
              <w:tc>
                <w:tcPr>
                  <w:tcW w:w="20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216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57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SO</w:t>
                  </w:r>
                  <w:r>
                    <w:rPr>
                      <w:rFonts w:ascii="Times New Roman" w:hAnsi="Times New Roman" w:eastAsia="宋体" w:cs="Times New Roman"/>
                      <w:bCs/>
                      <w:snapToGrid w:val="0"/>
                      <w:color w:val="000000" w:themeColor="text1"/>
                      <w:kern w:val="32"/>
                      <w:vertAlign w:val="subscript"/>
                      <w:lang w:val="zh-CN"/>
                    </w:rPr>
                    <w:t>2</w:t>
                  </w:r>
                </w:p>
              </w:tc>
              <w:tc>
                <w:tcPr>
                  <w:tcW w:w="2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10.36</w:t>
                  </w:r>
                </w:p>
              </w:tc>
            </w:tr>
            <w:tr>
              <w:tblPrEx>
                <w:tblCellMar>
                  <w:top w:w="0" w:type="dxa"/>
                  <w:left w:w="108" w:type="dxa"/>
                  <w:bottom w:w="0" w:type="dxa"/>
                  <w:right w:w="108" w:type="dxa"/>
                </w:tblCellMar>
              </w:tblPrEx>
              <w:tc>
                <w:tcPr>
                  <w:tcW w:w="1070"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w:t>
                  </w:r>
                </w:p>
              </w:tc>
              <w:tc>
                <w:tcPr>
                  <w:tcW w:w="20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216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57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NOx</w:t>
                  </w:r>
                </w:p>
              </w:tc>
              <w:tc>
                <w:tcPr>
                  <w:tcW w:w="2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11.62</w:t>
                  </w:r>
                </w:p>
              </w:tc>
            </w:tr>
            <w:tr>
              <w:tblPrEx>
                <w:tblCellMar>
                  <w:top w:w="0" w:type="dxa"/>
                  <w:left w:w="108" w:type="dxa"/>
                  <w:bottom w:w="0" w:type="dxa"/>
                  <w:right w:w="108" w:type="dxa"/>
                </w:tblCellMar>
              </w:tblPrEx>
              <w:tc>
                <w:tcPr>
                  <w:tcW w:w="1070"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w:t>
                  </w:r>
                </w:p>
              </w:tc>
              <w:tc>
                <w:tcPr>
                  <w:tcW w:w="20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216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57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氟化物</w:t>
                  </w:r>
                </w:p>
              </w:tc>
              <w:tc>
                <w:tcPr>
                  <w:tcW w:w="2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0.51</w:t>
                  </w:r>
                </w:p>
              </w:tc>
            </w:tr>
            <w:tr>
              <w:tc>
                <w:tcPr>
                  <w:tcW w:w="1070"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w:t>
                  </w:r>
                </w:p>
              </w:tc>
              <w:tc>
                <w:tcPr>
                  <w:tcW w:w="20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216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57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脱硫除尘固废</w:t>
                  </w:r>
                </w:p>
              </w:tc>
              <w:tc>
                <w:tcPr>
                  <w:tcW w:w="2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767.95</w:t>
                  </w:r>
                </w:p>
              </w:tc>
            </w:tr>
            <w:tr>
              <w:tblPrEx>
                <w:tblCellMar>
                  <w:top w:w="0" w:type="dxa"/>
                  <w:left w:w="108" w:type="dxa"/>
                  <w:bottom w:w="0" w:type="dxa"/>
                  <w:right w:w="108" w:type="dxa"/>
                </w:tblCellMar>
              </w:tblPrEx>
              <w:tc>
                <w:tcPr>
                  <w:tcW w:w="1070"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w:t>
                  </w:r>
                </w:p>
              </w:tc>
              <w:tc>
                <w:tcPr>
                  <w:tcW w:w="20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216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57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页岩砖</w:t>
                  </w:r>
                </w:p>
              </w:tc>
              <w:tc>
                <w:tcPr>
                  <w:tcW w:w="2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184100</w:t>
                  </w:r>
                </w:p>
              </w:tc>
            </w:tr>
            <w:tr>
              <w:tblPrEx>
                <w:tblCellMar>
                  <w:top w:w="0" w:type="dxa"/>
                  <w:left w:w="108" w:type="dxa"/>
                  <w:bottom w:w="0" w:type="dxa"/>
                  <w:right w:w="108" w:type="dxa"/>
                </w:tblCellMar>
              </w:tblPrEx>
              <w:tc>
                <w:tcPr>
                  <w:tcW w:w="1070"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11</w:t>
                  </w:r>
                </w:p>
              </w:tc>
              <w:tc>
                <w:tcPr>
                  <w:tcW w:w="20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合计</w:t>
                  </w:r>
                </w:p>
              </w:tc>
              <w:tc>
                <w:tcPr>
                  <w:tcW w:w="2168"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209867.66</w:t>
                  </w:r>
                </w:p>
              </w:tc>
              <w:tc>
                <w:tcPr>
                  <w:tcW w:w="157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合计</w:t>
                  </w:r>
                </w:p>
              </w:tc>
              <w:tc>
                <w:tcPr>
                  <w:tcW w:w="2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209867.66</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（2）物料平衡图</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根据项目生产工艺分析，本项目物料平衡如下</w:t>
            </w:r>
            <w:r>
              <w:rPr>
                <w:rFonts w:hint="eastAsia" w:ascii="Times New Roman" w:hAnsi="Times New Roman" w:cs="Times New Roman"/>
                <w:color w:val="000000" w:themeColor="text1"/>
                <w:sz w:val="24"/>
                <w:szCs w:val="24"/>
              </w:rPr>
              <w:t>图</w:t>
            </w:r>
            <w:r>
              <w:rPr>
                <w:rFonts w:ascii="Times New Roman" w:hAnsi="Times New Roman" w:cs="Times New Roman"/>
                <w:color w:val="000000" w:themeColor="text1"/>
                <w:sz w:val="24"/>
                <w:szCs w:val="24"/>
              </w:rPr>
              <w:t>所示。</w:t>
            </w:r>
          </w:p>
          <w:p>
            <w:pPr>
              <w:jc w:val="center"/>
              <w:rPr>
                <w:rFonts w:ascii="Times New Roman" w:cs="Times New Roman"/>
                <w:b/>
                <w:color w:val="000000" w:themeColor="text1"/>
                <w:szCs w:val="24"/>
              </w:rPr>
            </w:pPr>
            <w:r>
              <w:object>
                <v:shape id="_x0000_i1025" o:spt="75" type="#_x0000_t75" style="height:393.6pt;width:430.2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r>
              <w:rPr>
                <w:rFonts w:ascii="Times New Roman" w:cs="Times New Roman"/>
                <w:b/>
                <w:color w:val="000000" w:themeColor="text1"/>
                <w:szCs w:val="24"/>
              </w:rPr>
              <w:t>图2.8.</w:t>
            </w:r>
            <w:r>
              <w:rPr>
                <w:rFonts w:hint="eastAsia" w:ascii="Times New Roman" w:cs="Times New Roman"/>
                <w:b/>
                <w:color w:val="000000" w:themeColor="text1"/>
                <w:szCs w:val="24"/>
              </w:rPr>
              <w:t>1</w:t>
            </w:r>
            <w:r>
              <w:rPr>
                <w:rFonts w:ascii="Times New Roman" w:cs="Times New Roman"/>
                <w:b/>
                <w:color w:val="000000" w:themeColor="text1"/>
                <w:szCs w:val="24"/>
              </w:rPr>
              <w:t>-1 本项目物料平衡图</w:t>
            </w:r>
            <w:r>
              <w:rPr>
                <w:rFonts w:hint="eastAsia" w:ascii="Times New Roman" w:cs="Times New Roman"/>
                <w:b/>
                <w:color w:val="000000" w:themeColor="text1"/>
                <w:szCs w:val="24"/>
              </w:rPr>
              <w:t xml:space="preserve"> t/a</w:t>
            </w:r>
          </w:p>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2.8.2  硫平衡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根据项目生产工艺分析，本项目</w:t>
            </w:r>
            <w:r>
              <w:rPr>
                <w:rFonts w:hint="eastAsia" w:ascii="Times New Roman" w:hAnsi="Times New Roman" w:cs="Times New Roman"/>
                <w:color w:val="000000" w:themeColor="text1"/>
                <w:sz w:val="24"/>
                <w:szCs w:val="24"/>
              </w:rPr>
              <w:t>硫</w:t>
            </w:r>
            <w:r>
              <w:rPr>
                <w:rFonts w:ascii="Times New Roman" w:hAnsi="Times New Roman" w:cs="Times New Roman"/>
                <w:color w:val="000000" w:themeColor="text1"/>
                <w:sz w:val="24"/>
                <w:szCs w:val="24"/>
              </w:rPr>
              <w:t>平衡如下</w:t>
            </w:r>
            <w:r>
              <w:rPr>
                <w:rFonts w:hint="eastAsia" w:ascii="Times New Roman" w:hAnsi="Times New Roman" w:cs="Times New Roman"/>
                <w:color w:val="000000" w:themeColor="text1"/>
                <w:sz w:val="24"/>
                <w:szCs w:val="24"/>
              </w:rPr>
              <w:t>图</w:t>
            </w:r>
            <w:r>
              <w:rPr>
                <w:rFonts w:ascii="Times New Roman" w:hAnsi="Times New Roman" w:cs="Times New Roman"/>
                <w:color w:val="000000" w:themeColor="text1"/>
                <w:sz w:val="24"/>
                <w:szCs w:val="24"/>
              </w:rPr>
              <w:t>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cs="Times New Roman"/>
                <w:b/>
                <w:color w:val="000000" w:themeColor="text1"/>
                <w:szCs w:val="24"/>
              </w:rPr>
            </w:pPr>
            <w:r>
              <w:rPr>
                <w:color w:val="000000" w:themeColor="text1"/>
              </w:rPr>
              <w:object>
                <v:shape id="_x0000_i1026" o:spt="75" type="#_x0000_t75" style="height:160.8pt;width:345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cs="Times New Roman"/>
                <w:b/>
                <w:color w:val="000000" w:themeColor="text1"/>
                <w:szCs w:val="24"/>
              </w:rPr>
            </w:pPr>
            <w:r>
              <w:rPr>
                <w:rFonts w:ascii="Times New Roman" w:cs="Times New Roman"/>
                <w:b/>
                <w:color w:val="000000" w:themeColor="text1"/>
                <w:szCs w:val="24"/>
              </w:rPr>
              <w:t>图2.8.</w:t>
            </w:r>
            <w:r>
              <w:rPr>
                <w:rFonts w:hint="eastAsia" w:ascii="Times New Roman" w:cs="Times New Roman"/>
                <w:b/>
                <w:color w:val="000000" w:themeColor="text1"/>
                <w:szCs w:val="24"/>
              </w:rPr>
              <w:t>2</w:t>
            </w:r>
            <w:r>
              <w:rPr>
                <w:rFonts w:ascii="Times New Roman" w:cs="Times New Roman"/>
                <w:b/>
                <w:color w:val="000000" w:themeColor="text1"/>
                <w:szCs w:val="24"/>
              </w:rPr>
              <w:t>-1 本项目</w:t>
            </w:r>
            <w:r>
              <w:rPr>
                <w:rFonts w:hint="eastAsia" w:ascii="Times New Roman" w:cs="Times New Roman"/>
                <w:b/>
                <w:color w:val="000000" w:themeColor="text1"/>
                <w:szCs w:val="24"/>
              </w:rPr>
              <w:t>硫</w:t>
            </w:r>
            <w:r>
              <w:rPr>
                <w:rFonts w:ascii="Times New Roman" w:cs="Times New Roman"/>
                <w:b/>
                <w:color w:val="000000" w:themeColor="text1"/>
                <w:szCs w:val="24"/>
              </w:rPr>
              <w:t>平衡图</w:t>
            </w:r>
            <w:r>
              <w:rPr>
                <w:rFonts w:hint="eastAsia" w:ascii="Times New Roman" w:cs="Times New Roman"/>
                <w:b/>
                <w:color w:val="000000" w:themeColor="text1"/>
                <w:szCs w:val="24"/>
              </w:rPr>
              <w:t xml:space="preserve"> t/a</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2.8.3 水平衡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本项目用水环节包括洒水抑尘用水、生产用水、绿化用水、脱硫用水和生活用水，而废水产生类型包括脱硫废水、生活污水和初期雨水。</w:t>
            </w:r>
            <w:r>
              <w:rPr>
                <w:rFonts w:ascii="Times New Roman" w:hAnsi="Times New Roman" w:cs="Times New Roman"/>
                <w:color w:val="000000" w:themeColor="text1"/>
                <w:sz w:val="24"/>
                <w:szCs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①洒水抑尘用水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根据设计，项目拟分别配套设置页岩采装区域洒水抑尘设施、页岩堆场洒水抑尘设施、煤料堆场洒水抑尘设施以及雾炮机进行洒水抑尘，</w:t>
            </w:r>
            <w:r>
              <w:rPr>
                <w:rFonts w:ascii="Times New Roman" w:hAnsi="Times New Roman" w:cs="Times New Roman"/>
                <w:color w:val="000000" w:themeColor="text1"/>
                <w:sz w:val="24"/>
                <w:szCs w:val="24"/>
              </w:rPr>
              <w:t>洒水抑尘用水量视天气和堆存量等具体情况而定，预计约为</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00m³/a，其产生的废水全部蒸发，因此洒水抑尘不产生废水。</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②生产用水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根据项目生产工艺，项目生产用水环节主要是</w:t>
            </w:r>
            <w:r>
              <w:rPr>
                <w:rFonts w:hint="eastAsia" w:ascii="Times New Roman" w:hAnsi="Times New Roman" w:cs="Times New Roman"/>
                <w:color w:val="000000" w:themeColor="text1"/>
                <w:sz w:val="24"/>
                <w:szCs w:val="24"/>
              </w:rPr>
              <w:t>陈化和搅拌用水，根据设计</w:t>
            </w:r>
            <w:r>
              <w:rPr>
                <w:rFonts w:ascii="Times New Roman" w:hAnsi="Times New Roman" w:cs="Times New Roman"/>
                <w:color w:val="000000" w:themeColor="text1"/>
                <w:sz w:val="24"/>
                <w:szCs w:val="24"/>
              </w:rPr>
              <w:t>，项目原料用量合计为</w:t>
            </w:r>
            <w:r>
              <w:rPr>
                <w:rFonts w:hint="eastAsia" w:ascii="Times New Roman" w:hAnsi="Times New Roman" w:cs="Times New Roman"/>
                <w:color w:val="000000" w:themeColor="text1"/>
                <w:sz w:val="24"/>
                <w:szCs w:val="24"/>
              </w:rPr>
              <w:t>18.91</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原料含水率约为5%，陈化期含水率约为10%，则陈化工序添加水量约为0.998万</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（33.27</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d），搅拌工序需使原料含水率达到15%，则搅拌工序需添加水量为0.998万</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（33.27</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d），合计生产用水量为1.996万</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（66.54</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生产用水</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含物料带入的水分在干燥和焙烧环节全部蒸发，无废水产生。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③绿化用水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根据工程内容可知，项目</w:t>
            </w:r>
            <w:r>
              <w:rPr>
                <w:rFonts w:hint="eastAsia" w:ascii="Times New Roman" w:hAnsi="Times New Roman" w:cs="Times New Roman"/>
                <w:color w:val="000000" w:themeColor="text1"/>
                <w:sz w:val="24"/>
                <w:szCs w:val="24"/>
              </w:rPr>
              <w:t>拟设置</w:t>
            </w:r>
            <w:r>
              <w:rPr>
                <w:rFonts w:ascii="Times New Roman" w:hAnsi="Times New Roman" w:cs="Times New Roman"/>
                <w:color w:val="000000" w:themeColor="text1"/>
                <w:sz w:val="24"/>
                <w:szCs w:val="24"/>
              </w:rPr>
              <w:t>面积约为1</w:t>
            </w:r>
            <w:r>
              <w:rPr>
                <w:rFonts w:hint="eastAsia" w:ascii="Times New Roman" w:hAnsi="Times New Roman" w:cs="Times New Roman"/>
                <w:color w:val="000000" w:themeColor="text1"/>
                <w:sz w:val="24"/>
                <w:szCs w:val="24"/>
              </w:rPr>
              <w:t>500</w:t>
            </w:r>
            <w:r>
              <w:rPr>
                <w:rFonts w:ascii="Times New Roman" w:hAnsi="Times New Roman" w:cs="Times New Roman"/>
                <w:color w:val="000000" w:themeColor="text1"/>
                <w:sz w:val="24"/>
                <w:szCs w:val="24"/>
              </w:rPr>
              <w:t>m²绿化</w:t>
            </w:r>
            <w:r>
              <w:rPr>
                <w:rFonts w:hint="eastAsia" w:ascii="Times New Roman" w:hAnsi="Times New Roman" w:cs="Times New Roman"/>
                <w:color w:val="000000" w:themeColor="text1"/>
                <w:sz w:val="24"/>
                <w:szCs w:val="24"/>
              </w:rPr>
              <w:t>区</w:t>
            </w:r>
            <w:r>
              <w:rPr>
                <w:rFonts w:ascii="Times New Roman" w:hAnsi="Times New Roman" w:cs="Times New Roman"/>
                <w:color w:val="000000" w:themeColor="text1"/>
                <w:sz w:val="24"/>
                <w:szCs w:val="24"/>
              </w:rPr>
              <w:t>；根据《云南省地方标准用水定额》（DB53/T168-2019），绿化用水定额约为3L/（m²·次），则绿化用水量约为</w:t>
            </w:r>
            <w:r>
              <w:rPr>
                <w:rFonts w:hint="eastAsia" w:ascii="Times New Roman" w:hAnsi="Times New Roman" w:cs="Times New Roman"/>
                <w:color w:val="000000" w:themeColor="text1"/>
                <w:sz w:val="24"/>
                <w:szCs w:val="24"/>
              </w:rPr>
              <w:t>4.5</w:t>
            </w:r>
            <w:r>
              <w:rPr>
                <w:rFonts w:ascii="Times New Roman" w:hAnsi="Times New Roman" w:cs="Times New Roman"/>
                <w:color w:val="000000" w:themeColor="text1"/>
                <w:sz w:val="24"/>
                <w:szCs w:val="24"/>
              </w:rPr>
              <w:t>m³/次，其中雨天不浇灌，非雨天1天1次，项目区域非雨天以255d计，则绿化用水量为（</w:t>
            </w:r>
            <w:r>
              <w:rPr>
                <w:rFonts w:hint="eastAsia" w:ascii="Times New Roman" w:hAnsi="Times New Roman" w:cs="Times New Roman"/>
                <w:color w:val="000000" w:themeColor="text1"/>
                <w:sz w:val="24"/>
                <w:szCs w:val="24"/>
              </w:rPr>
              <w:t>4.5</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1147.5</w:t>
            </w:r>
            <w:r>
              <w:rPr>
                <w:rFonts w:ascii="Times New Roman" w:hAnsi="Times New Roman" w:cs="Times New Roman"/>
                <w:color w:val="000000" w:themeColor="text1"/>
                <w:sz w:val="24"/>
                <w:szCs w:val="24"/>
              </w:rPr>
              <w:t>m³/a。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④脱硫废水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根据脱硫除尘系统的设计，该脱硫除尘系统配套设置的水池有效容积约为100m³，脱硫除尘系统用水量约为</w:t>
            </w:r>
            <w:r>
              <w:rPr>
                <w:rFonts w:hint="eastAsia"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0m³</w:t>
            </w:r>
            <w:r>
              <w:rPr>
                <w:rFonts w:hint="eastAsia"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，脱硫除尘系统内的水循环使用，其中部分随脱硫除尘固废带走，部分自然蒸发；</w:t>
            </w:r>
            <w:r>
              <w:rPr>
                <w:rFonts w:hint="eastAsia" w:ascii="Times New Roman" w:hAnsi="Times New Roman" w:cs="Times New Roman"/>
                <w:color w:val="000000" w:themeColor="text1"/>
                <w:sz w:val="24"/>
                <w:szCs w:val="24"/>
              </w:rPr>
              <w:t>脱硫除尘固废产生量为2.56t/d（含水率为70%），则其带走水分为1.8</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自然蒸发和损失的量约为</w:t>
            </w:r>
            <w:r>
              <w:rPr>
                <w:rFonts w:hint="eastAsia"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m³/d，合计损耗水量约为</w:t>
            </w:r>
            <w:r>
              <w:rPr>
                <w:rFonts w:hint="eastAsia" w:ascii="Times New Roman" w:hAnsi="Times New Roman" w:cs="Times New Roman"/>
                <w:color w:val="000000" w:themeColor="text1"/>
                <w:sz w:val="24"/>
                <w:szCs w:val="24"/>
              </w:rPr>
              <w:t>2.3</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690</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，又由于砖坯中的水分主要在</w:t>
            </w:r>
            <w:r>
              <w:rPr>
                <w:rFonts w:ascii="Times New Roman" w:hAnsi="Times New Roman" w:cs="Times New Roman"/>
                <w:color w:val="000000" w:themeColor="text1"/>
                <w:sz w:val="24"/>
                <w:szCs w:val="24"/>
              </w:rPr>
              <w:t>干燥和焙烧环节蒸发</w:t>
            </w:r>
            <w:r>
              <w:rPr>
                <w:rFonts w:hint="eastAsia" w:ascii="Times New Roman" w:hAnsi="Times New Roman" w:cs="Times New Roman"/>
                <w:color w:val="000000" w:themeColor="text1"/>
                <w:sz w:val="24"/>
                <w:szCs w:val="24"/>
              </w:rPr>
              <w:t>，因此部分蒸发的水蒸气随烟气进入了脱硫系统内，</w:t>
            </w:r>
            <w:r>
              <w:rPr>
                <w:rFonts w:ascii="Times New Roman" w:hAnsi="Times New Roman" w:cs="Times New Roman"/>
                <w:color w:val="000000" w:themeColor="text1"/>
                <w:sz w:val="24"/>
                <w:szCs w:val="24"/>
              </w:rPr>
              <w:t>根据脱硫除尘系统的设计分析</w:t>
            </w:r>
            <w:r>
              <w:rPr>
                <w:rFonts w:hint="eastAsia" w:ascii="Times New Roman" w:hAnsi="Times New Roman" w:cs="Times New Roman"/>
                <w:color w:val="000000" w:themeColor="text1"/>
                <w:sz w:val="24"/>
                <w:szCs w:val="24"/>
              </w:rPr>
              <w:t>，进入脱硫系统的烟气含水量约为5.5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d，则脱硫系统富余水量约为3.2</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；为保证脱硫除尘系统烟气处理效率，项目需定期将脱硫系统内的水约为20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/d（6000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/a）排出系统，排出系统的水即为脱硫废水，则脱硫废水产生量按20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/d计，其污染因子主要为SS和pH，其中SS</w:t>
            </w:r>
            <w:r>
              <w:rPr>
                <w:rFonts w:hint="eastAsia" w:ascii="Times New Roman" w:hAnsi="Times New Roman" w:cs="Times New Roman"/>
                <w:color w:val="000000" w:themeColor="text1"/>
                <w:sz w:val="24"/>
              </w:rPr>
              <w:t>产生浓度约450mg/L、</w:t>
            </w:r>
            <w:r>
              <w:rPr>
                <w:rFonts w:hint="eastAsia" w:ascii="Times New Roman" w:hAnsi="Times New Roman" w:cs="Times New Roman"/>
                <w:color w:val="000000" w:themeColor="text1"/>
                <w:sz w:val="24"/>
                <w:szCs w:val="24"/>
              </w:rPr>
              <w:t>pH：4-5.5。</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⑤生活污水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根据项目特点，</w:t>
            </w:r>
            <w:r>
              <w:rPr>
                <w:rFonts w:hint="eastAsia" w:ascii="Times New Roman" w:hAnsi="Times New Roman" w:cs="Times New Roman"/>
                <w:color w:val="000000" w:themeColor="text1"/>
                <w:sz w:val="24"/>
              </w:rPr>
              <w:t>本项目拟设置员工20人，均在</w:t>
            </w:r>
            <w:r>
              <w:rPr>
                <w:rFonts w:ascii="Times New Roman" w:hAnsi="Times New Roman" w:cs="Times New Roman"/>
                <w:color w:val="000000" w:themeColor="text1"/>
                <w:sz w:val="24"/>
              </w:rPr>
              <w:t>厂区吃饭，但住宿人数约为</w:t>
            </w:r>
            <w:r>
              <w:rPr>
                <w:rFonts w:hint="eastAsia" w:ascii="Times New Roman" w:hAnsi="Times New Roman" w:cs="Times New Roman"/>
                <w:color w:val="000000" w:themeColor="text1"/>
                <w:sz w:val="24"/>
              </w:rPr>
              <w:t>10</w:t>
            </w:r>
            <w:r>
              <w:rPr>
                <w:rFonts w:ascii="Times New Roman" w:hAnsi="Times New Roman" w:cs="Times New Roman"/>
                <w:color w:val="000000" w:themeColor="text1"/>
                <w:sz w:val="24"/>
              </w:rPr>
              <w:t>人，其余</w:t>
            </w:r>
            <w:r>
              <w:rPr>
                <w:rFonts w:hint="eastAsia" w:ascii="Times New Roman" w:hAnsi="Times New Roman" w:cs="Times New Roman"/>
                <w:color w:val="000000" w:themeColor="text1"/>
                <w:sz w:val="24"/>
              </w:rPr>
              <w:t>10</w:t>
            </w:r>
            <w:r>
              <w:rPr>
                <w:rFonts w:ascii="Times New Roman" w:hAnsi="Times New Roman" w:cs="Times New Roman"/>
                <w:color w:val="000000" w:themeColor="text1"/>
                <w:sz w:val="24"/>
              </w:rPr>
              <w:t>人回家住宿。根据《云南省地方标准用水定额》（DB53/T168-2019），在项目食宿员工用水量取100L/d·人，不在项目区住宿的员工用水量取60L/d·人，则生活用水量</w:t>
            </w:r>
            <w:r>
              <w:rPr>
                <w:rFonts w:hint="eastAsia" w:ascii="Times New Roman" w:hAnsi="Times New Roman" w:cs="Times New Roman"/>
                <w:color w:val="000000" w:themeColor="text1"/>
                <w:sz w:val="24"/>
              </w:rPr>
              <w:t>1.6</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480</w:t>
            </w:r>
            <w:r>
              <w:rPr>
                <w:rFonts w:ascii="Times New Roman" w:hAnsi="Times New Roman" w:cs="Times New Roman"/>
                <w:color w:val="000000" w:themeColor="text1"/>
                <w:sz w:val="24"/>
              </w:rPr>
              <w:t>m³/a；废水率按80%计，则废水量为</w:t>
            </w:r>
            <w:r>
              <w:rPr>
                <w:rFonts w:hint="eastAsia" w:ascii="Times New Roman" w:hAnsi="Times New Roman" w:cs="Times New Roman"/>
                <w:color w:val="000000" w:themeColor="text1"/>
                <w:sz w:val="24"/>
              </w:rPr>
              <w:t>1.28</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384</w:t>
            </w:r>
            <w:r>
              <w:rPr>
                <w:rFonts w:ascii="Times New Roman" w:hAnsi="Times New Roman" w:cs="Times New Roman"/>
                <w:color w:val="000000" w:themeColor="text1"/>
                <w:sz w:val="24"/>
              </w:rPr>
              <w:t>m³/a；其中食堂废水约为则废水量为</w:t>
            </w:r>
            <w:r>
              <w:rPr>
                <w:rFonts w:hint="eastAsia" w:ascii="Times New Roman" w:hAnsi="Times New Roman" w:cs="Times New Roman"/>
                <w:color w:val="000000" w:themeColor="text1"/>
                <w:sz w:val="24"/>
              </w:rPr>
              <w:t>0.64</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211.2</w:t>
            </w:r>
            <w:r>
              <w:rPr>
                <w:rFonts w:ascii="Times New Roman" w:hAnsi="Times New Roman" w:cs="Times New Roman"/>
                <w:color w:val="000000" w:themeColor="text1"/>
                <w:sz w:val="24"/>
              </w:rPr>
              <w:t>m³/a；根据类比调查，生活污水水质如下表所示。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w:t>
            </w:r>
            <w:r>
              <w:rPr>
                <w:rFonts w:hint="eastAsia" w:ascii="Times New Roman" w:hAnsi="Times New Roman" w:cs="Times New Roman"/>
                <w:b/>
                <w:bCs/>
                <w:color w:val="000000" w:themeColor="text1"/>
                <w:kern w:val="0"/>
              </w:rPr>
              <w:t>1</w:t>
            </w:r>
            <w:r>
              <w:rPr>
                <w:rFonts w:ascii="Times New Roman" w:hAnsi="Times New Roman" w:cs="Times New Roman"/>
                <w:b/>
                <w:bCs/>
                <w:color w:val="000000" w:themeColor="text1"/>
                <w:kern w:val="0"/>
              </w:rPr>
              <w:t xml:space="preserve"> 生活污水水质指标一览表</w:t>
            </w:r>
            <w:r>
              <w:rPr>
                <w:rFonts w:hint="eastAsia" w:ascii="Times New Roman" w:hAnsi="Times New Roman" w:cs="Times New Roman"/>
                <w:b/>
                <w:bCs/>
                <w:color w:val="000000" w:themeColor="text1"/>
                <w:kern w:val="0"/>
              </w:rPr>
              <w:t xml:space="preserve"> </w:t>
            </w:r>
            <w:r>
              <w:rPr>
                <w:rFonts w:ascii="Times New Roman" w:hAnsi="Times New Roman" w:cs="Times New Roman"/>
                <w:b/>
                <w:bCs/>
                <w:color w:val="000000" w:themeColor="text1"/>
                <w:kern w:val="0"/>
              </w:rPr>
              <w:t>mg/L</w:t>
            </w:r>
          </w:p>
          <w:tbl>
            <w:tblPr>
              <w:tblStyle w:val="20"/>
              <w:tblW w:w="5000" w:type="pct"/>
              <w:jc w:val="center"/>
              <w:tblLayout w:type="fixed"/>
              <w:tblCellMar>
                <w:top w:w="0" w:type="dxa"/>
                <w:left w:w="108" w:type="dxa"/>
                <w:bottom w:w="0" w:type="dxa"/>
                <w:right w:w="108" w:type="dxa"/>
              </w:tblCellMar>
            </w:tblPr>
            <w:tblGrid>
              <w:gridCol w:w="734"/>
              <w:gridCol w:w="769"/>
              <w:gridCol w:w="841"/>
              <w:gridCol w:w="799"/>
              <w:gridCol w:w="630"/>
              <w:gridCol w:w="812"/>
              <w:gridCol w:w="584"/>
              <w:gridCol w:w="523"/>
              <w:gridCol w:w="797"/>
              <w:gridCol w:w="920"/>
              <w:gridCol w:w="1204"/>
            </w:tblGrid>
            <w:tr>
              <w:trPr>
                <w:trHeight w:val="285" w:hRule="atLeast"/>
                <w:jc w:val="center"/>
              </w:trPr>
              <w:tc>
                <w:tcPr>
                  <w:tcW w:w="733" w:type="dxa"/>
                  <w:tcBorders>
                    <w:top w:val="single" w:color="auto" w:sz="4"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hAnsiTheme="minorEastAsia" w:eastAsiaTheme="minorEastAsia"/>
                      <w:color w:val="000000" w:themeColor="text1"/>
                      <w:szCs w:val="21"/>
                    </w:rPr>
                    <w:t>污染物</w:t>
                  </w:r>
                </w:p>
              </w:tc>
              <w:tc>
                <w:tcPr>
                  <w:tcW w:w="768"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pH</w:t>
                  </w:r>
                </w:p>
              </w:tc>
              <w:tc>
                <w:tcPr>
                  <w:tcW w:w="840"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CODcr</w:t>
                  </w:r>
                </w:p>
              </w:tc>
              <w:tc>
                <w:tcPr>
                  <w:tcW w:w="798"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BOD</w:t>
                  </w:r>
                  <w:r>
                    <w:rPr>
                      <w:rFonts w:eastAsiaTheme="minorEastAsia"/>
                      <w:color w:val="000000" w:themeColor="text1"/>
                      <w:szCs w:val="21"/>
                      <w:vertAlign w:val="subscript"/>
                      <w:lang w:val="en-US"/>
                    </w:rPr>
                    <w:t>5</w:t>
                  </w:r>
                </w:p>
              </w:tc>
              <w:tc>
                <w:tcPr>
                  <w:tcW w:w="629"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SS</w:t>
                  </w:r>
                </w:p>
              </w:tc>
              <w:tc>
                <w:tcPr>
                  <w:tcW w:w="811"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NH</w:t>
                  </w:r>
                  <w:r>
                    <w:rPr>
                      <w:rFonts w:eastAsiaTheme="minorEastAsia"/>
                      <w:color w:val="000000" w:themeColor="text1"/>
                      <w:szCs w:val="21"/>
                      <w:vertAlign w:val="subscript"/>
                      <w:lang w:val="en-US"/>
                    </w:rPr>
                    <w:t>3</w:t>
                  </w:r>
                  <w:r>
                    <w:rPr>
                      <w:rFonts w:eastAsiaTheme="minorEastAsia"/>
                      <w:color w:val="000000" w:themeColor="text1"/>
                      <w:szCs w:val="21"/>
                      <w:lang w:val="en-US"/>
                    </w:rPr>
                    <w:t>-N</w:t>
                  </w:r>
                </w:p>
              </w:tc>
              <w:tc>
                <w:tcPr>
                  <w:tcW w:w="583"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TN</w:t>
                  </w:r>
                </w:p>
              </w:tc>
              <w:tc>
                <w:tcPr>
                  <w:tcW w:w="522"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TP</w:t>
                  </w:r>
                </w:p>
              </w:tc>
              <w:tc>
                <w:tcPr>
                  <w:tcW w:w="796" w:type="dxa"/>
                  <w:tcBorders>
                    <w:top w:val="single" w:color="auto" w:sz="4"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rPr>
                    <w:t>动植物油</w:t>
                  </w:r>
                </w:p>
              </w:tc>
              <w:tc>
                <w:tcPr>
                  <w:tcW w:w="918" w:type="dxa"/>
                  <w:tcBorders>
                    <w:top w:val="single" w:color="auto" w:sz="4"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rPr>
                    <w:t>阴离子表面活性剂</w:t>
                  </w:r>
                </w:p>
              </w:tc>
              <w:tc>
                <w:tcPr>
                  <w:tcW w:w="1202" w:type="dxa"/>
                  <w:tcBorders>
                    <w:top w:val="single" w:color="auto" w:sz="4"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CellMar>
                  <w:top w:w="0" w:type="dxa"/>
                  <w:left w:w="108" w:type="dxa"/>
                  <w:bottom w:w="0" w:type="dxa"/>
                  <w:right w:w="108" w:type="dxa"/>
                </w:tblCellMar>
              </w:tblPrEx>
              <w:trPr>
                <w:trHeight w:val="300" w:hRule="atLeast"/>
                <w:jc w:val="center"/>
              </w:trPr>
              <w:tc>
                <w:tcPr>
                  <w:tcW w:w="733" w:type="dxa"/>
                  <w:tcBorders>
                    <w:top w:val="nil"/>
                    <w:left w:val="single" w:color="auto" w:sz="8" w:space="0"/>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76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840"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350</w:t>
                  </w:r>
                </w:p>
              </w:tc>
              <w:tc>
                <w:tcPr>
                  <w:tcW w:w="79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220</w:t>
                  </w:r>
                </w:p>
              </w:tc>
              <w:tc>
                <w:tcPr>
                  <w:tcW w:w="629"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300</w:t>
                  </w:r>
                </w:p>
              </w:tc>
              <w:tc>
                <w:tcPr>
                  <w:tcW w:w="81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38</w:t>
                  </w:r>
                </w:p>
              </w:tc>
              <w:tc>
                <w:tcPr>
                  <w:tcW w:w="583"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45</w:t>
                  </w:r>
                </w:p>
              </w:tc>
              <w:tc>
                <w:tcPr>
                  <w:tcW w:w="522"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796"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100</w:t>
                  </w:r>
                </w:p>
              </w:tc>
              <w:tc>
                <w:tcPr>
                  <w:tcW w:w="91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202"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⑥初期雨水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rPr>
              <w:t>项目区初期雨水产生量按下述公式进行计算：</w:t>
            </w:r>
          </w:p>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Qm=F·Hm·Ψ÷1000</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式中：Qm：最大径流量（m³）；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F：汇水面积（m²）；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Hm：降雨量（mm）；</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Ψ：径流系数，取0.6；</w:t>
            </w:r>
          </w:p>
          <w:p>
            <w:pPr>
              <w:autoSpaceDE w:val="0"/>
              <w:autoSpaceDN w:val="0"/>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汇水面积取雨水直接落到地面上的占地面积，</w:t>
            </w:r>
            <w:r>
              <w:rPr>
                <w:rFonts w:hint="eastAsia" w:ascii="Times New Roman" w:hAnsi="Times New Roman" w:cs="Times New Roman"/>
                <w:color w:val="000000" w:themeColor="text1"/>
                <w:sz w:val="24"/>
              </w:rPr>
              <w:t>本项目占地为</w:t>
            </w:r>
            <w:r>
              <w:rPr>
                <w:rFonts w:ascii="Times New Roman" w:hAnsi="Times New Roman" w:cs="Times New Roman"/>
                <w:color w:val="000000" w:themeColor="text1"/>
                <w:sz w:val="24"/>
              </w:rPr>
              <w:t>10300m²</w:t>
            </w:r>
            <w:r>
              <w:rPr>
                <w:rFonts w:hint="eastAsia" w:ascii="Times New Roman" w:hAnsi="Times New Roman" w:cs="Times New Roman"/>
                <w:color w:val="000000" w:themeColor="text1"/>
                <w:sz w:val="24"/>
              </w:rPr>
              <w:t>（15.45亩），</w:t>
            </w:r>
            <w:r>
              <w:rPr>
                <w:rFonts w:ascii="Times New Roman" w:hAnsi="Times New Roman" w:cs="Times New Roman"/>
                <w:color w:val="000000" w:themeColor="text1"/>
                <w:sz w:val="24"/>
              </w:rPr>
              <w:t>生产区域可能受污染区的占地面积约</w:t>
            </w:r>
            <w:r>
              <w:rPr>
                <w:rFonts w:hint="eastAsia" w:ascii="Times New Roman" w:hAnsi="Times New Roman" w:cs="Times New Roman"/>
                <w:color w:val="000000" w:themeColor="text1"/>
                <w:sz w:val="24"/>
              </w:rPr>
              <w:t>6</w:t>
            </w:r>
            <w:r>
              <w:rPr>
                <w:rFonts w:ascii="Times New Roman" w:hAnsi="Times New Roman" w:cs="Times New Roman"/>
                <w:color w:val="000000" w:themeColor="text1"/>
                <w:sz w:val="24"/>
              </w:rPr>
              <w:t>000m²，考虑到项目区场地的硬化程度，径流系数取0.6。该区30年一遇最大日降雨量153.3mm，经计算项目区最大日雨水量为</w:t>
            </w:r>
            <w:r>
              <w:rPr>
                <w:rFonts w:hint="eastAsia" w:ascii="Times New Roman" w:hAnsi="Times New Roman" w:cs="Times New Roman"/>
                <w:color w:val="000000" w:themeColor="text1"/>
                <w:sz w:val="24"/>
              </w:rPr>
              <w:t>551.88</w:t>
            </w:r>
            <w:r>
              <w:rPr>
                <w:rFonts w:ascii="Times New Roman" w:hAnsi="Times New Roman" w:cs="Times New Roman"/>
                <w:color w:val="000000" w:themeColor="text1"/>
                <w:sz w:val="24"/>
              </w:rPr>
              <w:t>m³，初期雨水主要产生于暴雨前2h，经计算，项目初期雨水产生量约为</w:t>
            </w:r>
            <w:r>
              <w:rPr>
                <w:rFonts w:hint="eastAsia" w:ascii="Times New Roman" w:hAnsi="Times New Roman" w:cs="Times New Roman"/>
                <w:color w:val="000000" w:themeColor="text1"/>
                <w:sz w:val="24"/>
              </w:rPr>
              <w:t>45.99</w:t>
            </w:r>
            <w:r>
              <w:rPr>
                <w:rFonts w:ascii="Times New Roman" w:hAnsi="Times New Roman" w:cs="Times New Roman"/>
                <w:color w:val="000000" w:themeColor="text1"/>
                <w:sz w:val="24"/>
              </w:rPr>
              <w:t>m³/次</w:t>
            </w:r>
            <w:r>
              <w:rPr>
                <w:rFonts w:hint="eastAsia" w:ascii="Times New Roman" w:hAnsi="Times New Roman" w:cs="Times New Roman"/>
                <w:color w:val="000000" w:themeColor="text1"/>
                <w:sz w:val="24"/>
              </w:rPr>
              <w:t>，初期雨水的主要污染物为CODcr和SS，CODcr产生浓度约60mg/L、SS产生浓度约400mg/L。</w:t>
            </w:r>
          </w:p>
          <w:p>
            <w:pPr>
              <w:autoSpaceDE w:val="0"/>
              <w:autoSpaceDN w:val="0"/>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综上，</w:t>
            </w:r>
            <w:r>
              <w:rPr>
                <w:rFonts w:ascii="Times New Roman" w:hAnsi="Times New Roman" w:cs="Times New Roman"/>
                <w:color w:val="000000" w:themeColor="text1"/>
                <w:sz w:val="24"/>
              </w:rPr>
              <w:t>项目供排水统计情况详见下表。</w:t>
            </w:r>
          </w:p>
          <w:p>
            <w:pPr>
              <w:jc w:val="center"/>
              <w:rPr>
                <w:rFonts w:ascii="Times New Roman" w:cs="Times New Roman"/>
                <w:b/>
                <w:color w:val="000000" w:themeColor="text1"/>
                <w:szCs w:val="24"/>
              </w:rPr>
            </w:pPr>
            <w:r>
              <w:rPr>
                <w:rFonts w:ascii="Times New Roman" w:cs="Times New Roman"/>
                <w:b/>
                <w:color w:val="000000" w:themeColor="text1"/>
                <w:szCs w:val="24"/>
              </w:rPr>
              <w:t>表</w:t>
            </w:r>
            <w:r>
              <w:rPr>
                <w:rFonts w:hint="eastAsia" w:ascii="Times New Roman" w:cs="Times New Roman"/>
                <w:b/>
                <w:color w:val="000000" w:themeColor="text1"/>
                <w:szCs w:val="24"/>
              </w:rPr>
              <w:t>2.8.3-1</w:t>
            </w:r>
            <w:r>
              <w:rPr>
                <w:rFonts w:ascii="Times New Roman" w:cs="Times New Roman"/>
                <w:b/>
                <w:color w:val="000000" w:themeColor="text1"/>
                <w:szCs w:val="24"/>
              </w:rPr>
              <w:t xml:space="preserve"> 项目废水总产排情况一览表（单位：m³/d）</w:t>
            </w:r>
          </w:p>
          <w:tbl>
            <w:tblPr>
              <w:tblStyle w:val="20"/>
              <w:tblW w:w="5000" w:type="pct"/>
              <w:tblInd w:w="0" w:type="dxa"/>
              <w:tblLayout w:type="fixed"/>
              <w:tblCellMar>
                <w:top w:w="0" w:type="dxa"/>
                <w:left w:w="108" w:type="dxa"/>
                <w:bottom w:w="0" w:type="dxa"/>
                <w:right w:w="108" w:type="dxa"/>
              </w:tblCellMar>
            </w:tblPr>
            <w:tblGrid>
              <w:gridCol w:w="1291"/>
              <w:gridCol w:w="1789"/>
              <w:gridCol w:w="1513"/>
              <w:gridCol w:w="1061"/>
              <w:gridCol w:w="984"/>
              <w:gridCol w:w="1063"/>
              <w:gridCol w:w="913"/>
            </w:tblGrid>
            <w:tr>
              <w:tblPrEx>
                <w:tblCellMar>
                  <w:top w:w="0" w:type="dxa"/>
                  <w:left w:w="108" w:type="dxa"/>
                  <w:bottom w:w="0" w:type="dxa"/>
                  <w:right w:w="108" w:type="dxa"/>
                </w:tblCellMar>
              </w:tblPrEx>
              <w:trPr>
                <w:trHeight w:val="125" w:hRule="atLeast"/>
              </w:trPr>
              <w:tc>
                <w:tcPr>
                  <w:tcW w:w="135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用水单元</w:t>
                  </w:r>
                </w:p>
              </w:tc>
              <w:tc>
                <w:tcPr>
                  <w:tcW w:w="188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规模</w:t>
                  </w:r>
                </w:p>
              </w:tc>
              <w:tc>
                <w:tcPr>
                  <w:tcW w:w="159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用水定额</w:t>
                  </w:r>
                </w:p>
              </w:tc>
              <w:tc>
                <w:tcPr>
                  <w:tcW w:w="2140"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kern w:val="0"/>
                    </w:rPr>
                  </w:pPr>
                  <w:r>
                    <w:rPr>
                      <w:color w:val="000000" w:themeColor="text1"/>
                      <w:kern w:val="0"/>
                    </w:rPr>
                    <w:t>总用水量</w:t>
                  </w:r>
                </w:p>
              </w:tc>
              <w:tc>
                <w:tcPr>
                  <w:tcW w:w="2067"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kern w:val="0"/>
                    </w:rPr>
                  </w:pPr>
                  <w:r>
                    <w:rPr>
                      <w:color w:val="000000" w:themeColor="text1"/>
                      <w:kern w:val="0"/>
                    </w:rPr>
                    <w:t>废水量</w:t>
                  </w:r>
                </w:p>
              </w:tc>
            </w:tr>
            <w:tr>
              <w:tblPrEx>
                <w:tblCellMar>
                  <w:top w:w="0" w:type="dxa"/>
                  <w:left w:w="108" w:type="dxa"/>
                  <w:bottom w:w="0" w:type="dxa"/>
                  <w:right w:w="108" w:type="dxa"/>
                </w:tblCellMar>
              </w:tblPrEx>
              <w:trPr>
                <w:trHeight w:val="201" w:hRule="atLeast"/>
              </w:trPr>
              <w:tc>
                <w:tcPr>
                  <w:tcW w:w="135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p>
              </w:tc>
              <w:tc>
                <w:tcPr>
                  <w:tcW w:w="1883"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p>
              </w:tc>
              <w:tc>
                <w:tcPr>
                  <w:tcW w:w="1590"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p>
              </w:tc>
              <w:tc>
                <w:tcPr>
                  <w:tcW w:w="111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m³/d</w:t>
                  </w:r>
                </w:p>
              </w:tc>
              <w:tc>
                <w:tcPr>
                  <w:tcW w:w="102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m³/a</w:t>
                  </w:r>
                </w:p>
              </w:tc>
              <w:tc>
                <w:tcPr>
                  <w:tcW w:w="111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m³/d</w:t>
                  </w:r>
                </w:p>
              </w:tc>
              <w:tc>
                <w:tcPr>
                  <w:tcW w:w="95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m³/a</w:t>
                  </w:r>
                </w:p>
              </w:tc>
            </w:tr>
            <w:tr>
              <w:tblPrEx>
                <w:tblCellMar>
                  <w:top w:w="0" w:type="dxa"/>
                  <w:left w:w="108" w:type="dxa"/>
                  <w:bottom w:w="0" w:type="dxa"/>
                  <w:right w:w="108" w:type="dxa"/>
                </w:tblCellMar>
              </w:tblPrEx>
              <w:trPr>
                <w:trHeight w:val="201" w:hRule="atLeast"/>
              </w:trPr>
              <w:tc>
                <w:tcPr>
                  <w:tcW w:w="135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洒水抑尘</w:t>
                  </w:r>
                </w:p>
              </w:tc>
              <w:tc>
                <w:tcPr>
                  <w:tcW w:w="1883"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159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111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3</w:t>
                  </w:r>
                </w:p>
              </w:tc>
              <w:tc>
                <w:tcPr>
                  <w:tcW w:w="102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900</w:t>
                  </w:r>
                </w:p>
              </w:tc>
              <w:tc>
                <w:tcPr>
                  <w:tcW w:w="111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c>
                <w:tcPr>
                  <w:tcW w:w="95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r>
            <w:tr>
              <w:tblPrEx>
                <w:tblCellMar>
                  <w:top w:w="0" w:type="dxa"/>
                  <w:left w:w="108" w:type="dxa"/>
                  <w:bottom w:w="0" w:type="dxa"/>
                  <w:right w:w="108" w:type="dxa"/>
                </w:tblCellMar>
              </w:tblPrEx>
              <w:trPr>
                <w:trHeight w:val="127" w:hRule="atLeast"/>
              </w:trPr>
              <w:tc>
                <w:tcPr>
                  <w:tcW w:w="1354"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生产用水</w:t>
                  </w:r>
                </w:p>
              </w:tc>
              <w:tc>
                <w:tcPr>
                  <w:tcW w:w="1883"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159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111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66.54</w:t>
                  </w:r>
                </w:p>
              </w:tc>
              <w:tc>
                <w:tcPr>
                  <w:tcW w:w="102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19960</w:t>
                  </w:r>
                </w:p>
              </w:tc>
              <w:tc>
                <w:tcPr>
                  <w:tcW w:w="111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c>
                <w:tcPr>
                  <w:tcW w:w="95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r>
            <w:tr>
              <w:tblPrEx>
                <w:tblCellMar>
                  <w:top w:w="0" w:type="dxa"/>
                  <w:left w:w="108" w:type="dxa"/>
                  <w:bottom w:w="0" w:type="dxa"/>
                  <w:right w:w="108" w:type="dxa"/>
                </w:tblCellMar>
              </w:tblPrEx>
              <w:trPr>
                <w:trHeight w:val="137" w:hRule="atLeast"/>
              </w:trPr>
              <w:tc>
                <w:tcPr>
                  <w:tcW w:w="1354" w:type="dxa"/>
                  <w:tcBorders>
                    <w:top w:val="single" w:color="auto" w:sz="4" w:space="0"/>
                    <w:left w:val="single" w:color="auto" w:sz="8" w:space="0"/>
                    <w:bottom w:val="single" w:color="auto" w:sz="4" w:space="0"/>
                    <w:right w:val="single" w:color="auto" w:sz="8" w:space="0"/>
                  </w:tcBorders>
                  <w:vAlign w:val="center"/>
                </w:tcPr>
                <w:p>
                  <w:pPr>
                    <w:pStyle w:val="32"/>
                    <w:spacing w:line="360" w:lineRule="exact"/>
                    <w:rPr>
                      <w:color w:val="000000" w:themeColor="text1"/>
                      <w:kern w:val="0"/>
                    </w:rPr>
                  </w:pPr>
                  <w:r>
                    <w:rPr>
                      <w:color w:val="000000" w:themeColor="text1"/>
                      <w:kern w:val="0"/>
                    </w:rPr>
                    <w:t>绿化用水</w:t>
                  </w:r>
                </w:p>
              </w:tc>
              <w:tc>
                <w:tcPr>
                  <w:tcW w:w="1883"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1</w:t>
                  </w:r>
                  <w:r>
                    <w:rPr>
                      <w:rFonts w:hint="eastAsia"/>
                      <w:color w:val="000000" w:themeColor="text1"/>
                      <w:kern w:val="0"/>
                    </w:rPr>
                    <w:t>500</w:t>
                  </w:r>
                  <w:r>
                    <w:rPr>
                      <w:color w:val="000000" w:themeColor="text1"/>
                      <w:kern w:val="0"/>
                    </w:rPr>
                    <w:t>m²</w:t>
                  </w:r>
                </w:p>
              </w:tc>
              <w:tc>
                <w:tcPr>
                  <w:tcW w:w="159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3L/（m²·次）</w:t>
                  </w:r>
                </w:p>
              </w:tc>
              <w:tc>
                <w:tcPr>
                  <w:tcW w:w="111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4.5</w:t>
                  </w:r>
                </w:p>
              </w:tc>
              <w:tc>
                <w:tcPr>
                  <w:tcW w:w="102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1147.5</w:t>
                  </w:r>
                </w:p>
              </w:tc>
              <w:tc>
                <w:tcPr>
                  <w:tcW w:w="111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0</w:t>
                  </w:r>
                </w:p>
              </w:tc>
              <w:tc>
                <w:tcPr>
                  <w:tcW w:w="95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0</w:t>
                  </w:r>
                </w:p>
              </w:tc>
            </w:tr>
            <w:tr>
              <w:tblPrEx>
                <w:tblCellMar>
                  <w:top w:w="0" w:type="dxa"/>
                  <w:left w:w="108" w:type="dxa"/>
                  <w:bottom w:w="0" w:type="dxa"/>
                  <w:right w:w="108" w:type="dxa"/>
                </w:tblCellMar>
              </w:tblPrEx>
              <w:trPr>
                <w:trHeight w:val="285" w:hRule="atLeast"/>
              </w:trPr>
              <w:tc>
                <w:tcPr>
                  <w:tcW w:w="1354" w:type="dxa"/>
                  <w:tcBorders>
                    <w:top w:val="single" w:color="auto" w:sz="4"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脱硫用水</w:t>
                  </w:r>
                </w:p>
              </w:tc>
              <w:tc>
                <w:tcPr>
                  <w:tcW w:w="1883"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159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111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9</w:t>
                  </w:r>
                  <w:r>
                    <w:rPr>
                      <w:color w:val="000000" w:themeColor="text1"/>
                      <w:kern w:val="0"/>
                    </w:rPr>
                    <w:t>0</w:t>
                  </w:r>
                </w:p>
              </w:tc>
              <w:tc>
                <w:tcPr>
                  <w:tcW w:w="102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27000</w:t>
                  </w:r>
                </w:p>
              </w:tc>
              <w:tc>
                <w:tcPr>
                  <w:tcW w:w="111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20</w:t>
                  </w:r>
                </w:p>
              </w:tc>
              <w:tc>
                <w:tcPr>
                  <w:tcW w:w="95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6000</w:t>
                  </w:r>
                </w:p>
              </w:tc>
            </w:tr>
            <w:tr>
              <w:tblPrEx>
                <w:tblCellMar>
                  <w:top w:w="0" w:type="dxa"/>
                  <w:left w:w="108" w:type="dxa"/>
                  <w:bottom w:w="0" w:type="dxa"/>
                  <w:right w:w="108" w:type="dxa"/>
                </w:tblCellMar>
              </w:tblPrEx>
              <w:trPr>
                <w:trHeight w:val="67" w:hRule="atLeast"/>
              </w:trPr>
              <w:tc>
                <w:tcPr>
                  <w:tcW w:w="1354" w:type="dxa"/>
                  <w:vMerge w:val="restart"/>
                  <w:tcBorders>
                    <w:top w:val="single" w:color="auto" w:sz="4" w:space="0"/>
                    <w:left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 xml:space="preserve"> 生活用水</w:t>
                  </w:r>
                </w:p>
              </w:tc>
              <w:tc>
                <w:tcPr>
                  <w:tcW w:w="188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10</w:t>
                  </w:r>
                  <w:r>
                    <w:rPr>
                      <w:color w:val="000000" w:themeColor="text1"/>
                      <w:kern w:val="0"/>
                    </w:rPr>
                    <w:t>人</w:t>
                  </w:r>
                  <w:r>
                    <w:rPr>
                      <w:rFonts w:hint="eastAsia"/>
                      <w:color w:val="000000" w:themeColor="text1"/>
                      <w:kern w:val="0"/>
                    </w:rPr>
                    <w:t>（食宿）</w:t>
                  </w:r>
                </w:p>
              </w:tc>
              <w:tc>
                <w:tcPr>
                  <w:tcW w:w="15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100L/d·人</w:t>
                  </w:r>
                </w:p>
              </w:tc>
              <w:tc>
                <w:tcPr>
                  <w:tcW w:w="1111" w:type="dxa"/>
                  <w:vMerge w:val="restart"/>
                  <w:tcBorders>
                    <w:top w:val="nil"/>
                    <w:left w:val="nil"/>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1.6</w:t>
                  </w:r>
                </w:p>
              </w:tc>
              <w:tc>
                <w:tcPr>
                  <w:tcW w:w="1029" w:type="dxa"/>
                  <w:vMerge w:val="restart"/>
                  <w:tcBorders>
                    <w:top w:val="nil"/>
                    <w:left w:val="nil"/>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480</w:t>
                  </w:r>
                </w:p>
              </w:tc>
              <w:tc>
                <w:tcPr>
                  <w:tcW w:w="1113" w:type="dxa"/>
                  <w:vMerge w:val="restart"/>
                  <w:tcBorders>
                    <w:top w:val="nil"/>
                    <w:left w:val="nil"/>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1.28</w:t>
                  </w:r>
                </w:p>
              </w:tc>
              <w:tc>
                <w:tcPr>
                  <w:tcW w:w="954" w:type="dxa"/>
                  <w:vMerge w:val="restart"/>
                  <w:tcBorders>
                    <w:top w:val="nil"/>
                    <w:left w:val="nil"/>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384</w:t>
                  </w:r>
                </w:p>
              </w:tc>
            </w:tr>
            <w:tr>
              <w:tblPrEx>
                <w:tblCellMar>
                  <w:top w:w="0" w:type="dxa"/>
                  <w:left w:w="108" w:type="dxa"/>
                  <w:bottom w:w="0" w:type="dxa"/>
                  <w:right w:w="108" w:type="dxa"/>
                </w:tblCellMar>
              </w:tblPrEx>
              <w:trPr>
                <w:trHeight w:val="67" w:hRule="atLeast"/>
              </w:trPr>
              <w:tc>
                <w:tcPr>
                  <w:tcW w:w="1354" w:type="dxa"/>
                  <w:vMerge w:val="continue"/>
                  <w:tcBorders>
                    <w:left w:val="single" w:color="auto" w:sz="8" w:space="0"/>
                    <w:bottom w:val="single" w:color="auto" w:sz="8" w:space="0"/>
                    <w:right w:val="single" w:color="auto" w:sz="8" w:space="0"/>
                  </w:tcBorders>
                  <w:shd w:val="clear" w:color="auto" w:fill="auto"/>
                  <w:vAlign w:val="center"/>
                </w:tcPr>
                <w:p>
                  <w:pPr>
                    <w:pStyle w:val="32"/>
                    <w:spacing w:line="360" w:lineRule="exact"/>
                    <w:rPr>
                      <w:color w:val="000000" w:themeColor="text1"/>
                      <w:kern w:val="0"/>
                    </w:rPr>
                  </w:pPr>
                </w:p>
              </w:tc>
              <w:tc>
                <w:tcPr>
                  <w:tcW w:w="188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10</w:t>
                  </w:r>
                  <w:r>
                    <w:rPr>
                      <w:color w:val="000000" w:themeColor="text1"/>
                      <w:kern w:val="0"/>
                    </w:rPr>
                    <w:t>人</w:t>
                  </w:r>
                  <w:r>
                    <w:rPr>
                      <w:rFonts w:hint="eastAsia"/>
                      <w:color w:val="000000" w:themeColor="text1"/>
                      <w:kern w:val="0"/>
                    </w:rPr>
                    <w:t>（不住宿）</w:t>
                  </w:r>
                </w:p>
              </w:tc>
              <w:tc>
                <w:tcPr>
                  <w:tcW w:w="15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60L/d·人</w:t>
                  </w:r>
                </w:p>
              </w:tc>
              <w:tc>
                <w:tcPr>
                  <w:tcW w:w="1111" w:type="dxa"/>
                  <w:vMerge w:val="continue"/>
                  <w:tcBorders>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p>
              </w:tc>
              <w:tc>
                <w:tcPr>
                  <w:tcW w:w="1029" w:type="dxa"/>
                  <w:vMerge w:val="continue"/>
                  <w:tcBorders>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p>
              </w:tc>
              <w:tc>
                <w:tcPr>
                  <w:tcW w:w="1113" w:type="dxa"/>
                  <w:vMerge w:val="continue"/>
                  <w:tcBorders>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p>
              </w:tc>
              <w:tc>
                <w:tcPr>
                  <w:tcW w:w="954" w:type="dxa"/>
                  <w:vMerge w:val="continue"/>
                  <w:tcBorders>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p>
              </w:tc>
            </w:tr>
            <w:tr>
              <w:tblPrEx>
                <w:tblCellMar>
                  <w:top w:w="0" w:type="dxa"/>
                  <w:left w:w="108" w:type="dxa"/>
                  <w:bottom w:w="0" w:type="dxa"/>
                  <w:right w:w="108" w:type="dxa"/>
                </w:tblCellMar>
              </w:tblPrEx>
              <w:trPr>
                <w:trHeight w:val="67" w:hRule="atLeast"/>
              </w:trPr>
              <w:tc>
                <w:tcPr>
                  <w:tcW w:w="1354" w:type="dxa"/>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初期雨水</w:t>
                  </w:r>
                </w:p>
              </w:tc>
              <w:tc>
                <w:tcPr>
                  <w:tcW w:w="188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w:t>
                  </w:r>
                </w:p>
              </w:tc>
              <w:tc>
                <w:tcPr>
                  <w:tcW w:w="15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w:t>
                  </w:r>
                </w:p>
              </w:tc>
              <w:tc>
                <w:tcPr>
                  <w:tcW w:w="111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c>
                <w:tcPr>
                  <w:tcW w:w="102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c>
                <w:tcPr>
                  <w:tcW w:w="111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45.99</w:t>
                  </w:r>
                  <w:r>
                    <w:rPr>
                      <w:color w:val="000000" w:themeColor="text1"/>
                      <w:kern w:val="0"/>
                    </w:rPr>
                    <w:t>m³/次</w:t>
                  </w:r>
                </w:p>
              </w:tc>
              <w:tc>
                <w:tcPr>
                  <w:tcW w:w="95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w:t>
                  </w:r>
                </w:p>
              </w:tc>
            </w:tr>
            <w:tr>
              <w:tblPrEx>
                <w:tblCellMar>
                  <w:top w:w="0" w:type="dxa"/>
                  <w:left w:w="108" w:type="dxa"/>
                  <w:bottom w:w="0" w:type="dxa"/>
                  <w:right w:w="108" w:type="dxa"/>
                </w:tblCellMar>
              </w:tblPrEx>
              <w:trPr>
                <w:trHeight w:val="285" w:hRule="atLeast"/>
              </w:trPr>
              <w:tc>
                <w:tcPr>
                  <w:tcW w:w="482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合计</w:t>
                  </w:r>
                </w:p>
              </w:tc>
              <w:tc>
                <w:tcPr>
                  <w:tcW w:w="1111"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000000" w:themeColor="text1"/>
                      <w:kern w:val="0"/>
                    </w:rPr>
                  </w:pPr>
                  <w:r>
                    <w:rPr>
                      <w:color w:val="000000" w:themeColor="text1"/>
                      <w:kern w:val="0"/>
                    </w:rPr>
                    <w:t>165.6</w:t>
                  </w:r>
                  <w:r>
                    <w:rPr>
                      <w:rFonts w:hint="eastAsia"/>
                      <w:color w:val="000000" w:themeColor="text1"/>
                      <w:kern w:val="0"/>
                    </w:rPr>
                    <w:t>4</w:t>
                  </w:r>
                </w:p>
              </w:tc>
              <w:tc>
                <w:tcPr>
                  <w:tcW w:w="1029"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000000" w:themeColor="text1"/>
                      <w:kern w:val="0"/>
                    </w:rPr>
                  </w:pPr>
                  <w:r>
                    <w:rPr>
                      <w:color w:val="000000" w:themeColor="text1"/>
                      <w:kern w:val="0"/>
                    </w:rPr>
                    <w:t>49487.5</w:t>
                  </w:r>
                </w:p>
              </w:tc>
              <w:tc>
                <w:tcPr>
                  <w:tcW w:w="1113"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000000" w:themeColor="text1"/>
                      <w:kern w:val="0"/>
                    </w:rPr>
                  </w:pPr>
                  <w:r>
                    <w:rPr>
                      <w:color w:val="000000" w:themeColor="text1"/>
                      <w:kern w:val="0"/>
                    </w:rPr>
                    <w:t>21.28</w:t>
                  </w:r>
                </w:p>
              </w:tc>
              <w:tc>
                <w:tcPr>
                  <w:tcW w:w="954"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000000" w:themeColor="text1"/>
                      <w:kern w:val="0"/>
                    </w:rPr>
                  </w:pPr>
                  <w:r>
                    <w:rPr>
                      <w:color w:val="000000" w:themeColor="text1"/>
                      <w:kern w:val="0"/>
                    </w:rPr>
                    <w:t>6384</w:t>
                  </w:r>
                </w:p>
              </w:tc>
            </w:tr>
            <w:tr>
              <w:tblPrEx>
                <w:tblCellMar>
                  <w:top w:w="0" w:type="dxa"/>
                  <w:left w:w="108" w:type="dxa"/>
                  <w:bottom w:w="0" w:type="dxa"/>
                  <w:right w:w="108" w:type="dxa"/>
                </w:tblCellMar>
              </w:tblPrEx>
              <w:trPr>
                <w:trHeight w:val="285" w:hRule="atLeast"/>
              </w:trPr>
              <w:tc>
                <w:tcPr>
                  <w:tcW w:w="9034" w:type="dxa"/>
                  <w:gridSpan w:val="7"/>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ind w:firstLine="210" w:firstLineChars="100"/>
                    <w:jc w:val="left"/>
                    <w:rPr>
                      <w:color w:val="000000" w:themeColor="text1"/>
                      <w:kern w:val="0"/>
                    </w:rPr>
                  </w:pPr>
                  <w:r>
                    <w:rPr>
                      <w:rFonts w:hint="eastAsia"/>
                      <w:color w:val="000000" w:themeColor="text1"/>
                      <w:kern w:val="0"/>
                    </w:rPr>
                    <w:t>备注：初期雨水具有偶然性，不纳入总量统计。</w:t>
                  </w:r>
                </w:p>
              </w:tc>
            </w:tr>
          </w:tbl>
          <w:p>
            <w:pPr>
              <w:pStyle w:val="40"/>
              <w:spacing w:beforeLines="50"/>
              <w:ind w:firstLine="480"/>
              <w:rPr>
                <w:color w:val="000000" w:themeColor="text1"/>
                <w:szCs w:val="21"/>
              </w:rPr>
            </w:pPr>
            <w:r>
              <w:rPr>
                <w:color w:val="000000" w:themeColor="text1"/>
                <w:szCs w:val="21"/>
              </w:rPr>
              <w:t>本项目</w:t>
            </w:r>
            <w:r>
              <w:rPr>
                <w:rFonts w:hint="eastAsia"/>
                <w:color w:val="000000" w:themeColor="text1"/>
                <w:szCs w:val="21"/>
              </w:rPr>
              <w:t>非雨天水平衡</w:t>
            </w:r>
            <w:r>
              <w:rPr>
                <w:color w:val="000000" w:themeColor="text1"/>
                <w:szCs w:val="21"/>
              </w:rPr>
              <w:t>如下图所示。</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jc w:val="center"/>
              <w:rPr>
                <w:rFonts w:ascii="Times New Roman" w:cs="Times New Roman"/>
                <w:b/>
                <w:color w:val="000000" w:themeColor="text1"/>
                <w:szCs w:val="24"/>
              </w:rPr>
            </w:pPr>
            <w:r>
              <w:rPr>
                <w:color w:val="000000" w:themeColor="text1"/>
              </w:rPr>
              <w:object>
                <v:shape id="_x0000_i1027" o:spt="75" type="#_x0000_t75" style="height:439.8pt;width:400.2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cs="Times New Roman"/>
                <w:b/>
                <w:color w:val="000000" w:themeColor="text1"/>
                <w:szCs w:val="24"/>
              </w:rPr>
            </w:pPr>
            <w:r>
              <w:rPr>
                <w:rFonts w:hint="eastAsia" w:ascii="Times New Roman" w:cs="Times New Roman"/>
                <w:b/>
                <w:color w:val="000000" w:themeColor="text1"/>
                <w:szCs w:val="24"/>
              </w:rPr>
              <w:t xml:space="preserve">图2.8.3-1 项目非雨天水平衡 </w:t>
            </w:r>
            <w:r>
              <w:rPr>
                <w:rFonts w:ascii="Times New Roman" w:cs="Times New Roman"/>
                <w:b/>
                <w:color w:val="000000" w:themeColor="text1"/>
                <w:szCs w:val="24"/>
              </w:rPr>
              <w:t>m³/d</w:t>
            </w:r>
          </w:p>
          <w:p>
            <w:pPr>
              <w:pStyle w:val="40"/>
              <w:spacing w:beforeLines="50"/>
              <w:ind w:firstLine="480"/>
              <w:rPr>
                <w:color w:val="000000" w:themeColor="text1"/>
                <w:szCs w:val="21"/>
              </w:rPr>
            </w:pPr>
            <w:r>
              <w:rPr>
                <w:color w:val="000000" w:themeColor="text1"/>
                <w:szCs w:val="21"/>
              </w:rPr>
              <w:t>本项目</w:t>
            </w:r>
            <w:r>
              <w:rPr>
                <w:rFonts w:hint="eastAsia"/>
                <w:color w:val="000000" w:themeColor="text1"/>
                <w:szCs w:val="21"/>
              </w:rPr>
              <w:t>雨天水平衡</w:t>
            </w:r>
            <w:r>
              <w:rPr>
                <w:color w:val="000000" w:themeColor="text1"/>
                <w:szCs w:val="21"/>
              </w:rPr>
              <w:t>如下图所示。</w:t>
            </w: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jc w:val="center"/>
              <w:rPr>
                <w:rFonts w:ascii="Times New Roman" w:cs="Times New Roman"/>
                <w:b/>
                <w:color w:val="000000" w:themeColor="text1"/>
                <w:szCs w:val="24"/>
              </w:rPr>
            </w:pPr>
            <w:r>
              <w:rPr>
                <w:color w:val="000000" w:themeColor="text1"/>
              </w:rPr>
              <w:object>
                <v:shape id="_x0000_i1028" o:spt="75" type="#_x0000_t75" style="height:522.6pt;width:415.2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cs="Times New Roman"/>
                <w:b/>
                <w:color w:val="000000" w:themeColor="text1"/>
                <w:szCs w:val="24"/>
              </w:rPr>
            </w:pPr>
            <w:r>
              <w:rPr>
                <w:rFonts w:hint="eastAsia" w:ascii="Times New Roman" w:cs="Times New Roman"/>
                <w:b/>
                <w:color w:val="000000" w:themeColor="text1"/>
                <w:szCs w:val="24"/>
              </w:rPr>
              <w:t xml:space="preserve">图2.8.3-2 项目雨天水平衡 </w:t>
            </w:r>
            <w:r>
              <w:rPr>
                <w:rFonts w:ascii="Times New Roman" w:cs="Times New Roman"/>
                <w:b/>
                <w:color w:val="000000" w:themeColor="text1"/>
                <w:szCs w:val="24"/>
              </w:rPr>
              <w:t>m³/d</w:t>
            </w:r>
            <w:bookmarkEnd w:id="2"/>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jc w:val="center"/>
              <w:rPr>
                <w:rFonts w:ascii="Times New Roman" w:cs="Times New Roman"/>
                <w:b/>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1"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2.8.1 施工期工艺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本项目</w:t>
            </w:r>
            <w:r>
              <w:rPr>
                <w:rFonts w:hint="eastAsia" w:ascii="Times New Roman" w:hAnsi="Times New Roman" w:cs="Times New Roman"/>
                <w:bCs/>
                <w:color w:val="000000" w:themeColor="text1"/>
                <w:sz w:val="24"/>
                <w:szCs w:val="24"/>
              </w:rPr>
              <w:t>在原址进行改扩建，</w:t>
            </w:r>
            <w:r>
              <w:rPr>
                <w:rFonts w:ascii="Times New Roman" w:hAnsi="Times New Roman" w:cs="Times New Roman"/>
                <w:bCs/>
                <w:color w:val="000000" w:themeColor="text1"/>
                <w:sz w:val="24"/>
                <w:szCs w:val="24"/>
              </w:rPr>
              <w:t>项目</w:t>
            </w:r>
            <w:r>
              <w:rPr>
                <w:rFonts w:hint="eastAsia" w:ascii="Times New Roman" w:hAnsi="Times New Roman" w:cs="Times New Roman"/>
                <w:bCs/>
                <w:color w:val="000000" w:themeColor="text1"/>
                <w:sz w:val="24"/>
                <w:szCs w:val="24"/>
              </w:rPr>
              <w:t>施工期</w:t>
            </w:r>
            <w:r>
              <w:rPr>
                <w:rFonts w:ascii="Times New Roman" w:hAnsi="Times New Roman" w:cs="Times New Roman"/>
                <w:bCs/>
                <w:color w:val="000000" w:themeColor="text1"/>
                <w:sz w:val="24"/>
                <w:szCs w:val="24"/>
              </w:rPr>
              <w:t>工艺流程及产污节点如下图所示：</w:t>
            </w:r>
          </w:p>
          <w:p>
            <w:pPr>
              <w:jc w:val="center"/>
              <w:rPr>
                <w:rFonts w:ascii="Times New Roman" w:hAnsi="Times New Roman" w:eastAsia="宋体" w:cs="Times New Roman"/>
                <w:b/>
                <w:color w:val="000000" w:themeColor="text1"/>
                <w:szCs w:val="24"/>
              </w:rPr>
            </w:pPr>
            <w:r>
              <w:rPr>
                <w:color w:val="000000" w:themeColor="text1"/>
              </w:rPr>
              <w:object>
                <v:shape id="_x0000_i1029" o:spt="75" type="#_x0000_t75" style="height:142.8pt;width:418.8pt;" o:ole="t" filled="f" o:preferrelative="t" stroked="f" coordsize="21600,21600">
                  <v:path/>
                  <v:fill on="f" focussize="0,0"/>
                  <v:stroke on="f" joinstyle="miter"/>
                  <v:imagedata r:id="rId14" o:title=""/>
                  <o:lock v:ext="edit" aspectratio="t"/>
                  <w10:wrap type="none"/>
                  <w10:anchorlock/>
                </v:shape>
                <o:OLEObject Type="Embed" ProgID="Visio.Drawing.11" ShapeID="_x0000_i1029" DrawAspect="Content" ObjectID="_1468075729" r:id="rId13">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2.8.1</w:t>
            </w:r>
            <w:r>
              <w:rPr>
                <w:rFonts w:ascii="Times New Roman" w:hAnsi="Times New Roman" w:eastAsia="宋体" w:cs="Times New Roman"/>
                <w:b/>
                <w:color w:val="000000" w:themeColor="text1"/>
                <w:szCs w:val="24"/>
              </w:rPr>
              <w:t>-1  施工阶段程序及污染流程图</w:t>
            </w:r>
          </w:p>
          <w:p>
            <w:pPr>
              <w:spacing w:beforeLines="50"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施工</w:t>
            </w:r>
            <w:r>
              <w:rPr>
                <w:rFonts w:ascii="Times New Roman" w:hAnsi="Times New Roman" w:cs="Times New Roman"/>
                <w:b/>
                <w:bCs/>
                <w:color w:val="000000" w:themeColor="text1"/>
                <w:sz w:val="24"/>
                <w:szCs w:val="24"/>
              </w:rPr>
              <w:t>工艺流程简述</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根据调查，目前原有生产设施已全部拆除，施工期包括场地平整，生产车间建设、办公及生活设施改造，环保设施建设等。</w:t>
            </w:r>
            <w:r>
              <w:rPr>
                <w:rFonts w:ascii="Times New Roman" w:hAnsi="Times New Roman" w:cs="Times New Roman"/>
                <w:bCs/>
                <w:color w:val="000000" w:themeColor="text1"/>
                <w:sz w:val="24"/>
                <w:szCs w:val="24"/>
              </w:rPr>
              <w:t>主要为施工废气、</w:t>
            </w:r>
            <w:r>
              <w:rPr>
                <w:rFonts w:hint="eastAsia" w:ascii="Times New Roman" w:hAnsi="Times New Roman" w:cs="Times New Roman"/>
                <w:bCs/>
                <w:color w:val="000000" w:themeColor="text1"/>
                <w:sz w:val="24"/>
                <w:szCs w:val="24"/>
              </w:rPr>
              <w:t>施工废水、</w:t>
            </w:r>
            <w:r>
              <w:rPr>
                <w:rFonts w:ascii="Times New Roman" w:hAnsi="Times New Roman" w:cs="Times New Roman"/>
                <w:bCs/>
                <w:color w:val="000000" w:themeColor="text1"/>
                <w:sz w:val="24"/>
                <w:szCs w:val="24"/>
              </w:rPr>
              <w:t>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2.8.2 运营期生产工艺</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根据设计，项目工艺流程及产污节点如下图所示：</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jc w:val="center"/>
              <w:rPr>
                <w:rFonts w:ascii="Times New Roman" w:hAnsi="Times New Roman" w:eastAsia="宋体" w:cs="Times New Roman"/>
                <w:b/>
                <w:color w:val="000000" w:themeColor="text1"/>
                <w:szCs w:val="24"/>
              </w:rPr>
            </w:pPr>
            <w:r>
              <w:object>
                <v:shape id="_x0000_i1030" o:spt="75" type="#_x0000_t75" style="height:424.8pt;width:430.8pt;" o:ole="t" filled="f" o:preferrelative="t" stroked="f" coordsize="21600,21600">
                  <v:path/>
                  <v:fill on="f" focussize="0,0"/>
                  <v:stroke on="f" joinstyle="miter"/>
                  <v:imagedata r:id="rId16" o:title=""/>
                  <o:lock v:ext="edit" aspectratio="t"/>
                  <w10:wrap type="none"/>
                  <w10:anchorlock/>
                </v:shape>
                <o:OLEObject Type="Embed" ProgID="Visio.Drawing.11" ShapeID="_x0000_i1030" DrawAspect="Content" ObjectID="_1468075730" r:id="rId15">
                  <o:LockedField>false</o:LockedField>
                </o:OLEObject>
              </w:object>
            </w: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2.8.2</w:t>
            </w:r>
            <w:r>
              <w:rPr>
                <w:rFonts w:ascii="Times New Roman" w:hAnsi="Times New Roman" w:eastAsia="宋体" w:cs="Times New Roman"/>
                <w:b/>
                <w:color w:val="000000" w:themeColor="text1"/>
                <w:szCs w:val="24"/>
              </w:rPr>
              <w:t>-1  项目运营期流程及产污环节图</w:t>
            </w:r>
          </w:p>
          <w:p>
            <w:pPr>
              <w:spacing w:beforeLines="50"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（2）工艺流程简述</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①原料暂存</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根据设计，项目拟设置原料堆场，该原料堆场分设页岩堆场区和煤料堆场区，该区域在对页岩和煤料进行暂存过程会有无组织扬尘产生，因此项目拟对页岩堆场和煤料堆场设置不低于物料堆存高度围挡和顶棚，</w:t>
            </w:r>
            <w:r>
              <w:rPr>
                <w:rFonts w:hint="eastAsia" w:ascii="Times New Roman" w:hAnsi="Times New Roman" w:cs="Times New Roman"/>
                <w:color w:val="000000" w:themeColor="text1"/>
                <w:sz w:val="24"/>
                <w:szCs w:val="24"/>
              </w:rPr>
              <w:t>并分别配套设置洒水抑尘设施。</w:t>
            </w:r>
            <w:r>
              <w:rPr>
                <w:rFonts w:hint="eastAsia" w:ascii="Times New Roman" w:hAnsi="Times New Roman" w:cs="Times New Roman"/>
                <w:bCs/>
                <w:color w:val="000000" w:themeColor="text1"/>
                <w:sz w:val="24"/>
                <w:szCs w:val="24"/>
              </w:rPr>
              <w:t>另外将页岩堆场区的页岩、煤料堆场区的煤料分别采用装载机运输至鄂破和混合工序，其装载机采装、卸料及运输过程会产生扬尘，项目拟设置雾炮机对其进行洒水降尘。</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②颚破</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根据设计，由于项目使用的页岩其部分存在粒径较大，因此项目拟设置1台颚式破碎机对页岩进行一次破碎。原料通过装载机运输至颚式破碎机进行破碎。</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该破碎过程会有粉尘产生，因此项目首先对该工序进行封闭（即将颚式破碎机进行封闭），并在封闭空间内配套设置集气罩对其粉尘进行收集，收集后统一进入1台脉冲布袋除尘器进行处理，处理后通过15m高排气筒外排；脉冲布袋除尘器收集粉尘</w:t>
            </w:r>
            <w:r>
              <w:rPr>
                <w:rFonts w:ascii="Times New Roman" w:hAnsi="Times New Roman" w:cs="Times New Roman"/>
                <w:bCs/>
                <w:color w:val="000000" w:themeColor="text1"/>
                <w:sz w:val="24"/>
                <w:szCs w:val="24"/>
              </w:rPr>
              <w:t>直接作为项目制砖生产原料利用</w:t>
            </w:r>
            <w:r>
              <w:rPr>
                <w:rFonts w:hint="eastAsia" w:ascii="Times New Roman" w:hAnsi="Times New Roman" w:cs="Times New Roman"/>
                <w:bCs/>
                <w:color w:val="000000" w:themeColor="text1"/>
                <w:sz w:val="24"/>
                <w:szCs w:val="24"/>
              </w:rPr>
              <w:t>。</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③混合</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根据设计，项目采购的煤以粉煤为主，不需要单独进行破碎，项目拟设置1台搅拌机对破碎后的页岩和采购的粉煤通过封闭式皮带运输至配煤机按照平均5:1的比例进行搅拌混合。</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该混合过程会有粉尘产生，因此项目首先对该工序进行封闭（即将自动配煤机进行封闭），并在封闭空间内配套设置集气罩对其粉尘进行收集，收集后统一进入1台脉冲布袋除尘器进行处理，处理后通过15m高排气筒外排；脉冲布袋除尘器收集粉尘</w:t>
            </w:r>
            <w:r>
              <w:rPr>
                <w:rFonts w:ascii="Times New Roman" w:hAnsi="Times New Roman" w:cs="Times New Roman"/>
                <w:bCs/>
                <w:color w:val="000000" w:themeColor="text1"/>
                <w:sz w:val="24"/>
                <w:szCs w:val="24"/>
              </w:rPr>
              <w:t>直接作为项目制砖生产原料利用</w:t>
            </w:r>
            <w:r>
              <w:rPr>
                <w:rFonts w:hint="eastAsia" w:ascii="Times New Roman" w:hAnsi="Times New Roman" w:cs="Times New Roman"/>
                <w:bCs/>
                <w:color w:val="000000" w:themeColor="text1"/>
                <w:sz w:val="24"/>
                <w:szCs w:val="24"/>
              </w:rPr>
              <w:t>。</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④粉碎</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根据设计，经混合均匀后的混合料通过皮带运输机密闭输送至1台粉碎机进行粉碎。</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该粉碎过程会有粉尘产生，因此项目首先对该工序进行封闭（即将粉碎机进行封闭），并在封闭空间内配套设置集气罩对其粉尘进行收集，收集后统一进入1台脉冲布袋除尘器进行处理，处理后通过15m高排气筒外排；脉冲布袋除尘器收集粉尘</w:t>
            </w:r>
            <w:r>
              <w:rPr>
                <w:rFonts w:ascii="Times New Roman" w:hAnsi="Times New Roman" w:cs="Times New Roman"/>
                <w:bCs/>
                <w:color w:val="000000" w:themeColor="text1"/>
                <w:sz w:val="24"/>
                <w:szCs w:val="24"/>
              </w:rPr>
              <w:t>直接作为项目制砖生产原料利用</w:t>
            </w:r>
            <w:r>
              <w:rPr>
                <w:rFonts w:hint="eastAsia" w:ascii="Times New Roman" w:hAnsi="Times New Roman" w:cs="Times New Roman"/>
                <w:bCs/>
                <w:color w:val="000000" w:themeColor="text1"/>
                <w:sz w:val="24"/>
                <w:szCs w:val="24"/>
              </w:rPr>
              <w:t>。</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⑤筛分</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根据设计，项目配套设置了1台滚筒筛，粉碎机粉碎后的混合料通过皮带运输至滚筒筛进行筛分，筛分后</w:t>
            </w:r>
            <w:r>
              <w:rPr>
                <w:rFonts w:ascii="Times New Roman" w:hAnsi="Times New Roman" w:cs="Times New Roman"/>
                <w:bCs/>
                <w:color w:val="000000" w:themeColor="text1"/>
                <w:sz w:val="24"/>
                <w:szCs w:val="24"/>
              </w:rPr>
              <w:t>Φ≥0.5mm</w:t>
            </w:r>
            <w:r>
              <w:rPr>
                <w:rFonts w:hint="eastAsia" w:ascii="Times New Roman" w:hAnsi="Times New Roman" w:cs="Times New Roman"/>
                <w:bCs/>
                <w:color w:val="000000" w:themeColor="text1"/>
                <w:sz w:val="24"/>
                <w:szCs w:val="24"/>
              </w:rPr>
              <w:t>返回粉碎机进行再次粉碎，而</w:t>
            </w:r>
            <w:r>
              <w:rPr>
                <w:rFonts w:ascii="Times New Roman" w:hAnsi="Times New Roman" w:cs="Times New Roman"/>
                <w:bCs/>
                <w:color w:val="000000" w:themeColor="text1"/>
                <w:sz w:val="24"/>
                <w:szCs w:val="24"/>
              </w:rPr>
              <w:t>Φ</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0.5mm</w:t>
            </w:r>
            <w:r>
              <w:rPr>
                <w:rFonts w:hint="eastAsia" w:ascii="Times New Roman" w:hAnsi="Times New Roman" w:cs="Times New Roman"/>
                <w:bCs/>
                <w:color w:val="000000" w:themeColor="text1"/>
                <w:sz w:val="24"/>
                <w:szCs w:val="24"/>
              </w:rPr>
              <w:t>的混合料则进入陈化工序。</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该筛分过程会有粉尘产生，因此项目首先对该工序进行封闭（即将滚筒筛进行封闭），并在封闭空间内配套设置集气罩对其粉尘进行收集，收集后统一进入1台脉冲布袋除尘器进行处理，处理后通过15m高排气筒外排；脉冲布袋除尘器收集粉尘</w:t>
            </w:r>
            <w:r>
              <w:rPr>
                <w:rFonts w:ascii="Times New Roman" w:hAnsi="Times New Roman" w:cs="Times New Roman"/>
                <w:bCs/>
                <w:color w:val="000000" w:themeColor="text1"/>
                <w:sz w:val="24"/>
                <w:szCs w:val="24"/>
              </w:rPr>
              <w:t>直接作为项目制砖生产原料利用</w:t>
            </w:r>
            <w:r>
              <w:rPr>
                <w:rFonts w:hint="eastAsia" w:ascii="Times New Roman" w:hAnsi="Times New Roman" w:cs="Times New Roman"/>
                <w:bCs/>
                <w:color w:val="000000" w:themeColor="text1"/>
                <w:sz w:val="24"/>
                <w:szCs w:val="24"/>
              </w:rPr>
              <w:t>。</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⑥陈化</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根据设计，对经筛分得到的</w:t>
            </w:r>
            <w:r>
              <w:rPr>
                <w:rFonts w:ascii="Times New Roman" w:hAnsi="Times New Roman" w:cs="Times New Roman"/>
                <w:bCs/>
                <w:color w:val="000000" w:themeColor="text1"/>
                <w:sz w:val="24"/>
                <w:szCs w:val="24"/>
              </w:rPr>
              <w:t>Φ</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0.5mm</w:t>
            </w:r>
            <w:r>
              <w:rPr>
                <w:rFonts w:hint="eastAsia" w:ascii="Times New Roman" w:hAnsi="Times New Roman" w:cs="Times New Roman"/>
                <w:bCs/>
                <w:color w:val="000000" w:themeColor="text1"/>
                <w:sz w:val="24"/>
                <w:szCs w:val="24"/>
              </w:rPr>
              <w:t>的混合料通过皮带运输至陈化车间，</w:t>
            </w:r>
            <w:r>
              <w:rPr>
                <w:rFonts w:ascii="Times New Roman" w:hAnsi="Times New Roman" w:cs="Times New Roman"/>
                <w:bCs/>
                <w:color w:val="000000" w:themeColor="text1"/>
                <w:sz w:val="24"/>
                <w:szCs w:val="24"/>
              </w:rPr>
              <w:t>加</w:t>
            </w:r>
            <w:r>
              <w:rPr>
                <w:rFonts w:hint="eastAsia" w:ascii="Times New Roman" w:hAnsi="Times New Roman" w:cs="Times New Roman"/>
                <w:bCs/>
                <w:color w:val="000000" w:themeColor="text1"/>
                <w:sz w:val="24"/>
                <w:szCs w:val="24"/>
              </w:rPr>
              <w:t>入一定量的水</w:t>
            </w:r>
            <w:r>
              <w:rPr>
                <w:rFonts w:ascii="Times New Roman" w:hAnsi="Times New Roman" w:cs="Times New Roman"/>
                <w:bCs/>
                <w:color w:val="000000" w:themeColor="text1"/>
                <w:sz w:val="24"/>
                <w:szCs w:val="24"/>
              </w:rPr>
              <w:t>，使其含水率达到10%，进行陈化，使原料中的水分有足够的时间充分迁移，湿润粉料中的每一个颗粒，并且进一步提高原料的均匀性，从而改善泥料的物理性能，保证成型、干燥和焙烧等工序的技术要求，提高产品的质量，陈化时间为3-5d</w:t>
            </w:r>
            <w:r>
              <w:rPr>
                <w:rFonts w:hint="eastAsia" w:ascii="Times New Roman" w:hAnsi="Times New Roman" w:cs="Times New Roman"/>
                <w:bCs/>
                <w:color w:val="000000" w:themeColor="text1"/>
                <w:sz w:val="24"/>
                <w:szCs w:val="24"/>
              </w:rPr>
              <w:t>。陈化是水分子在混合料内部迁移过程，该过程基本无污染物产生。</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⑦搅拌</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根据设计，经陈化后的混合料，通过皮带运输至</w:t>
            </w:r>
            <w:r>
              <w:rPr>
                <w:rFonts w:ascii="Times New Roman" w:hAnsi="Times New Roman" w:cs="Times New Roman"/>
                <w:bCs/>
                <w:color w:val="000000" w:themeColor="text1"/>
                <w:sz w:val="24"/>
                <w:szCs w:val="24"/>
              </w:rPr>
              <w:t>搅拌机</w:t>
            </w:r>
            <w:r>
              <w:rPr>
                <w:rFonts w:hint="eastAsia" w:ascii="Times New Roman" w:hAnsi="Times New Roman" w:cs="Times New Roman"/>
                <w:bCs/>
                <w:color w:val="000000" w:themeColor="text1"/>
                <w:sz w:val="24"/>
                <w:szCs w:val="24"/>
              </w:rPr>
              <w:t>，加水使其含水率达到15%左右时对其进行搅拌混合</w:t>
            </w:r>
            <w:r>
              <w:rPr>
                <w:rFonts w:ascii="Times New Roman" w:hAnsi="Times New Roman" w:cs="Times New Roman"/>
                <w:bCs/>
                <w:color w:val="000000" w:themeColor="text1"/>
                <w:sz w:val="24"/>
                <w:szCs w:val="24"/>
              </w:rPr>
              <w:t>均匀</w:t>
            </w:r>
            <w:r>
              <w:rPr>
                <w:rFonts w:hint="eastAsia" w:ascii="Times New Roman" w:hAnsi="Times New Roman" w:cs="Times New Roman"/>
                <w:bCs/>
                <w:color w:val="000000" w:themeColor="text1"/>
                <w:sz w:val="24"/>
                <w:szCs w:val="24"/>
              </w:rPr>
              <w:t>。搅拌过程物料含水率较高，基本无粉尘产生，该工序主要污染物为噪声。</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⑧挤出成型</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w:t>
            </w:r>
            <w:r>
              <w:rPr>
                <w:rFonts w:ascii="Times New Roman" w:hAnsi="Times New Roman" w:cs="Times New Roman"/>
                <w:bCs/>
                <w:color w:val="000000" w:themeColor="text1"/>
                <w:sz w:val="24"/>
                <w:szCs w:val="24"/>
              </w:rPr>
              <w:t>混合均匀的物料</w:t>
            </w:r>
            <w:r>
              <w:rPr>
                <w:rFonts w:hint="eastAsia" w:ascii="Times New Roman" w:hAnsi="Times New Roman" w:cs="Times New Roman"/>
                <w:bCs/>
                <w:color w:val="000000" w:themeColor="text1"/>
                <w:sz w:val="24"/>
                <w:szCs w:val="24"/>
              </w:rPr>
              <w:t>皮带</w:t>
            </w:r>
            <w:r>
              <w:rPr>
                <w:rFonts w:ascii="Times New Roman" w:hAnsi="Times New Roman" w:cs="Times New Roman"/>
                <w:bCs/>
                <w:color w:val="000000" w:themeColor="text1"/>
                <w:sz w:val="24"/>
                <w:szCs w:val="24"/>
              </w:rPr>
              <w:t>输送到送入挤砖机挤出成型，成型后的泥条经表面处理后，经自动断条机、自动切坯机等切割成所要求尺寸的砖坯。成型</w:t>
            </w:r>
            <w:r>
              <w:rPr>
                <w:rFonts w:hint="eastAsia" w:ascii="Times New Roman" w:hAnsi="Times New Roman" w:cs="Times New Roman"/>
                <w:bCs/>
                <w:color w:val="000000" w:themeColor="text1"/>
                <w:sz w:val="24"/>
                <w:szCs w:val="24"/>
              </w:rPr>
              <w:t>砖坯通过</w:t>
            </w:r>
            <w:r>
              <w:rPr>
                <w:rFonts w:ascii="Times New Roman" w:hAnsi="Times New Roman" w:cs="Times New Roman"/>
                <w:bCs/>
                <w:color w:val="000000" w:themeColor="text1"/>
                <w:sz w:val="24"/>
                <w:szCs w:val="24"/>
              </w:rPr>
              <w:t>码坯机</w:t>
            </w:r>
            <w:r>
              <w:rPr>
                <w:rFonts w:hint="eastAsia" w:ascii="Times New Roman" w:hAnsi="Times New Roman" w:cs="Times New Roman"/>
                <w:bCs/>
                <w:color w:val="000000" w:themeColor="text1"/>
                <w:sz w:val="24"/>
                <w:szCs w:val="24"/>
              </w:rPr>
              <w:t>装入窑车，</w:t>
            </w:r>
            <w:r>
              <w:rPr>
                <w:rFonts w:ascii="Times New Roman" w:hAnsi="Times New Roman" w:cs="Times New Roman"/>
                <w:bCs/>
                <w:color w:val="000000" w:themeColor="text1"/>
                <w:sz w:val="24"/>
                <w:szCs w:val="24"/>
              </w:rPr>
              <w:t>由于受热膨胀须进行静停冷却，使砖坯收缩，提高砖坯烘干、焙烧质量，静停时间约为12h</w:t>
            </w:r>
            <w:r>
              <w:rPr>
                <w:rFonts w:hint="eastAsia" w:ascii="Times New Roman" w:hAnsi="Times New Roman" w:cs="Times New Roman"/>
                <w:bCs/>
                <w:color w:val="000000" w:themeColor="text1"/>
                <w:sz w:val="24"/>
                <w:szCs w:val="24"/>
              </w:rPr>
              <w:t>。挤出成型过程会有</w:t>
            </w:r>
            <w:r>
              <w:rPr>
                <w:rFonts w:ascii="Times New Roman" w:hAnsi="Times New Roman" w:cs="Times New Roman"/>
                <w:bCs/>
                <w:color w:val="000000" w:themeColor="text1"/>
                <w:sz w:val="24"/>
                <w:szCs w:val="24"/>
              </w:rPr>
              <w:t>废砖坯及边角料</w:t>
            </w:r>
            <w:r>
              <w:rPr>
                <w:rFonts w:hint="eastAsia" w:ascii="Times New Roman" w:hAnsi="Times New Roman" w:cs="Times New Roman"/>
                <w:bCs/>
                <w:color w:val="000000" w:themeColor="text1"/>
                <w:sz w:val="24"/>
                <w:szCs w:val="24"/>
              </w:rPr>
              <w:t>等固体废物产生，</w:t>
            </w:r>
            <w:r>
              <w:rPr>
                <w:rFonts w:ascii="Times New Roman" w:hAnsi="Times New Roman" w:cs="Times New Roman"/>
                <w:bCs/>
                <w:color w:val="000000" w:themeColor="text1"/>
                <w:sz w:val="24"/>
                <w:szCs w:val="24"/>
              </w:rPr>
              <w:t>直接作为项目制砖生产原料利用</w:t>
            </w:r>
            <w:r>
              <w:rPr>
                <w:rFonts w:hint="eastAsia" w:ascii="Times New Roman" w:hAnsi="Times New Roman" w:cs="Times New Roman"/>
                <w:bCs/>
                <w:color w:val="000000" w:themeColor="text1"/>
                <w:sz w:val="24"/>
                <w:szCs w:val="24"/>
              </w:rPr>
              <w:t>。</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⑨干燥</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根据设计，项目设置了1条4.2m×130m的干燥窑，对经</w:t>
            </w:r>
            <w:r>
              <w:rPr>
                <w:rFonts w:ascii="Times New Roman" w:hAnsi="Times New Roman" w:cs="Times New Roman"/>
                <w:bCs/>
                <w:color w:val="000000" w:themeColor="text1"/>
                <w:sz w:val="24"/>
                <w:szCs w:val="24"/>
              </w:rPr>
              <w:t>静停后的砖坯</w:t>
            </w:r>
            <w:r>
              <w:rPr>
                <w:rFonts w:hint="eastAsia" w:ascii="Times New Roman" w:hAnsi="Times New Roman" w:cs="Times New Roman"/>
                <w:bCs/>
                <w:color w:val="000000" w:themeColor="text1"/>
                <w:sz w:val="24"/>
                <w:szCs w:val="24"/>
              </w:rPr>
              <w:t>由顶车机输送至干燥窑进行干燥，项目采用一烘一焙的设计，对干燥窑和焙烧窑设置风机，将焙烧窑的烟气全部引入干燥窑，利用烟气（温度较高）余热进行</w:t>
            </w:r>
            <w:r>
              <w:rPr>
                <w:rFonts w:ascii="Times New Roman" w:hAnsi="Times New Roman" w:cs="Times New Roman"/>
                <w:bCs/>
                <w:color w:val="000000" w:themeColor="text1"/>
                <w:sz w:val="24"/>
                <w:szCs w:val="24"/>
              </w:rPr>
              <w:t>砖坯烘干</w:t>
            </w:r>
            <w:r>
              <w:rPr>
                <w:rFonts w:hint="eastAsia" w:ascii="Times New Roman" w:hAnsi="Times New Roman" w:cs="Times New Roman"/>
                <w:bCs/>
                <w:color w:val="000000" w:themeColor="text1"/>
                <w:sz w:val="24"/>
                <w:szCs w:val="24"/>
              </w:rPr>
              <w:t>；烟气热量被用于干燥，烟气通过风机进入</w:t>
            </w:r>
            <w:r>
              <w:rPr>
                <w:rFonts w:ascii="Times New Roman" w:hAnsi="Times New Roman" w:cs="Times New Roman"/>
                <w:bCs/>
                <w:color w:val="000000" w:themeColor="text1"/>
                <w:sz w:val="24"/>
                <w:szCs w:val="24"/>
              </w:rPr>
              <w:t>项目配套设置脱硫除尘系统进行处理，处理后经1</w:t>
            </w:r>
            <w:r>
              <w:rPr>
                <w:rFonts w:hint="eastAsia"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m高的排气筒外排。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10 \* GB3</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⑩</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焙烧</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项目设置了1条4.2m×130m的焙烧窑，对砖坯进行焙烧，干燥后的砖坯窑车由顶车机送入焙烧窑，在窑内热气流的作用下，坯体温度逐渐升高，当温度继续升高达到内燃煤着火点温度后，砖坯开始进入内燃焙烧阶段，焙烧温度控制在</w:t>
            </w:r>
            <w:r>
              <w:rPr>
                <w:rFonts w:ascii="Times New Roman" w:hAnsi="Times New Roman" w:cs="Times New Roman"/>
                <w:bCs/>
                <w:color w:val="000000" w:themeColor="text1"/>
                <w:sz w:val="24"/>
                <w:szCs w:val="24"/>
              </w:rPr>
              <w:t>950-1150</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，时间约为</w:t>
            </w:r>
            <w:r>
              <w:rPr>
                <w:rFonts w:hint="eastAsia" w:ascii="Times New Roman" w:hAnsi="Times New Roman" w:cs="Times New Roman"/>
                <w:bCs/>
                <w:color w:val="000000" w:themeColor="text1"/>
                <w:sz w:val="24"/>
                <w:szCs w:val="24"/>
              </w:rPr>
              <w:t>50</w:t>
            </w:r>
            <w:r>
              <w:rPr>
                <w:rFonts w:ascii="Times New Roman" w:hAnsi="Times New Roman" w:cs="Times New Roman"/>
                <w:bCs/>
                <w:color w:val="000000" w:themeColor="text1"/>
                <w:sz w:val="24"/>
                <w:szCs w:val="24"/>
              </w:rPr>
              <w:t>min</w:t>
            </w:r>
            <w:r>
              <w:rPr>
                <w:rFonts w:hint="eastAsia" w:ascii="Times New Roman" w:hAnsi="Times New Roman" w:cs="Times New Roman"/>
                <w:bCs/>
                <w:color w:val="000000" w:themeColor="text1"/>
                <w:sz w:val="24"/>
                <w:szCs w:val="24"/>
              </w:rPr>
              <w:t>。砖坯焙烧采用内燃焙烧工艺，焙烧窑体内分别设有预热、焙烧、保温和冷却几个不同的分区，每分区均设置吸口或喷口，在高温分区带设置热空气补给闸和高温混合气流排放闸，低温分区带设置冷却门，窑底筑检查通道，高温和中温带之间留有膨胀缝隙。通过码烧热循环干燥室的顶夹层和外部烟管，由风机进行炉室之间干净气体和烟气的供给和调配，对一次码烧热循环干燥室进行低温回流换热循环和高温回流换热循环，通过回流换热循环和烟气调配来实施补热、排热、冷却、加氧和切氧，保证在各种季节和气候、不同燃料条件下热循环的正常运行。</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焙烧出炉后即为页岩砖产品，通过观察，若存在砖体焙烧不完全、损坏的不合格烧结砖固废则</w:t>
            </w:r>
            <w:r>
              <w:rPr>
                <w:rFonts w:ascii="Times New Roman" w:hAnsi="Times New Roman" w:cs="Times New Roman"/>
                <w:bCs/>
                <w:color w:val="000000" w:themeColor="text1"/>
                <w:sz w:val="24"/>
                <w:szCs w:val="24"/>
              </w:rPr>
              <w:t>直接作为项目制砖生产原料利用</w:t>
            </w:r>
            <w:r>
              <w:rPr>
                <w:rFonts w:hint="eastAsia" w:ascii="Times New Roman" w:hAnsi="Times New Roman" w:cs="Times New Roman"/>
                <w:bCs/>
                <w:color w:val="000000" w:themeColor="text1"/>
                <w:sz w:val="24"/>
                <w:szCs w:val="24"/>
              </w:rPr>
              <w:t>。项目产生的烟气主要在焙烧工序产生，而该工序产生的烟气全部通过引风机引入干燥窑进行砖坯干燥，烟气余热被吸收后，通过风机进入</w:t>
            </w:r>
            <w:r>
              <w:rPr>
                <w:rFonts w:ascii="Times New Roman" w:hAnsi="Times New Roman" w:cs="Times New Roman"/>
                <w:bCs/>
                <w:color w:val="000000" w:themeColor="text1"/>
                <w:sz w:val="24"/>
                <w:szCs w:val="24"/>
              </w:rPr>
              <w:t>项目配套设置脱硫除尘系统进行处理，处理后经1</w:t>
            </w:r>
            <w:r>
              <w:rPr>
                <w:rFonts w:hint="eastAsia"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m高的排气筒外排</w:t>
            </w:r>
            <w:r>
              <w:rPr>
                <w:rFonts w:hint="eastAsia" w:ascii="Times New Roman" w:hAnsi="Times New Roman" w:cs="Times New Roman"/>
                <w:bCs/>
                <w:color w:val="000000" w:themeColor="text1"/>
                <w:sz w:val="24"/>
                <w:szCs w:val="24"/>
              </w:rPr>
              <w:t>。引风机不需采用冷却水进行冷却；</w:t>
            </w:r>
            <w:r>
              <w:rPr>
                <w:rFonts w:ascii="Times New Roman" w:hAnsi="Times New Roman" w:cs="Times New Roman"/>
                <w:bCs/>
                <w:color w:val="000000" w:themeColor="text1"/>
                <w:sz w:val="24"/>
                <w:szCs w:val="24"/>
              </w:rPr>
              <w:t>脱硫除尘系统</w:t>
            </w:r>
            <w:r>
              <w:rPr>
                <w:rFonts w:hint="eastAsia" w:ascii="Times New Roman" w:hAnsi="Times New Roman" w:cs="Times New Roman"/>
                <w:bCs/>
                <w:color w:val="000000" w:themeColor="text1"/>
                <w:sz w:val="24"/>
                <w:szCs w:val="24"/>
              </w:rPr>
              <w:t>产生的</w:t>
            </w:r>
            <w:r>
              <w:rPr>
                <w:rFonts w:ascii="Times New Roman" w:hAnsi="Times New Roman" w:cs="Times New Roman"/>
                <w:bCs/>
                <w:color w:val="000000" w:themeColor="text1"/>
                <w:sz w:val="24"/>
                <w:szCs w:val="24"/>
              </w:rPr>
              <w:t>脱硫除尘固废直接作为项目制砖生产原料利用</w:t>
            </w:r>
            <w:r>
              <w:rPr>
                <w:rFonts w:hint="eastAsia" w:ascii="Times New Roman" w:hAnsi="Times New Roman" w:cs="Times New Roman"/>
                <w:bCs/>
                <w:color w:val="000000" w:themeColor="text1"/>
                <w:sz w:val="24"/>
                <w:szCs w:val="24"/>
              </w:rPr>
              <w:t>。</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脱硫除尘系统</w:t>
            </w:r>
            <w:r>
              <w:rPr>
                <w:rFonts w:ascii="Times New Roman" w:hAnsi="Times New Roman" w:cs="Times New Roman"/>
                <w:bCs/>
                <w:color w:val="000000" w:themeColor="text1"/>
                <w:sz w:val="24"/>
                <w:szCs w:val="24"/>
              </w:rPr>
              <w:t>工艺流程及产污节点如下图所示：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object>
                <v:shape id="_x0000_i1031" o:spt="75" type="#_x0000_t75" style="height:348pt;width:402pt;" o:ole="t" filled="f" o:preferrelative="t" stroked="f" coordsize="21600,21600">
                  <v:path/>
                  <v:fill on="f" focussize="0,0"/>
                  <v:stroke on="f" joinstyle="miter"/>
                  <v:imagedata r:id="rId18" o:title=""/>
                  <o:lock v:ext="edit" aspectratio="t"/>
                  <w10:wrap type="none"/>
                  <w10:anchorlock/>
                </v:shape>
                <o:OLEObject Type="Embed" ProgID="Visio.Drawing.11" ShapeID="_x0000_i1031" DrawAspect="Content" ObjectID="_1468075731" r:id="rId17">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2.8.2-2</w:t>
            </w:r>
            <w:r>
              <w:rPr>
                <w:rFonts w:ascii="Times New Roman" w:hAnsi="Times New Roman" w:eastAsia="宋体" w:cs="Times New Roman"/>
                <w:b/>
                <w:color w:val="000000" w:themeColor="text1"/>
                <w:szCs w:val="24"/>
              </w:rPr>
              <w:t xml:space="preserve">  </w:t>
            </w:r>
            <w:r>
              <w:rPr>
                <w:rFonts w:hint="eastAsia" w:ascii="Times New Roman" w:hAnsi="Times New Roman" w:eastAsia="宋体" w:cs="Times New Roman"/>
                <w:b/>
                <w:color w:val="000000" w:themeColor="text1"/>
                <w:szCs w:val="24"/>
              </w:rPr>
              <w:t>脱硫除尘系统</w:t>
            </w:r>
            <w:r>
              <w:rPr>
                <w:rFonts w:ascii="Times New Roman" w:hAnsi="Times New Roman" w:eastAsia="宋体" w:cs="Times New Roman"/>
                <w:b/>
                <w:color w:val="000000" w:themeColor="text1"/>
                <w:szCs w:val="24"/>
              </w:rPr>
              <w:t>流程及产污环节图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cs="Times New Roman" w:hAnsiTheme="minorEastAsia"/>
                <w:b/>
                <w:bCs/>
                <w:color w:val="000000" w:themeColor="text1"/>
                <w:sz w:val="24"/>
                <w:szCs w:val="24"/>
              </w:rPr>
              <w:t>脱硫系统简述</w:t>
            </w:r>
          </w:p>
          <w:p>
            <w:pPr>
              <w:spacing w:line="360" w:lineRule="auto"/>
              <w:ind w:firstLine="480" w:firstLineChars="200"/>
              <w:rPr>
                <w:rFonts w:ascii="Times New Roman" w:hAnsi="Times New Roman" w:cs="Times New Roman"/>
                <w:bCs/>
                <w:color w:val="000000" w:themeColor="text1"/>
                <w:sz w:val="24"/>
                <w:szCs w:val="24"/>
              </w:rPr>
            </w:pPr>
            <w:r>
              <w:rPr>
                <w:rFonts w:ascii="Times New Roman" w:cs="Times New Roman" w:hAnsiTheme="minorEastAsia"/>
                <w:bCs/>
                <w:color w:val="000000" w:themeColor="text1"/>
                <w:sz w:val="24"/>
                <w:szCs w:val="24"/>
              </w:rPr>
              <w:t>脱硫除尘系统采用双碱脱硫除尘工艺，根据《环境保护产品技术要求</w:t>
            </w:r>
            <w:r>
              <w:rPr>
                <w:rFonts w:ascii="Times New Roman" w:hAnsi="Times New Roman" w:cs="Times New Roman"/>
                <w:bCs/>
                <w:color w:val="000000" w:themeColor="text1"/>
                <w:sz w:val="24"/>
                <w:szCs w:val="24"/>
              </w:rPr>
              <w:t xml:space="preserve"> </w:t>
            </w:r>
            <w:r>
              <w:rPr>
                <w:rFonts w:ascii="Times New Roman" w:cs="Times New Roman" w:hAnsiTheme="minorEastAsia"/>
                <w:bCs/>
                <w:color w:val="000000" w:themeColor="text1"/>
                <w:sz w:val="24"/>
                <w:szCs w:val="24"/>
              </w:rPr>
              <w:t>湿式烟气脱硫除尘装置》（</w:t>
            </w:r>
            <w:r>
              <w:rPr>
                <w:rFonts w:ascii="Times New Roman" w:hAnsi="Times New Roman" w:cs="Times New Roman"/>
                <w:bCs/>
                <w:color w:val="000000" w:themeColor="text1"/>
                <w:sz w:val="24"/>
                <w:szCs w:val="24"/>
              </w:rPr>
              <w:t>HJ/T288-2006</w:t>
            </w:r>
            <w:r>
              <w:rPr>
                <w:rFonts w:ascii="Times New Roman" w:cs="Times New Roman" w:hAnsiTheme="minorEastAsia"/>
                <w:bCs/>
                <w:color w:val="000000" w:themeColor="text1"/>
                <w:sz w:val="24"/>
                <w:szCs w:val="24"/>
              </w:rPr>
              <w:t>）的要求，该脱硫除尘系统属于第二类脱硫装置（即：通过添加化学脱硫剂（碱性物质）降低烟气中的二氧化硫排放浓度的脱硫除尘装置）。因此该脱硫除尘系统严格按照第二类脱硫装置的要求进行设计，该工艺可分钠碱吸收、脱硫液再生、水循环三个部分，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fldChar w:fldCharType="begin"/>
            </w:r>
            <w:r>
              <w:rPr>
                <w:rFonts w:ascii="Times New Roman" w:cs="Times New Roman" w:hAnsiTheme="minorEastAsia"/>
                <w:b/>
                <w:color w:val="000000" w:themeColor="text1"/>
                <w:sz w:val="24"/>
                <w:szCs w:val="24"/>
              </w:rPr>
              <w:instrText xml:space="preserve"> </w:instrText>
            </w:r>
            <w:r>
              <w:rPr>
                <w:rFonts w:hint="eastAsia" w:ascii="Times New Roman" w:cs="Times New Roman" w:hAnsiTheme="minorEastAsia"/>
                <w:b/>
                <w:color w:val="000000" w:themeColor="text1"/>
                <w:sz w:val="24"/>
                <w:szCs w:val="24"/>
              </w:rPr>
              <w:instrText xml:space="preserve">= 1 \* GB2</w:instrText>
            </w:r>
            <w:r>
              <w:rPr>
                <w:rFonts w:ascii="Times New Roman" w:cs="Times New Roman" w:hAnsiTheme="minorEastAsia"/>
                <w:b/>
                <w:color w:val="000000" w:themeColor="text1"/>
                <w:sz w:val="24"/>
                <w:szCs w:val="24"/>
              </w:rPr>
              <w:instrText xml:space="preserve"> </w:instrText>
            </w:r>
            <w:r>
              <w:rPr>
                <w:rFonts w:ascii="Times New Roman" w:cs="Times New Roman" w:hAnsiTheme="minorEastAsia"/>
                <w:b/>
                <w:color w:val="000000" w:themeColor="text1"/>
                <w:sz w:val="24"/>
                <w:szCs w:val="24"/>
              </w:rPr>
              <w:fldChar w:fldCharType="separate"/>
            </w:r>
            <w:r>
              <w:rPr>
                <w:rFonts w:hint="eastAsia" w:ascii="Times New Roman" w:cs="Times New Roman" w:hAnsiTheme="minorEastAsia"/>
                <w:b/>
                <w:color w:val="000000" w:themeColor="text1"/>
                <w:sz w:val="24"/>
                <w:szCs w:val="24"/>
              </w:rPr>
              <w:t>⑴</w:t>
            </w:r>
            <w:r>
              <w:rPr>
                <w:rFonts w:ascii="Times New Roman" w:cs="Times New Roman" w:hAnsiTheme="minorEastAsia"/>
                <w:b/>
                <w:color w:val="000000" w:themeColor="text1"/>
                <w:sz w:val="24"/>
                <w:szCs w:val="24"/>
              </w:rPr>
              <w:fldChar w:fldCharType="end"/>
            </w:r>
            <w:r>
              <w:rPr>
                <w:rFonts w:ascii="Times New Roman" w:cs="Times New Roman" w:hAnsiTheme="minorEastAsia"/>
                <w:b/>
                <w:color w:val="000000" w:themeColor="text1"/>
                <w:sz w:val="24"/>
                <w:szCs w:val="24"/>
              </w:rPr>
              <w:t>钠碱吸收</w:t>
            </w:r>
            <w:r>
              <w:rPr>
                <w:rFonts w:ascii="Times New Roman" w:hAnsi="Times New Roman" w:cs="Times New Roman"/>
                <w:b/>
                <w:color w:val="000000" w:themeColor="text1"/>
                <w:sz w:val="24"/>
                <w:szCs w:val="24"/>
              </w:rPr>
              <w:t>SO</w:t>
            </w:r>
            <w:r>
              <w:rPr>
                <w:rFonts w:ascii="Times New Roman" w:hAnsi="Times New Roman" w:cs="Times New Roman"/>
                <w:b/>
                <w:color w:val="000000" w:themeColor="text1"/>
                <w:sz w:val="24"/>
                <w:szCs w:val="24"/>
                <w:vertAlign w:val="subscript"/>
              </w:rPr>
              <w:t>2</w:t>
            </w:r>
            <w:r>
              <w:rPr>
                <w:rFonts w:ascii="Times New Roman" w:cs="Times New Roman" w:hAnsiTheme="minorEastAsia"/>
                <w:b/>
                <w:color w:val="000000" w:themeColor="text1"/>
                <w:sz w:val="24"/>
                <w:szCs w:val="24"/>
              </w:rPr>
              <w:t>的工艺系统简述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焙烧烟气通过引风机从切线方向进入脱硫塔中的脱硫区，在旋风喷淋冷却段内，与来自配剂池和调节池的</w:t>
            </w:r>
            <w:r>
              <w:rPr>
                <w:rFonts w:ascii="Times New Roman" w:hAnsi="Times New Roman" w:cs="Times New Roman"/>
                <w:color w:val="000000" w:themeColor="text1"/>
                <w:sz w:val="24"/>
                <w:szCs w:val="24"/>
              </w:rPr>
              <w:t>NaOH</w:t>
            </w:r>
            <w:r>
              <w:rPr>
                <w:rFonts w:ascii="Times New Roman" w:cs="Times New Roman" w:hAnsiTheme="minorEastAsia"/>
                <w:color w:val="000000" w:themeColor="text1"/>
                <w:sz w:val="24"/>
                <w:szCs w:val="24"/>
              </w:rPr>
              <w:t>溶液雾化液进行充分的逆流反复接触碰撞，使烟气中</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ascii="Times New Roman" w:cs="Times New Roman" w:hAnsiTheme="minorEastAsia"/>
                <w:color w:val="000000" w:themeColor="text1"/>
                <w:sz w:val="24"/>
                <w:szCs w:val="24"/>
              </w:rPr>
              <w:t>有了充足的机会与脱硫液接触，并不断与雾滴相碰，其中</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ascii="Times New Roman" w:cs="Times New Roman" w:hAnsiTheme="minorEastAsia"/>
                <w:color w:val="000000" w:themeColor="text1"/>
                <w:sz w:val="24"/>
                <w:szCs w:val="24"/>
              </w:rPr>
              <w:t>与吸收液进行反应，从而被脱除，脱除烟气中的</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ascii="Times New Roman" w:cs="Times New Roman" w:hAnsiTheme="minorEastAsia"/>
                <w:color w:val="000000" w:themeColor="text1"/>
                <w:sz w:val="24"/>
                <w:szCs w:val="24"/>
              </w:rPr>
              <w:t>和小颗粒烟尘，脱硫后的脱硫液靠离心力被沿壁水膜带下流入塔体的塔釜循环区内。脱硫后的烟气旋流进入除雾区，在离心力的作用下和脱水装置碰撞下，细小含水粉尘和细小颗粒雾滴与烟气分离，累积形成大颗粒后在重力作用下落入塔体塔釜循环区。脱硫塔内的反应式如下：</w:t>
            </w:r>
          </w:p>
          <w:p>
            <w:pPr>
              <w:pStyle w:val="40"/>
              <w:ind w:firstLine="480"/>
              <w:rPr>
                <w:rFonts w:eastAsiaTheme="minorEastAsia"/>
                <w:color w:val="000000" w:themeColor="text1"/>
                <w:szCs w:val="24"/>
              </w:rPr>
            </w:pPr>
            <w:r>
              <w:rPr>
                <w:rFonts w:eastAsiaTheme="minorEastAsia"/>
                <w:color w:val="000000" w:themeColor="text1"/>
                <w:szCs w:val="24"/>
              </w:rPr>
              <w:t>2NaOH+SO</w:t>
            </w:r>
            <w:r>
              <w:rPr>
                <w:rFonts w:eastAsiaTheme="minorEastAsia"/>
                <w:color w:val="000000" w:themeColor="text1"/>
                <w:szCs w:val="24"/>
                <w:vertAlign w:val="subscript"/>
              </w:rPr>
              <w:t>2</w:t>
            </w:r>
            <w:r>
              <w:rPr>
                <w:rFonts w:eastAsiaTheme="minorEastAsia"/>
                <w:color w:val="000000" w:themeColor="text1"/>
                <w:szCs w:val="24"/>
              </w:rPr>
              <w:t xml:space="preserve"> =Na</w:t>
            </w:r>
            <w:r>
              <w:rPr>
                <w:rFonts w:eastAsiaTheme="minorEastAsia"/>
                <w:color w:val="000000" w:themeColor="text1"/>
                <w:szCs w:val="24"/>
                <w:vertAlign w:val="subscript"/>
              </w:rPr>
              <w:t>2</w:t>
            </w:r>
            <w:r>
              <w:rPr>
                <w:rFonts w:eastAsiaTheme="minorEastAsia"/>
                <w:color w:val="000000" w:themeColor="text1"/>
                <w:szCs w:val="24"/>
              </w:rPr>
              <w:t>SO</w:t>
            </w:r>
            <w:r>
              <w:rPr>
                <w:rFonts w:eastAsiaTheme="minorEastAsia"/>
                <w:color w:val="000000" w:themeColor="text1"/>
                <w:szCs w:val="24"/>
                <w:vertAlign w:val="subscript"/>
              </w:rPr>
              <w:t>3</w:t>
            </w:r>
            <w:r>
              <w:rPr>
                <w:rFonts w:eastAsiaTheme="minorEastAsia"/>
                <w:color w:val="000000" w:themeColor="text1"/>
                <w:szCs w:val="24"/>
              </w:rPr>
              <w:t xml:space="preserve"> +H</w:t>
            </w:r>
            <w:r>
              <w:rPr>
                <w:rFonts w:eastAsiaTheme="minorEastAsia"/>
                <w:color w:val="000000" w:themeColor="text1"/>
                <w:szCs w:val="24"/>
                <w:vertAlign w:val="subscript"/>
              </w:rPr>
              <w:t>2</w:t>
            </w:r>
            <w:r>
              <w:rPr>
                <w:rFonts w:eastAsiaTheme="minorEastAsia"/>
                <w:color w:val="000000" w:themeColor="text1"/>
                <w:szCs w:val="24"/>
              </w:rPr>
              <w:t>O</w:t>
            </w:r>
            <w:r>
              <w:rPr>
                <w:rFonts w:hAnsiTheme="minorEastAsia" w:eastAsiaTheme="minorEastAsia"/>
                <w:color w:val="000000" w:themeColor="text1"/>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O=2NaHSO</w:t>
            </w:r>
            <w:r>
              <w:rPr>
                <w:rFonts w:ascii="Times New Roman" w:hAnsi="Times New Roman" w:cs="Times New Roman"/>
                <w:color w:val="000000" w:themeColor="text1"/>
                <w:sz w:val="24"/>
                <w:szCs w:val="24"/>
                <w:vertAlign w:val="subscript"/>
              </w:rPr>
              <w:t>3</w:t>
            </w:r>
            <w:r>
              <w:rPr>
                <w:rFonts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fldChar w:fldCharType="begin"/>
            </w:r>
            <w:r>
              <w:rPr>
                <w:rFonts w:ascii="Times New Roman" w:cs="Times New Roman" w:hAnsiTheme="minorEastAsia"/>
                <w:b/>
                <w:color w:val="000000" w:themeColor="text1"/>
                <w:sz w:val="24"/>
                <w:szCs w:val="24"/>
              </w:rPr>
              <w:instrText xml:space="preserve"> </w:instrText>
            </w:r>
            <w:r>
              <w:rPr>
                <w:rFonts w:hint="eastAsia" w:ascii="Times New Roman" w:cs="Times New Roman" w:hAnsiTheme="minorEastAsia"/>
                <w:b/>
                <w:color w:val="000000" w:themeColor="text1"/>
                <w:sz w:val="24"/>
                <w:szCs w:val="24"/>
              </w:rPr>
              <w:instrText xml:space="preserve">= 2 \* GB2</w:instrText>
            </w:r>
            <w:r>
              <w:rPr>
                <w:rFonts w:ascii="Times New Roman" w:cs="Times New Roman" w:hAnsiTheme="minorEastAsia"/>
                <w:b/>
                <w:color w:val="000000" w:themeColor="text1"/>
                <w:sz w:val="24"/>
                <w:szCs w:val="24"/>
              </w:rPr>
              <w:instrText xml:space="preserve"> </w:instrText>
            </w:r>
            <w:r>
              <w:rPr>
                <w:rFonts w:ascii="Times New Roman" w:cs="Times New Roman" w:hAnsiTheme="minorEastAsia"/>
                <w:b/>
                <w:color w:val="000000" w:themeColor="text1"/>
                <w:sz w:val="24"/>
                <w:szCs w:val="24"/>
              </w:rPr>
              <w:fldChar w:fldCharType="separate"/>
            </w:r>
            <w:r>
              <w:rPr>
                <w:rFonts w:hint="eastAsia" w:ascii="Times New Roman" w:cs="Times New Roman" w:hAnsiTheme="minorEastAsia"/>
                <w:b/>
                <w:color w:val="000000" w:themeColor="text1"/>
                <w:sz w:val="24"/>
                <w:szCs w:val="24"/>
              </w:rPr>
              <w:t>⑵</w:t>
            </w:r>
            <w:r>
              <w:rPr>
                <w:rFonts w:ascii="Times New Roman" w:cs="Times New Roman" w:hAnsiTheme="minorEastAsia"/>
                <w:b/>
                <w:color w:val="000000" w:themeColor="text1"/>
                <w:sz w:val="24"/>
                <w:szCs w:val="24"/>
              </w:rPr>
              <w:fldChar w:fldCharType="end"/>
            </w:r>
            <w:r>
              <w:rPr>
                <w:rFonts w:ascii="Times New Roman" w:cs="Times New Roman" w:hAnsiTheme="minorEastAsia"/>
                <w:b/>
                <w:color w:val="000000" w:themeColor="text1"/>
                <w:sz w:val="24"/>
                <w:szCs w:val="24"/>
              </w:rPr>
              <w:t>脱硫液再生</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脱硫塔脱硫后的脱硫液主要成分为</w:t>
            </w:r>
            <w:r>
              <w:rPr>
                <w:rFonts w:ascii="Times New Roman" w:hAnsi="Times New Roman" w:cs="Times New Roman"/>
                <w:color w:val="000000" w:themeColor="text1"/>
                <w:sz w:val="24"/>
                <w:szCs w:val="24"/>
              </w:rPr>
              <w:t>Na</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w:t>
            </w:r>
            <w:r>
              <w:rPr>
                <w:rFonts w:ascii="Times New Roman" w:cs="Times New Roman" w:hAnsiTheme="minorEastAsia"/>
                <w:color w:val="000000" w:themeColor="text1"/>
                <w:sz w:val="24"/>
                <w:szCs w:val="24"/>
              </w:rPr>
              <w:t>和</w:t>
            </w:r>
            <w:r>
              <w:rPr>
                <w:rFonts w:ascii="Times New Roman" w:hAnsi="Times New Roman" w:cs="Times New Roman"/>
                <w:color w:val="000000" w:themeColor="text1"/>
                <w:sz w:val="24"/>
                <w:szCs w:val="24"/>
              </w:rPr>
              <w:t>NaHSO</w:t>
            </w:r>
            <w:r>
              <w:rPr>
                <w:rFonts w:ascii="Times New Roman" w:hAnsi="Times New Roman" w:cs="Times New Roman"/>
                <w:color w:val="000000" w:themeColor="text1"/>
                <w:sz w:val="24"/>
                <w:szCs w:val="24"/>
                <w:vertAlign w:val="subscript"/>
              </w:rPr>
              <w:t>3</w:t>
            </w:r>
            <w:r>
              <w:rPr>
                <w:rFonts w:ascii="Times New Roman" w:cs="Times New Roman" w:hAnsiTheme="minorEastAsia"/>
                <w:color w:val="000000" w:themeColor="text1"/>
                <w:sz w:val="24"/>
                <w:szCs w:val="24"/>
              </w:rPr>
              <w:t>溶液，定时排除至絮凝池，在絮凝池内加入适量的</w:t>
            </w:r>
            <w:r>
              <w:rPr>
                <w:rFonts w:ascii="Times New Roman" w:hAnsi="Times New Roman" w:cs="Times New Roman"/>
                <w:color w:val="000000" w:themeColor="text1"/>
                <w:sz w:val="24"/>
                <w:szCs w:val="24"/>
              </w:rPr>
              <w:t>Ca</w:t>
            </w:r>
            <w:r>
              <w:rPr>
                <w:rFonts w:hint="eastAsia" w:ascii="Times New Roman" w:hAnsi="Times New Roman" w:cs="Times New Roman"/>
                <w:color w:val="000000" w:themeColor="text1"/>
                <w:sz w:val="24"/>
                <w:szCs w:val="24"/>
              </w:rPr>
              <w:t>O，和水反应生成</w:t>
            </w:r>
            <w:r>
              <w:rPr>
                <w:rFonts w:ascii="Times New Roman" w:hAnsi="Times New Roman" w:cs="Times New Roman"/>
                <w:color w:val="000000" w:themeColor="text1"/>
                <w:sz w:val="24"/>
                <w:szCs w:val="24"/>
              </w:rPr>
              <w:t>Ca</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OH</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rPr>
              <w:t>后</w:t>
            </w:r>
            <w:r>
              <w:rPr>
                <w:rFonts w:ascii="Times New Roman" w:cs="Times New Roman" w:hAnsiTheme="minorEastAsia"/>
                <w:color w:val="000000" w:themeColor="text1"/>
                <w:sz w:val="24"/>
                <w:szCs w:val="24"/>
              </w:rPr>
              <w:t>和</w:t>
            </w:r>
            <w:r>
              <w:rPr>
                <w:rFonts w:ascii="Times New Roman" w:hAnsi="Times New Roman" w:cs="Times New Roman"/>
                <w:color w:val="000000" w:themeColor="text1"/>
                <w:sz w:val="24"/>
                <w:szCs w:val="24"/>
              </w:rPr>
              <w:t>Na</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NaHSO</w:t>
            </w:r>
            <w:r>
              <w:rPr>
                <w:rFonts w:ascii="Times New Roman" w:hAnsi="Times New Roman" w:cs="Times New Roman"/>
                <w:color w:val="000000" w:themeColor="text1"/>
                <w:sz w:val="24"/>
                <w:szCs w:val="24"/>
                <w:vertAlign w:val="subscript"/>
              </w:rPr>
              <w:t>3</w:t>
            </w:r>
            <w:r>
              <w:rPr>
                <w:rFonts w:ascii="Times New Roman" w:cs="Times New Roman" w:hAnsiTheme="minorEastAsia"/>
                <w:color w:val="000000" w:themeColor="text1"/>
                <w:sz w:val="24"/>
                <w:szCs w:val="24"/>
              </w:rPr>
              <w:t>反应还原再生为</w:t>
            </w:r>
            <w:r>
              <w:rPr>
                <w:rFonts w:ascii="Times New Roman" w:hAnsi="Times New Roman" w:cs="Times New Roman"/>
                <w:color w:val="000000" w:themeColor="text1"/>
                <w:sz w:val="24"/>
                <w:szCs w:val="24"/>
              </w:rPr>
              <w:t>NaOH</w:t>
            </w:r>
            <w:r>
              <w:rPr>
                <w:rFonts w:ascii="Times New Roman" w:cs="Times New Roman" w:hAnsiTheme="minorEastAsia"/>
                <w:color w:val="000000" w:themeColor="text1"/>
                <w:sz w:val="24"/>
                <w:szCs w:val="24"/>
              </w:rPr>
              <w:t>溶液，同时产生</w:t>
            </w:r>
            <w:r>
              <w:rPr>
                <w:rFonts w:ascii="Times New Roman" w:hAnsi="Times New Roman" w:cs="Times New Roman"/>
                <w:color w:val="000000" w:themeColor="text1"/>
                <w:sz w:val="24"/>
                <w:szCs w:val="24"/>
              </w:rPr>
              <w:t>CaSO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r>
              <w:rPr>
                <w:rFonts w:ascii="Times New Roman" w:cs="Times New Roman" w:hAnsiTheme="minorEastAsia"/>
                <w:color w:val="000000" w:themeColor="text1"/>
                <w:sz w:val="24"/>
                <w:szCs w:val="24"/>
              </w:rPr>
              <w:t>和</w:t>
            </w:r>
            <w:r>
              <w:rPr>
                <w:rFonts w:ascii="Times New Roman" w:hAnsi="Times New Roman" w:cs="Times New Roman"/>
                <w:color w:val="000000" w:themeColor="text1"/>
                <w:sz w:val="24"/>
                <w:szCs w:val="24"/>
              </w:rPr>
              <w:t>CaSO</w:t>
            </w:r>
            <w:r>
              <w:rPr>
                <w:rFonts w:ascii="Times New Roman" w:hAnsi="Times New Roman" w:cs="Times New Roman"/>
                <w:color w:val="000000" w:themeColor="text1"/>
                <w:sz w:val="24"/>
                <w:szCs w:val="24"/>
                <w:vertAlign w:val="subscript"/>
              </w:rPr>
              <w:t>3</w:t>
            </w:r>
            <w:r>
              <w:rPr>
                <w:rFonts w:ascii="Times New Roman" w:cs="Times New Roman" w:hAnsiTheme="minorEastAsia"/>
                <w:color w:val="000000" w:themeColor="text1"/>
                <w:sz w:val="24"/>
                <w:szCs w:val="24"/>
              </w:rPr>
              <w:t>等物质，</w:t>
            </w:r>
            <w:r>
              <w:rPr>
                <w:rFonts w:ascii="Times New Roman" w:hAnsi="Times New Roman" w:cs="Times New Roman"/>
                <w:color w:val="000000" w:themeColor="text1"/>
                <w:sz w:val="24"/>
                <w:szCs w:val="24"/>
              </w:rPr>
              <w:t>CaSO</w:t>
            </w:r>
            <w:r>
              <w:rPr>
                <w:rFonts w:ascii="Times New Roman" w:hAnsi="Times New Roman" w:cs="Times New Roman"/>
                <w:color w:val="000000" w:themeColor="text1"/>
                <w:sz w:val="24"/>
                <w:szCs w:val="24"/>
                <w:vertAlign w:val="subscript"/>
              </w:rPr>
              <w:t>3</w:t>
            </w:r>
            <w:r>
              <w:rPr>
                <w:rFonts w:ascii="Times New Roman" w:cs="Times New Roman" w:hAnsiTheme="minorEastAsia"/>
                <w:color w:val="000000" w:themeColor="text1"/>
                <w:sz w:val="24"/>
                <w:szCs w:val="24"/>
              </w:rPr>
              <w:t>和</w:t>
            </w:r>
            <w:r>
              <w:rPr>
                <w:rFonts w:ascii="Times New Roman" w:hAnsi="Times New Roman" w:cs="Times New Roman"/>
                <w:color w:val="000000" w:themeColor="text1"/>
                <w:sz w:val="24"/>
                <w:szCs w:val="24"/>
              </w:rPr>
              <w:t>CaSO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r>
              <w:rPr>
                <w:rFonts w:ascii="Times New Roman" w:cs="Times New Roman" w:hAnsiTheme="minorEastAsia"/>
                <w:color w:val="000000" w:themeColor="text1"/>
                <w:sz w:val="24"/>
                <w:szCs w:val="24"/>
              </w:rPr>
              <w:t>水中的溶解度较小，清挖后使用板框压滤机脱水后的压滤渣形成脱硫固废，压滤后液进入澄清池澄清后循环使用；还原再生反应式如下：</w:t>
            </w:r>
          </w:p>
          <w:p>
            <w:pPr>
              <w:pStyle w:val="40"/>
              <w:ind w:firstLine="480"/>
              <w:rPr>
                <w:rFonts w:eastAsiaTheme="minorEastAsia"/>
                <w:color w:val="000000" w:themeColor="text1"/>
                <w:szCs w:val="24"/>
              </w:rPr>
            </w:pPr>
            <w:r>
              <w:rPr>
                <w:rFonts w:hint="eastAsia" w:eastAsiaTheme="minorEastAsia"/>
                <w:color w:val="000000" w:themeColor="text1"/>
                <w:szCs w:val="24"/>
              </w:rPr>
              <w:t>CaO+H</w:t>
            </w:r>
            <w:r>
              <w:rPr>
                <w:rFonts w:hint="eastAsia" w:eastAsiaTheme="minorEastAsia"/>
                <w:color w:val="000000" w:themeColor="text1"/>
                <w:szCs w:val="24"/>
                <w:vertAlign w:val="subscript"/>
              </w:rPr>
              <w:t>2</w:t>
            </w:r>
            <w:r>
              <w:rPr>
                <w:rFonts w:hint="eastAsia" w:eastAsiaTheme="minorEastAsia"/>
                <w:color w:val="000000" w:themeColor="text1"/>
                <w:szCs w:val="24"/>
              </w:rPr>
              <w:t>O</w:t>
            </w:r>
            <w:r>
              <w:rPr>
                <w:rFonts w:eastAsiaTheme="minorEastAsia"/>
                <w:color w:val="000000" w:themeColor="text1"/>
                <w:szCs w:val="24"/>
              </w:rPr>
              <w:t>=Ca（OH）</w:t>
            </w:r>
            <w:r>
              <w:rPr>
                <w:rFonts w:eastAsiaTheme="minorEastAsia"/>
                <w:color w:val="000000" w:themeColor="text1"/>
                <w:szCs w:val="24"/>
                <w:vertAlign w:val="subscript"/>
              </w:rPr>
              <w:t>2</w:t>
            </w:r>
          </w:p>
          <w:p>
            <w:pPr>
              <w:pStyle w:val="40"/>
              <w:ind w:firstLine="480"/>
              <w:rPr>
                <w:rFonts w:eastAsiaTheme="minorEastAsia"/>
                <w:color w:val="000000" w:themeColor="text1"/>
                <w:szCs w:val="24"/>
              </w:rPr>
            </w:pPr>
            <w:r>
              <w:rPr>
                <w:rFonts w:eastAsiaTheme="minorEastAsia"/>
                <w:color w:val="000000" w:themeColor="text1"/>
                <w:szCs w:val="24"/>
              </w:rPr>
              <w:t>2NaHSO</w:t>
            </w:r>
            <w:r>
              <w:rPr>
                <w:rFonts w:eastAsiaTheme="minorEastAsia"/>
                <w:color w:val="000000" w:themeColor="text1"/>
                <w:szCs w:val="24"/>
                <w:vertAlign w:val="subscript"/>
              </w:rPr>
              <w:t>3</w:t>
            </w:r>
            <w:r>
              <w:rPr>
                <w:rFonts w:eastAsiaTheme="minorEastAsia"/>
                <w:color w:val="000000" w:themeColor="text1"/>
                <w:szCs w:val="24"/>
              </w:rPr>
              <w:t xml:space="preserve"> +Ca</w:t>
            </w:r>
            <w:r>
              <w:rPr>
                <w:rFonts w:hAnsiTheme="minorEastAsia" w:eastAsiaTheme="minorEastAsia"/>
                <w:color w:val="000000" w:themeColor="text1"/>
                <w:szCs w:val="24"/>
              </w:rPr>
              <w:t>（</w:t>
            </w:r>
            <w:r>
              <w:rPr>
                <w:rFonts w:eastAsiaTheme="minorEastAsia"/>
                <w:color w:val="000000" w:themeColor="text1"/>
                <w:szCs w:val="24"/>
              </w:rPr>
              <w:t>OH</w:t>
            </w:r>
            <w:r>
              <w:rPr>
                <w:rFonts w:hAnsiTheme="minorEastAsia" w:eastAsiaTheme="minorEastAsia"/>
                <w:color w:val="000000" w:themeColor="text1"/>
                <w:szCs w:val="24"/>
              </w:rPr>
              <w:t>）</w:t>
            </w:r>
            <w:r>
              <w:rPr>
                <w:rFonts w:eastAsiaTheme="minorEastAsia"/>
                <w:color w:val="000000" w:themeColor="text1"/>
                <w:szCs w:val="24"/>
                <w:vertAlign w:val="subscript"/>
              </w:rPr>
              <w:t>2</w:t>
            </w:r>
            <w:r>
              <w:rPr>
                <w:rFonts w:eastAsiaTheme="minorEastAsia"/>
                <w:color w:val="000000" w:themeColor="text1"/>
                <w:szCs w:val="24"/>
              </w:rPr>
              <w:t xml:space="preserve"> =Na</w:t>
            </w:r>
            <w:r>
              <w:rPr>
                <w:rFonts w:eastAsiaTheme="minorEastAsia"/>
                <w:color w:val="000000" w:themeColor="text1"/>
                <w:szCs w:val="24"/>
                <w:vertAlign w:val="subscript"/>
              </w:rPr>
              <w:t>2</w:t>
            </w:r>
            <w:r>
              <w:rPr>
                <w:rFonts w:eastAsiaTheme="minorEastAsia"/>
                <w:color w:val="000000" w:themeColor="text1"/>
                <w:szCs w:val="24"/>
              </w:rPr>
              <w:t>SO</w:t>
            </w:r>
            <w:r>
              <w:rPr>
                <w:rFonts w:eastAsiaTheme="minorEastAsia"/>
                <w:color w:val="000000" w:themeColor="text1"/>
                <w:szCs w:val="24"/>
                <w:vertAlign w:val="subscript"/>
              </w:rPr>
              <w:t>3</w:t>
            </w:r>
            <w:r>
              <w:rPr>
                <w:rFonts w:eastAsiaTheme="minorEastAsia"/>
                <w:color w:val="000000" w:themeColor="text1"/>
                <w:szCs w:val="24"/>
              </w:rPr>
              <w:t>+CaSO</w:t>
            </w:r>
            <w:r>
              <w:rPr>
                <w:rFonts w:eastAsiaTheme="minorEastAsia"/>
                <w:color w:val="000000" w:themeColor="text1"/>
                <w:szCs w:val="24"/>
                <w:vertAlign w:val="subscript"/>
              </w:rPr>
              <w:t>3</w:t>
            </w:r>
            <w:r>
              <w:rPr>
                <w:rFonts w:eastAsiaTheme="minorEastAsia"/>
                <w:color w:val="000000" w:themeColor="text1"/>
                <w:szCs w:val="24"/>
              </w:rPr>
              <w:t>·1/2H</w:t>
            </w:r>
            <w:r>
              <w:rPr>
                <w:rFonts w:eastAsiaTheme="minorEastAsia"/>
                <w:color w:val="000000" w:themeColor="text1"/>
                <w:szCs w:val="24"/>
                <w:vertAlign w:val="subscript"/>
              </w:rPr>
              <w:t>2</w:t>
            </w:r>
            <w:r>
              <w:rPr>
                <w:rFonts w:eastAsiaTheme="minorEastAsia"/>
                <w:color w:val="000000" w:themeColor="text1"/>
                <w:szCs w:val="24"/>
              </w:rPr>
              <w:t>O↓+3/2H</w:t>
            </w:r>
            <w:r>
              <w:rPr>
                <w:rFonts w:eastAsiaTheme="minorEastAsia"/>
                <w:color w:val="000000" w:themeColor="text1"/>
                <w:szCs w:val="24"/>
                <w:vertAlign w:val="subscript"/>
              </w:rPr>
              <w:t>2</w:t>
            </w:r>
            <w:r>
              <w:rPr>
                <w:rFonts w:eastAsiaTheme="minorEastAsia"/>
                <w:color w:val="000000" w:themeColor="text1"/>
                <w:szCs w:val="24"/>
              </w:rPr>
              <w:t>O</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 Ca</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OH</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 CaSO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NaOH</w:t>
            </w:r>
          </w:p>
          <w:p>
            <w:pPr>
              <w:spacing w:line="360" w:lineRule="auto"/>
              <w:ind w:firstLine="482" w:firstLineChars="20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fldChar w:fldCharType="begin"/>
            </w:r>
            <w:r>
              <w:rPr>
                <w:rFonts w:ascii="Times New Roman" w:cs="Times New Roman" w:hAnsiTheme="minorEastAsia"/>
                <w:b/>
                <w:color w:val="000000" w:themeColor="text1"/>
                <w:sz w:val="24"/>
                <w:szCs w:val="24"/>
              </w:rPr>
              <w:instrText xml:space="preserve"> </w:instrText>
            </w:r>
            <w:r>
              <w:rPr>
                <w:rFonts w:hint="eastAsia" w:ascii="Times New Roman" w:cs="Times New Roman" w:hAnsiTheme="minorEastAsia"/>
                <w:b/>
                <w:color w:val="000000" w:themeColor="text1"/>
                <w:sz w:val="24"/>
                <w:szCs w:val="24"/>
              </w:rPr>
              <w:instrText xml:space="preserve">= 3 \* GB2</w:instrText>
            </w:r>
            <w:r>
              <w:rPr>
                <w:rFonts w:ascii="Times New Roman" w:cs="Times New Roman" w:hAnsiTheme="minorEastAsia"/>
                <w:b/>
                <w:color w:val="000000" w:themeColor="text1"/>
                <w:sz w:val="24"/>
                <w:szCs w:val="24"/>
              </w:rPr>
              <w:instrText xml:space="preserve"> </w:instrText>
            </w:r>
            <w:r>
              <w:rPr>
                <w:rFonts w:ascii="Times New Roman" w:cs="Times New Roman" w:hAnsiTheme="minorEastAsia"/>
                <w:b/>
                <w:color w:val="000000" w:themeColor="text1"/>
                <w:sz w:val="24"/>
                <w:szCs w:val="24"/>
              </w:rPr>
              <w:fldChar w:fldCharType="separate"/>
            </w:r>
            <w:r>
              <w:rPr>
                <w:rFonts w:hint="eastAsia" w:ascii="Times New Roman" w:cs="Times New Roman" w:hAnsiTheme="minorEastAsia"/>
                <w:b/>
                <w:color w:val="000000" w:themeColor="text1"/>
                <w:sz w:val="24"/>
                <w:szCs w:val="24"/>
              </w:rPr>
              <w:t>⑶</w:t>
            </w:r>
            <w:r>
              <w:rPr>
                <w:rFonts w:ascii="Times New Roman" w:cs="Times New Roman" w:hAnsiTheme="minorEastAsia"/>
                <w:b/>
                <w:color w:val="000000" w:themeColor="text1"/>
                <w:sz w:val="24"/>
                <w:szCs w:val="24"/>
              </w:rPr>
              <w:fldChar w:fldCharType="end"/>
            </w:r>
            <w:r>
              <w:rPr>
                <w:rFonts w:ascii="Times New Roman" w:cs="Times New Roman" w:hAnsiTheme="minorEastAsia"/>
                <w:b/>
                <w:color w:val="000000" w:themeColor="text1"/>
                <w:sz w:val="24"/>
                <w:szCs w:val="24"/>
              </w:rPr>
              <w:t>水循环</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再生后的</w:t>
            </w:r>
            <w:r>
              <w:rPr>
                <w:rFonts w:ascii="Times New Roman" w:hAnsi="Times New Roman" w:cs="Times New Roman"/>
                <w:color w:val="000000" w:themeColor="text1"/>
                <w:sz w:val="24"/>
                <w:szCs w:val="24"/>
              </w:rPr>
              <w:t>NaOH</w:t>
            </w:r>
            <w:r>
              <w:rPr>
                <w:rFonts w:ascii="Times New Roman" w:cs="Times New Roman" w:hAnsiTheme="minorEastAsia"/>
                <w:color w:val="000000" w:themeColor="text1"/>
                <w:sz w:val="24"/>
                <w:szCs w:val="24"/>
              </w:rPr>
              <w:t>溶液，由于含有</w:t>
            </w:r>
            <w:r>
              <w:rPr>
                <w:rFonts w:ascii="Times New Roman" w:hAnsi="Times New Roman" w:cs="Times New Roman"/>
                <w:color w:val="000000" w:themeColor="text1"/>
                <w:sz w:val="24"/>
                <w:szCs w:val="24"/>
              </w:rPr>
              <w:t>SS</w:t>
            </w:r>
            <w:r>
              <w:rPr>
                <w:rFonts w:ascii="Times New Roman" w:cs="Times New Roman" w:hAnsiTheme="minorEastAsia"/>
                <w:color w:val="000000" w:themeColor="text1"/>
                <w:sz w:val="24"/>
                <w:szCs w:val="24"/>
              </w:rPr>
              <w:t>等杂质，进入澄清池澄清后进入配剂池循环使用，脱硫除尘系统设置了一个配剂池和调节池，主要在配剂池内加入</w:t>
            </w:r>
            <w:r>
              <w:rPr>
                <w:rFonts w:ascii="Times New Roman" w:hAnsi="Times New Roman" w:cs="Times New Roman"/>
                <w:color w:val="000000" w:themeColor="text1"/>
                <w:sz w:val="24"/>
                <w:szCs w:val="24"/>
              </w:rPr>
              <w:t>NaOH</w:t>
            </w:r>
            <w:r>
              <w:rPr>
                <w:rFonts w:ascii="Times New Roman" w:cs="Times New Roman" w:hAnsiTheme="minorEastAsia"/>
                <w:color w:val="000000" w:themeColor="text1"/>
                <w:sz w:val="24"/>
                <w:szCs w:val="24"/>
              </w:rPr>
              <w:t>配置碱液，其次根据脱硫塔内</w:t>
            </w:r>
            <w:r>
              <w:rPr>
                <w:rFonts w:ascii="Times New Roman" w:hAnsi="Times New Roman" w:cs="Times New Roman"/>
                <w:color w:val="000000" w:themeColor="text1"/>
                <w:sz w:val="24"/>
                <w:szCs w:val="24"/>
              </w:rPr>
              <w:t>pH</w:t>
            </w:r>
            <w:r>
              <w:rPr>
                <w:rFonts w:ascii="Times New Roman" w:cs="Times New Roman" w:hAnsiTheme="minorEastAsia"/>
                <w:color w:val="000000" w:themeColor="text1"/>
                <w:sz w:val="24"/>
                <w:szCs w:val="24"/>
              </w:rPr>
              <w:t>值的范围要求，在调节池添加适量的</w:t>
            </w:r>
            <w:r>
              <w:rPr>
                <w:rFonts w:ascii="Times New Roman" w:hAnsi="Times New Roman" w:cs="Times New Roman"/>
                <w:color w:val="000000" w:themeColor="text1"/>
                <w:sz w:val="24"/>
                <w:szCs w:val="24"/>
              </w:rPr>
              <w:t>NaOH</w:t>
            </w:r>
            <w:r>
              <w:rPr>
                <w:rFonts w:ascii="Times New Roman" w:cs="Times New Roman" w:hAnsiTheme="minorEastAsia"/>
                <w:color w:val="000000" w:themeColor="text1"/>
                <w:sz w:val="24"/>
                <w:szCs w:val="24"/>
              </w:rPr>
              <w:t>，配置调节碱液，保持脱硫塔最佳脱硫效率；碱液在脱硫塔脱硫后形成脱硫液在絮凝池沉淀再生后循环使用。</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由于钠碱双碱法脱硫循环水基本上是</w:t>
            </w:r>
            <w:r>
              <w:rPr>
                <w:rFonts w:ascii="Times New Roman" w:hAnsi="Times New Roman" w:cs="Times New Roman"/>
                <w:color w:val="000000" w:themeColor="text1"/>
                <w:sz w:val="24"/>
                <w:szCs w:val="24"/>
              </w:rPr>
              <w:t>[Na</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的水溶液，在循环过程中对水泵、管道、设备均无腐蚀与堵塞现象，因此便于设备运行与保养；另外吸收剂的再生和脱硫渣的沉淀发生在塔外，这样避免了塔内堵塞和磨损，提高了运行的可靠性，降低了操作费用；钠基吸收液吸收</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ascii="Times New Roman" w:cs="Times New Roman" w:hAnsiTheme="minorEastAsia"/>
                <w:color w:val="000000" w:themeColor="text1"/>
                <w:sz w:val="24"/>
                <w:szCs w:val="24"/>
              </w:rPr>
              <w:t>速度快，故可用较小的液气比，达到较高的脱硫效率，烟尘去除率85%、二氧化硫去除率为90%</w:t>
            </w:r>
            <w:r>
              <w:rPr>
                <w:rFonts w:hint="eastAsia" w:ascii="Times New Roman" w:cs="Times New Roman" w:hAnsiTheme="minorEastAsia"/>
                <w:color w:val="000000" w:themeColor="text1"/>
                <w:sz w:val="24"/>
                <w:szCs w:val="24"/>
              </w:rPr>
              <w:t>，另外</w:t>
            </w:r>
            <w:r>
              <w:rPr>
                <w:rFonts w:ascii="Times New Roman" w:hAnsi="Times New Roman" w:cs="Times New Roman"/>
                <w:bCs/>
                <w:color w:val="000000" w:themeColor="text1"/>
                <w:sz w:val="24"/>
                <w:szCs w:val="24"/>
              </w:rPr>
              <w:t>根据文献《砖瓦厂氟化物排放研究》（浙江农业大学）的研究表明，项目采用该脱硫除尘系统采用钠碱双碱还原法脱硫除尘工艺，以水和碱性溶液为吸收剂，而HF和SiF</w:t>
            </w:r>
            <w:r>
              <w:rPr>
                <w:rFonts w:ascii="Times New Roman" w:hAnsi="Times New Roman" w:cs="Times New Roman"/>
                <w:bCs/>
                <w:color w:val="000000" w:themeColor="text1"/>
                <w:sz w:val="24"/>
                <w:szCs w:val="24"/>
                <w:vertAlign w:val="subscript"/>
              </w:rPr>
              <w:t>4</w:t>
            </w:r>
            <w:r>
              <w:rPr>
                <w:rFonts w:ascii="Times New Roman" w:hAnsi="Times New Roman" w:cs="Times New Roman"/>
                <w:bCs/>
                <w:color w:val="000000" w:themeColor="text1"/>
                <w:sz w:val="24"/>
                <w:szCs w:val="24"/>
              </w:rPr>
              <w:t>都易溶于水，在净化过程中净化率高于</w:t>
            </w:r>
            <w:r>
              <w:rPr>
                <w:rFonts w:hint="eastAsia"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0%</w:t>
            </w:r>
            <w:r>
              <w:rPr>
                <w:rFonts w:hint="eastAsia" w:ascii="Times New Roman" w:hAnsi="Times New Roman" w:cs="Times New Roman"/>
                <w:bCs/>
                <w:color w:val="000000" w:themeColor="text1"/>
                <w:sz w:val="24"/>
                <w:szCs w:val="24"/>
              </w:rPr>
              <w:t>，则</w:t>
            </w:r>
            <w:r>
              <w:rPr>
                <w:rFonts w:ascii="Times New Roman" w:cs="Times New Roman" w:hAnsiTheme="minorEastAsia"/>
                <w:color w:val="000000" w:themeColor="text1"/>
                <w:sz w:val="24"/>
                <w:szCs w:val="24"/>
              </w:rPr>
              <w:t>氟化物去除率为</w:t>
            </w:r>
            <w:r>
              <w:rPr>
                <w:rFonts w:ascii="Times New Roman" w:hAnsi="Times New Roman" w:cs="Times New Roman"/>
                <w:color w:val="000000" w:themeColor="text1"/>
                <w:sz w:val="24"/>
                <w:szCs w:val="24"/>
              </w:rPr>
              <w:t>70%</w:t>
            </w:r>
            <w:r>
              <w:rPr>
                <w:rFonts w:ascii="Times New Roman" w:cs="Times New Roman" w:hAnsiTheme="minorEastAsia"/>
                <w:color w:val="000000" w:themeColor="text1"/>
                <w:sz w:val="24"/>
                <w:szCs w:val="24"/>
              </w:rPr>
              <w:t>。处理后的烟气通过</w:t>
            </w:r>
            <w:r>
              <w:rPr>
                <w:rFonts w:ascii="Times New Roman" w:hAnsi="Times New Roman" w:cs="Times New Roman"/>
                <w:color w:val="000000" w:themeColor="text1"/>
                <w:sz w:val="24"/>
                <w:szCs w:val="24"/>
              </w:rPr>
              <w:t>18m</w:t>
            </w:r>
            <w:r>
              <w:rPr>
                <w:rFonts w:ascii="Times New Roman" w:cs="Times New Roman" w:hAnsiTheme="minorEastAsia"/>
                <w:color w:val="000000" w:themeColor="text1"/>
                <w:sz w:val="24"/>
                <w:szCs w:val="24"/>
              </w:rPr>
              <w:t>高（</w:t>
            </w:r>
            <w:r>
              <w:rPr>
                <w:rFonts w:ascii="Times New Roman" w:hAnsi="Times New Roman" w:cs="Times New Roman"/>
                <w:color w:val="000000" w:themeColor="text1"/>
                <w:sz w:val="24"/>
                <w:szCs w:val="24"/>
              </w:rPr>
              <w:t>DA002</w:t>
            </w:r>
            <w:r>
              <w:rPr>
                <w:rFonts w:ascii="Times New Roman" w:cs="Times New Roman" w:hAnsiTheme="minorEastAsia"/>
                <w:color w:val="000000" w:themeColor="text1"/>
                <w:sz w:val="24"/>
                <w:szCs w:val="24"/>
              </w:rPr>
              <w:t>）的排气筒外排。</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2.8.1 施工期产污环节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本项目</w:t>
            </w:r>
            <w:r>
              <w:rPr>
                <w:rFonts w:hint="eastAsia" w:ascii="Times New Roman" w:hAnsi="Times New Roman" w:cs="Times New Roman"/>
                <w:bCs/>
                <w:color w:val="000000" w:themeColor="text1"/>
                <w:sz w:val="24"/>
                <w:szCs w:val="24"/>
              </w:rPr>
              <w:t>在原址进行改扩建，根据调查，目前原有生产设施已全部拆除，由于改扩建项目将购置新设备，因此原有设备已外卖；施工期包括场地平整，生产车间建设、办公及生活设施改造，环保设施建设等。</w:t>
            </w:r>
            <w:r>
              <w:rPr>
                <w:rFonts w:ascii="Times New Roman" w:hAnsi="Times New Roman" w:cs="Times New Roman"/>
                <w:bCs/>
                <w:color w:val="000000" w:themeColor="text1"/>
                <w:sz w:val="24"/>
                <w:szCs w:val="24"/>
              </w:rPr>
              <w:t>主要为施工废气、</w:t>
            </w:r>
            <w:r>
              <w:rPr>
                <w:rFonts w:hint="eastAsia" w:ascii="Times New Roman" w:hAnsi="Times New Roman" w:cs="Times New Roman"/>
                <w:bCs/>
                <w:color w:val="000000" w:themeColor="text1"/>
                <w:sz w:val="24"/>
                <w:szCs w:val="24"/>
              </w:rPr>
              <w:t>施工废水、</w:t>
            </w:r>
            <w:r>
              <w:rPr>
                <w:rFonts w:ascii="Times New Roman" w:hAnsi="Times New Roman" w:cs="Times New Roman"/>
                <w:bCs/>
                <w:color w:val="000000" w:themeColor="text1"/>
                <w:sz w:val="24"/>
                <w:szCs w:val="24"/>
              </w:rPr>
              <w:t>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根据项目工艺流程可知，本项目运营期产污环节具体如下。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项目废气主要包括页岩采装过程扬尘、原料卸料扬尘、堆场扬尘、原料输送过程扬尘、破碎车间粉尘、焙烧烟气、以及厨房油烟。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本项目用水环节包括洒水抑尘用水、生产用水、绿化用水、脱硫用水和生活用水，而废水产生类型包括脱硫废水、生活污水和初期雨水。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pStyle w:val="40"/>
              <w:ind w:firstLine="480"/>
              <w:rPr>
                <w:rFonts w:eastAsiaTheme="minorEastAsia"/>
                <w:color w:val="000000" w:themeColor="text1"/>
                <w:szCs w:val="24"/>
              </w:rPr>
            </w:pPr>
            <w:r>
              <w:rPr>
                <w:rFonts w:eastAsiaTheme="minorEastAsia"/>
                <w:color w:val="000000" w:themeColor="text1"/>
                <w:szCs w:val="24"/>
              </w:rPr>
              <w:t>根据项目工程内容及生产工艺，本项目产生的固体废物包括：废砖坯及边角料</w:t>
            </w:r>
            <w:r>
              <w:rPr>
                <w:rFonts w:hint="eastAsia" w:eastAsiaTheme="minorEastAsia"/>
                <w:color w:val="000000" w:themeColor="text1"/>
                <w:szCs w:val="24"/>
              </w:rPr>
              <w:t>、</w:t>
            </w:r>
            <w:r>
              <w:rPr>
                <w:rFonts w:eastAsiaTheme="minorEastAsia"/>
                <w:color w:val="000000" w:themeColor="text1"/>
                <w:szCs w:val="24"/>
              </w:rPr>
              <w:t>不合格的烧结砖</w:t>
            </w:r>
            <w:r>
              <w:rPr>
                <w:rFonts w:hint="eastAsia" w:eastAsiaTheme="minorEastAsia"/>
                <w:color w:val="000000" w:themeColor="text1"/>
                <w:szCs w:val="24"/>
              </w:rPr>
              <w:t>、点火时产生的炉渣、脉冲布袋除尘器收集粉尘、</w:t>
            </w:r>
            <w:r>
              <w:rPr>
                <w:rFonts w:eastAsiaTheme="minorEastAsia"/>
                <w:color w:val="000000" w:themeColor="text1"/>
                <w:szCs w:val="24"/>
              </w:rPr>
              <w:t>脱硫除尘固废</w:t>
            </w:r>
            <w:r>
              <w:rPr>
                <w:rFonts w:hint="eastAsia" w:eastAsiaTheme="minorEastAsia"/>
                <w:color w:val="000000" w:themeColor="text1"/>
                <w:szCs w:val="24"/>
              </w:rPr>
              <w:t>、</w:t>
            </w:r>
            <w:r>
              <w:rPr>
                <w:rFonts w:eastAsiaTheme="minorEastAsia"/>
                <w:color w:val="000000" w:themeColor="text1"/>
                <w:szCs w:val="24"/>
              </w:rPr>
              <w:t>设备维修产生的废机油及废弃沾油抹布</w:t>
            </w:r>
            <w:r>
              <w:rPr>
                <w:rFonts w:hint="eastAsia" w:eastAsiaTheme="minorEastAsia"/>
                <w:color w:val="000000" w:themeColor="text1"/>
                <w:szCs w:val="24"/>
              </w:rPr>
              <w:t>、</w:t>
            </w:r>
            <w:r>
              <w:rPr>
                <w:rFonts w:eastAsiaTheme="minorEastAsia"/>
                <w:color w:val="000000" w:themeColor="text1"/>
                <w:szCs w:val="24"/>
              </w:rPr>
              <w:t>生活垃圾</w:t>
            </w:r>
            <w:r>
              <w:rPr>
                <w:rFonts w:hint="eastAsia" w:eastAsiaTheme="minorEastAsia"/>
                <w:color w:val="000000" w:themeColor="text1"/>
                <w:szCs w:val="24"/>
              </w:rPr>
              <w:t>、餐厨废物、隔油池浮油和污水处理设施污泥。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1" w:type="dxa"/>
            <w:vAlign w:val="center"/>
          </w:tcPr>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为改扩建项目，根据调查，截止现场踏勘日2021年8月17日，项目原有生产设施已全部拆除，仅剩余一栋办公楼、一栋生活区和一栋闲置用房。因此，本环评依据原有项目的环评及验收报告对原有项目进行简单分析。</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2.9 原有项目环保手续办理情况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原有项目名称为“昆明市北杏新型建材有限公司原年产3000万块页岩砖改扩建为年产6000万块页岩砖技术改造项目”该项目是在厂区内原有的“</w:t>
            </w:r>
            <w:r>
              <w:rPr>
                <w:rFonts w:ascii="Times New Roman" w:hAnsi="Times New Roman" w:cs="Times New Roman"/>
                <w:color w:val="000000" w:themeColor="text1"/>
                <w:sz w:val="24"/>
                <w:szCs w:val="24"/>
              </w:rPr>
              <w:t>昆明北杏新型建材有限公司年产3000万块页岩砖项目</w:t>
            </w:r>
            <w:r>
              <w:rPr>
                <w:rFonts w:hint="eastAsia" w:ascii="Times New Roman" w:hAnsi="Times New Roman" w:cs="Times New Roman"/>
                <w:color w:val="000000" w:themeColor="text1"/>
                <w:sz w:val="24"/>
                <w:szCs w:val="24"/>
              </w:rPr>
              <w:t>”的基础上技术改造而成。</w:t>
            </w:r>
            <w:r>
              <w:rPr>
                <w:rFonts w:ascii="Times New Roman" w:hAnsi="Times New Roman" w:cs="Times New Roman"/>
                <w:color w:val="000000" w:themeColor="text1"/>
                <w:sz w:val="24"/>
                <w:szCs w:val="24"/>
              </w:rPr>
              <w:t>昆明北杏新型建材有限公司年产3000万块页岩砖项目</w:t>
            </w:r>
            <w:r>
              <w:rPr>
                <w:rFonts w:hint="eastAsia" w:ascii="Times New Roman" w:hAnsi="Times New Roman" w:cs="Times New Roman"/>
                <w:color w:val="000000" w:themeColor="text1"/>
                <w:sz w:val="24"/>
                <w:szCs w:val="24"/>
              </w:rPr>
              <w:t>于2007年10月二十二日取得昆明市东川区环境保护局（现昆明市生态环境局东川分局）下发的《关于对</w:t>
            </w:r>
            <w:r>
              <w:rPr>
                <w:rFonts w:ascii="Times New Roman" w:hAnsi="Times New Roman" w:cs="Times New Roman"/>
                <w:color w:val="000000" w:themeColor="text1"/>
                <w:sz w:val="24"/>
                <w:szCs w:val="24"/>
              </w:rPr>
              <w:t>昆明北杏新型建材有限公司年产3000万块页岩</w:t>
            </w:r>
            <w:r>
              <w:rPr>
                <w:rFonts w:hint="eastAsia" w:ascii="Times New Roman" w:hAnsi="Times New Roman" w:cs="Times New Roman"/>
                <w:color w:val="000000" w:themeColor="text1"/>
                <w:sz w:val="24"/>
                <w:szCs w:val="24"/>
              </w:rPr>
              <w:t>烧结</w:t>
            </w:r>
            <w:r>
              <w:rPr>
                <w:rFonts w:ascii="Times New Roman" w:hAnsi="Times New Roman" w:cs="Times New Roman"/>
                <w:color w:val="000000" w:themeColor="text1"/>
                <w:sz w:val="24"/>
                <w:szCs w:val="24"/>
              </w:rPr>
              <w:t>砖</w:t>
            </w:r>
            <w:r>
              <w:rPr>
                <w:rFonts w:hint="eastAsia" w:ascii="Times New Roman" w:hAnsi="Times New Roman" w:cs="Times New Roman"/>
                <w:color w:val="000000" w:themeColor="text1"/>
                <w:sz w:val="24"/>
                <w:szCs w:val="24"/>
              </w:rPr>
              <w:t>生产线</w:t>
            </w: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环境影响报告表的批复》（东环保【2007】123号）；原有项目于2012年委托云南大学科技咨询发展中心编制了《昆明市北杏新型建材有限公司原年产3000万块页岩砖改扩建为年产6000万块页岩砖技术改造项目环境影响报告表》，并于2012年7月25日取得昆明市东川区环境保护局（现昆明市生态环境局东川分局）下发的《关于对昆明市北杏新型建材有限公司原年产3000万块页岩砖改扩建为年产6000万块页岩砖技术改造项目环境影响报告表的批复》（东环保复【2012】60号）；项目取得环评批复后开工建设，建成后建设单位委托昆明市东川区环境监测站编制了《昆明市北杏新型建材有限公司原年产3000万块页岩砖改扩建为年产6000万块页岩砖技术改造项目建设项目竣工环境保护验收监测表》（东环监【2013】097号），同时取得了</w:t>
            </w:r>
            <w:r>
              <w:rPr>
                <w:rFonts w:ascii="Times New Roman" w:hAnsi="Times New Roman" w:cs="Times New Roman"/>
                <w:color w:val="000000" w:themeColor="text1"/>
                <w:sz w:val="24"/>
                <w:szCs w:val="24"/>
              </w:rPr>
              <w:t>昆明市东川区环境保护局</w:t>
            </w:r>
            <w:r>
              <w:rPr>
                <w:rFonts w:hint="eastAsia" w:ascii="Times New Roman" w:hAnsi="Times New Roman" w:cs="Times New Roman"/>
                <w:color w:val="000000" w:themeColor="text1"/>
                <w:sz w:val="24"/>
                <w:szCs w:val="24"/>
              </w:rPr>
              <w:t>（现昆明市生态环境局东川分局）下发的</w:t>
            </w:r>
            <w:r>
              <w:rPr>
                <w:rFonts w:ascii="Times New Roman" w:hAnsi="Times New Roman" w:cs="Times New Roman"/>
                <w:color w:val="000000" w:themeColor="text1"/>
                <w:sz w:val="24"/>
                <w:szCs w:val="24"/>
              </w:rPr>
              <w:t>《关于昆明北杏新型建材有限公司原年产3000万块页岩砖改扩建为年产6000万块页岩砖技术改造项目竣工环境保护验收申请的批复》（东环保复【2013】112号）</w:t>
            </w:r>
            <w:r>
              <w:rPr>
                <w:rFonts w:hint="eastAsia" w:ascii="Times New Roman" w:hAnsi="Times New Roman" w:cs="Times New Roman"/>
                <w:color w:val="000000" w:themeColor="text1"/>
                <w:sz w:val="24"/>
                <w:szCs w:val="24"/>
              </w:rPr>
              <w:t>；2014年1月1日取得东川区环境保护局颁发的《排污许可证》（许可证编号：5301131000017C1614Y）。原有项目环保手续齐全。</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2.10 原有项目建设内容及规模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根据原有项目环评及竣工验收报告，原有项目的主要建设内容包括破碎车间、陈化车间、成型车间、24门轮窑、办公楼、生活区和闲置房等，其生产规模为年产页岩砖6000万块。</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2.11 原有项目生产工艺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根据查阅原有项目资料，原有项目生产工艺基本和本次技改项目一致，主要区别为原有项目使用轮窑，且无脉冲除尘、脱硫系统的废气治理设施。原有项目生产工艺如下图所示。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object>
                <v:shape id="_x0000_i1032" o:spt="75" type="#_x0000_t75" style="height:195.6pt;width:417.6pt;" o:ole="t" filled="f" o:preferrelative="t" stroked="f" coordsize="21600,21600">
                  <v:path/>
                  <v:fill on="f" focussize="0,0"/>
                  <v:stroke on="f" joinstyle="miter"/>
                  <v:imagedata r:id="rId20" o:title=""/>
                  <o:lock v:ext="edit" aspectratio="t"/>
                  <w10:wrap type="none"/>
                  <w10:anchorlock/>
                </v:shape>
                <o:OLEObject Type="Embed" ProgID="Visio.Drawing.11" ShapeID="_x0000_i1032" DrawAspect="Content" ObjectID="_1468075732" r:id="rId19">
                  <o:LockedField>false</o:LockedField>
                </o:OLEObject>
              </w:object>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t>图2.11-1 原有项目生产工艺流程及产污节点图</w:t>
            </w:r>
          </w:p>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上述工艺流程来源于原有项目环评报告。</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2.12 原有项目污染物排放总量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原有项目运营期的主要污染因素包括废气、废水、噪声和固体废物</w:t>
            </w:r>
            <w:r>
              <w:rPr>
                <w:rFonts w:hint="eastAsia" w:ascii="Times New Roman" w:hAnsi="Times New Roman" w:cs="Times New Roman"/>
                <w:color w:val="000000" w:themeColor="text1"/>
                <w:sz w:val="24"/>
                <w:szCs w:val="24"/>
              </w:rPr>
              <w:t>。由于原有项目生产线已全部拆除，因此无法通过对其进行现场监测来核算其污染物产生和排放量，因此针对原有项目产生的废气、废水、噪声和固体废物，拟采用不同的方式进行计算。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原有项目已拆除，现有的资料包括《昆明市北杏新型建材有限公司原年产3000万块页岩砖改扩建为年产6000万块页岩砖技术改造项目环境影响报告表》、《昆明市北杏新型建材有限公司原年产3000万块页岩砖改扩建为年产6000万块页岩砖技术改造项目建设项目竣工环境保护验收监测表》（东环监【2013】097号）以及原有项目拆除前的年检监测报告。其现有资料存在的问题包括：环评报告编制时间较久，其核算方法和现行核算方法相差较大，不宜作为数据参考；验收报告仅对项目噪声、厂界无组织颗粒物和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进行监测，而年检监测报告仅对厂界噪声进行监测；均无法采用进行原有项目产生量计算，为此项目拟采用现行的核算方法对原有项目废气、废水和固体废物进行计算，噪声采用年检监测报告数据进行计算，具体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2.12.1 原有项目废气排放情况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根据原有项目环评的分析，原有项目</w:t>
            </w:r>
            <w:r>
              <w:rPr>
                <w:rFonts w:hint="eastAsia" w:ascii="Times New Roman" w:hAnsi="Times New Roman" w:cs="Times New Roman"/>
                <w:color w:val="000000" w:themeColor="text1"/>
                <w:sz w:val="24"/>
                <w:szCs w:val="24"/>
              </w:rPr>
              <w:t>废气主要包括页岩采装过程扬尘、原料卸料扬尘、堆场扬尘、原料输送过程扬尘、破碎车间粉尘、焙烧烟气、以及厨房油烟。</w:t>
            </w:r>
            <w:r>
              <w:rPr>
                <w:rFonts w:ascii="Times New Roman" w:hAnsi="Times New Roman" w:cs="Times New Roman"/>
                <w:color w:val="000000" w:themeColor="text1"/>
                <w:sz w:val="24"/>
                <w:szCs w:val="24"/>
              </w:rPr>
              <w:t>具体产排情况核算如下</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hint="eastAsia" w:ascii="Times New Roman" w:hAnsi="Times New Roman" w:cs="Times New Roman"/>
                <w:b/>
                <w:color w:val="000000" w:themeColor="text1"/>
                <w:sz w:val="24"/>
                <w:szCs w:val="24"/>
              </w:rPr>
              <w:t>页岩采装过程扬尘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根据原有项目环评的分析，原有项目使用页岩全部来源于</w:t>
            </w:r>
            <w:r>
              <w:rPr>
                <w:rFonts w:ascii="Times New Roman" w:hAnsi="Times New Roman" w:cs="Times New Roman"/>
                <w:color w:val="000000" w:themeColor="text1"/>
                <w:sz w:val="24"/>
                <w:szCs w:val="24"/>
              </w:rPr>
              <w:t>昆明红富化肥有限公司磷矿矿山</w:t>
            </w:r>
            <w:r>
              <w:rPr>
                <w:rFonts w:hint="eastAsia" w:ascii="Times New Roman" w:hAnsi="Times New Roman" w:cs="Times New Roman"/>
                <w:color w:val="000000" w:themeColor="text1"/>
                <w:sz w:val="24"/>
                <w:szCs w:val="24"/>
              </w:rPr>
              <w:t>开采剥离的页岩，由</w:t>
            </w:r>
            <w:r>
              <w:rPr>
                <w:rFonts w:ascii="Times New Roman" w:hAnsi="Times New Roman" w:cs="Times New Roman"/>
                <w:color w:val="000000" w:themeColor="text1"/>
                <w:sz w:val="24"/>
                <w:szCs w:val="24"/>
              </w:rPr>
              <w:t>昆明红富化肥有限公司</w:t>
            </w:r>
            <w:r>
              <w:rPr>
                <w:rFonts w:hint="eastAsia" w:ascii="Times New Roman" w:hAnsi="Times New Roman" w:cs="Times New Roman"/>
                <w:color w:val="000000" w:themeColor="text1"/>
                <w:sz w:val="24"/>
                <w:szCs w:val="24"/>
              </w:rPr>
              <w:t>运输至项目区旁的弃土场内，再由建设单位采装入项目区使用；项目页岩使用量为约13.51</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/a，原有项目在对页岩采装过程会有一定量的扬尘产生，</w:t>
            </w:r>
            <w:r>
              <w:rPr>
                <w:rFonts w:ascii="Times New Roman" w:hAnsi="Times New Roman" w:cs="Times New Roman"/>
                <w:color w:val="000000" w:themeColor="text1"/>
                <w:sz w:val="24"/>
                <w:szCs w:val="24"/>
              </w:rPr>
              <w:t>参考《逸散性工业粉尘控制技术》中</w:t>
            </w:r>
            <w:r>
              <w:rPr>
                <w:rFonts w:hint="eastAsia" w:ascii="Times New Roman" w:hAnsi="Times New Roman" w:cs="Times New Roman"/>
                <w:color w:val="000000" w:themeColor="text1"/>
                <w:sz w:val="24"/>
                <w:szCs w:val="24"/>
              </w:rPr>
              <w:t>“矿物的开采”中的卡车装料作业的</w:t>
            </w:r>
            <w:r>
              <w:rPr>
                <w:rFonts w:ascii="Times New Roman" w:hAnsi="Times New Roman" w:cs="Times New Roman"/>
                <w:color w:val="000000" w:themeColor="text1"/>
                <w:sz w:val="24"/>
                <w:szCs w:val="24"/>
              </w:rPr>
              <w:t>逸散</w:t>
            </w:r>
            <w:r>
              <w:rPr>
                <w:rFonts w:hint="eastAsia" w:ascii="Times New Roman" w:hAnsi="Times New Roman" w:cs="Times New Roman"/>
                <w:color w:val="000000" w:themeColor="text1"/>
                <w:sz w:val="24"/>
                <w:szCs w:val="24"/>
              </w:rPr>
              <w:t>尘排放因子，碎石（前端式装载机）为0.025kg/t（卸料），则页岩采装过程扬尘产生量为3.38t/a；无相关治理措施，排放量为3.38t/a。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②原料卸料扬尘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根据原有项目环评的分析，原有项目主要使用的原料包括页岩和煤料，运输至项目区后卸入各自的堆场堆存过程中均会产生一定量的扬尘，原有项目页岩使用量为13.51</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/a、煤使用量为2.7</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/a，合计卸料量约16.21</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参考《逸散性工业粉尘控制技术》中</w:t>
            </w:r>
            <w:r>
              <w:rPr>
                <w:rFonts w:hint="eastAsia" w:ascii="Times New Roman" w:hAnsi="Times New Roman" w:cs="Times New Roman"/>
                <w:color w:val="000000" w:themeColor="text1"/>
                <w:sz w:val="24"/>
                <w:szCs w:val="24"/>
              </w:rPr>
              <w:t>“砖和粘土产品制造厂逸散尘的排放因子”中的卡车卸料排放因子为0.02kg/t（卸料），则原料卸料扬尘产生量为3.24t/a；无相关治理措施，排放量为3.24t/a。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③堆场扬尘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根据调查，原有项目环评未明确堆场大小及个数，因此类比改扩建项目堆场扬粉尘产量，则原有项目堆场扬尘产生量为8.97t/a；无相关治理措施，排放量为8.97t/a。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④原料输送过程扬尘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原料输送过程扬尘包括装载机输送过程和皮带输送过程扬尘。具体如下：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装载机输送过程扬尘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原有项目环评的分析，原有项目主要使用的原料包括页岩和煤料，页岩堆场区的页岩、煤料堆场区的煤料分别采用装载机运输至鄂破和混合工序，其装载机采装、卸料及运输过程会产生扬尘，原有项目页岩使用量为13.51</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/a、煤使用量为2.7</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参考《逸散性工业粉尘控制技术》中</w:t>
            </w:r>
            <w:r>
              <w:rPr>
                <w:rFonts w:hint="eastAsia" w:ascii="Times New Roman" w:hAnsi="Times New Roman" w:cs="Times New Roman"/>
                <w:color w:val="000000" w:themeColor="text1"/>
                <w:sz w:val="24"/>
                <w:szCs w:val="24"/>
              </w:rPr>
              <w:t>“物料的装卸运输”中的物料运输和转运的排放因子，其中煤的运输和转运排放因子为0.02-0.48kg/t（取中间值0.25kg/t），页岩参考砂的运输和转运排放因子为0.15kg/t，经计算装载机输送过程扬尘产生量为27.02t/a；无相关治理措施，排放量为27.02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皮带输送过程扬尘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原有项目环评的分析，原有项目原料在各工段之间（含破碎-混合-粉碎-筛分-陈化-搅拌）皮带运输过程会产生少量的粉尘，其产生量主要取决于物料含水率和室内风速，无法对其进行定量计算，为降低扬尘对环境的影响，各工段之间的粉料运输均采用皮带密闭运输，则原料输送过程扬尘排放量较小。</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⑤破碎车间粉尘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根据原有项目环评的分析，原有项目破碎车间的主要粉尘产生节点包括颚破、混合、粉碎和筛分四个环节，根据</w:t>
            </w:r>
            <w:r>
              <w:rPr>
                <w:rFonts w:ascii="Times New Roman" w:hAnsi="Times New Roman" w:cs="Times New Roman"/>
                <w:color w:val="000000" w:themeColor="text1"/>
                <w:sz w:val="24"/>
                <w:szCs w:val="24"/>
              </w:rPr>
              <w:t>《排放源统计调查产排污核算方法和系数手册》</w:t>
            </w:r>
            <w:r>
              <w:rPr>
                <w:rFonts w:hint="eastAsia" w:ascii="Times New Roman" w:hAnsi="Times New Roman" w:cs="Times New Roman"/>
                <w:color w:val="000000" w:themeColor="text1"/>
                <w:sz w:val="24"/>
                <w:szCs w:val="24"/>
              </w:rPr>
              <w:t>中“</w:t>
            </w:r>
            <w:r>
              <w:rPr>
                <w:rFonts w:ascii="Times New Roman" w:hAnsi="Times New Roman" w:cs="Times New Roman"/>
                <w:color w:val="000000" w:themeColor="text1"/>
                <w:sz w:val="24"/>
                <w:szCs w:val="24"/>
              </w:rPr>
              <w:t>303</w:t>
            </w:r>
            <w:r>
              <w:rPr>
                <w:rFonts w:hint="eastAsia" w:ascii="Times New Roman" w:hAnsi="Times New Roman" w:cs="Times New Roman"/>
                <w:color w:val="000000" w:themeColor="text1"/>
                <w:sz w:val="24"/>
                <w:szCs w:val="24"/>
              </w:rPr>
              <w:t>砖瓦、石材等建筑材料制造行业系数手册”，窑炉外工艺废气中颗粒物的产污系数如下表所示。</w:t>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t>表2.12.1</w:t>
            </w:r>
            <w:r>
              <w:rPr>
                <w:rFonts w:ascii="Times New Roman" w:hAnsi="Times New Roman" w:eastAsia="宋体" w:cs="Times New Roman"/>
                <w:b/>
                <w:color w:val="000000" w:themeColor="text1"/>
                <w:szCs w:val="24"/>
              </w:rPr>
              <w:t>-1</w:t>
            </w:r>
            <w:r>
              <w:rPr>
                <w:rFonts w:hint="eastAsia" w:ascii="Times New Roman" w:hAnsi="Times New Roman" w:eastAsia="宋体" w:cs="Times New Roman"/>
                <w:b/>
                <w:color w:val="000000" w:themeColor="text1"/>
                <w:szCs w:val="24"/>
              </w:rPr>
              <w:t xml:space="preserve">   粘土砖瓦及建筑砌块制造系数表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9"/>
              <w:gridCol w:w="809"/>
              <w:gridCol w:w="829"/>
              <w:gridCol w:w="809"/>
              <w:gridCol w:w="680"/>
              <w:gridCol w:w="916"/>
              <w:gridCol w:w="1190"/>
              <w:gridCol w:w="936"/>
              <w:gridCol w:w="1000"/>
              <w:gridCol w:w="9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9" w:type="dxa"/>
                  <w:vAlign w:val="center"/>
                </w:tcPr>
                <w:p>
                  <w:pPr>
                    <w:pStyle w:val="32"/>
                    <w:spacing w:line="360" w:lineRule="exact"/>
                    <w:rPr>
                      <w:color w:val="000000" w:themeColor="text1"/>
                      <w:szCs w:val="21"/>
                    </w:rPr>
                  </w:pPr>
                  <w:r>
                    <w:rPr>
                      <w:rFonts w:hint="eastAsia"/>
                      <w:color w:val="000000" w:themeColor="text1"/>
                      <w:szCs w:val="21"/>
                    </w:rPr>
                    <w:t>工段名称</w:t>
                  </w:r>
                </w:p>
              </w:tc>
              <w:tc>
                <w:tcPr>
                  <w:tcW w:w="809" w:type="dxa"/>
                  <w:vAlign w:val="center"/>
                </w:tcPr>
                <w:p>
                  <w:pPr>
                    <w:pStyle w:val="32"/>
                    <w:spacing w:line="360" w:lineRule="exact"/>
                    <w:rPr>
                      <w:color w:val="000000" w:themeColor="text1"/>
                      <w:szCs w:val="21"/>
                    </w:rPr>
                  </w:pPr>
                  <w:r>
                    <w:rPr>
                      <w:rFonts w:hint="eastAsia"/>
                      <w:color w:val="000000" w:themeColor="text1"/>
                      <w:szCs w:val="21"/>
                    </w:rPr>
                    <w:t>产品名称</w:t>
                  </w:r>
                </w:p>
              </w:tc>
              <w:tc>
                <w:tcPr>
                  <w:tcW w:w="829" w:type="dxa"/>
                  <w:vAlign w:val="center"/>
                </w:tcPr>
                <w:p>
                  <w:pPr>
                    <w:pStyle w:val="32"/>
                    <w:spacing w:line="360" w:lineRule="exact"/>
                    <w:rPr>
                      <w:color w:val="000000" w:themeColor="text1"/>
                      <w:szCs w:val="21"/>
                    </w:rPr>
                  </w:pPr>
                  <w:r>
                    <w:rPr>
                      <w:rFonts w:hint="eastAsia"/>
                      <w:color w:val="000000" w:themeColor="text1"/>
                      <w:szCs w:val="21"/>
                    </w:rPr>
                    <w:t>工艺名称</w:t>
                  </w:r>
                </w:p>
              </w:tc>
              <w:tc>
                <w:tcPr>
                  <w:tcW w:w="809" w:type="dxa"/>
                  <w:vAlign w:val="center"/>
                </w:tcPr>
                <w:p>
                  <w:pPr>
                    <w:pStyle w:val="32"/>
                    <w:spacing w:line="360" w:lineRule="exact"/>
                    <w:rPr>
                      <w:color w:val="000000" w:themeColor="text1"/>
                      <w:szCs w:val="21"/>
                    </w:rPr>
                  </w:pPr>
                  <w:r>
                    <w:rPr>
                      <w:rFonts w:hint="eastAsia"/>
                      <w:color w:val="000000" w:themeColor="text1"/>
                      <w:szCs w:val="21"/>
                    </w:rPr>
                    <w:t>规模等级</w:t>
                  </w:r>
                </w:p>
              </w:tc>
              <w:tc>
                <w:tcPr>
                  <w:tcW w:w="1596" w:type="dxa"/>
                  <w:gridSpan w:val="2"/>
                  <w:vAlign w:val="center"/>
                </w:tcPr>
                <w:p>
                  <w:pPr>
                    <w:pStyle w:val="32"/>
                    <w:spacing w:line="360" w:lineRule="exact"/>
                    <w:rPr>
                      <w:color w:val="000000" w:themeColor="text1"/>
                      <w:szCs w:val="21"/>
                    </w:rPr>
                  </w:pPr>
                  <w:r>
                    <w:rPr>
                      <w:rFonts w:hint="eastAsia"/>
                      <w:color w:val="000000" w:themeColor="text1"/>
                      <w:szCs w:val="21"/>
                    </w:rPr>
                    <w:t>污染物指标</w:t>
                  </w:r>
                </w:p>
              </w:tc>
              <w:tc>
                <w:tcPr>
                  <w:tcW w:w="1190" w:type="dxa"/>
                  <w:vAlign w:val="center"/>
                </w:tcPr>
                <w:p>
                  <w:pPr>
                    <w:pStyle w:val="32"/>
                    <w:spacing w:line="360" w:lineRule="exact"/>
                    <w:rPr>
                      <w:color w:val="000000" w:themeColor="text1"/>
                      <w:szCs w:val="21"/>
                    </w:rPr>
                  </w:pPr>
                  <w:r>
                    <w:rPr>
                      <w:rFonts w:hint="eastAsia"/>
                      <w:color w:val="000000" w:themeColor="text1"/>
                      <w:szCs w:val="21"/>
                    </w:rPr>
                    <w:t>系数单位</w:t>
                  </w:r>
                </w:p>
              </w:tc>
              <w:tc>
                <w:tcPr>
                  <w:tcW w:w="936" w:type="dxa"/>
                  <w:vAlign w:val="center"/>
                </w:tcPr>
                <w:p>
                  <w:pPr>
                    <w:pStyle w:val="32"/>
                    <w:spacing w:line="360" w:lineRule="exact"/>
                    <w:rPr>
                      <w:color w:val="000000" w:themeColor="text1"/>
                      <w:szCs w:val="21"/>
                    </w:rPr>
                  </w:pPr>
                  <w:r>
                    <w:rPr>
                      <w:rFonts w:hint="eastAsia"/>
                      <w:color w:val="000000" w:themeColor="text1"/>
                      <w:szCs w:val="21"/>
                    </w:rPr>
                    <w:t>产污系数</w:t>
                  </w:r>
                </w:p>
              </w:tc>
              <w:tc>
                <w:tcPr>
                  <w:tcW w:w="1000" w:type="dxa"/>
                  <w:vAlign w:val="center"/>
                </w:tcPr>
                <w:p>
                  <w:pPr>
                    <w:pStyle w:val="32"/>
                    <w:spacing w:line="360" w:lineRule="exact"/>
                    <w:rPr>
                      <w:color w:val="000000" w:themeColor="text1"/>
                      <w:szCs w:val="21"/>
                    </w:rPr>
                  </w:pPr>
                  <w:r>
                    <w:rPr>
                      <w:rFonts w:hint="eastAsia"/>
                      <w:color w:val="000000" w:themeColor="text1"/>
                      <w:szCs w:val="21"/>
                    </w:rPr>
                    <w:t>末端治理技术</w:t>
                  </w:r>
                </w:p>
              </w:tc>
              <w:tc>
                <w:tcPr>
                  <w:tcW w:w="937" w:type="dxa"/>
                  <w:vAlign w:val="center"/>
                </w:tcPr>
                <w:p>
                  <w:pPr>
                    <w:pStyle w:val="32"/>
                    <w:spacing w:line="360" w:lineRule="exact"/>
                    <w:rPr>
                      <w:color w:val="000000" w:themeColor="text1"/>
                      <w:szCs w:val="21"/>
                    </w:rPr>
                  </w:pPr>
                  <w:r>
                    <w:rPr>
                      <w:rFonts w:hint="eastAsia"/>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9" w:type="dxa"/>
                  <w:vAlign w:val="center"/>
                </w:tcPr>
                <w:p>
                  <w:pPr>
                    <w:pStyle w:val="32"/>
                    <w:spacing w:line="360" w:lineRule="exact"/>
                    <w:rPr>
                      <w:color w:val="000000" w:themeColor="text1"/>
                      <w:szCs w:val="21"/>
                    </w:rPr>
                  </w:pPr>
                  <w:r>
                    <w:rPr>
                      <w:rFonts w:hint="eastAsia"/>
                      <w:color w:val="000000" w:themeColor="text1"/>
                      <w:szCs w:val="21"/>
                    </w:rPr>
                    <w:t>/</w:t>
                  </w:r>
                </w:p>
              </w:tc>
              <w:tc>
                <w:tcPr>
                  <w:tcW w:w="809" w:type="dxa"/>
                  <w:vAlign w:val="center"/>
                </w:tcPr>
                <w:p>
                  <w:pPr>
                    <w:pStyle w:val="32"/>
                    <w:spacing w:line="360" w:lineRule="exact"/>
                    <w:rPr>
                      <w:color w:val="000000" w:themeColor="text1"/>
                      <w:szCs w:val="21"/>
                    </w:rPr>
                  </w:pPr>
                  <w:r>
                    <w:rPr>
                      <w:rFonts w:hint="eastAsia"/>
                      <w:color w:val="000000" w:themeColor="text1"/>
                      <w:szCs w:val="21"/>
                    </w:rPr>
                    <w:t>烧结类砖瓦及建筑砌块</w:t>
                  </w:r>
                </w:p>
              </w:tc>
              <w:tc>
                <w:tcPr>
                  <w:tcW w:w="829" w:type="dxa"/>
                  <w:vAlign w:val="center"/>
                </w:tcPr>
                <w:p>
                  <w:pPr>
                    <w:pStyle w:val="32"/>
                    <w:spacing w:line="360" w:lineRule="exact"/>
                    <w:rPr>
                      <w:color w:val="000000" w:themeColor="text1"/>
                      <w:szCs w:val="21"/>
                    </w:rPr>
                  </w:pPr>
                  <w:r>
                    <w:rPr>
                      <w:rFonts w:hint="eastAsia"/>
                      <w:color w:val="000000" w:themeColor="text1"/>
                      <w:szCs w:val="21"/>
                    </w:rPr>
                    <w:t>破碎、筛分、成型干燥等</w:t>
                  </w:r>
                </w:p>
              </w:tc>
              <w:tc>
                <w:tcPr>
                  <w:tcW w:w="809" w:type="dxa"/>
                  <w:vAlign w:val="center"/>
                </w:tcPr>
                <w:p>
                  <w:pPr>
                    <w:pStyle w:val="32"/>
                    <w:spacing w:line="360" w:lineRule="exact"/>
                    <w:rPr>
                      <w:color w:val="000000" w:themeColor="text1"/>
                      <w:szCs w:val="21"/>
                    </w:rPr>
                  </w:pPr>
                  <w:r>
                    <w:rPr>
                      <w:rFonts w:hint="eastAsia"/>
                      <w:color w:val="000000" w:themeColor="text1"/>
                      <w:szCs w:val="21"/>
                    </w:rPr>
                    <w:t>所有规模</w:t>
                  </w:r>
                </w:p>
              </w:tc>
              <w:tc>
                <w:tcPr>
                  <w:tcW w:w="680" w:type="dxa"/>
                  <w:vAlign w:val="center"/>
                </w:tcPr>
                <w:p>
                  <w:pPr>
                    <w:pStyle w:val="32"/>
                    <w:spacing w:line="360" w:lineRule="exact"/>
                    <w:rPr>
                      <w:color w:val="000000" w:themeColor="text1"/>
                      <w:szCs w:val="21"/>
                    </w:rPr>
                  </w:pPr>
                  <w:r>
                    <w:rPr>
                      <w:rFonts w:hint="eastAsia"/>
                      <w:color w:val="000000" w:themeColor="text1"/>
                      <w:szCs w:val="21"/>
                    </w:rPr>
                    <w:t>废气</w:t>
                  </w:r>
                </w:p>
              </w:tc>
              <w:tc>
                <w:tcPr>
                  <w:tcW w:w="916" w:type="dxa"/>
                  <w:vAlign w:val="center"/>
                </w:tcPr>
                <w:p>
                  <w:pPr>
                    <w:pStyle w:val="32"/>
                    <w:spacing w:line="360" w:lineRule="exact"/>
                    <w:rPr>
                      <w:color w:val="000000" w:themeColor="text1"/>
                      <w:szCs w:val="21"/>
                    </w:rPr>
                  </w:pPr>
                  <w:r>
                    <w:rPr>
                      <w:rFonts w:hint="eastAsia"/>
                      <w:color w:val="000000" w:themeColor="text1"/>
                      <w:szCs w:val="21"/>
                    </w:rPr>
                    <w:t>颗粒物</w:t>
                  </w:r>
                </w:p>
              </w:tc>
              <w:tc>
                <w:tcPr>
                  <w:tcW w:w="1190" w:type="dxa"/>
                  <w:vAlign w:val="center"/>
                </w:tcPr>
                <w:p>
                  <w:pPr>
                    <w:pStyle w:val="32"/>
                    <w:spacing w:line="360" w:lineRule="exact"/>
                    <w:rPr>
                      <w:color w:val="000000" w:themeColor="text1"/>
                      <w:szCs w:val="21"/>
                    </w:rPr>
                  </w:pPr>
                  <w:r>
                    <w:rPr>
                      <w:rFonts w:hint="eastAsia"/>
                      <w:color w:val="000000" w:themeColor="text1"/>
                      <w:szCs w:val="21"/>
                    </w:rPr>
                    <w:t>千克/万块标砖</w:t>
                  </w:r>
                </w:p>
              </w:tc>
              <w:tc>
                <w:tcPr>
                  <w:tcW w:w="936" w:type="dxa"/>
                  <w:vAlign w:val="center"/>
                </w:tcPr>
                <w:p>
                  <w:pPr>
                    <w:pStyle w:val="32"/>
                    <w:spacing w:line="360" w:lineRule="exact"/>
                    <w:rPr>
                      <w:color w:val="000000" w:themeColor="text1"/>
                      <w:szCs w:val="21"/>
                    </w:rPr>
                  </w:pPr>
                  <w:r>
                    <w:rPr>
                      <w:rFonts w:hint="eastAsia"/>
                      <w:color w:val="000000" w:themeColor="text1"/>
                      <w:szCs w:val="21"/>
                    </w:rPr>
                    <w:t>1.23</w:t>
                  </w:r>
                </w:p>
              </w:tc>
              <w:tc>
                <w:tcPr>
                  <w:tcW w:w="1000" w:type="dxa"/>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袋式除尘</w:t>
                  </w:r>
                </w:p>
              </w:tc>
              <w:tc>
                <w:tcPr>
                  <w:tcW w:w="937" w:type="dxa"/>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98</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w:t>
            </w:r>
            <w:r>
              <w:rPr>
                <w:rFonts w:ascii="Times New Roman" w:hAnsi="Times New Roman" w:cs="Times New Roman"/>
                <w:color w:val="000000" w:themeColor="text1"/>
                <w:sz w:val="24"/>
                <w:szCs w:val="24"/>
              </w:rPr>
              <w:t>年产页岩砖</w:t>
            </w:r>
            <w:r>
              <w:rPr>
                <w:rFonts w:hint="eastAsia" w:ascii="Times New Roman" w:hAnsi="Times New Roman" w:cs="Times New Roman"/>
                <w:color w:val="000000" w:themeColor="text1"/>
                <w:sz w:val="24"/>
                <w:szCs w:val="24"/>
              </w:rPr>
              <w:t>6000万</w:t>
            </w:r>
            <w:r>
              <w:rPr>
                <w:rFonts w:ascii="Times New Roman" w:hAnsi="Times New Roman" w:cs="Times New Roman"/>
                <w:color w:val="000000" w:themeColor="text1"/>
                <w:sz w:val="24"/>
                <w:szCs w:val="24"/>
              </w:rPr>
              <w:t>块（折标）</w:t>
            </w:r>
            <w:r>
              <w:rPr>
                <w:rFonts w:hint="eastAsia" w:ascii="Times New Roman" w:hAnsi="Times New Roman" w:cs="Times New Roman"/>
                <w:color w:val="000000" w:themeColor="text1"/>
                <w:sz w:val="24"/>
                <w:szCs w:val="24"/>
              </w:rPr>
              <w:t>，原有项目颚破、混合、粉碎和筛分四个环节颗粒物产生量为7.83t/a；无相关治理措施，排放量为7.83t/a。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⑥焙烧烟气</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根据原有项目环评的分析，原有项目设置了24门轮窑，对砖坯进行焙烧，在焙烧过程会产生烟气，烟气的主要成分为烟尘、SO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、NOx和氟化物，原有项目年产页岩砖6000万块</w:t>
            </w:r>
            <w:r>
              <w:rPr>
                <w:rFonts w:ascii="Times New Roman" w:hAnsi="Times New Roman" w:cs="Times New Roman"/>
                <w:color w:val="000000" w:themeColor="text1"/>
                <w:sz w:val="24"/>
                <w:szCs w:val="24"/>
              </w:rPr>
              <w:t>标砖/年</w:t>
            </w: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《排放源统计调查产排污核算方法和系数手册》</w:t>
            </w:r>
            <w:r>
              <w:rPr>
                <w:rFonts w:hint="eastAsia" w:ascii="Times New Roman" w:hAnsi="Times New Roman" w:cs="Times New Roman"/>
                <w:color w:val="000000" w:themeColor="text1"/>
                <w:sz w:val="24"/>
                <w:szCs w:val="24"/>
              </w:rPr>
              <w:t>中“</w:t>
            </w:r>
            <w:r>
              <w:rPr>
                <w:rFonts w:ascii="Times New Roman" w:hAnsi="Times New Roman" w:cs="Times New Roman"/>
                <w:color w:val="000000" w:themeColor="text1"/>
                <w:sz w:val="24"/>
                <w:szCs w:val="24"/>
              </w:rPr>
              <w:t>303</w:t>
            </w:r>
            <w:r>
              <w:rPr>
                <w:rFonts w:hint="eastAsia" w:ascii="Times New Roman" w:hAnsi="Times New Roman" w:cs="Times New Roman"/>
                <w:color w:val="000000" w:themeColor="text1"/>
                <w:sz w:val="24"/>
                <w:szCs w:val="24"/>
              </w:rPr>
              <w:t>砖瓦、石材等建筑材料制造行业系数手册”，窑炉工艺废气中烟尘、</w:t>
            </w:r>
            <w:r>
              <w:rPr>
                <w:rFonts w:ascii="Times New Roman" w:hAnsi="Times New Roman" w:cs="Times New Roman"/>
                <w:color w:val="000000" w:themeColor="text1"/>
                <w:sz w:val="24"/>
                <w:szCs w:val="24"/>
              </w:rPr>
              <w:t>二氧化硫</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氮氧化物</w:t>
            </w:r>
            <w:r>
              <w:rPr>
                <w:rFonts w:hint="eastAsia" w:ascii="Times New Roman" w:hAnsi="Times New Roman" w:cs="Times New Roman"/>
                <w:color w:val="000000" w:themeColor="text1"/>
                <w:sz w:val="24"/>
                <w:szCs w:val="24"/>
              </w:rPr>
              <w:t>的产污系数如下表所示。</w:t>
            </w:r>
          </w:p>
          <w:p>
            <w:pPr>
              <w:spacing w:line="360" w:lineRule="auto"/>
              <w:ind w:firstLine="480" w:firstLineChars="200"/>
              <w:rPr>
                <w:rFonts w:ascii="Times New Roman" w:hAnsi="Times New Roman" w:cs="Times New Roman"/>
                <w:color w:val="000000" w:themeColor="text1"/>
                <w:sz w:val="24"/>
                <w:szCs w:val="24"/>
              </w:rPr>
            </w:pPr>
          </w:p>
          <w:p>
            <w:pPr>
              <w:pStyle w:val="42"/>
              <w:rPr>
                <w:rFonts w:hint="eastAsia"/>
                <w:color w:val="000000" w:themeColor="text1"/>
              </w:rPr>
            </w:pPr>
          </w:p>
          <w:p>
            <w:pPr>
              <w:pStyle w:val="42"/>
              <w:rPr>
                <w:color w:val="000000" w:themeColor="text1"/>
              </w:rPr>
            </w:pPr>
            <w:r>
              <w:rPr>
                <w:rFonts w:hint="eastAsia"/>
                <w:color w:val="000000" w:themeColor="text1"/>
              </w:rPr>
              <w:t>表2.12.1</w:t>
            </w:r>
            <w:r>
              <w:rPr>
                <w:color w:val="000000" w:themeColor="text1"/>
              </w:rPr>
              <w:t>-</w:t>
            </w:r>
            <w:r>
              <w:rPr>
                <w:rFonts w:hint="eastAsia"/>
                <w:color w:val="000000" w:themeColor="text1"/>
              </w:rPr>
              <w:t>2   粘土砖瓦及建筑砌块制造系数表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5"/>
              <w:gridCol w:w="849"/>
              <w:gridCol w:w="679"/>
              <w:gridCol w:w="875"/>
              <w:gridCol w:w="1026"/>
              <w:gridCol w:w="644"/>
              <w:gridCol w:w="1127"/>
              <w:gridCol w:w="1579"/>
              <w:gridCol w:w="11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5" w:type="dxa"/>
                  <w:vAlign w:val="center"/>
                </w:tcPr>
                <w:p>
                  <w:pPr>
                    <w:pStyle w:val="32"/>
                    <w:spacing w:line="360" w:lineRule="exact"/>
                    <w:rPr>
                      <w:color w:val="000000" w:themeColor="text1"/>
                      <w:szCs w:val="21"/>
                    </w:rPr>
                  </w:pPr>
                  <w:r>
                    <w:rPr>
                      <w:rFonts w:hint="eastAsia"/>
                      <w:color w:val="000000" w:themeColor="text1"/>
                      <w:szCs w:val="21"/>
                    </w:rPr>
                    <w:t>工段名称</w:t>
                  </w:r>
                </w:p>
              </w:tc>
              <w:tc>
                <w:tcPr>
                  <w:tcW w:w="849" w:type="dxa"/>
                  <w:vAlign w:val="center"/>
                </w:tcPr>
                <w:p>
                  <w:pPr>
                    <w:pStyle w:val="32"/>
                    <w:spacing w:line="360" w:lineRule="exact"/>
                    <w:rPr>
                      <w:color w:val="000000" w:themeColor="text1"/>
                      <w:szCs w:val="21"/>
                    </w:rPr>
                  </w:pPr>
                  <w:r>
                    <w:rPr>
                      <w:rFonts w:hint="eastAsia"/>
                      <w:color w:val="000000" w:themeColor="text1"/>
                      <w:szCs w:val="21"/>
                    </w:rPr>
                    <w:t>产品名称</w:t>
                  </w:r>
                </w:p>
              </w:tc>
              <w:tc>
                <w:tcPr>
                  <w:tcW w:w="679"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原料名称</w:t>
                  </w:r>
                </w:p>
              </w:tc>
              <w:tc>
                <w:tcPr>
                  <w:tcW w:w="875"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工艺</w:t>
                  </w:r>
                </w:p>
                <w:p>
                  <w:pPr>
                    <w:pStyle w:val="32"/>
                    <w:spacing w:line="360" w:lineRule="exact"/>
                    <w:rPr>
                      <w:color w:val="000000" w:themeColor="text1"/>
                      <w:szCs w:val="21"/>
                    </w:rPr>
                  </w:pPr>
                  <w:r>
                    <w:rPr>
                      <w:rFonts w:hint="eastAsia"/>
                      <w:color w:val="000000" w:themeColor="text1"/>
                      <w:szCs w:val="21"/>
                    </w:rPr>
                    <w:t>名称</w:t>
                  </w:r>
                </w:p>
              </w:tc>
              <w:tc>
                <w:tcPr>
                  <w:tcW w:w="1026" w:type="dxa"/>
                  <w:vAlign w:val="center"/>
                </w:tcPr>
                <w:p>
                  <w:pPr>
                    <w:pStyle w:val="32"/>
                    <w:spacing w:line="360" w:lineRule="exact"/>
                    <w:rPr>
                      <w:color w:val="000000" w:themeColor="text1"/>
                      <w:szCs w:val="21"/>
                    </w:rPr>
                  </w:pPr>
                  <w:r>
                    <w:rPr>
                      <w:rFonts w:hint="eastAsia"/>
                      <w:color w:val="000000" w:themeColor="text1"/>
                      <w:szCs w:val="21"/>
                    </w:rPr>
                    <w:t>规模等级</w:t>
                  </w:r>
                </w:p>
              </w:tc>
              <w:tc>
                <w:tcPr>
                  <w:tcW w:w="1771" w:type="dxa"/>
                  <w:gridSpan w:val="2"/>
                  <w:vAlign w:val="center"/>
                </w:tcPr>
                <w:p>
                  <w:pPr>
                    <w:pStyle w:val="32"/>
                    <w:spacing w:line="360" w:lineRule="exact"/>
                    <w:rPr>
                      <w:color w:val="000000" w:themeColor="text1"/>
                      <w:szCs w:val="21"/>
                    </w:rPr>
                  </w:pPr>
                  <w:r>
                    <w:rPr>
                      <w:rFonts w:hint="eastAsia"/>
                      <w:color w:val="000000" w:themeColor="text1"/>
                      <w:szCs w:val="21"/>
                    </w:rPr>
                    <w:t>污染物指标</w:t>
                  </w:r>
                </w:p>
              </w:tc>
              <w:tc>
                <w:tcPr>
                  <w:tcW w:w="1579" w:type="dxa"/>
                  <w:vAlign w:val="center"/>
                </w:tcPr>
                <w:p>
                  <w:pPr>
                    <w:pStyle w:val="32"/>
                    <w:spacing w:line="360" w:lineRule="exact"/>
                    <w:rPr>
                      <w:color w:val="000000" w:themeColor="text1"/>
                      <w:szCs w:val="21"/>
                    </w:rPr>
                  </w:pPr>
                  <w:r>
                    <w:rPr>
                      <w:rFonts w:hint="eastAsia"/>
                      <w:color w:val="000000" w:themeColor="text1"/>
                      <w:szCs w:val="21"/>
                    </w:rPr>
                    <w:t>系数单位</w:t>
                  </w:r>
                </w:p>
              </w:tc>
              <w:tc>
                <w:tcPr>
                  <w:tcW w:w="1191" w:type="dxa"/>
                  <w:vAlign w:val="center"/>
                </w:tcPr>
                <w:p>
                  <w:pPr>
                    <w:pStyle w:val="32"/>
                    <w:spacing w:line="360" w:lineRule="exact"/>
                    <w:rPr>
                      <w:color w:val="000000" w:themeColor="text1"/>
                      <w:szCs w:val="21"/>
                    </w:rPr>
                  </w:pPr>
                  <w:r>
                    <w:rPr>
                      <w:rFonts w:hint="eastAsia"/>
                      <w:color w:val="000000" w:themeColor="text1"/>
                      <w:szCs w:val="21"/>
                    </w:rPr>
                    <w:t>产污系数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5" w:type="dxa"/>
                  <w:vMerge w:val="restart"/>
                  <w:vAlign w:val="center"/>
                </w:tcPr>
                <w:p>
                  <w:pPr>
                    <w:pStyle w:val="32"/>
                    <w:spacing w:line="360" w:lineRule="exact"/>
                    <w:rPr>
                      <w:color w:val="000000" w:themeColor="text1"/>
                      <w:szCs w:val="21"/>
                    </w:rPr>
                  </w:pPr>
                  <w:r>
                    <w:rPr>
                      <w:rFonts w:hint="eastAsia"/>
                      <w:color w:val="000000" w:themeColor="text1"/>
                      <w:szCs w:val="21"/>
                    </w:rPr>
                    <w:t>/</w:t>
                  </w:r>
                </w:p>
              </w:tc>
              <w:tc>
                <w:tcPr>
                  <w:tcW w:w="849" w:type="dxa"/>
                  <w:vMerge w:val="restart"/>
                  <w:vAlign w:val="center"/>
                </w:tcPr>
                <w:p>
                  <w:pPr>
                    <w:pStyle w:val="32"/>
                    <w:spacing w:line="360" w:lineRule="exact"/>
                    <w:rPr>
                      <w:color w:val="000000" w:themeColor="text1"/>
                      <w:szCs w:val="21"/>
                    </w:rPr>
                  </w:pPr>
                  <w:r>
                    <w:rPr>
                      <w:rFonts w:hint="eastAsia"/>
                      <w:color w:val="000000" w:themeColor="text1"/>
                      <w:szCs w:val="21"/>
                    </w:rPr>
                    <w:t>烧结类砖瓦及建筑砌块</w:t>
                  </w:r>
                </w:p>
              </w:tc>
              <w:tc>
                <w:tcPr>
                  <w:tcW w:w="679"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页岩</w:t>
                  </w:r>
                </w:p>
              </w:tc>
              <w:tc>
                <w:tcPr>
                  <w:tcW w:w="875" w:type="dxa"/>
                  <w:vMerge w:val="restart"/>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砖瓦工业焙烧窑炉</w:t>
                  </w:r>
                </w:p>
              </w:tc>
              <w:tc>
                <w:tcPr>
                  <w:tcW w:w="1026" w:type="dxa"/>
                  <w:vMerge w:val="restart"/>
                  <w:vAlign w:val="center"/>
                </w:tcPr>
                <w:p>
                  <w:pPr>
                    <w:pStyle w:val="32"/>
                    <w:spacing w:line="360" w:lineRule="exact"/>
                    <w:rPr>
                      <w:color w:val="000000" w:themeColor="text1"/>
                      <w:szCs w:val="21"/>
                    </w:rPr>
                  </w:pPr>
                  <w:r>
                    <w:rPr>
                      <w:rFonts w:hint="eastAsia"/>
                      <w:color w:val="000000" w:themeColor="text1"/>
                      <w:szCs w:val="21"/>
                    </w:rPr>
                    <w:t>≥5000万块标砖/年</w:t>
                  </w:r>
                </w:p>
              </w:tc>
              <w:tc>
                <w:tcPr>
                  <w:tcW w:w="644" w:type="dxa"/>
                  <w:vMerge w:val="restart"/>
                  <w:vAlign w:val="center"/>
                </w:tcPr>
                <w:p>
                  <w:pPr>
                    <w:pStyle w:val="32"/>
                    <w:spacing w:line="360" w:lineRule="exact"/>
                    <w:rPr>
                      <w:color w:val="000000" w:themeColor="text1"/>
                      <w:szCs w:val="21"/>
                    </w:rPr>
                  </w:pPr>
                  <w:r>
                    <w:rPr>
                      <w:rFonts w:hint="eastAsia"/>
                      <w:color w:val="000000" w:themeColor="text1"/>
                      <w:szCs w:val="21"/>
                    </w:rPr>
                    <w:t>废气</w:t>
                  </w:r>
                </w:p>
              </w:tc>
              <w:tc>
                <w:tcPr>
                  <w:tcW w:w="1127" w:type="dxa"/>
                  <w:vAlign w:val="center"/>
                </w:tcPr>
                <w:p>
                  <w:pPr>
                    <w:pStyle w:val="32"/>
                    <w:spacing w:line="360" w:lineRule="exact"/>
                    <w:rPr>
                      <w:color w:val="000000" w:themeColor="text1"/>
                      <w:szCs w:val="21"/>
                    </w:rPr>
                  </w:pPr>
                  <w:r>
                    <w:rPr>
                      <w:rFonts w:hint="eastAsia"/>
                      <w:color w:val="000000" w:themeColor="text1"/>
                      <w:szCs w:val="21"/>
                    </w:rPr>
                    <w:t>颗粒物</w:t>
                  </w:r>
                </w:p>
              </w:tc>
              <w:tc>
                <w:tcPr>
                  <w:tcW w:w="1579" w:type="dxa"/>
                  <w:vAlign w:val="center"/>
                </w:tcPr>
                <w:p>
                  <w:pPr>
                    <w:pStyle w:val="32"/>
                    <w:spacing w:line="360" w:lineRule="exact"/>
                    <w:rPr>
                      <w:color w:val="000000" w:themeColor="text1"/>
                      <w:szCs w:val="21"/>
                    </w:rPr>
                  </w:pPr>
                  <w:r>
                    <w:rPr>
                      <w:rFonts w:hint="eastAsia"/>
                      <w:color w:val="000000" w:themeColor="text1"/>
                      <w:szCs w:val="21"/>
                    </w:rPr>
                    <w:t>千克/万块标砖</w:t>
                  </w:r>
                </w:p>
              </w:tc>
              <w:tc>
                <w:tcPr>
                  <w:tcW w:w="1191" w:type="dxa"/>
                  <w:vAlign w:val="center"/>
                </w:tcPr>
                <w:p>
                  <w:pPr>
                    <w:pStyle w:val="32"/>
                    <w:spacing w:line="360" w:lineRule="exact"/>
                    <w:rPr>
                      <w:color w:val="000000" w:themeColor="text1"/>
                      <w:szCs w:val="21"/>
                    </w:rPr>
                  </w:pPr>
                  <w:r>
                    <w:rPr>
                      <w:rFonts w:hint="eastAsia"/>
                      <w:color w:val="000000" w:themeColor="text1"/>
                      <w:szCs w:val="21"/>
                    </w:rPr>
                    <w:t>4.73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5" w:type="dxa"/>
                  <w:vMerge w:val="continue"/>
                  <w:vAlign w:val="center"/>
                </w:tcPr>
                <w:p>
                  <w:pPr>
                    <w:pStyle w:val="32"/>
                    <w:spacing w:line="360" w:lineRule="exact"/>
                    <w:rPr>
                      <w:color w:val="000000" w:themeColor="text1"/>
                      <w:szCs w:val="21"/>
                    </w:rPr>
                  </w:pPr>
                </w:p>
              </w:tc>
              <w:tc>
                <w:tcPr>
                  <w:tcW w:w="849" w:type="dxa"/>
                  <w:vMerge w:val="continue"/>
                  <w:vAlign w:val="center"/>
                </w:tcPr>
                <w:p>
                  <w:pPr>
                    <w:pStyle w:val="32"/>
                    <w:spacing w:line="360" w:lineRule="exact"/>
                    <w:rPr>
                      <w:color w:val="000000" w:themeColor="text1"/>
                      <w:szCs w:val="21"/>
                    </w:rPr>
                  </w:pPr>
                </w:p>
              </w:tc>
              <w:tc>
                <w:tcPr>
                  <w:tcW w:w="679" w:type="dxa"/>
                  <w:vMerge w:val="continue"/>
                  <w:tcBorders>
                    <w:right w:val="single" w:color="auto" w:sz="4" w:space="0"/>
                  </w:tcBorders>
                  <w:vAlign w:val="center"/>
                </w:tcPr>
                <w:p>
                  <w:pPr>
                    <w:pStyle w:val="32"/>
                    <w:spacing w:line="360" w:lineRule="exact"/>
                    <w:rPr>
                      <w:color w:val="000000" w:themeColor="text1"/>
                      <w:szCs w:val="21"/>
                    </w:rPr>
                  </w:pPr>
                </w:p>
              </w:tc>
              <w:tc>
                <w:tcPr>
                  <w:tcW w:w="875" w:type="dxa"/>
                  <w:vMerge w:val="continue"/>
                  <w:tcBorders>
                    <w:left w:val="single" w:color="auto" w:sz="4" w:space="0"/>
                  </w:tcBorders>
                  <w:vAlign w:val="center"/>
                </w:tcPr>
                <w:p>
                  <w:pPr>
                    <w:pStyle w:val="32"/>
                    <w:spacing w:line="360" w:lineRule="exact"/>
                    <w:rPr>
                      <w:color w:val="000000" w:themeColor="text1"/>
                      <w:szCs w:val="21"/>
                    </w:rPr>
                  </w:pPr>
                </w:p>
              </w:tc>
              <w:tc>
                <w:tcPr>
                  <w:tcW w:w="1026" w:type="dxa"/>
                  <w:vMerge w:val="continue"/>
                  <w:vAlign w:val="center"/>
                </w:tcPr>
                <w:p>
                  <w:pPr>
                    <w:pStyle w:val="32"/>
                    <w:spacing w:line="360" w:lineRule="exact"/>
                    <w:rPr>
                      <w:color w:val="000000" w:themeColor="text1"/>
                      <w:szCs w:val="21"/>
                    </w:rPr>
                  </w:pPr>
                </w:p>
              </w:tc>
              <w:tc>
                <w:tcPr>
                  <w:tcW w:w="644" w:type="dxa"/>
                  <w:vMerge w:val="continue"/>
                  <w:vAlign w:val="center"/>
                </w:tcPr>
                <w:p>
                  <w:pPr>
                    <w:pStyle w:val="32"/>
                    <w:spacing w:line="360" w:lineRule="exact"/>
                    <w:rPr>
                      <w:color w:val="000000" w:themeColor="text1"/>
                      <w:szCs w:val="21"/>
                    </w:rPr>
                  </w:pPr>
                </w:p>
              </w:tc>
              <w:tc>
                <w:tcPr>
                  <w:tcW w:w="1127" w:type="dxa"/>
                  <w:vAlign w:val="center"/>
                </w:tcPr>
                <w:p>
                  <w:pPr>
                    <w:pStyle w:val="32"/>
                    <w:spacing w:line="360" w:lineRule="exact"/>
                    <w:rPr>
                      <w:color w:val="000000" w:themeColor="text1"/>
                      <w:szCs w:val="21"/>
                    </w:rPr>
                  </w:pPr>
                  <w:r>
                    <w:rPr>
                      <w:rFonts w:hint="eastAsia"/>
                      <w:color w:val="000000" w:themeColor="text1"/>
                      <w:szCs w:val="21"/>
                    </w:rPr>
                    <w:t>二氧化硫</w:t>
                  </w:r>
                </w:p>
              </w:tc>
              <w:tc>
                <w:tcPr>
                  <w:tcW w:w="1579" w:type="dxa"/>
                  <w:vAlign w:val="center"/>
                </w:tcPr>
                <w:p>
                  <w:pPr>
                    <w:pStyle w:val="32"/>
                    <w:spacing w:line="360" w:lineRule="exact"/>
                    <w:rPr>
                      <w:color w:val="000000" w:themeColor="text1"/>
                      <w:szCs w:val="21"/>
                    </w:rPr>
                  </w:pPr>
                  <w:r>
                    <w:rPr>
                      <w:rFonts w:hint="eastAsia"/>
                      <w:color w:val="000000" w:themeColor="text1"/>
                      <w:szCs w:val="21"/>
                    </w:rPr>
                    <w:t>千克/万块标砖</w:t>
                  </w:r>
                </w:p>
              </w:tc>
              <w:tc>
                <w:tcPr>
                  <w:tcW w:w="1191" w:type="dxa"/>
                  <w:vAlign w:val="center"/>
                </w:tcPr>
                <w:p>
                  <w:pPr>
                    <w:pStyle w:val="32"/>
                    <w:spacing w:line="360" w:lineRule="exact"/>
                    <w:rPr>
                      <w:color w:val="000000" w:themeColor="text1"/>
                      <w:szCs w:val="21"/>
                    </w:rPr>
                  </w:pPr>
                  <w:r>
                    <w:rPr>
                      <w:rFonts w:hint="eastAsia"/>
                      <w:color w:val="000000" w:themeColor="text1"/>
                      <w:szCs w:val="21"/>
                    </w:rPr>
                    <w:t>14.8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5" w:type="dxa"/>
                  <w:vMerge w:val="continue"/>
                  <w:vAlign w:val="center"/>
                </w:tcPr>
                <w:p>
                  <w:pPr>
                    <w:pStyle w:val="32"/>
                    <w:spacing w:line="360" w:lineRule="exact"/>
                    <w:rPr>
                      <w:color w:val="000000" w:themeColor="text1"/>
                      <w:szCs w:val="21"/>
                    </w:rPr>
                  </w:pPr>
                </w:p>
              </w:tc>
              <w:tc>
                <w:tcPr>
                  <w:tcW w:w="849" w:type="dxa"/>
                  <w:vMerge w:val="continue"/>
                  <w:vAlign w:val="center"/>
                </w:tcPr>
                <w:p>
                  <w:pPr>
                    <w:pStyle w:val="32"/>
                    <w:spacing w:line="360" w:lineRule="exact"/>
                    <w:rPr>
                      <w:color w:val="000000" w:themeColor="text1"/>
                      <w:szCs w:val="21"/>
                    </w:rPr>
                  </w:pPr>
                </w:p>
              </w:tc>
              <w:tc>
                <w:tcPr>
                  <w:tcW w:w="679" w:type="dxa"/>
                  <w:vMerge w:val="continue"/>
                  <w:tcBorders>
                    <w:right w:val="single" w:color="auto" w:sz="4" w:space="0"/>
                  </w:tcBorders>
                  <w:vAlign w:val="center"/>
                </w:tcPr>
                <w:p>
                  <w:pPr>
                    <w:pStyle w:val="32"/>
                    <w:spacing w:line="360" w:lineRule="exact"/>
                    <w:rPr>
                      <w:color w:val="000000" w:themeColor="text1"/>
                      <w:szCs w:val="21"/>
                    </w:rPr>
                  </w:pPr>
                </w:p>
              </w:tc>
              <w:tc>
                <w:tcPr>
                  <w:tcW w:w="875" w:type="dxa"/>
                  <w:vMerge w:val="continue"/>
                  <w:tcBorders>
                    <w:left w:val="single" w:color="auto" w:sz="4" w:space="0"/>
                  </w:tcBorders>
                  <w:vAlign w:val="center"/>
                </w:tcPr>
                <w:p>
                  <w:pPr>
                    <w:pStyle w:val="32"/>
                    <w:spacing w:line="360" w:lineRule="exact"/>
                    <w:rPr>
                      <w:color w:val="000000" w:themeColor="text1"/>
                      <w:szCs w:val="21"/>
                    </w:rPr>
                  </w:pPr>
                </w:p>
              </w:tc>
              <w:tc>
                <w:tcPr>
                  <w:tcW w:w="1026" w:type="dxa"/>
                  <w:vMerge w:val="continue"/>
                  <w:vAlign w:val="center"/>
                </w:tcPr>
                <w:p>
                  <w:pPr>
                    <w:pStyle w:val="32"/>
                    <w:spacing w:line="360" w:lineRule="exact"/>
                    <w:rPr>
                      <w:color w:val="000000" w:themeColor="text1"/>
                      <w:szCs w:val="21"/>
                    </w:rPr>
                  </w:pPr>
                </w:p>
              </w:tc>
              <w:tc>
                <w:tcPr>
                  <w:tcW w:w="644" w:type="dxa"/>
                  <w:vMerge w:val="continue"/>
                  <w:vAlign w:val="center"/>
                </w:tcPr>
                <w:p>
                  <w:pPr>
                    <w:pStyle w:val="32"/>
                    <w:spacing w:line="360" w:lineRule="exact"/>
                    <w:rPr>
                      <w:color w:val="000000" w:themeColor="text1"/>
                      <w:szCs w:val="21"/>
                    </w:rPr>
                  </w:pPr>
                </w:p>
              </w:tc>
              <w:tc>
                <w:tcPr>
                  <w:tcW w:w="1127" w:type="dxa"/>
                  <w:vAlign w:val="center"/>
                </w:tcPr>
                <w:p>
                  <w:pPr>
                    <w:pStyle w:val="32"/>
                    <w:spacing w:line="360" w:lineRule="exact"/>
                    <w:rPr>
                      <w:color w:val="000000" w:themeColor="text1"/>
                      <w:szCs w:val="21"/>
                    </w:rPr>
                  </w:pPr>
                  <w:r>
                    <w:rPr>
                      <w:rFonts w:hint="eastAsia"/>
                      <w:color w:val="000000" w:themeColor="text1"/>
                      <w:szCs w:val="21"/>
                    </w:rPr>
                    <w:t>氮氧化物</w:t>
                  </w:r>
                </w:p>
              </w:tc>
              <w:tc>
                <w:tcPr>
                  <w:tcW w:w="1579" w:type="dxa"/>
                  <w:vAlign w:val="center"/>
                </w:tcPr>
                <w:p>
                  <w:pPr>
                    <w:pStyle w:val="32"/>
                    <w:spacing w:line="360" w:lineRule="exact"/>
                    <w:rPr>
                      <w:color w:val="000000" w:themeColor="text1"/>
                      <w:szCs w:val="21"/>
                    </w:rPr>
                  </w:pPr>
                  <w:r>
                    <w:rPr>
                      <w:rFonts w:hint="eastAsia"/>
                      <w:color w:val="000000" w:themeColor="text1"/>
                      <w:szCs w:val="21"/>
                    </w:rPr>
                    <w:t>千克/万块标砖</w:t>
                  </w:r>
                </w:p>
              </w:tc>
              <w:tc>
                <w:tcPr>
                  <w:tcW w:w="1191" w:type="dxa"/>
                  <w:vAlign w:val="center"/>
                </w:tcPr>
                <w:p>
                  <w:pPr>
                    <w:pStyle w:val="32"/>
                    <w:spacing w:line="360" w:lineRule="exact"/>
                    <w:rPr>
                      <w:color w:val="000000" w:themeColor="text1"/>
                      <w:szCs w:val="21"/>
                    </w:rPr>
                  </w:pPr>
                  <w:r>
                    <w:rPr>
                      <w:rFonts w:hint="eastAsia"/>
                      <w:color w:val="000000" w:themeColor="text1"/>
                      <w:szCs w:val="21"/>
                    </w:rPr>
                    <w:t>1.66</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由上表可计算出，原有项目污染物产生情况如下</w:t>
            </w:r>
          </w:p>
          <w:p>
            <w:pPr>
              <w:spacing w:line="360" w:lineRule="auto"/>
              <w:ind w:firstLine="482" w:firstLineChars="200"/>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1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⑴</w:t>
            </w:r>
            <w:r>
              <w:rPr>
                <w:rFonts w:ascii="Times New Roman" w:hAnsi="Times New Roman" w:cs="Times New Roman"/>
                <w:b/>
                <w:bCs/>
                <w:color w:val="000000" w:themeColor="text1"/>
                <w:sz w:val="24"/>
                <w:szCs w:val="24"/>
              </w:rPr>
              <w:fldChar w:fldCharType="end"/>
            </w:r>
            <w:r>
              <w:rPr>
                <w:rFonts w:ascii="Times New Roman" w:hAnsi="Times New Roman" w:cs="Times New Roman"/>
                <w:bCs/>
                <w:color w:val="000000" w:themeColor="text1"/>
                <w:sz w:val="24"/>
                <w:szCs w:val="24"/>
              </w:rPr>
              <w:t xml:space="preserve"> </w:t>
            </w:r>
            <w:r>
              <w:rPr>
                <w:rFonts w:ascii="Times New Roman" w:hAnsi="Times New Roman" w:cs="Times New Roman"/>
                <w:b/>
                <w:bCs/>
                <w:color w:val="000000" w:themeColor="text1"/>
                <w:sz w:val="24"/>
                <w:szCs w:val="24"/>
              </w:rPr>
              <w:t>烟尘</w:t>
            </w:r>
            <w:r>
              <w:rPr>
                <w:rFonts w:hint="eastAsia" w:ascii="Times New Roman" w:hAnsi="Times New Roman" w:cs="Times New Roman"/>
                <w:b/>
                <w:bCs/>
                <w:color w:val="000000" w:themeColor="text1"/>
                <w:sz w:val="24"/>
                <w:szCs w:val="24"/>
              </w:rPr>
              <w:t>产排</w:t>
            </w:r>
            <w:r>
              <w:rPr>
                <w:rFonts w:ascii="Times New Roman" w:hAnsi="Times New Roman" w:cs="Times New Roman"/>
                <w:b/>
                <w:bCs/>
                <w:color w:val="000000" w:themeColor="text1"/>
                <w:sz w:val="24"/>
                <w:szCs w:val="24"/>
              </w:rPr>
              <w:t>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w:t>
            </w:r>
            <w:r>
              <w:rPr>
                <w:rFonts w:hint="eastAsia" w:ascii="Times New Roman" w:hAnsi="Times New Roman" w:cs="Times New Roman"/>
                <w:bCs/>
                <w:color w:val="000000" w:themeColor="text1"/>
                <w:sz w:val="24"/>
                <w:szCs w:val="24"/>
              </w:rPr>
              <w:t>“表2.12.1-2 粘土砖瓦及建筑砌块制造系数表”，原有项目</w:t>
            </w:r>
            <w:r>
              <w:rPr>
                <w:rFonts w:ascii="Times New Roman" w:hAnsi="Times New Roman" w:cs="Times New Roman"/>
                <w:bCs/>
                <w:color w:val="000000" w:themeColor="text1"/>
                <w:sz w:val="24"/>
                <w:szCs w:val="24"/>
              </w:rPr>
              <w:t>年产页岩砖</w:t>
            </w:r>
            <w:r>
              <w:rPr>
                <w:rFonts w:hint="eastAsia" w:ascii="Times New Roman" w:hAnsi="Times New Roman" w:cs="Times New Roman"/>
                <w:bCs/>
                <w:color w:val="000000" w:themeColor="text1"/>
                <w:sz w:val="24"/>
                <w:szCs w:val="24"/>
              </w:rPr>
              <w:t>6000万</w:t>
            </w:r>
            <w:r>
              <w:rPr>
                <w:rFonts w:ascii="Times New Roman" w:hAnsi="Times New Roman" w:cs="Times New Roman"/>
                <w:bCs/>
                <w:color w:val="000000" w:themeColor="text1"/>
                <w:sz w:val="24"/>
                <w:szCs w:val="24"/>
              </w:rPr>
              <w:t>块（折标），烟尘产污系数为4.7</w:t>
            </w:r>
            <w:r>
              <w:rPr>
                <w:rFonts w:hint="eastAsia"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kg/万块</w:t>
            </w:r>
            <w:r>
              <w:rPr>
                <w:rFonts w:hint="eastAsia" w:ascii="Times New Roman" w:hAnsi="Times New Roman" w:cs="Times New Roman"/>
                <w:bCs/>
                <w:color w:val="000000" w:themeColor="text1"/>
                <w:sz w:val="24"/>
                <w:szCs w:val="24"/>
              </w:rPr>
              <w:t>标砖，</w:t>
            </w:r>
            <w:r>
              <w:rPr>
                <w:rFonts w:ascii="Times New Roman" w:hAnsi="Times New Roman" w:cs="Times New Roman"/>
                <w:bCs/>
                <w:color w:val="000000" w:themeColor="text1"/>
                <w:sz w:val="24"/>
                <w:szCs w:val="24"/>
              </w:rPr>
              <w:t>则烟尘产生量为</w:t>
            </w:r>
            <w:r>
              <w:rPr>
                <w:rFonts w:hint="eastAsia" w:ascii="Times New Roman" w:hAnsi="Times New Roman" w:cs="Times New Roman"/>
                <w:bCs/>
                <w:color w:val="000000" w:themeColor="text1"/>
                <w:sz w:val="24"/>
                <w:szCs w:val="24"/>
              </w:rPr>
              <w:t>28.38</w:t>
            </w:r>
            <w:r>
              <w:rPr>
                <w:rFonts w:ascii="Times New Roman" w:hAnsi="Times New Roman" w:cs="Times New Roman"/>
                <w:bCs/>
                <w:color w:val="000000" w:themeColor="text1"/>
                <w:sz w:val="24"/>
                <w:szCs w:val="24"/>
              </w:rPr>
              <w:t>t/a</w:t>
            </w:r>
            <w:r>
              <w:rPr>
                <w:rFonts w:hint="eastAsia" w:ascii="Times New Roman" w:hAnsi="Times New Roman" w:cs="Times New Roman"/>
                <w:bCs/>
                <w:color w:val="000000" w:themeColor="text1"/>
                <w:sz w:val="24"/>
                <w:szCs w:val="24"/>
              </w:rPr>
              <w:t>；</w:t>
            </w:r>
            <w:r>
              <w:rPr>
                <w:rFonts w:hint="eastAsia" w:ascii="Times New Roman" w:hAnsi="Times New Roman" w:cs="Times New Roman"/>
                <w:color w:val="000000" w:themeColor="text1"/>
                <w:sz w:val="24"/>
                <w:szCs w:val="24"/>
              </w:rPr>
              <w:t>无相关治理措施，排放量为</w:t>
            </w:r>
            <w:r>
              <w:rPr>
                <w:rFonts w:hint="eastAsia" w:ascii="Times New Roman" w:hAnsi="Times New Roman" w:cs="Times New Roman"/>
                <w:bCs/>
                <w:color w:val="000000" w:themeColor="text1"/>
                <w:sz w:val="24"/>
                <w:szCs w:val="24"/>
              </w:rPr>
              <w:t>28.38</w:t>
            </w:r>
            <w:r>
              <w:rPr>
                <w:rFonts w:ascii="Times New Roman" w:hAnsi="Times New Roman" w:cs="Times New Roman"/>
                <w:bCs/>
                <w:color w:val="000000" w:themeColor="text1"/>
                <w:sz w:val="24"/>
                <w:szCs w:val="24"/>
              </w:rPr>
              <w:t>t/a</w:t>
            </w:r>
            <w:r>
              <w:rPr>
                <w:rFonts w:hint="eastAsia" w:ascii="Times New Roman" w:hAnsi="Times New Roman" w:cs="Times New Roman"/>
                <w:bCs/>
                <w:color w:val="000000" w:themeColor="text1"/>
                <w:sz w:val="24"/>
                <w:szCs w:val="24"/>
              </w:rPr>
              <w:t>。</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SO</w:t>
            </w:r>
            <w:r>
              <w:rPr>
                <w:rFonts w:ascii="Times New Roman" w:hAnsi="Times New Roman" w:cs="Times New Roman"/>
                <w:b/>
                <w:bCs/>
                <w:color w:val="000000" w:themeColor="text1"/>
                <w:sz w:val="24"/>
                <w:szCs w:val="24"/>
                <w:vertAlign w:val="subscript"/>
              </w:rPr>
              <w:t>2</w:t>
            </w:r>
            <w:r>
              <w:rPr>
                <w:rFonts w:hint="eastAsia" w:ascii="Times New Roman" w:hAnsi="Times New Roman" w:cs="Times New Roman"/>
                <w:b/>
                <w:bCs/>
                <w:color w:val="000000" w:themeColor="text1"/>
                <w:sz w:val="24"/>
                <w:szCs w:val="24"/>
              </w:rPr>
              <w:t>产生</w:t>
            </w:r>
            <w:r>
              <w:rPr>
                <w:rFonts w:ascii="Times New Roman" w:hAnsi="Times New Roman" w:cs="Times New Roman"/>
                <w:b/>
                <w:bCs/>
                <w:color w:val="000000" w:themeColor="text1"/>
                <w:sz w:val="24"/>
                <w:szCs w:val="24"/>
              </w:rPr>
              <w:t>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w:t>
            </w:r>
            <w:r>
              <w:rPr>
                <w:rFonts w:hint="eastAsia" w:ascii="Times New Roman" w:hAnsi="Times New Roman" w:cs="Times New Roman"/>
                <w:bCs/>
                <w:color w:val="000000" w:themeColor="text1"/>
                <w:sz w:val="24"/>
                <w:szCs w:val="24"/>
              </w:rPr>
              <w:t>“表2.12.1-2 粘土砖瓦及建筑砌块制造系数表”，原有项目</w:t>
            </w:r>
            <w:r>
              <w:rPr>
                <w:rFonts w:ascii="Times New Roman" w:hAnsi="Times New Roman" w:cs="Times New Roman"/>
                <w:bCs/>
                <w:color w:val="000000" w:themeColor="text1"/>
                <w:sz w:val="24"/>
                <w:szCs w:val="24"/>
              </w:rPr>
              <w:t>年产页岩砖</w:t>
            </w:r>
            <w:r>
              <w:rPr>
                <w:rFonts w:hint="eastAsia" w:ascii="Times New Roman" w:hAnsi="Times New Roman" w:cs="Times New Roman"/>
                <w:bCs/>
                <w:color w:val="000000" w:themeColor="text1"/>
                <w:sz w:val="24"/>
                <w:szCs w:val="24"/>
              </w:rPr>
              <w:t>6000万</w:t>
            </w:r>
            <w:r>
              <w:rPr>
                <w:rFonts w:ascii="Times New Roman" w:hAnsi="Times New Roman" w:cs="Times New Roman"/>
                <w:bCs/>
                <w:color w:val="000000" w:themeColor="text1"/>
                <w:sz w:val="24"/>
                <w:szCs w:val="24"/>
              </w:rPr>
              <w:t>块（折标），SO</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的产生系数为14.8kg/万块</w:t>
            </w:r>
            <w:r>
              <w:rPr>
                <w:rFonts w:hint="eastAsia" w:ascii="Times New Roman" w:hAnsi="Times New Roman" w:cs="Times New Roman"/>
                <w:bCs/>
                <w:color w:val="000000" w:themeColor="text1"/>
                <w:sz w:val="24"/>
                <w:szCs w:val="24"/>
              </w:rPr>
              <w:t>标砖，</w:t>
            </w:r>
            <w:r>
              <w:rPr>
                <w:rFonts w:ascii="Times New Roman" w:hAnsi="Times New Roman" w:cs="Times New Roman"/>
                <w:bCs/>
                <w:color w:val="000000" w:themeColor="text1"/>
                <w:sz w:val="24"/>
                <w:szCs w:val="24"/>
              </w:rPr>
              <w:t>则SO</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产生量为</w:t>
            </w:r>
            <w:r>
              <w:rPr>
                <w:rFonts w:hint="eastAsia" w:ascii="Times New Roman" w:hAnsi="Times New Roman" w:cs="Times New Roman"/>
                <w:bCs/>
                <w:color w:val="000000" w:themeColor="text1"/>
                <w:sz w:val="24"/>
                <w:szCs w:val="24"/>
              </w:rPr>
              <w:t>88.8</w:t>
            </w:r>
            <w:r>
              <w:rPr>
                <w:rFonts w:ascii="Times New Roman" w:hAnsi="Times New Roman" w:cs="Times New Roman"/>
                <w:bCs/>
                <w:color w:val="000000" w:themeColor="text1"/>
                <w:sz w:val="24"/>
                <w:szCs w:val="24"/>
              </w:rPr>
              <w:t>t/a</w:t>
            </w:r>
            <w:r>
              <w:rPr>
                <w:rFonts w:hint="eastAsia" w:ascii="Times New Roman" w:hAnsi="Times New Roman" w:cs="Times New Roman"/>
                <w:bCs/>
                <w:color w:val="000000" w:themeColor="text1"/>
                <w:sz w:val="24"/>
                <w:szCs w:val="24"/>
              </w:rPr>
              <w:t>；</w:t>
            </w:r>
            <w:r>
              <w:rPr>
                <w:rFonts w:hint="eastAsia" w:ascii="Times New Roman" w:hAnsi="Times New Roman" w:cs="Times New Roman"/>
                <w:color w:val="000000" w:themeColor="text1"/>
                <w:sz w:val="24"/>
                <w:szCs w:val="24"/>
              </w:rPr>
              <w:t>无相关治理措施，排放量为</w:t>
            </w:r>
            <w:r>
              <w:rPr>
                <w:rFonts w:hint="eastAsia" w:ascii="Times New Roman" w:hAnsi="Times New Roman" w:cs="Times New Roman"/>
                <w:bCs/>
                <w:color w:val="000000" w:themeColor="text1"/>
                <w:sz w:val="24"/>
                <w:szCs w:val="24"/>
              </w:rPr>
              <w:t>88.8</w:t>
            </w:r>
            <w:r>
              <w:rPr>
                <w:rFonts w:ascii="Times New Roman" w:hAnsi="Times New Roman" w:cs="Times New Roman"/>
                <w:bCs/>
                <w:color w:val="000000" w:themeColor="text1"/>
                <w:sz w:val="24"/>
                <w:szCs w:val="24"/>
              </w:rPr>
              <w:t>t/a。</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3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⑶</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NOx</w:t>
            </w:r>
            <w:r>
              <w:rPr>
                <w:rFonts w:hint="eastAsia" w:ascii="Times New Roman" w:hAnsi="Times New Roman" w:cs="Times New Roman"/>
                <w:b/>
                <w:bCs/>
                <w:color w:val="000000" w:themeColor="text1"/>
                <w:sz w:val="24"/>
                <w:szCs w:val="24"/>
              </w:rPr>
              <w:t>产生</w:t>
            </w:r>
            <w:r>
              <w:rPr>
                <w:rFonts w:ascii="Times New Roman" w:hAnsi="Times New Roman" w:cs="Times New Roman"/>
                <w:b/>
                <w:bCs/>
                <w:color w:val="000000" w:themeColor="text1"/>
                <w:sz w:val="24"/>
                <w:szCs w:val="24"/>
              </w:rPr>
              <w:t>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w:t>
            </w:r>
            <w:r>
              <w:rPr>
                <w:rFonts w:hint="eastAsia" w:ascii="Times New Roman" w:hAnsi="Times New Roman" w:cs="Times New Roman"/>
                <w:bCs/>
                <w:color w:val="000000" w:themeColor="text1"/>
                <w:sz w:val="24"/>
                <w:szCs w:val="24"/>
              </w:rPr>
              <w:t>“表2.12.1-2 粘土砖瓦及建筑砌块制造系数表”，原有项目</w:t>
            </w:r>
            <w:r>
              <w:rPr>
                <w:rFonts w:ascii="Times New Roman" w:hAnsi="Times New Roman" w:cs="Times New Roman"/>
                <w:bCs/>
                <w:color w:val="000000" w:themeColor="text1"/>
                <w:sz w:val="24"/>
                <w:szCs w:val="24"/>
              </w:rPr>
              <w:t>年产页岩砖</w:t>
            </w:r>
            <w:r>
              <w:rPr>
                <w:rFonts w:hint="eastAsia" w:ascii="Times New Roman" w:hAnsi="Times New Roman" w:cs="Times New Roman"/>
                <w:bCs/>
                <w:color w:val="000000" w:themeColor="text1"/>
                <w:sz w:val="24"/>
                <w:szCs w:val="24"/>
              </w:rPr>
              <w:t>6000万</w:t>
            </w:r>
            <w:r>
              <w:rPr>
                <w:rFonts w:ascii="Times New Roman" w:hAnsi="Times New Roman" w:cs="Times New Roman"/>
                <w:bCs/>
                <w:color w:val="000000" w:themeColor="text1"/>
                <w:sz w:val="24"/>
                <w:szCs w:val="24"/>
              </w:rPr>
              <w:t>块（折标），NOx的产生系数为1.6</w:t>
            </w:r>
            <w:r>
              <w:rPr>
                <w:rFonts w:hint="eastAsia"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kg/万块，则NOx产生量为</w:t>
            </w:r>
            <w:r>
              <w:rPr>
                <w:rFonts w:hint="eastAsia" w:ascii="Times New Roman" w:hAnsi="Times New Roman" w:cs="Times New Roman"/>
                <w:bCs/>
                <w:color w:val="000000" w:themeColor="text1"/>
                <w:sz w:val="24"/>
                <w:szCs w:val="24"/>
              </w:rPr>
              <w:t>9.96</w:t>
            </w:r>
            <w:r>
              <w:rPr>
                <w:rFonts w:ascii="Times New Roman" w:hAnsi="Times New Roman" w:cs="Times New Roman"/>
                <w:bCs/>
                <w:color w:val="000000" w:themeColor="text1"/>
                <w:sz w:val="24"/>
                <w:szCs w:val="24"/>
              </w:rPr>
              <w:t>t/a</w:t>
            </w:r>
            <w:r>
              <w:rPr>
                <w:rFonts w:hint="eastAsia" w:ascii="Times New Roman" w:hAnsi="Times New Roman" w:cs="Times New Roman"/>
                <w:bCs/>
                <w:color w:val="000000" w:themeColor="text1"/>
                <w:sz w:val="24"/>
                <w:szCs w:val="24"/>
              </w:rPr>
              <w:t>；</w:t>
            </w:r>
            <w:r>
              <w:rPr>
                <w:rFonts w:hint="eastAsia" w:ascii="Times New Roman" w:hAnsi="Times New Roman" w:cs="Times New Roman"/>
                <w:color w:val="000000" w:themeColor="text1"/>
                <w:sz w:val="24"/>
                <w:szCs w:val="24"/>
              </w:rPr>
              <w:t>无相关治理措施，排放量为</w:t>
            </w:r>
            <w:r>
              <w:rPr>
                <w:rFonts w:hint="eastAsia" w:ascii="Times New Roman" w:hAnsi="Times New Roman" w:cs="Times New Roman"/>
                <w:bCs/>
                <w:color w:val="000000" w:themeColor="text1"/>
                <w:sz w:val="24"/>
                <w:szCs w:val="24"/>
              </w:rPr>
              <w:t>9.96</w:t>
            </w:r>
            <w:r>
              <w:rPr>
                <w:rFonts w:ascii="Times New Roman" w:hAnsi="Times New Roman" w:cs="Times New Roman"/>
                <w:bCs/>
                <w:color w:val="000000" w:themeColor="text1"/>
                <w:sz w:val="24"/>
                <w:szCs w:val="24"/>
              </w:rPr>
              <w:t>t/a。</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4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⑷</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氟化物</w:t>
            </w:r>
            <w:r>
              <w:rPr>
                <w:rFonts w:hint="eastAsia" w:ascii="Times New Roman" w:hAnsi="Times New Roman" w:cs="Times New Roman"/>
                <w:b/>
                <w:bCs/>
                <w:color w:val="000000" w:themeColor="text1"/>
                <w:sz w:val="24"/>
                <w:szCs w:val="24"/>
              </w:rPr>
              <w:t>产生</w:t>
            </w:r>
            <w:r>
              <w:rPr>
                <w:rFonts w:ascii="Times New Roman" w:hAnsi="Times New Roman" w:cs="Times New Roman"/>
                <w:b/>
                <w:bCs/>
                <w:color w:val="000000" w:themeColor="text1"/>
                <w:sz w:val="24"/>
                <w:szCs w:val="24"/>
              </w:rPr>
              <w:t>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原有项目主要原料为页岩和煤，氟化物主要来自于页岩，页岩是由粘土在地壳运动中挤压而形成的岩石，其中含有氟化物，经高温焙烧时会有部分氟化物挥发。根据项目可研，</w:t>
            </w:r>
            <w:r>
              <w:rPr>
                <w:rFonts w:hint="eastAsia" w:ascii="Times New Roman" w:hAnsi="Times New Roman" w:cs="Times New Roman"/>
                <w:bCs/>
                <w:color w:val="000000" w:themeColor="text1"/>
                <w:sz w:val="24"/>
                <w:szCs w:val="24"/>
              </w:rPr>
              <w:t>原有项目使用页岩的氟化物含量为0.002</w:t>
            </w:r>
            <w:r>
              <w:rPr>
                <w:rFonts w:ascii="Times New Roman" w:hAnsi="Times New Roman" w:cs="Times New Roman"/>
                <w:bCs/>
                <w:color w:val="000000" w:themeColor="text1"/>
                <w:sz w:val="24"/>
                <w:szCs w:val="24"/>
              </w:rPr>
              <w:t>%</w:t>
            </w:r>
            <w:r>
              <w:rPr>
                <w:rFonts w:hint="eastAsia" w:ascii="Times New Roman" w:hAnsi="Times New Roman" w:cs="Times New Roman"/>
                <w:bCs/>
                <w:color w:val="000000" w:themeColor="text1"/>
                <w:sz w:val="24"/>
                <w:szCs w:val="24"/>
              </w:rPr>
              <w:t>，</w:t>
            </w:r>
            <w:r>
              <w:rPr>
                <w:rFonts w:hint="eastAsia" w:ascii="Times New Roman" w:hAnsi="Times New Roman" w:cs="Times New Roman"/>
                <w:color w:val="000000" w:themeColor="text1"/>
                <w:sz w:val="24"/>
                <w:szCs w:val="24"/>
              </w:rPr>
              <w:t>原有项目页岩使用量为13.51</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根据文献《砖瓦厂氟化物排放研究》（浙江农业大学）的研究表明，烧制过程中氟的平均释放率为54.3%，则氟化物产生量为</w:t>
            </w:r>
            <w:r>
              <w:rPr>
                <w:rFonts w:hint="eastAsia" w:ascii="Times New Roman" w:hAnsi="Times New Roman" w:cs="Times New Roman"/>
                <w:bCs/>
                <w:color w:val="000000" w:themeColor="text1"/>
                <w:sz w:val="24"/>
                <w:szCs w:val="24"/>
              </w:rPr>
              <w:t>1.47</w:t>
            </w:r>
            <w:r>
              <w:rPr>
                <w:rFonts w:ascii="Times New Roman" w:hAnsi="Times New Roman" w:cs="Times New Roman"/>
                <w:bCs/>
                <w:color w:val="000000" w:themeColor="text1"/>
                <w:sz w:val="24"/>
                <w:szCs w:val="24"/>
              </w:rPr>
              <w:t>t/a</w:t>
            </w:r>
            <w:r>
              <w:rPr>
                <w:rFonts w:hint="eastAsia" w:ascii="Times New Roman" w:hAnsi="Times New Roman" w:cs="Times New Roman"/>
                <w:bCs/>
                <w:color w:val="000000" w:themeColor="text1"/>
                <w:sz w:val="24"/>
                <w:szCs w:val="24"/>
              </w:rPr>
              <w:t>；</w:t>
            </w:r>
            <w:r>
              <w:rPr>
                <w:rFonts w:hint="eastAsia" w:ascii="Times New Roman" w:hAnsi="Times New Roman" w:cs="Times New Roman"/>
                <w:color w:val="000000" w:themeColor="text1"/>
                <w:sz w:val="24"/>
                <w:szCs w:val="24"/>
              </w:rPr>
              <w:t>无相关治理措施，排放量为1.47</w:t>
            </w:r>
            <w:r>
              <w:rPr>
                <w:rFonts w:ascii="Times New Roman" w:hAnsi="Times New Roman" w:cs="Times New Roman"/>
                <w:color w:val="000000" w:themeColor="text1"/>
                <w:sz w:val="24"/>
                <w:szCs w:val="24"/>
              </w:rPr>
              <w:t>t/a。</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综上，</w:t>
            </w:r>
            <w:r>
              <w:rPr>
                <w:rFonts w:ascii="Times New Roman" w:hAnsi="Times New Roman" w:cs="Times New Roman"/>
                <w:color w:val="000000" w:themeColor="text1"/>
                <w:sz w:val="24"/>
                <w:szCs w:val="24"/>
              </w:rPr>
              <w:t>原有项目废气污染物排放源产排量及达标情况如下表所示。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表2.12.1-2  废气污染物排放源产排量及达标情况一览表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9"/>
              <w:gridCol w:w="1140"/>
              <w:gridCol w:w="992"/>
              <w:gridCol w:w="1134"/>
              <w:gridCol w:w="2835"/>
              <w:gridCol w:w="1016"/>
              <w:gridCol w:w="7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69" w:type="dxa"/>
                  <w:gridSpan w:val="2"/>
                  <w:vAlign w:val="center"/>
                </w:tcPr>
                <w:p>
                  <w:pPr>
                    <w:pStyle w:val="32"/>
                    <w:spacing w:line="360" w:lineRule="exact"/>
                    <w:rPr>
                      <w:color w:val="000000" w:themeColor="text1"/>
                      <w:szCs w:val="21"/>
                    </w:rPr>
                  </w:pPr>
                  <w:r>
                    <w:rPr>
                      <w:color w:val="000000" w:themeColor="text1"/>
                      <w:szCs w:val="21"/>
                    </w:rPr>
                    <w:t>产排污环节</w:t>
                  </w:r>
                </w:p>
              </w:tc>
              <w:tc>
                <w:tcPr>
                  <w:tcW w:w="992" w:type="dxa"/>
                  <w:vAlign w:val="center"/>
                </w:tcPr>
                <w:p>
                  <w:pPr>
                    <w:pStyle w:val="32"/>
                    <w:spacing w:line="360" w:lineRule="exact"/>
                    <w:rPr>
                      <w:color w:val="000000" w:themeColor="text1"/>
                      <w:szCs w:val="21"/>
                    </w:rPr>
                  </w:pPr>
                  <w:r>
                    <w:rPr>
                      <w:color w:val="000000" w:themeColor="text1"/>
                      <w:szCs w:val="21"/>
                    </w:rPr>
                    <w:t>污染物种类</w:t>
                  </w:r>
                </w:p>
              </w:tc>
              <w:tc>
                <w:tcPr>
                  <w:tcW w:w="1134"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污染物产生</w:t>
                  </w:r>
                  <w:r>
                    <w:rPr>
                      <w:rFonts w:hint="eastAsia"/>
                      <w:color w:val="000000" w:themeColor="text1"/>
                      <w:szCs w:val="21"/>
                    </w:rPr>
                    <w:t>量</w:t>
                  </w:r>
                  <w:r>
                    <w:rPr>
                      <w:color w:val="000000" w:themeColor="text1"/>
                      <w:szCs w:val="21"/>
                    </w:rPr>
                    <w:t>t/a</w:t>
                  </w:r>
                </w:p>
              </w:tc>
              <w:tc>
                <w:tcPr>
                  <w:tcW w:w="2835"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污染治理措施</w:t>
                  </w:r>
                </w:p>
              </w:tc>
              <w:tc>
                <w:tcPr>
                  <w:tcW w:w="1016" w:type="dxa"/>
                  <w:tcBorders>
                    <w:left w:val="single" w:color="auto" w:sz="4" w:space="0"/>
                    <w:right w:val="single" w:color="auto" w:sz="4" w:space="0"/>
                  </w:tcBorders>
                  <w:vAlign w:val="center"/>
                </w:tcPr>
                <w:p>
                  <w:pPr>
                    <w:pStyle w:val="32"/>
                    <w:spacing w:line="360" w:lineRule="exact"/>
                    <w:rPr>
                      <w:bCs w:val="0"/>
                      <w:color w:val="000000" w:themeColor="text1"/>
                    </w:rPr>
                  </w:pPr>
                  <w:r>
                    <w:rPr>
                      <w:color w:val="000000" w:themeColor="text1"/>
                      <w:szCs w:val="21"/>
                    </w:rPr>
                    <w:t>排放量t/a</w:t>
                  </w:r>
                </w:p>
              </w:tc>
              <w:tc>
                <w:tcPr>
                  <w:tcW w:w="759" w:type="dxa"/>
                  <w:tcBorders>
                    <w:left w:val="single" w:color="auto" w:sz="4" w:space="0"/>
                    <w:right w:val="single" w:color="auto" w:sz="4" w:space="0"/>
                  </w:tcBorders>
                  <w:vAlign w:val="center"/>
                </w:tcPr>
                <w:p>
                  <w:pPr>
                    <w:pStyle w:val="32"/>
                    <w:spacing w:line="360" w:lineRule="exact"/>
                    <w:rPr>
                      <w:bCs w:val="0"/>
                      <w:color w:val="000000" w:themeColor="text1"/>
                    </w:rPr>
                  </w:pPr>
                  <w:r>
                    <w:rPr>
                      <w:rFonts w:hint="eastAsia"/>
                      <w:bCs w:val="0"/>
                      <w:color w:val="000000" w:themeColor="text1"/>
                    </w:rPr>
                    <w:t>排放方式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69" w:type="dxa"/>
                  <w:gridSpan w:val="2"/>
                  <w:vAlign w:val="center"/>
                </w:tcPr>
                <w:p>
                  <w:pPr>
                    <w:pStyle w:val="32"/>
                    <w:spacing w:line="360" w:lineRule="exact"/>
                    <w:rPr>
                      <w:color w:val="000000" w:themeColor="text1"/>
                      <w:szCs w:val="21"/>
                    </w:rPr>
                  </w:pPr>
                  <w:r>
                    <w:rPr>
                      <w:rFonts w:hint="eastAsia"/>
                      <w:color w:val="000000" w:themeColor="text1"/>
                      <w:szCs w:val="21"/>
                    </w:rPr>
                    <w:t>页岩采装</w:t>
                  </w:r>
                </w:p>
              </w:tc>
              <w:tc>
                <w:tcPr>
                  <w:tcW w:w="992" w:type="dxa"/>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颗粒物</w:t>
                  </w:r>
                </w:p>
              </w:tc>
              <w:tc>
                <w:tcPr>
                  <w:tcW w:w="1134" w:type="dxa"/>
                  <w:vAlign w:val="center"/>
                </w:tcPr>
                <w:p>
                  <w:pPr>
                    <w:pStyle w:val="32"/>
                    <w:spacing w:line="360" w:lineRule="exact"/>
                    <w:rPr>
                      <w:color w:val="000000" w:themeColor="text1"/>
                      <w:szCs w:val="21"/>
                    </w:rPr>
                  </w:pPr>
                  <w:r>
                    <w:rPr>
                      <w:rFonts w:hint="eastAsia"/>
                      <w:color w:val="000000" w:themeColor="text1"/>
                      <w:szCs w:val="21"/>
                    </w:rPr>
                    <w:t>3.38</w:t>
                  </w:r>
                </w:p>
              </w:tc>
              <w:tc>
                <w:tcPr>
                  <w:tcW w:w="2835" w:type="dxa"/>
                  <w:tcBorders>
                    <w:bottom w:val="single" w:color="auto" w:sz="4" w:space="0"/>
                  </w:tcBorders>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无</w:t>
                  </w:r>
                </w:p>
              </w:tc>
              <w:tc>
                <w:tcPr>
                  <w:tcW w:w="1016" w:type="dxa"/>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 w:val="24"/>
                      <w:szCs w:val="24"/>
                    </w:rPr>
                    <w:t>3.38</w:t>
                  </w:r>
                </w:p>
              </w:tc>
              <w:tc>
                <w:tcPr>
                  <w:tcW w:w="759" w:type="dxa"/>
                  <w:vMerge w:val="restart"/>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无组织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69" w:type="dxa"/>
                  <w:gridSpan w:val="2"/>
                  <w:vAlign w:val="center"/>
                </w:tcPr>
                <w:p>
                  <w:pPr>
                    <w:pStyle w:val="32"/>
                    <w:spacing w:line="360" w:lineRule="exact"/>
                    <w:rPr>
                      <w:color w:val="000000" w:themeColor="text1"/>
                      <w:szCs w:val="21"/>
                    </w:rPr>
                  </w:pPr>
                  <w:r>
                    <w:rPr>
                      <w:rFonts w:hint="eastAsia"/>
                      <w:color w:val="000000" w:themeColor="text1"/>
                      <w:szCs w:val="21"/>
                    </w:rPr>
                    <w:t>原料卸料</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颗粒物</w:t>
                  </w:r>
                </w:p>
              </w:tc>
              <w:tc>
                <w:tcPr>
                  <w:tcW w:w="1134" w:type="dxa"/>
                  <w:vAlign w:val="center"/>
                </w:tcPr>
                <w:p>
                  <w:pPr>
                    <w:pStyle w:val="32"/>
                    <w:spacing w:line="360" w:lineRule="exact"/>
                    <w:rPr>
                      <w:color w:val="000000" w:themeColor="text1"/>
                      <w:szCs w:val="21"/>
                    </w:rPr>
                  </w:pPr>
                  <w:r>
                    <w:rPr>
                      <w:rFonts w:hint="eastAsia"/>
                      <w:color w:val="000000" w:themeColor="text1"/>
                      <w:szCs w:val="21"/>
                    </w:rPr>
                    <w:t>3.24</w:t>
                  </w:r>
                </w:p>
              </w:tc>
              <w:tc>
                <w:tcPr>
                  <w:tcW w:w="2835" w:type="dxa"/>
                  <w:tcBorders>
                    <w:top w:val="single" w:color="auto" w:sz="4" w:space="0"/>
                    <w:bottom w:val="single" w:color="auto" w:sz="4" w:space="0"/>
                  </w:tcBorders>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无</w:t>
                  </w:r>
                </w:p>
              </w:tc>
              <w:tc>
                <w:tcPr>
                  <w:tcW w:w="1016" w:type="dxa"/>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 w:val="24"/>
                      <w:szCs w:val="24"/>
                    </w:rPr>
                    <w:t>3.24</w:t>
                  </w:r>
                </w:p>
              </w:tc>
              <w:tc>
                <w:tcPr>
                  <w:tcW w:w="759" w:type="dxa"/>
                  <w:vMerge w:val="continue"/>
                  <w:tcBorders>
                    <w:righ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69" w:type="dxa"/>
                  <w:gridSpan w:val="2"/>
                  <w:vAlign w:val="center"/>
                </w:tcPr>
                <w:p>
                  <w:pPr>
                    <w:pStyle w:val="32"/>
                    <w:spacing w:line="360" w:lineRule="exact"/>
                    <w:rPr>
                      <w:color w:val="000000" w:themeColor="text1"/>
                      <w:szCs w:val="21"/>
                    </w:rPr>
                  </w:pPr>
                  <w:r>
                    <w:rPr>
                      <w:rFonts w:hint="eastAsia"/>
                      <w:color w:val="000000" w:themeColor="text1"/>
                      <w:szCs w:val="21"/>
                    </w:rPr>
                    <w:t>堆场</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颗粒物</w:t>
                  </w:r>
                </w:p>
              </w:tc>
              <w:tc>
                <w:tcPr>
                  <w:tcW w:w="1134" w:type="dxa"/>
                  <w:vAlign w:val="center"/>
                </w:tcPr>
                <w:p>
                  <w:pPr>
                    <w:pStyle w:val="32"/>
                    <w:spacing w:line="360" w:lineRule="exact"/>
                    <w:rPr>
                      <w:color w:val="000000" w:themeColor="text1"/>
                      <w:szCs w:val="21"/>
                    </w:rPr>
                  </w:pPr>
                  <w:r>
                    <w:rPr>
                      <w:rFonts w:hint="eastAsia"/>
                      <w:color w:val="000000" w:themeColor="text1"/>
                      <w:szCs w:val="21"/>
                    </w:rPr>
                    <w:t>8.97</w:t>
                  </w:r>
                </w:p>
              </w:tc>
              <w:tc>
                <w:tcPr>
                  <w:tcW w:w="2835" w:type="dxa"/>
                  <w:tcBorders>
                    <w:top w:val="single" w:color="auto" w:sz="4" w:space="0"/>
                    <w:bottom w:val="single" w:color="auto" w:sz="4" w:space="0"/>
                  </w:tcBorders>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无</w:t>
                  </w:r>
                </w:p>
              </w:tc>
              <w:tc>
                <w:tcPr>
                  <w:tcW w:w="1016" w:type="dxa"/>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 w:val="24"/>
                      <w:szCs w:val="24"/>
                    </w:rPr>
                    <w:t>8.97</w:t>
                  </w:r>
                </w:p>
              </w:tc>
              <w:tc>
                <w:tcPr>
                  <w:tcW w:w="759" w:type="dxa"/>
                  <w:vMerge w:val="continue"/>
                  <w:tcBorders>
                    <w:righ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69" w:type="dxa"/>
                  <w:gridSpan w:val="2"/>
                  <w:vAlign w:val="center"/>
                </w:tcPr>
                <w:p>
                  <w:pPr>
                    <w:pStyle w:val="32"/>
                    <w:spacing w:line="360" w:lineRule="exact"/>
                    <w:rPr>
                      <w:color w:val="000000" w:themeColor="text1"/>
                      <w:szCs w:val="21"/>
                    </w:rPr>
                  </w:pPr>
                  <w:r>
                    <w:rPr>
                      <w:rFonts w:hint="eastAsia"/>
                      <w:color w:val="000000" w:themeColor="text1"/>
                      <w:szCs w:val="21"/>
                    </w:rPr>
                    <w:t>原料输送过程</w:t>
                  </w:r>
                </w:p>
              </w:tc>
              <w:tc>
                <w:tcPr>
                  <w:tcW w:w="992" w:type="dxa"/>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颗粒物</w:t>
                  </w:r>
                </w:p>
              </w:tc>
              <w:tc>
                <w:tcPr>
                  <w:tcW w:w="1134" w:type="dxa"/>
                  <w:vAlign w:val="center"/>
                </w:tcPr>
                <w:p>
                  <w:pPr>
                    <w:pStyle w:val="32"/>
                    <w:spacing w:line="360" w:lineRule="exact"/>
                    <w:rPr>
                      <w:color w:val="000000" w:themeColor="text1"/>
                      <w:szCs w:val="21"/>
                    </w:rPr>
                  </w:pPr>
                  <w:r>
                    <w:rPr>
                      <w:rFonts w:hint="eastAsia"/>
                      <w:color w:val="000000" w:themeColor="text1"/>
                      <w:szCs w:val="21"/>
                    </w:rPr>
                    <w:t>27.02</w:t>
                  </w:r>
                </w:p>
              </w:tc>
              <w:tc>
                <w:tcPr>
                  <w:tcW w:w="2835" w:type="dxa"/>
                  <w:tcBorders>
                    <w:top w:val="single" w:color="auto" w:sz="4" w:space="0"/>
                  </w:tcBorders>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原有项目原料在各工段之间（含破碎-混合-粉碎-筛分-陈化-搅拌）各工段之间的粉料运输均采用皮带密闭运输</w:t>
                  </w:r>
                </w:p>
              </w:tc>
              <w:tc>
                <w:tcPr>
                  <w:tcW w:w="1016" w:type="dxa"/>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 w:val="24"/>
                      <w:szCs w:val="24"/>
                    </w:rPr>
                    <w:t>27.02</w:t>
                  </w:r>
                </w:p>
              </w:tc>
              <w:tc>
                <w:tcPr>
                  <w:tcW w:w="759" w:type="dxa"/>
                  <w:vMerge w:val="continue"/>
                  <w:tcBorders>
                    <w:righ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9" w:type="dxa"/>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破碎车间</w:t>
                  </w:r>
                </w:p>
              </w:tc>
              <w:tc>
                <w:tcPr>
                  <w:tcW w:w="1140" w:type="dxa"/>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颚破、混合、粉碎和筛分</w:t>
                  </w:r>
                </w:p>
              </w:tc>
              <w:tc>
                <w:tcPr>
                  <w:tcW w:w="992" w:type="dxa"/>
                  <w:vAlign w:val="center"/>
                </w:tcPr>
                <w:p>
                  <w:pPr>
                    <w:pStyle w:val="32"/>
                    <w:spacing w:line="360" w:lineRule="exact"/>
                    <w:rPr>
                      <w:color w:val="000000" w:themeColor="text1"/>
                      <w:szCs w:val="21"/>
                    </w:rPr>
                  </w:pPr>
                  <w:r>
                    <w:rPr>
                      <w:color w:val="000000" w:themeColor="text1"/>
                      <w:szCs w:val="21"/>
                    </w:rPr>
                    <w:t>颗粒物</w:t>
                  </w:r>
                </w:p>
              </w:tc>
              <w:tc>
                <w:tcPr>
                  <w:tcW w:w="1134" w:type="dxa"/>
                  <w:vAlign w:val="center"/>
                </w:tcPr>
                <w:p>
                  <w:pPr>
                    <w:pStyle w:val="32"/>
                    <w:spacing w:line="360" w:lineRule="exact"/>
                    <w:rPr>
                      <w:color w:val="000000" w:themeColor="text1"/>
                      <w:szCs w:val="21"/>
                    </w:rPr>
                  </w:pPr>
                  <w:r>
                    <w:rPr>
                      <w:rFonts w:hint="eastAsia"/>
                      <w:color w:val="000000" w:themeColor="text1"/>
                      <w:szCs w:val="21"/>
                    </w:rPr>
                    <w:t>7.83</w:t>
                  </w:r>
                </w:p>
              </w:tc>
              <w:tc>
                <w:tcPr>
                  <w:tcW w:w="2835"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无</w:t>
                  </w:r>
                </w:p>
              </w:tc>
              <w:tc>
                <w:tcPr>
                  <w:tcW w:w="1016"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 w:val="24"/>
                      <w:szCs w:val="24"/>
                    </w:rPr>
                    <w:t>7.83</w:t>
                  </w:r>
                </w:p>
              </w:tc>
              <w:tc>
                <w:tcPr>
                  <w:tcW w:w="759" w:type="dxa"/>
                  <w:vMerge w:val="continue"/>
                  <w:tcBorders>
                    <w:righ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9" w:type="dxa"/>
                  <w:vMerge w:val="restart"/>
                  <w:vAlign w:val="center"/>
                </w:tcPr>
                <w:p>
                  <w:pPr>
                    <w:pStyle w:val="32"/>
                    <w:spacing w:line="360" w:lineRule="exact"/>
                    <w:rPr>
                      <w:color w:val="000000" w:themeColor="text1"/>
                      <w:szCs w:val="21"/>
                    </w:rPr>
                  </w:pPr>
                  <w:r>
                    <w:rPr>
                      <w:rFonts w:hint="eastAsia"/>
                      <w:color w:val="000000" w:themeColor="text1"/>
                      <w:szCs w:val="21"/>
                    </w:rPr>
                    <w:t>焙烧车间</w:t>
                  </w:r>
                </w:p>
              </w:tc>
              <w:tc>
                <w:tcPr>
                  <w:tcW w:w="1140" w:type="dxa"/>
                  <w:vMerge w:val="restart"/>
                  <w:vAlign w:val="center"/>
                </w:tcPr>
                <w:p>
                  <w:pPr>
                    <w:pStyle w:val="32"/>
                    <w:spacing w:line="360" w:lineRule="exact"/>
                    <w:rPr>
                      <w:color w:val="000000" w:themeColor="text1"/>
                      <w:szCs w:val="21"/>
                    </w:rPr>
                  </w:pPr>
                  <w:r>
                    <w:rPr>
                      <w:rFonts w:hint="eastAsia"/>
                      <w:color w:val="000000" w:themeColor="text1"/>
                      <w:szCs w:val="21"/>
                    </w:rPr>
                    <w:t>焙烧</w:t>
                  </w:r>
                </w:p>
              </w:tc>
              <w:tc>
                <w:tcPr>
                  <w:tcW w:w="992" w:type="dxa"/>
                  <w:vAlign w:val="center"/>
                </w:tcPr>
                <w:p>
                  <w:pPr>
                    <w:pStyle w:val="32"/>
                    <w:spacing w:line="360" w:lineRule="exact"/>
                    <w:rPr>
                      <w:color w:val="000000" w:themeColor="text1"/>
                      <w:szCs w:val="21"/>
                    </w:rPr>
                  </w:pPr>
                  <w:r>
                    <w:rPr>
                      <w:rFonts w:hint="eastAsia"/>
                      <w:color w:val="000000" w:themeColor="text1"/>
                      <w:szCs w:val="21"/>
                    </w:rPr>
                    <w:t>烟气量</w:t>
                  </w:r>
                </w:p>
              </w:tc>
              <w:tc>
                <w:tcPr>
                  <w:tcW w:w="1134" w:type="dxa"/>
                  <w:tcBorders>
                    <w:top w:val="single" w:color="auto" w:sz="4" w:space="0"/>
                    <w:left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25788万</w:t>
                  </w:r>
                  <w:r>
                    <w:rPr>
                      <w:color w:val="000000" w:themeColor="text1"/>
                      <w:szCs w:val="21"/>
                    </w:rPr>
                    <w:t>m³/a</w:t>
                  </w:r>
                </w:p>
              </w:tc>
              <w:tc>
                <w:tcPr>
                  <w:tcW w:w="2835" w:type="dxa"/>
                  <w:tcBorders>
                    <w:right w:val="single" w:color="auto" w:sz="4" w:space="0"/>
                  </w:tcBorders>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无</w:t>
                  </w:r>
                </w:p>
              </w:tc>
              <w:tc>
                <w:tcPr>
                  <w:tcW w:w="1016"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25788万</w:t>
                  </w:r>
                  <w:r>
                    <w:rPr>
                      <w:color w:val="000000" w:themeColor="text1"/>
                      <w:szCs w:val="21"/>
                    </w:rPr>
                    <w:t>m³/a</w:t>
                  </w:r>
                </w:p>
              </w:tc>
              <w:tc>
                <w:tcPr>
                  <w:tcW w:w="759" w:type="dxa"/>
                  <w:vMerge w:val="continue"/>
                  <w:tcBorders>
                    <w:right w:val="single" w:color="auto" w:sz="4" w:space="0"/>
                  </w:tcBorders>
                  <w:vAlign w:val="center"/>
                </w:tcPr>
                <w:p>
                  <w:pPr>
                    <w:pStyle w:val="32"/>
                    <w:spacing w:line="360" w:lineRule="exact"/>
                    <w:rPr>
                      <w:color w:val="000000" w:themeColor="text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9" w:type="dxa"/>
                  <w:vMerge w:val="continue"/>
                  <w:vAlign w:val="center"/>
                </w:tcPr>
                <w:p>
                  <w:pPr>
                    <w:pStyle w:val="32"/>
                    <w:spacing w:line="360" w:lineRule="exact"/>
                    <w:rPr>
                      <w:color w:val="000000" w:themeColor="text1"/>
                      <w:szCs w:val="21"/>
                    </w:rPr>
                  </w:pPr>
                </w:p>
              </w:tc>
              <w:tc>
                <w:tcPr>
                  <w:tcW w:w="1140" w:type="dxa"/>
                  <w:vMerge w:val="continue"/>
                  <w:vAlign w:val="center"/>
                </w:tcPr>
                <w:p>
                  <w:pPr>
                    <w:pStyle w:val="32"/>
                    <w:spacing w:line="360" w:lineRule="exact"/>
                    <w:rPr>
                      <w:color w:val="000000" w:themeColor="text1"/>
                      <w:szCs w:val="21"/>
                    </w:rPr>
                  </w:pPr>
                </w:p>
              </w:tc>
              <w:tc>
                <w:tcPr>
                  <w:tcW w:w="992" w:type="dxa"/>
                  <w:vAlign w:val="center"/>
                </w:tcPr>
                <w:p>
                  <w:pPr>
                    <w:pStyle w:val="32"/>
                    <w:spacing w:line="360" w:lineRule="exact"/>
                    <w:rPr>
                      <w:color w:val="000000" w:themeColor="text1"/>
                      <w:szCs w:val="21"/>
                    </w:rPr>
                  </w:pPr>
                  <w:r>
                    <w:rPr>
                      <w:rFonts w:hint="eastAsia"/>
                      <w:color w:val="000000" w:themeColor="text1"/>
                      <w:szCs w:val="21"/>
                    </w:rPr>
                    <w:t>烟尘</w:t>
                  </w:r>
                </w:p>
              </w:tc>
              <w:tc>
                <w:tcPr>
                  <w:tcW w:w="1134" w:type="dxa"/>
                  <w:tcBorders>
                    <w:top w:val="single" w:color="auto" w:sz="4" w:space="0"/>
                    <w:left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28.38</w:t>
                  </w:r>
                </w:p>
              </w:tc>
              <w:tc>
                <w:tcPr>
                  <w:tcW w:w="2835"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无</w:t>
                  </w:r>
                </w:p>
              </w:tc>
              <w:tc>
                <w:tcPr>
                  <w:tcW w:w="1016"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28.38</w:t>
                  </w:r>
                </w:p>
              </w:tc>
              <w:tc>
                <w:tcPr>
                  <w:tcW w:w="759" w:type="dxa"/>
                  <w:vMerge w:val="continue"/>
                  <w:tcBorders>
                    <w:righ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9" w:type="dxa"/>
                  <w:vMerge w:val="continue"/>
                  <w:vAlign w:val="center"/>
                </w:tcPr>
                <w:p>
                  <w:pPr>
                    <w:pStyle w:val="32"/>
                    <w:spacing w:line="360" w:lineRule="exact"/>
                    <w:rPr>
                      <w:color w:val="000000" w:themeColor="text1"/>
                      <w:szCs w:val="21"/>
                    </w:rPr>
                  </w:pPr>
                </w:p>
              </w:tc>
              <w:tc>
                <w:tcPr>
                  <w:tcW w:w="1140" w:type="dxa"/>
                  <w:vMerge w:val="continue"/>
                  <w:vAlign w:val="center"/>
                </w:tcPr>
                <w:p>
                  <w:pPr>
                    <w:pStyle w:val="32"/>
                    <w:spacing w:line="360" w:lineRule="exact"/>
                    <w:rPr>
                      <w:color w:val="000000" w:themeColor="text1"/>
                      <w:szCs w:val="21"/>
                    </w:rPr>
                  </w:pPr>
                </w:p>
              </w:tc>
              <w:tc>
                <w:tcPr>
                  <w:tcW w:w="992" w:type="dxa"/>
                  <w:vAlign w:val="center"/>
                </w:tcPr>
                <w:p>
                  <w:pPr>
                    <w:pStyle w:val="32"/>
                    <w:spacing w:line="360" w:lineRule="exact"/>
                    <w:rPr>
                      <w:color w:val="000000" w:themeColor="text1"/>
                      <w:szCs w:val="21"/>
                    </w:rPr>
                  </w:pPr>
                  <w:r>
                    <w:rPr>
                      <w:rFonts w:hint="eastAsia"/>
                      <w:color w:val="000000" w:themeColor="text1"/>
                      <w:szCs w:val="21"/>
                    </w:rPr>
                    <w:t>SO</w:t>
                  </w:r>
                  <w:r>
                    <w:rPr>
                      <w:rFonts w:hint="eastAsia"/>
                      <w:color w:val="000000" w:themeColor="text1"/>
                      <w:szCs w:val="21"/>
                      <w:vertAlign w:val="subscript"/>
                    </w:rPr>
                    <w:t>2</w:t>
                  </w:r>
                </w:p>
              </w:tc>
              <w:tc>
                <w:tcPr>
                  <w:tcW w:w="1134"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88.8</w:t>
                  </w:r>
                </w:p>
              </w:tc>
              <w:tc>
                <w:tcPr>
                  <w:tcW w:w="2835"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无</w:t>
                  </w:r>
                </w:p>
              </w:tc>
              <w:tc>
                <w:tcPr>
                  <w:tcW w:w="1016"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88.8</w:t>
                  </w:r>
                </w:p>
              </w:tc>
              <w:tc>
                <w:tcPr>
                  <w:tcW w:w="759" w:type="dxa"/>
                  <w:vMerge w:val="continue"/>
                  <w:tcBorders>
                    <w:righ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9" w:type="dxa"/>
                  <w:vMerge w:val="continue"/>
                  <w:vAlign w:val="center"/>
                </w:tcPr>
                <w:p>
                  <w:pPr>
                    <w:pStyle w:val="32"/>
                    <w:spacing w:line="360" w:lineRule="exact"/>
                    <w:rPr>
                      <w:color w:val="000000" w:themeColor="text1"/>
                      <w:szCs w:val="21"/>
                    </w:rPr>
                  </w:pPr>
                </w:p>
              </w:tc>
              <w:tc>
                <w:tcPr>
                  <w:tcW w:w="1140" w:type="dxa"/>
                  <w:vMerge w:val="continue"/>
                  <w:vAlign w:val="center"/>
                </w:tcPr>
                <w:p>
                  <w:pPr>
                    <w:pStyle w:val="32"/>
                    <w:spacing w:line="360" w:lineRule="exact"/>
                    <w:rPr>
                      <w:color w:val="000000" w:themeColor="text1"/>
                      <w:szCs w:val="21"/>
                    </w:rPr>
                  </w:pPr>
                </w:p>
              </w:tc>
              <w:tc>
                <w:tcPr>
                  <w:tcW w:w="992" w:type="dxa"/>
                  <w:vAlign w:val="center"/>
                </w:tcPr>
                <w:p>
                  <w:pPr>
                    <w:pStyle w:val="32"/>
                    <w:spacing w:line="360" w:lineRule="exact"/>
                    <w:rPr>
                      <w:color w:val="000000" w:themeColor="text1"/>
                      <w:szCs w:val="21"/>
                    </w:rPr>
                  </w:pPr>
                  <w:r>
                    <w:rPr>
                      <w:rFonts w:hint="eastAsia"/>
                      <w:color w:val="000000" w:themeColor="text1"/>
                      <w:szCs w:val="21"/>
                    </w:rPr>
                    <w:t>NOx</w:t>
                  </w:r>
                </w:p>
              </w:tc>
              <w:tc>
                <w:tcPr>
                  <w:tcW w:w="1134"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9.96</w:t>
                  </w:r>
                </w:p>
              </w:tc>
              <w:tc>
                <w:tcPr>
                  <w:tcW w:w="2835"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无</w:t>
                  </w:r>
                </w:p>
              </w:tc>
              <w:tc>
                <w:tcPr>
                  <w:tcW w:w="1016"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9.96</w:t>
                  </w:r>
                </w:p>
              </w:tc>
              <w:tc>
                <w:tcPr>
                  <w:tcW w:w="759" w:type="dxa"/>
                  <w:vMerge w:val="continue"/>
                  <w:tcBorders>
                    <w:righ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9" w:type="dxa"/>
                  <w:vMerge w:val="continue"/>
                  <w:vAlign w:val="center"/>
                </w:tcPr>
                <w:p>
                  <w:pPr>
                    <w:pStyle w:val="32"/>
                    <w:spacing w:line="360" w:lineRule="exact"/>
                    <w:rPr>
                      <w:color w:val="000000" w:themeColor="text1"/>
                      <w:szCs w:val="21"/>
                    </w:rPr>
                  </w:pPr>
                </w:p>
              </w:tc>
              <w:tc>
                <w:tcPr>
                  <w:tcW w:w="1140" w:type="dxa"/>
                  <w:vMerge w:val="continue"/>
                  <w:vAlign w:val="center"/>
                </w:tcPr>
                <w:p>
                  <w:pPr>
                    <w:pStyle w:val="32"/>
                    <w:spacing w:line="360" w:lineRule="exact"/>
                    <w:rPr>
                      <w:color w:val="000000" w:themeColor="text1"/>
                      <w:szCs w:val="21"/>
                    </w:rPr>
                  </w:pPr>
                </w:p>
              </w:tc>
              <w:tc>
                <w:tcPr>
                  <w:tcW w:w="992" w:type="dxa"/>
                  <w:vAlign w:val="center"/>
                </w:tcPr>
                <w:p>
                  <w:pPr>
                    <w:pStyle w:val="32"/>
                    <w:spacing w:line="360" w:lineRule="exact"/>
                    <w:rPr>
                      <w:color w:val="000000" w:themeColor="text1"/>
                      <w:szCs w:val="21"/>
                    </w:rPr>
                  </w:pPr>
                  <w:r>
                    <w:rPr>
                      <w:rFonts w:hint="eastAsia"/>
                      <w:color w:val="000000" w:themeColor="text1"/>
                      <w:szCs w:val="21"/>
                    </w:rPr>
                    <w:t>氟化物</w:t>
                  </w:r>
                </w:p>
              </w:tc>
              <w:tc>
                <w:tcPr>
                  <w:tcW w:w="1134"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1.47</w:t>
                  </w:r>
                </w:p>
              </w:tc>
              <w:tc>
                <w:tcPr>
                  <w:tcW w:w="2835"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无</w:t>
                  </w:r>
                </w:p>
              </w:tc>
              <w:tc>
                <w:tcPr>
                  <w:tcW w:w="1016"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1.47</w:t>
                  </w:r>
                </w:p>
              </w:tc>
              <w:tc>
                <w:tcPr>
                  <w:tcW w:w="759" w:type="dxa"/>
                  <w:vMerge w:val="continue"/>
                  <w:tcBorders>
                    <w:right w:val="single" w:color="auto" w:sz="4" w:space="0"/>
                  </w:tcBorders>
                  <w:vAlign w:val="center"/>
                </w:tcPr>
                <w:p>
                  <w:pPr>
                    <w:pStyle w:val="32"/>
                    <w:spacing w:line="360" w:lineRule="exact"/>
                    <w:rPr>
                      <w:color w:val="000000" w:themeColor="text1"/>
                      <w:szCs w:val="21"/>
                    </w:rPr>
                  </w:pP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由上表可知，原有项目扬粉尘产生量为50.44t/a，排放量为50.44t/a；焙烧烟气产生及排放量为25788万</w:t>
            </w:r>
            <w:r>
              <w:rPr>
                <w:rFonts w:ascii="Times New Roman" w:hAnsi="Times New Roman" w:cs="Times New Roman"/>
                <w:color w:val="000000" w:themeColor="text1"/>
                <w:sz w:val="24"/>
              </w:rPr>
              <w:t>m³/a</w:t>
            </w:r>
            <w:r>
              <w:rPr>
                <w:rFonts w:hint="eastAsia" w:ascii="Times New Roman" w:hAnsi="Times New Roman" w:cs="Times New Roman"/>
                <w:color w:val="000000" w:themeColor="text1"/>
                <w:sz w:val="24"/>
              </w:rPr>
              <w:t>；烟尘</w:t>
            </w:r>
            <w:r>
              <w:rPr>
                <w:rFonts w:ascii="Times New Roman" w:hAnsi="Times New Roman" w:cs="Times New Roman"/>
                <w:color w:val="000000" w:themeColor="text1"/>
                <w:sz w:val="24"/>
              </w:rPr>
              <w:t>产生量</w:t>
            </w:r>
            <w:r>
              <w:rPr>
                <w:rFonts w:hint="eastAsia" w:ascii="Times New Roman" w:hAnsi="Times New Roman" w:cs="Times New Roman"/>
                <w:color w:val="000000" w:themeColor="text1"/>
                <w:sz w:val="24"/>
              </w:rPr>
              <w:t>及排放量为28.38</w:t>
            </w:r>
            <w:r>
              <w:rPr>
                <w:rFonts w:ascii="Times New Roman" w:hAnsi="Times New Roman" w:cs="Times New Roman"/>
                <w:color w:val="000000" w:themeColor="text1"/>
                <w:sz w:val="24"/>
              </w:rPr>
              <w:t>t/a</w:t>
            </w:r>
            <w:r>
              <w:rPr>
                <w:rFonts w:hint="eastAsia" w:ascii="Times New Roman" w:hAnsi="Times New Roman" w:cs="Times New Roman"/>
                <w:color w:val="000000" w:themeColor="text1"/>
                <w:sz w:val="24"/>
              </w:rPr>
              <w:t>；SO</w:t>
            </w:r>
            <w:r>
              <w:rPr>
                <w:rFonts w:hint="eastAsia"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产生量</w:t>
            </w:r>
            <w:r>
              <w:rPr>
                <w:rFonts w:hint="eastAsia" w:ascii="Times New Roman" w:hAnsi="Times New Roman" w:cs="Times New Roman"/>
                <w:color w:val="000000" w:themeColor="text1"/>
                <w:sz w:val="24"/>
              </w:rPr>
              <w:t>及排放量为88.8</w:t>
            </w:r>
            <w:r>
              <w:rPr>
                <w:rFonts w:ascii="Times New Roman" w:hAnsi="Times New Roman" w:cs="Times New Roman"/>
                <w:color w:val="000000" w:themeColor="text1"/>
                <w:sz w:val="24"/>
              </w:rPr>
              <w:t xml:space="preserve"> t/a</w:t>
            </w:r>
            <w:r>
              <w:rPr>
                <w:rFonts w:hint="eastAsia" w:ascii="Times New Roman" w:hAnsi="Times New Roman" w:cs="Times New Roman"/>
                <w:color w:val="000000" w:themeColor="text1"/>
                <w:sz w:val="24"/>
              </w:rPr>
              <w:t>；NOx</w:t>
            </w:r>
            <w:r>
              <w:rPr>
                <w:rFonts w:ascii="Times New Roman" w:hAnsi="Times New Roman" w:cs="Times New Roman"/>
                <w:color w:val="000000" w:themeColor="text1"/>
                <w:sz w:val="24"/>
              </w:rPr>
              <w:t>产生量</w:t>
            </w:r>
            <w:r>
              <w:rPr>
                <w:rFonts w:hint="eastAsia" w:ascii="Times New Roman" w:hAnsi="Times New Roman" w:cs="Times New Roman"/>
                <w:color w:val="000000" w:themeColor="text1"/>
                <w:sz w:val="24"/>
              </w:rPr>
              <w:t>及排放量为9.96</w:t>
            </w:r>
            <w:r>
              <w:rPr>
                <w:rFonts w:ascii="Times New Roman" w:hAnsi="Times New Roman" w:cs="Times New Roman"/>
                <w:color w:val="000000" w:themeColor="text1"/>
                <w:sz w:val="24"/>
              </w:rPr>
              <w:t>t/a</w:t>
            </w:r>
            <w:r>
              <w:rPr>
                <w:rFonts w:hint="eastAsia" w:ascii="Times New Roman" w:hAnsi="Times New Roman" w:cs="Times New Roman"/>
                <w:color w:val="000000" w:themeColor="text1"/>
                <w:sz w:val="24"/>
              </w:rPr>
              <w:t>；氟化物</w:t>
            </w:r>
            <w:r>
              <w:rPr>
                <w:rFonts w:ascii="Times New Roman" w:hAnsi="Times New Roman" w:cs="Times New Roman"/>
                <w:color w:val="000000" w:themeColor="text1"/>
                <w:sz w:val="24"/>
              </w:rPr>
              <w:t>产生量</w:t>
            </w:r>
            <w:r>
              <w:rPr>
                <w:rFonts w:hint="eastAsia" w:ascii="Times New Roman" w:hAnsi="Times New Roman" w:cs="Times New Roman"/>
                <w:color w:val="000000" w:themeColor="text1"/>
                <w:sz w:val="24"/>
              </w:rPr>
              <w:t>及排放量为1.47</w:t>
            </w:r>
            <w:r>
              <w:rPr>
                <w:rFonts w:ascii="Times New Roman" w:hAnsi="Times New Roman" w:cs="Times New Roman"/>
                <w:color w:val="000000" w:themeColor="text1"/>
                <w:sz w:val="24"/>
              </w:rPr>
              <w:t>t/a</w:t>
            </w:r>
            <w:r>
              <w:rPr>
                <w:rFonts w:hint="eastAsia" w:ascii="Times New Roman" w:hAnsi="Times New Roman" w:cs="Times New Roman"/>
                <w:color w:val="000000" w:themeColor="text1"/>
                <w:sz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⑦厨房油烟</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原有项目设置一间厨房（含一个灶头），</w:t>
            </w:r>
            <w:r>
              <w:rPr>
                <w:rFonts w:hint="eastAsia" w:ascii="Times New Roman" w:hAnsi="Times New Roman" w:cs="Times New Roman"/>
                <w:color w:val="000000" w:themeColor="text1"/>
                <w:sz w:val="24"/>
              </w:rPr>
              <w:t>原有项目员工20人，均在</w:t>
            </w:r>
            <w:r>
              <w:rPr>
                <w:rFonts w:ascii="Times New Roman" w:hAnsi="Times New Roman" w:cs="Times New Roman"/>
                <w:color w:val="000000" w:themeColor="text1"/>
                <w:sz w:val="24"/>
              </w:rPr>
              <w:t>厂区吃饭</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厨房使用煤气等清洁燃料；根据对居民用油情况的类比调查，目前居民人均食用油日用量约30g/人•d</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油烟产生量按用油量的2%计算，则本原有项目耗油量约</w:t>
            </w:r>
            <w:r>
              <w:rPr>
                <w:rFonts w:hint="eastAsia" w:ascii="Times New Roman" w:hAnsi="Times New Roman" w:cs="Times New Roman"/>
                <w:color w:val="000000" w:themeColor="text1"/>
                <w:sz w:val="24"/>
              </w:rPr>
              <w:t>600</w:t>
            </w:r>
            <w:r>
              <w:rPr>
                <w:rFonts w:ascii="Times New Roman" w:hAnsi="Times New Roman" w:cs="Times New Roman"/>
                <w:color w:val="000000" w:themeColor="text1"/>
                <w:sz w:val="24"/>
              </w:rPr>
              <w:t>g/d，油烟产生量约</w:t>
            </w:r>
            <w:r>
              <w:rPr>
                <w:rFonts w:hint="eastAsia" w:ascii="Times New Roman" w:hAnsi="Times New Roman" w:cs="Times New Roman"/>
                <w:color w:val="000000" w:themeColor="text1"/>
                <w:sz w:val="24"/>
              </w:rPr>
              <w:t>12</w:t>
            </w:r>
            <w:r>
              <w:rPr>
                <w:rFonts w:ascii="Times New Roman" w:hAnsi="Times New Roman" w:cs="Times New Roman"/>
                <w:color w:val="000000" w:themeColor="text1"/>
                <w:sz w:val="24"/>
              </w:rPr>
              <w:t>g/d</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每天连续烧炒时间为3h，原有项目区厨房安装一个最低去除率60%的油烟净化器，按每个灶头基准排风量2000m³/h，灶头数按1个计算，油烟排放口烟气浓度约为</w:t>
            </w:r>
            <w:r>
              <w:rPr>
                <w:rFonts w:hint="eastAsia" w:ascii="Times New Roman" w:hAnsi="Times New Roman" w:cs="Times New Roman"/>
                <w:color w:val="000000" w:themeColor="text1"/>
                <w:sz w:val="24"/>
              </w:rPr>
              <w:t>0.8</w:t>
            </w:r>
            <w:r>
              <w:rPr>
                <w:rFonts w:ascii="Times New Roman" w:hAnsi="Times New Roman" w:cs="Times New Roman"/>
                <w:color w:val="000000" w:themeColor="text1"/>
                <w:sz w:val="24"/>
              </w:rPr>
              <w:t>mg/m³，经油烟净化器处理后的厨房油烟高于房顶1.5m的烟道外排，可达到《饮食业油烟排放标准》（GB18483-2001）（试行）小型标准。</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2.12.2 原有项目废水排放情况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原有项目主要废水为生活污水，</w:t>
            </w:r>
            <w:r>
              <w:rPr>
                <w:rFonts w:ascii="Times New Roman" w:hAnsi="Times New Roman" w:cs="Times New Roman"/>
                <w:color w:val="000000" w:themeColor="text1"/>
                <w:sz w:val="24"/>
              </w:rPr>
              <w:t>根据原有项目环评的分析，</w:t>
            </w:r>
            <w:r>
              <w:rPr>
                <w:rFonts w:hint="eastAsia" w:ascii="Times New Roman" w:hAnsi="Times New Roman" w:cs="Times New Roman"/>
                <w:color w:val="000000" w:themeColor="text1"/>
                <w:sz w:val="24"/>
              </w:rPr>
              <w:t>原有项目设置员工20人，均在</w:t>
            </w:r>
            <w:r>
              <w:rPr>
                <w:rFonts w:ascii="Times New Roman" w:hAnsi="Times New Roman" w:cs="Times New Roman"/>
                <w:color w:val="000000" w:themeColor="text1"/>
                <w:sz w:val="24"/>
              </w:rPr>
              <w:t>厂区吃饭，但住宿人数约为</w:t>
            </w:r>
            <w:r>
              <w:rPr>
                <w:rFonts w:hint="eastAsia" w:ascii="Times New Roman" w:hAnsi="Times New Roman" w:cs="Times New Roman"/>
                <w:color w:val="000000" w:themeColor="text1"/>
                <w:sz w:val="24"/>
              </w:rPr>
              <w:t>10</w:t>
            </w:r>
            <w:r>
              <w:rPr>
                <w:rFonts w:ascii="Times New Roman" w:hAnsi="Times New Roman" w:cs="Times New Roman"/>
                <w:color w:val="000000" w:themeColor="text1"/>
                <w:sz w:val="24"/>
              </w:rPr>
              <w:t>人，其余</w:t>
            </w:r>
            <w:r>
              <w:rPr>
                <w:rFonts w:hint="eastAsia" w:ascii="Times New Roman" w:hAnsi="Times New Roman" w:cs="Times New Roman"/>
                <w:color w:val="000000" w:themeColor="text1"/>
                <w:sz w:val="24"/>
              </w:rPr>
              <w:t>10</w:t>
            </w:r>
            <w:r>
              <w:rPr>
                <w:rFonts w:ascii="Times New Roman" w:hAnsi="Times New Roman" w:cs="Times New Roman"/>
                <w:color w:val="000000" w:themeColor="text1"/>
                <w:sz w:val="24"/>
              </w:rPr>
              <w:t>人回家住宿。根据《云南省地方标准用水定额》（DB53/T168-2019），在项目食宿员工用水量取100L/d·人，不在项目区住宿的员工用水量取60L/d·人，则生活用水量</w:t>
            </w:r>
            <w:r>
              <w:rPr>
                <w:rFonts w:hint="eastAsia" w:ascii="Times New Roman" w:hAnsi="Times New Roman" w:cs="Times New Roman"/>
                <w:color w:val="000000" w:themeColor="text1"/>
                <w:sz w:val="24"/>
              </w:rPr>
              <w:t>1.6</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480</w:t>
            </w:r>
            <w:r>
              <w:rPr>
                <w:rFonts w:ascii="Times New Roman" w:hAnsi="Times New Roman" w:cs="Times New Roman"/>
                <w:color w:val="000000" w:themeColor="text1"/>
                <w:sz w:val="24"/>
              </w:rPr>
              <w:t>m³/a；废水率按80%计，则废水量为</w:t>
            </w:r>
            <w:r>
              <w:rPr>
                <w:rFonts w:hint="eastAsia" w:ascii="Times New Roman" w:hAnsi="Times New Roman" w:cs="Times New Roman"/>
                <w:color w:val="000000" w:themeColor="text1"/>
                <w:sz w:val="24"/>
              </w:rPr>
              <w:t>1.28</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384</w:t>
            </w:r>
            <w:r>
              <w:rPr>
                <w:rFonts w:ascii="Times New Roman" w:hAnsi="Times New Roman" w:cs="Times New Roman"/>
                <w:color w:val="000000" w:themeColor="text1"/>
                <w:sz w:val="24"/>
              </w:rPr>
              <w:t>m³/a</w:t>
            </w:r>
            <w:r>
              <w:rPr>
                <w:rFonts w:hint="eastAsia" w:ascii="Times New Roman" w:hAnsi="Times New Roman" w:cs="Times New Roman"/>
                <w:color w:val="000000" w:themeColor="text1"/>
                <w:sz w:val="24"/>
              </w:rPr>
              <w:t>。其中冲侧废水经化粪池处理后回用于厂区绿化，而其他生活污水经收集桶收集后</w:t>
            </w:r>
            <w:r>
              <w:rPr>
                <w:rFonts w:ascii="Times New Roman" w:hAnsi="Times New Roman" w:cs="Times New Roman"/>
                <w:color w:val="000000" w:themeColor="text1"/>
                <w:sz w:val="24"/>
              </w:rPr>
              <w:t>用于采取绿化和洒水降尘</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原有项目废水不外排，企业未设置废水排污口。</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2.12.3 原有项目噪声排放情况</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原有项目噪声主要为设备噪声，各噪声源强约为80-</w:t>
            </w:r>
            <w:r>
              <w:rPr>
                <w:rFonts w:ascii="Times New Roman" w:hAnsi="Times New Roman" w:cs="Times New Roman"/>
                <w:color w:val="000000" w:themeColor="text1"/>
                <w:sz w:val="24"/>
              </w:rPr>
              <w:t xml:space="preserve"> </w:t>
            </w:r>
            <w:r>
              <w:rPr>
                <w:rFonts w:hint="eastAsia" w:ascii="Times New Roman" w:hAnsi="Times New Roman" w:cs="Times New Roman"/>
                <w:color w:val="000000" w:themeColor="text1"/>
                <w:sz w:val="24"/>
              </w:rPr>
              <w:t>100</w:t>
            </w:r>
            <w:r>
              <w:rPr>
                <w:rFonts w:ascii="Times New Roman" w:hAnsi="Times New Roman" w:cs="Times New Roman"/>
                <w:color w:val="000000" w:themeColor="text1"/>
                <w:sz w:val="24"/>
              </w:rPr>
              <w:t>dB（A）</w:t>
            </w:r>
            <w:r>
              <w:rPr>
                <w:rFonts w:hint="eastAsia" w:ascii="Times New Roman" w:hAnsi="Times New Roman" w:cs="Times New Roman"/>
                <w:color w:val="000000" w:themeColor="text1"/>
                <w:sz w:val="24"/>
              </w:rPr>
              <w:t>；根据2020年建设项目年检监测报告。具体如下表所示。</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表2.12.3-1 噪声检测结果 单位：dB（A）</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88"/>
              <w:gridCol w:w="1443"/>
              <w:gridCol w:w="1370"/>
              <w:gridCol w:w="1385"/>
              <w:gridCol w:w="1341"/>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712" w:type="dxa"/>
                  <w:gridSpan w:val="2"/>
                  <w:vAlign w:val="center"/>
                </w:tcPr>
                <w:p>
                  <w:pPr>
                    <w:pStyle w:val="32"/>
                    <w:spacing w:line="360" w:lineRule="exact"/>
                    <w:rPr>
                      <w:color w:val="000000" w:themeColor="text1"/>
                      <w:szCs w:val="21"/>
                    </w:rPr>
                  </w:pPr>
                  <w:r>
                    <w:rPr>
                      <w:color w:val="000000" w:themeColor="text1"/>
                      <w:szCs w:val="21"/>
                    </w:rPr>
                    <w:t>监测时间</w:t>
                  </w:r>
                </w:p>
              </w:tc>
              <w:tc>
                <w:tcPr>
                  <w:tcW w:w="1247" w:type="dxa"/>
                  <w:vAlign w:val="center"/>
                </w:tcPr>
                <w:p>
                  <w:pPr>
                    <w:pStyle w:val="32"/>
                    <w:spacing w:line="360" w:lineRule="exact"/>
                    <w:rPr>
                      <w:color w:val="000000" w:themeColor="text1"/>
                      <w:szCs w:val="21"/>
                    </w:rPr>
                  </w:pPr>
                  <w:r>
                    <w:rPr>
                      <w:rFonts w:hint="eastAsia"/>
                      <w:color w:val="000000" w:themeColor="text1"/>
                      <w:szCs w:val="21"/>
                    </w:rPr>
                    <w:t>厂界北</w:t>
                  </w:r>
                </w:p>
              </w:tc>
              <w:tc>
                <w:tcPr>
                  <w:tcW w:w="1184" w:type="dxa"/>
                  <w:vAlign w:val="center"/>
                </w:tcPr>
                <w:p>
                  <w:pPr>
                    <w:pStyle w:val="32"/>
                    <w:spacing w:line="360" w:lineRule="exact"/>
                    <w:rPr>
                      <w:color w:val="000000" w:themeColor="text1"/>
                      <w:szCs w:val="21"/>
                    </w:rPr>
                  </w:pPr>
                  <w:r>
                    <w:rPr>
                      <w:rFonts w:hint="eastAsia"/>
                      <w:color w:val="000000" w:themeColor="text1"/>
                      <w:szCs w:val="21"/>
                    </w:rPr>
                    <w:t>厂界东</w:t>
                  </w:r>
                </w:p>
              </w:tc>
              <w:tc>
                <w:tcPr>
                  <w:tcW w:w="1197" w:type="dxa"/>
                  <w:vAlign w:val="center"/>
                </w:tcPr>
                <w:p>
                  <w:pPr>
                    <w:pStyle w:val="32"/>
                    <w:spacing w:line="360" w:lineRule="exact"/>
                    <w:rPr>
                      <w:color w:val="000000" w:themeColor="text1"/>
                      <w:szCs w:val="21"/>
                    </w:rPr>
                  </w:pPr>
                  <w:r>
                    <w:rPr>
                      <w:rFonts w:hint="eastAsia"/>
                      <w:color w:val="000000" w:themeColor="text1"/>
                      <w:szCs w:val="21"/>
                    </w:rPr>
                    <w:t>厂界南</w:t>
                  </w:r>
                </w:p>
              </w:tc>
              <w:tc>
                <w:tcPr>
                  <w:tcW w:w="1159" w:type="dxa"/>
                  <w:vAlign w:val="center"/>
                </w:tcPr>
                <w:p>
                  <w:pPr>
                    <w:pStyle w:val="32"/>
                    <w:spacing w:line="360" w:lineRule="exact"/>
                    <w:rPr>
                      <w:color w:val="000000" w:themeColor="text1"/>
                      <w:szCs w:val="21"/>
                    </w:rPr>
                  </w:pPr>
                  <w:r>
                    <w:rPr>
                      <w:rFonts w:hint="eastAsia"/>
                      <w:color w:val="000000" w:themeColor="text1"/>
                      <w:szCs w:val="21"/>
                    </w:rPr>
                    <w:t>厂界西</w:t>
                  </w:r>
                </w:p>
              </w:tc>
              <w:tc>
                <w:tcPr>
                  <w:tcW w:w="936" w:type="dxa"/>
                  <w:vAlign w:val="center"/>
                </w:tcPr>
                <w:p>
                  <w:pPr>
                    <w:pStyle w:val="32"/>
                    <w:spacing w:line="360" w:lineRule="exact"/>
                    <w:rPr>
                      <w:color w:val="000000" w:themeColor="text1"/>
                      <w:szCs w:val="21"/>
                    </w:rPr>
                  </w:pPr>
                  <w:r>
                    <w:rPr>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restart"/>
                  <w:vAlign w:val="center"/>
                </w:tcPr>
                <w:p>
                  <w:pPr>
                    <w:pStyle w:val="32"/>
                    <w:spacing w:line="360" w:lineRule="exact"/>
                    <w:rPr>
                      <w:color w:val="000000" w:themeColor="text1"/>
                      <w:szCs w:val="21"/>
                    </w:rPr>
                  </w:pPr>
                  <w:r>
                    <w:rPr>
                      <w:rFonts w:hint="eastAsia"/>
                      <w:color w:val="000000" w:themeColor="text1"/>
                      <w:szCs w:val="21"/>
                    </w:rPr>
                    <w:t>2020/5/6</w:t>
                  </w:r>
                </w:p>
              </w:tc>
              <w:tc>
                <w:tcPr>
                  <w:tcW w:w="853" w:type="dxa"/>
                  <w:vAlign w:val="center"/>
                </w:tcPr>
                <w:p>
                  <w:pPr>
                    <w:pStyle w:val="32"/>
                    <w:spacing w:line="360" w:lineRule="exact"/>
                    <w:rPr>
                      <w:color w:val="000000" w:themeColor="text1"/>
                      <w:szCs w:val="21"/>
                    </w:rPr>
                  </w:pPr>
                  <w:r>
                    <w:rPr>
                      <w:color w:val="000000" w:themeColor="text1"/>
                      <w:szCs w:val="21"/>
                    </w:rPr>
                    <w:t>昼</w:t>
                  </w:r>
                </w:p>
              </w:tc>
              <w:tc>
                <w:tcPr>
                  <w:tcW w:w="1247" w:type="dxa"/>
                  <w:vAlign w:val="center"/>
                </w:tcPr>
                <w:p>
                  <w:pPr>
                    <w:pStyle w:val="32"/>
                    <w:spacing w:line="360" w:lineRule="exact"/>
                    <w:rPr>
                      <w:color w:val="000000" w:themeColor="text1"/>
                      <w:szCs w:val="21"/>
                    </w:rPr>
                  </w:pPr>
                  <w:r>
                    <w:rPr>
                      <w:rFonts w:hint="eastAsia"/>
                      <w:color w:val="000000" w:themeColor="text1"/>
                      <w:szCs w:val="21"/>
                    </w:rPr>
                    <w:t>58.0</w:t>
                  </w:r>
                </w:p>
              </w:tc>
              <w:tc>
                <w:tcPr>
                  <w:tcW w:w="1184" w:type="dxa"/>
                  <w:vAlign w:val="center"/>
                </w:tcPr>
                <w:p>
                  <w:pPr>
                    <w:pStyle w:val="32"/>
                    <w:spacing w:line="360" w:lineRule="exact"/>
                    <w:rPr>
                      <w:color w:val="000000" w:themeColor="text1"/>
                      <w:szCs w:val="21"/>
                    </w:rPr>
                  </w:pPr>
                  <w:r>
                    <w:rPr>
                      <w:rFonts w:hint="eastAsia"/>
                      <w:color w:val="000000" w:themeColor="text1"/>
                      <w:szCs w:val="21"/>
                    </w:rPr>
                    <w:t>57.1</w:t>
                  </w:r>
                </w:p>
              </w:tc>
              <w:tc>
                <w:tcPr>
                  <w:tcW w:w="1197" w:type="dxa"/>
                  <w:vAlign w:val="center"/>
                </w:tcPr>
                <w:p>
                  <w:pPr>
                    <w:pStyle w:val="32"/>
                    <w:spacing w:line="360" w:lineRule="exact"/>
                    <w:rPr>
                      <w:color w:val="000000" w:themeColor="text1"/>
                      <w:szCs w:val="21"/>
                    </w:rPr>
                  </w:pPr>
                  <w:r>
                    <w:rPr>
                      <w:rFonts w:hint="eastAsia"/>
                      <w:color w:val="000000" w:themeColor="text1"/>
                      <w:szCs w:val="21"/>
                    </w:rPr>
                    <w:t>57.2</w:t>
                  </w:r>
                </w:p>
              </w:tc>
              <w:tc>
                <w:tcPr>
                  <w:tcW w:w="1159" w:type="dxa"/>
                  <w:vAlign w:val="center"/>
                </w:tcPr>
                <w:p>
                  <w:pPr>
                    <w:pStyle w:val="32"/>
                    <w:spacing w:line="360" w:lineRule="exact"/>
                    <w:rPr>
                      <w:color w:val="000000" w:themeColor="text1"/>
                      <w:szCs w:val="21"/>
                    </w:rPr>
                  </w:pPr>
                  <w:r>
                    <w:rPr>
                      <w:rFonts w:hint="eastAsia"/>
                      <w:color w:val="000000" w:themeColor="text1"/>
                      <w:szCs w:val="21"/>
                    </w:rPr>
                    <w:t>54.8</w:t>
                  </w:r>
                </w:p>
              </w:tc>
              <w:tc>
                <w:tcPr>
                  <w:tcW w:w="936" w:type="dxa"/>
                  <w:vAlign w:val="center"/>
                </w:tcPr>
                <w:p>
                  <w:pPr>
                    <w:pStyle w:val="32"/>
                    <w:spacing w:line="360" w:lineRule="exact"/>
                    <w:rPr>
                      <w:color w:val="000000" w:themeColor="text1"/>
                      <w:szCs w:val="21"/>
                    </w:rPr>
                  </w:pPr>
                  <w:r>
                    <w:rPr>
                      <w:color w:val="000000" w:themeColor="text1"/>
                      <w:szCs w:val="21"/>
                    </w:rPr>
                    <w:t>6</w:t>
                  </w:r>
                  <w:r>
                    <w:rPr>
                      <w:rFonts w:hint="eastAsia"/>
                      <w:color w:val="000000" w:themeColor="text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32"/>
                    <w:spacing w:line="360" w:lineRule="exact"/>
                    <w:rPr>
                      <w:color w:val="000000" w:themeColor="text1"/>
                      <w:szCs w:val="21"/>
                    </w:rPr>
                  </w:pPr>
                </w:p>
              </w:tc>
              <w:tc>
                <w:tcPr>
                  <w:tcW w:w="853" w:type="dxa"/>
                  <w:vAlign w:val="center"/>
                </w:tcPr>
                <w:p>
                  <w:pPr>
                    <w:pStyle w:val="32"/>
                    <w:spacing w:line="360" w:lineRule="exact"/>
                    <w:rPr>
                      <w:color w:val="000000" w:themeColor="text1"/>
                      <w:szCs w:val="21"/>
                    </w:rPr>
                  </w:pPr>
                  <w:r>
                    <w:rPr>
                      <w:color w:val="000000" w:themeColor="text1"/>
                      <w:szCs w:val="21"/>
                    </w:rPr>
                    <w:t>夜</w:t>
                  </w:r>
                </w:p>
              </w:tc>
              <w:tc>
                <w:tcPr>
                  <w:tcW w:w="1247" w:type="dxa"/>
                  <w:vAlign w:val="center"/>
                </w:tcPr>
                <w:p>
                  <w:pPr>
                    <w:pStyle w:val="32"/>
                    <w:spacing w:line="360" w:lineRule="exact"/>
                    <w:rPr>
                      <w:color w:val="000000" w:themeColor="text1"/>
                      <w:szCs w:val="21"/>
                    </w:rPr>
                  </w:pPr>
                  <w:r>
                    <w:rPr>
                      <w:rFonts w:hint="eastAsia"/>
                      <w:color w:val="000000" w:themeColor="text1"/>
                      <w:szCs w:val="21"/>
                    </w:rPr>
                    <w:t>48.5</w:t>
                  </w:r>
                </w:p>
              </w:tc>
              <w:tc>
                <w:tcPr>
                  <w:tcW w:w="1184" w:type="dxa"/>
                  <w:vAlign w:val="center"/>
                </w:tcPr>
                <w:p>
                  <w:pPr>
                    <w:pStyle w:val="32"/>
                    <w:spacing w:line="360" w:lineRule="exact"/>
                    <w:rPr>
                      <w:color w:val="000000" w:themeColor="text1"/>
                      <w:szCs w:val="21"/>
                    </w:rPr>
                  </w:pPr>
                  <w:r>
                    <w:rPr>
                      <w:rFonts w:hint="eastAsia"/>
                      <w:color w:val="000000" w:themeColor="text1"/>
                      <w:szCs w:val="21"/>
                    </w:rPr>
                    <w:t>48.1</w:t>
                  </w:r>
                </w:p>
              </w:tc>
              <w:tc>
                <w:tcPr>
                  <w:tcW w:w="1197" w:type="dxa"/>
                  <w:vAlign w:val="center"/>
                </w:tcPr>
                <w:p>
                  <w:pPr>
                    <w:pStyle w:val="32"/>
                    <w:spacing w:line="360" w:lineRule="exact"/>
                    <w:rPr>
                      <w:color w:val="000000" w:themeColor="text1"/>
                      <w:szCs w:val="21"/>
                    </w:rPr>
                  </w:pPr>
                  <w:r>
                    <w:rPr>
                      <w:rFonts w:hint="eastAsia"/>
                      <w:color w:val="000000" w:themeColor="text1"/>
                      <w:szCs w:val="21"/>
                    </w:rPr>
                    <w:t>47.3</w:t>
                  </w:r>
                </w:p>
              </w:tc>
              <w:tc>
                <w:tcPr>
                  <w:tcW w:w="1159" w:type="dxa"/>
                  <w:vAlign w:val="center"/>
                </w:tcPr>
                <w:p>
                  <w:pPr>
                    <w:pStyle w:val="32"/>
                    <w:spacing w:line="360" w:lineRule="exact"/>
                    <w:rPr>
                      <w:color w:val="000000" w:themeColor="text1"/>
                      <w:szCs w:val="21"/>
                    </w:rPr>
                  </w:pPr>
                  <w:r>
                    <w:rPr>
                      <w:rFonts w:hint="eastAsia"/>
                      <w:color w:val="000000" w:themeColor="text1"/>
                      <w:szCs w:val="21"/>
                    </w:rPr>
                    <w:t>46.9</w:t>
                  </w:r>
                </w:p>
              </w:tc>
              <w:tc>
                <w:tcPr>
                  <w:tcW w:w="936" w:type="dxa"/>
                  <w:vAlign w:val="center"/>
                </w:tcPr>
                <w:p>
                  <w:pPr>
                    <w:pStyle w:val="32"/>
                    <w:spacing w:line="360" w:lineRule="exact"/>
                    <w:rPr>
                      <w:color w:val="000000" w:themeColor="text1"/>
                      <w:szCs w:val="21"/>
                    </w:rPr>
                  </w:pPr>
                  <w:r>
                    <w:rPr>
                      <w:color w:val="000000" w:themeColor="text1"/>
                      <w:szCs w:val="21"/>
                    </w:rPr>
                    <w:t>5</w:t>
                  </w:r>
                  <w:r>
                    <w:rPr>
                      <w:rFonts w:hint="eastAsia"/>
                      <w:color w:val="000000" w:themeColor="text1"/>
                      <w:szCs w:val="21"/>
                    </w:rPr>
                    <w:t>0</w:t>
                  </w: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由上表可知，原有项目厂界噪声可达到</w:t>
            </w:r>
            <w:r>
              <w:rPr>
                <w:rFonts w:ascii="Times New Roman" w:hAnsi="Times New Roman" w:cs="Times New Roman"/>
                <w:color w:val="000000" w:themeColor="text1"/>
                <w:sz w:val="24"/>
              </w:rPr>
              <w:t>《工业企业厂界环境噪声排放标准》（GB12348-2008）</w:t>
            </w:r>
            <w:r>
              <w:rPr>
                <w:rFonts w:hint="eastAsia" w:ascii="Times New Roman" w:hAnsi="Times New Roman" w:cs="Times New Roman"/>
                <w:color w:val="000000" w:themeColor="text1"/>
                <w:sz w:val="24"/>
              </w:rPr>
              <w:t>2</w:t>
            </w:r>
            <w:r>
              <w:rPr>
                <w:rFonts w:ascii="Times New Roman" w:hAnsi="Times New Roman" w:cs="Times New Roman"/>
                <w:color w:val="000000" w:themeColor="text1"/>
                <w:sz w:val="24"/>
              </w:rPr>
              <w:t>类标准</w:t>
            </w:r>
            <w:r>
              <w:rPr>
                <w:rFonts w:hint="eastAsia" w:ascii="Times New Roman" w:hAnsi="Times New Roman" w:cs="Times New Roman"/>
                <w:color w:val="000000" w:themeColor="text1"/>
                <w:sz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2.12.4 原有项目固体废物排放情况</w:t>
            </w:r>
          </w:p>
          <w:p>
            <w:pPr>
              <w:pStyle w:val="40"/>
              <w:ind w:firstLine="480"/>
              <w:rPr>
                <w:color w:val="000000" w:themeColor="text1"/>
                <w:szCs w:val="24"/>
              </w:rPr>
            </w:pPr>
            <w:r>
              <w:rPr>
                <w:rFonts w:hint="eastAsia"/>
                <w:color w:val="000000" w:themeColor="text1"/>
                <w:szCs w:val="24"/>
              </w:rPr>
              <w:t>原有项目产生的固体废物主要包括：</w:t>
            </w:r>
            <w:r>
              <w:rPr>
                <w:color w:val="000000" w:themeColor="text1"/>
                <w:szCs w:val="24"/>
              </w:rPr>
              <w:t>废砖坯及边角料</w:t>
            </w:r>
            <w:r>
              <w:rPr>
                <w:rFonts w:hint="eastAsia"/>
                <w:color w:val="000000" w:themeColor="text1"/>
                <w:szCs w:val="24"/>
              </w:rPr>
              <w:t>、</w:t>
            </w:r>
            <w:r>
              <w:rPr>
                <w:color w:val="000000" w:themeColor="text1"/>
                <w:szCs w:val="24"/>
              </w:rPr>
              <w:t>不合格的烧结砖</w:t>
            </w:r>
            <w:r>
              <w:rPr>
                <w:rFonts w:hint="eastAsia"/>
                <w:color w:val="000000" w:themeColor="text1"/>
                <w:szCs w:val="24"/>
              </w:rPr>
              <w:t>、点火时产生的炉渣、</w:t>
            </w:r>
            <w:r>
              <w:rPr>
                <w:color w:val="000000" w:themeColor="text1"/>
                <w:szCs w:val="24"/>
              </w:rPr>
              <w:t>废机油</w:t>
            </w:r>
            <w:r>
              <w:rPr>
                <w:rFonts w:hint="eastAsia"/>
                <w:color w:val="000000" w:themeColor="text1"/>
                <w:szCs w:val="24"/>
              </w:rPr>
              <w:t>、</w:t>
            </w:r>
            <w:r>
              <w:rPr>
                <w:color w:val="000000" w:themeColor="text1"/>
                <w:szCs w:val="24"/>
              </w:rPr>
              <w:t>废弃沾油抹布</w:t>
            </w:r>
            <w:r>
              <w:rPr>
                <w:rFonts w:hint="eastAsia"/>
                <w:color w:val="000000" w:themeColor="text1"/>
                <w:szCs w:val="24"/>
              </w:rPr>
              <w:t>、</w:t>
            </w:r>
            <w:r>
              <w:rPr>
                <w:color w:val="000000" w:themeColor="text1"/>
                <w:szCs w:val="24"/>
              </w:rPr>
              <w:t>生活垃圾</w:t>
            </w:r>
            <w:r>
              <w:rPr>
                <w:rFonts w:hint="eastAsia"/>
                <w:color w:val="000000" w:themeColor="text1"/>
                <w:szCs w:val="24"/>
              </w:rPr>
              <w:t>、餐厨废物等，其产生量类比现有工程计算，其处置情况根据业主介绍的实际情况描述，则原有项目固体废物排放情况如下表所示。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2.12.4-1</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原有</w:t>
            </w:r>
            <w:r>
              <w:rPr>
                <w:rFonts w:ascii="Times New Roman" w:hAnsi="Times New Roman" w:cs="Times New Roman"/>
                <w:b/>
                <w:color w:val="000000" w:themeColor="text1"/>
                <w:szCs w:val="24"/>
              </w:rPr>
              <w:t>项目固体废物环境影响和保护措施分析一览表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8"/>
              <w:gridCol w:w="1405"/>
              <w:gridCol w:w="1197"/>
              <w:gridCol w:w="1263"/>
              <w:gridCol w:w="2538"/>
              <w:gridCol w:w="13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序号</w:t>
                  </w:r>
                </w:p>
              </w:tc>
              <w:tc>
                <w:tcPr>
                  <w:tcW w:w="140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名称</w:t>
                  </w:r>
                </w:p>
              </w:tc>
              <w:tc>
                <w:tcPr>
                  <w:tcW w:w="119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属性</w:t>
                  </w:r>
                </w:p>
              </w:tc>
              <w:tc>
                <w:tcPr>
                  <w:tcW w:w="126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产生量</w:t>
                  </w:r>
                </w:p>
              </w:tc>
              <w:tc>
                <w:tcPr>
                  <w:tcW w:w="25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132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处置率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 w:type="dxa"/>
                  <w:tcBorders>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w:t>
                  </w:r>
                </w:p>
              </w:tc>
              <w:tc>
                <w:tcPr>
                  <w:tcW w:w="140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废砖坯及边角料</w:t>
                  </w:r>
                </w:p>
              </w:tc>
              <w:tc>
                <w:tcPr>
                  <w:tcW w:w="119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126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11.57</w:t>
                  </w:r>
                  <w:r>
                    <w:rPr>
                      <w:rFonts w:eastAsiaTheme="minorEastAsia"/>
                      <w:color w:val="000000" w:themeColor="text1"/>
                      <w:szCs w:val="21"/>
                    </w:rPr>
                    <w:t>t/a</w:t>
                  </w:r>
                </w:p>
              </w:tc>
              <w:tc>
                <w:tcPr>
                  <w:tcW w:w="2538"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直接作为项目制砖生产原料利用</w:t>
                  </w:r>
                </w:p>
              </w:tc>
              <w:tc>
                <w:tcPr>
                  <w:tcW w:w="1324"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w:t>
                  </w:r>
                </w:p>
              </w:tc>
              <w:tc>
                <w:tcPr>
                  <w:tcW w:w="140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不合格的烧结砖</w:t>
                  </w:r>
                </w:p>
              </w:tc>
              <w:tc>
                <w:tcPr>
                  <w:tcW w:w="119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126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240</w:t>
                  </w:r>
                  <w:r>
                    <w:rPr>
                      <w:rFonts w:eastAsiaTheme="minorEastAsia"/>
                      <w:color w:val="000000" w:themeColor="text1"/>
                      <w:szCs w:val="21"/>
                    </w:rPr>
                    <w:t>t/a</w:t>
                  </w:r>
                </w:p>
              </w:tc>
              <w:tc>
                <w:tcPr>
                  <w:tcW w:w="2538"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直接作为项目制砖生产原料利用</w:t>
                  </w:r>
                </w:p>
              </w:tc>
              <w:tc>
                <w:tcPr>
                  <w:tcW w:w="1324"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w:t>
                  </w:r>
                </w:p>
              </w:tc>
              <w:tc>
                <w:tcPr>
                  <w:tcW w:w="140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点火时产生的炉渣</w:t>
                  </w:r>
                </w:p>
              </w:tc>
              <w:tc>
                <w:tcPr>
                  <w:tcW w:w="119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126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193.7kg/a</w:t>
                  </w:r>
                </w:p>
              </w:tc>
              <w:tc>
                <w:tcPr>
                  <w:tcW w:w="2538"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直接作为项目制砖生产原料利用</w:t>
                  </w:r>
                </w:p>
              </w:tc>
              <w:tc>
                <w:tcPr>
                  <w:tcW w:w="1324"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 w:type="dxa"/>
                  <w:tcBorders>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w:t>
                  </w:r>
                </w:p>
              </w:tc>
              <w:tc>
                <w:tcPr>
                  <w:tcW w:w="140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1197"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126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2538" w:type="dxa"/>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废机油部分用于生产设备润滑使用，无法使用部分委托有资质的单位处置</w:t>
                  </w:r>
                  <w:r>
                    <w:rPr>
                      <w:rFonts w:eastAsiaTheme="minorEastAsia"/>
                      <w:color w:val="000000" w:themeColor="text1"/>
                      <w:szCs w:val="24"/>
                    </w:rPr>
                    <w:t>。</w:t>
                  </w:r>
                </w:p>
              </w:tc>
              <w:tc>
                <w:tcPr>
                  <w:tcW w:w="1324"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 w:type="dxa"/>
                  <w:tcBorders>
                    <w:top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5</w:t>
                  </w:r>
                </w:p>
              </w:tc>
              <w:tc>
                <w:tcPr>
                  <w:tcW w:w="140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197" w:type="dxa"/>
                  <w:vMerge w:val="continue"/>
                  <w:vAlign w:val="center"/>
                </w:tcPr>
                <w:p>
                  <w:pPr>
                    <w:pStyle w:val="32"/>
                    <w:spacing w:line="360" w:lineRule="exact"/>
                    <w:rPr>
                      <w:rFonts w:eastAsiaTheme="minorEastAsia"/>
                      <w:color w:val="000000" w:themeColor="text1"/>
                      <w:szCs w:val="21"/>
                    </w:rPr>
                  </w:pPr>
                </w:p>
              </w:tc>
              <w:tc>
                <w:tcPr>
                  <w:tcW w:w="126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2538" w:type="dxa"/>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委托有资质的单位处置</w:t>
                  </w:r>
                  <w:r>
                    <w:rPr>
                      <w:rFonts w:eastAsiaTheme="minorEastAsia"/>
                      <w:color w:val="000000" w:themeColor="text1"/>
                      <w:szCs w:val="24"/>
                    </w:rPr>
                    <w:t>。</w:t>
                  </w:r>
                </w:p>
              </w:tc>
              <w:tc>
                <w:tcPr>
                  <w:tcW w:w="1324"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 w:type="dxa"/>
                  <w:tcBorders>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6</w:t>
                  </w:r>
                </w:p>
              </w:tc>
              <w:tc>
                <w:tcPr>
                  <w:tcW w:w="1405" w:type="dxa"/>
                  <w:tcBorders>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生活垃圾</w:t>
                  </w:r>
                </w:p>
              </w:tc>
              <w:tc>
                <w:tcPr>
                  <w:tcW w:w="1197"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生活固废</w:t>
                  </w:r>
                </w:p>
              </w:tc>
              <w:tc>
                <w:tcPr>
                  <w:tcW w:w="126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6.6</w:t>
                  </w:r>
                  <w:r>
                    <w:rPr>
                      <w:rFonts w:eastAsiaTheme="minorEastAsia"/>
                      <w:color w:val="000000" w:themeColor="text1"/>
                      <w:szCs w:val="21"/>
                    </w:rPr>
                    <w:t>t/a</w:t>
                  </w:r>
                </w:p>
              </w:tc>
              <w:tc>
                <w:tcPr>
                  <w:tcW w:w="2538"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r>
                    <w:rPr>
                      <w:rFonts w:hint="eastAsia" w:eastAsiaTheme="minorEastAsia"/>
                      <w:color w:val="000000" w:themeColor="text1"/>
                      <w:szCs w:val="24"/>
                    </w:rPr>
                    <w:t>。</w:t>
                  </w:r>
                </w:p>
              </w:tc>
              <w:tc>
                <w:tcPr>
                  <w:tcW w:w="1324"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 w:type="dxa"/>
                  <w:tcBorders>
                    <w:top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w:t>
                  </w:r>
                </w:p>
              </w:tc>
              <w:tc>
                <w:tcPr>
                  <w:tcW w:w="1405" w:type="dxa"/>
                  <w:tcBorders>
                    <w:top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餐厨废物</w:t>
                  </w:r>
                </w:p>
              </w:tc>
              <w:tc>
                <w:tcPr>
                  <w:tcW w:w="1197" w:type="dxa"/>
                  <w:vMerge w:val="continue"/>
                  <w:vAlign w:val="center"/>
                </w:tcPr>
                <w:p>
                  <w:pPr>
                    <w:pStyle w:val="32"/>
                    <w:spacing w:line="360" w:lineRule="exact"/>
                    <w:rPr>
                      <w:rFonts w:eastAsiaTheme="minorEastAsia"/>
                      <w:color w:val="000000" w:themeColor="text1"/>
                      <w:szCs w:val="21"/>
                    </w:rPr>
                  </w:pPr>
                </w:p>
              </w:tc>
              <w:tc>
                <w:tcPr>
                  <w:tcW w:w="126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c>
                <w:tcPr>
                  <w:tcW w:w="2538"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委托有资质的单位进行处置</w:t>
                  </w:r>
                </w:p>
              </w:tc>
              <w:tc>
                <w:tcPr>
                  <w:tcW w:w="1324" w:type="dxa"/>
                  <w:vMerge w:val="continue"/>
                  <w:vAlign w:val="center"/>
                </w:tcPr>
                <w:p>
                  <w:pPr>
                    <w:pStyle w:val="32"/>
                    <w:spacing w:line="360" w:lineRule="exact"/>
                    <w:rPr>
                      <w:rFonts w:eastAsiaTheme="minorEastAsia"/>
                      <w:color w:val="000000" w:themeColor="text1"/>
                      <w:szCs w:val="21"/>
                    </w:rPr>
                  </w:pP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综上，原有项目固体废物处置率为100%。</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2.13 与原有项目有关的主要环境问题及整改措施</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2.13.1 存在的主要问题</w:t>
            </w:r>
          </w:p>
          <w:p>
            <w:pPr>
              <w:pStyle w:val="40"/>
              <w:ind w:firstLine="480"/>
              <w:rPr>
                <w:color w:val="000000" w:themeColor="text1"/>
                <w:szCs w:val="24"/>
              </w:rPr>
            </w:pPr>
            <w:r>
              <w:rPr>
                <w:rFonts w:hint="eastAsia"/>
                <w:color w:val="000000" w:themeColor="text1"/>
                <w:szCs w:val="24"/>
              </w:rPr>
              <w:t>根据调查，根据调查，截止现场踏勘2021年8月17日，项目原有生产设施已全部拆除，根据业主介绍，项目拆除固废包括生产设备和建筑垃圾，其中生产设备已外卖，而建筑垃圾已严格按照相关管理部门的要求</w:t>
            </w:r>
            <w:r>
              <w:rPr>
                <w:color w:val="000000" w:themeColor="text1"/>
                <w:szCs w:val="24"/>
              </w:rPr>
              <w:t>运至管理部门指定地点进行合理处置。</w:t>
            </w:r>
            <w:r>
              <w:rPr>
                <w:rFonts w:hint="eastAsia"/>
                <w:color w:val="000000" w:themeColor="text1"/>
                <w:szCs w:val="24"/>
              </w:rPr>
              <w:t>根据</w:t>
            </w:r>
            <w:r>
              <w:rPr>
                <w:color w:val="000000" w:themeColor="text1"/>
                <w:szCs w:val="24"/>
              </w:rPr>
              <w:t>昆明市东川区工业和科学技术信息化局2021年9月7日出具的《关于对东川区砖瓦行业淘汰落后产能情况说明》</w:t>
            </w:r>
            <w:r>
              <w:rPr>
                <w:rFonts w:hint="eastAsia"/>
                <w:color w:val="000000" w:themeColor="text1"/>
                <w:szCs w:val="24"/>
              </w:rPr>
              <w:t>，该说明文件已明确：含本项目在内的应拆除项目其生产设施及主体设备都已全部拆除，并通过省、工信部门邀请专家现场核查验收。目前厂区仅剩余一栋办公楼、一栋生活区和一栋闲置用房。项目主体工程及配套的环保设施严格按照设计和环评提出的要求进行新建，不存在环境问题；但针对未拆除的部分存在的主要问题为：项目区拟装修改造后使用的</w:t>
            </w:r>
            <w:r>
              <w:rPr>
                <w:rFonts w:hint="eastAsia"/>
                <w:color w:val="000000" w:themeColor="text1"/>
                <w:szCs w:val="21"/>
              </w:rPr>
              <w:t>办公区和生活区，目前无相关环保设施。</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2.13.2 整改措施</w:t>
            </w:r>
          </w:p>
          <w:p>
            <w:pPr>
              <w:pStyle w:val="40"/>
              <w:ind w:firstLine="480"/>
              <w:rPr>
                <w:color w:val="000000" w:themeColor="text1"/>
                <w:szCs w:val="24"/>
              </w:rPr>
            </w:pPr>
            <w:r>
              <w:rPr>
                <w:rFonts w:hint="eastAsia"/>
                <w:color w:val="000000" w:themeColor="text1"/>
                <w:szCs w:val="24"/>
              </w:rPr>
              <w:t>针对拟装修改造后使用的办公区和生活区，目前无相关环保设施问题，环评提出以下整改措施：</w:t>
            </w:r>
          </w:p>
          <w:p>
            <w:pPr>
              <w:pStyle w:val="40"/>
              <w:ind w:firstLine="480"/>
              <w:rPr>
                <w:color w:val="000000" w:themeColor="text1"/>
                <w:szCs w:val="24"/>
              </w:rPr>
            </w:pPr>
            <w:r>
              <w:rPr>
                <w:rFonts w:hint="eastAsia"/>
                <w:color w:val="000000" w:themeColor="text1"/>
                <w:szCs w:val="24"/>
              </w:rPr>
              <w:t>①</w:t>
            </w:r>
            <w:r>
              <w:rPr>
                <w:color w:val="000000" w:themeColor="text1"/>
                <w:szCs w:val="24"/>
              </w:rPr>
              <w:t>针对员工拟设置一间厨房（含一个灶头），因此拟配套设置1台处理效率不低于60%的油烟净化器，并通过高于房顶1.5m的烟道外排。</w:t>
            </w:r>
          </w:p>
          <w:p>
            <w:pPr>
              <w:pStyle w:val="40"/>
              <w:ind w:firstLine="480"/>
              <w:rPr>
                <w:color w:val="000000" w:themeColor="text1"/>
                <w:szCs w:val="24"/>
              </w:rPr>
            </w:pPr>
            <w:r>
              <w:rPr>
                <w:rFonts w:hint="eastAsia"/>
                <w:color w:val="000000" w:themeColor="text1"/>
                <w:szCs w:val="24"/>
              </w:rPr>
              <w:t>②针对项目厨房废水，项目拟配套设置1个1m³的隔油池对厨房废水进行预处理。</w:t>
            </w:r>
          </w:p>
          <w:p>
            <w:pPr>
              <w:pStyle w:val="40"/>
              <w:ind w:firstLine="480"/>
              <w:rPr>
                <w:color w:val="000000" w:themeColor="text1"/>
                <w:szCs w:val="24"/>
              </w:rPr>
            </w:pPr>
            <w:r>
              <w:rPr>
                <w:rFonts w:hint="eastAsia"/>
                <w:color w:val="000000" w:themeColor="text1"/>
                <w:szCs w:val="24"/>
              </w:rPr>
              <w:t>③此次对生活区改造过程中，将重新建设1个有效容积为10m³的化粪池，对生活污水进行预处理。</w:t>
            </w:r>
          </w:p>
          <w:p>
            <w:pPr>
              <w:pStyle w:val="40"/>
              <w:ind w:firstLine="480"/>
              <w:rPr>
                <w:color w:val="000000" w:themeColor="text1"/>
                <w:szCs w:val="24"/>
              </w:rPr>
            </w:pPr>
            <w:r>
              <w:rPr>
                <w:rFonts w:hint="eastAsia"/>
                <w:color w:val="000000" w:themeColor="text1"/>
                <w:szCs w:val="24"/>
              </w:rPr>
              <w:t>④项目区域未配套建设污水管网，不具备排水条件，因此项目拟配套设置1套处理能力为5m³/d的一体化污水处理设施对生活污水进行处理达到《城市污水再生利用 城市杂用水水质》（GB/T18920-2020）城市绿化标准后，回用于项目区绿化，不外排。</w:t>
            </w: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1"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40"/>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（1）常规污染物达标情况</w:t>
            </w:r>
          </w:p>
          <w:p>
            <w:pPr>
              <w:pStyle w:val="40"/>
              <w:ind w:firstLine="480"/>
              <w:rPr>
                <w:rFonts w:eastAsiaTheme="minorEastAsia"/>
                <w:color w:val="000000" w:themeColor="text1"/>
                <w:szCs w:val="24"/>
              </w:rPr>
            </w:pPr>
            <w:r>
              <w:rPr>
                <w:rFonts w:hAnsiTheme="minorEastAsia" w:eastAsiaTheme="minorEastAsia"/>
                <w:color w:val="000000" w:themeColor="text1"/>
                <w:szCs w:val="24"/>
              </w:rPr>
              <w:t>本项目属于东川区行政区划范围内</w:t>
            </w:r>
            <w:r>
              <w:rPr>
                <w:rFonts w:hint="eastAsia" w:hAnsiTheme="minorEastAsia" w:eastAsiaTheme="minorEastAsia"/>
                <w:color w:val="000000" w:themeColor="text1"/>
                <w:szCs w:val="24"/>
              </w:rPr>
              <w:t>；根据《2020年度昆明市生态环境状况公报》，2020年，各县（市）区环境空气质量总体保持良好，全年环境空气质量均达到二级标准，与2019年相比，石林县、富民县、寻甸县、嵩明县、安宁市、宜良县和禄劝县环境空气质量均有不同程度改善；晋宁区、东川区环境空气质量有所上升；阳宗海风景名胜区环境空气质量持平。综上分析，项目所在区域属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（2）特征污染物达标情况</w:t>
            </w:r>
          </w:p>
          <w:p>
            <w:pPr>
              <w:pStyle w:val="40"/>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根据项目特点，本项目排放的有国家标准的特征污染物为氟化物和TSP，监测情况如下：</w:t>
            </w:r>
          </w:p>
          <w:p>
            <w:pPr>
              <w:pStyle w:val="40"/>
              <w:ind w:firstLine="482"/>
              <w:rPr>
                <w:rFonts w:hAnsiTheme="minorEastAsia" w:eastAsiaTheme="minorEastAsia"/>
                <w:b/>
                <w:color w:val="000000" w:themeColor="text1"/>
                <w:szCs w:val="24"/>
              </w:rPr>
            </w:pPr>
            <w:r>
              <w:rPr>
                <w:rFonts w:hint="eastAsia" w:hAnsiTheme="minorEastAsia" w:eastAsiaTheme="minorEastAsia"/>
                <w:b/>
                <w:color w:val="000000" w:themeColor="text1"/>
                <w:szCs w:val="24"/>
              </w:rPr>
              <w:t>①氟化物环境现状监测</w:t>
            </w:r>
          </w:p>
          <w:p>
            <w:pPr>
              <w:pStyle w:val="40"/>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建设单位委托云南环清环境检测技术有限公司于2020年10月10日至16日对项目区及下风向老村子区域氟化物进行了环境质量现状监测，其监测结果如下表所示。</w:t>
            </w:r>
          </w:p>
          <w:p>
            <w:pPr>
              <w:jc w:val="center"/>
              <w:rPr>
                <w:rFonts w:ascii="Times New Roman" w:cs="Times New Roman" w:hAnsiTheme="minorEastAsia"/>
                <w:b/>
                <w:color w:val="000000" w:themeColor="text1"/>
                <w:szCs w:val="24"/>
              </w:rPr>
            </w:pPr>
            <w:r>
              <w:rPr>
                <w:rFonts w:hint="eastAsia" w:ascii="Times New Roman" w:cs="Times New Roman" w:hAnsiTheme="minorEastAsia"/>
                <w:b/>
                <w:color w:val="000000" w:themeColor="text1"/>
                <w:szCs w:val="24"/>
              </w:rPr>
              <w:t xml:space="preserve">表3.1.1-2 氟化物监测结果一览表 </w:t>
            </w:r>
            <w:r>
              <w:rPr>
                <w:rFonts w:ascii="Times New Roman" w:cs="Times New Roman" w:hAnsiTheme="minorEastAsia"/>
                <w:b/>
                <w:color w:val="000000" w:themeColor="text1"/>
                <w:szCs w:val="24"/>
              </w:rPr>
              <w:t>ug/m³</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769"/>
              <w:gridCol w:w="1478"/>
              <w:gridCol w:w="1384"/>
              <w:gridCol w:w="1329"/>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restart"/>
                  <w:tcBorders>
                    <w:top w:val="single" w:color="auto" w:sz="4" w:space="0"/>
                    <w:left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采样时间</w:t>
                  </w:r>
                </w:p>
              </w:tc>
              <w:tc>
                <w:tcPr>
                  <w:tcW w:w="1028" w:type="pct"/>
                  <w:vMerge w:val="restart"/>
                  <w:tcBorders>
                    <w:top w:val="single" w:color="auto" w:sz="4" w:space="0"/>
                    <w:left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监测频次</w:t>
                  </w:r>
                </w:p>
              </w:tc>
              <w:tc>
                <w:tcPr>
                  <w:tcW w:w="1663" w:type="pct"/>
                  <w:gridSpan w:val="2"/>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厂区范围（1#）</w:t>
                  </w:r>
                </w:p>
              </w:tc>
              <w:tc>
                <w:tcPr>
                  <w:tcW w:w="1506" w:type="pct"/>
                  <w:gridSpan w:val="2"/>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下风向老村子（2#）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小时值</w:t>
                  </w:r>
                </w:p>
              </w:tc>
              <w:tc>
                <w:tcPr>
                  <w:tcW w:w="804"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日均值</w:t>
                  </w: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小时值</w:t>
                  </w:r>
                </w:p>
              </w:tc>
              <w:tc>
                <w:tcPr>
                  <w:tcW w:w="734"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日均值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restart"/>
                  <w:tcBorders>
                    <w:top w:val="single" w:color="auto" w:sz="4" w:space="0"/>
                    <w:left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2020/10/</w:t>
                  </w:r>
                  <w:r>
                    <w:rPr>
                      <w:rFonts w:hint="eastAsia" w:eastAsiaTheme="minorEastAsia"/>
                      <w:color w:val="000000" w:themeColor="text1"/>
                      <w:szCs w:val="21"/>
                      <w:lang w:val="en-US"/>
                    </w:rPr>
                    <w:t>10</w:t>
                  </w: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02：00-03：00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w:t>
                  </w:r>
                </w:p>
              </w:tc>
              <w:tc>
                <w:tcPr>
                  <w:tcW w:w="804" w:type="pct"/>
                  <w:vMerge w:val="restart"/>
                  <w:tcBorders>
                    <w:top w:val="single" w:color="auto" w:sz="4" w:space="0"/>
                    <w:left w:val="nil"/>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734" w:type="pct"/>
                  <w:vMerge w:val="restart"/>
                  <w:tcBorders>
                    <w:top w:val="single" w:color="auto" w:sz="4" w:space="0"/>
                    <w:left w:val="nil"/>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08：00-09：00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1.9</w:t>
                  </w:r>
                </w:p>
              </w:tc>
              <w:tc>
                <w:tcPr>
                  <w:tcW w:w="804" w:type="pct"/>
                  <w:vMerge w:val="continue"/>
                  <w:tcBorders>
                    <w:left w:val="nil"/>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734" w:type="pct"/>
                  <w:vMerge w:val="continue"/>
                  <w:tcBorders>
                    <w:left w:val="nil"/>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14：00-15：00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w:t>
                  </w:r>
                </w:p>
              </w:tc>
              <w:tc>
                <w:tcPr>
                  <w:tcW w:w="804" w:type="pct"/>
                  <w:vMerge w:val="continue"/>
                  <w:tcBorders>
                    <w:left w:val="nil"/>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1.8</w:t>
                  </w:r>
                </w:p>
              </w:tc>
              <w:tc>
                <w:tcPr>
                  <w:tcW w:w="734" w:type="pct"/>
                  <w:vMerge w:val="continue"/>
                  <w:tcBorders>
                    <w:left w:val="nil"/>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20：00-21：00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1.9</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restart"/>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2020/10/</w:t>
                  </w:r>
                  <w:r>
                    <w:rPr>
                      <w:rFonts w:hint="eastAsia" w:eastAsiaTheme="minorEastAsia"/>
                      <w:color w:val="000000" w:themeColor="text1"/>
                      <w:szCs w:val="21"/>
                      <w:lang w:val="en-US"/>
                    </w:rPr>
                    <w:t>11</w:t>
                  </w: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02：00-03：00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1.9</w:t>
                  </w:r>
                </w:p>
              </w:tc>
              <w:tc>
                <w:tcPr>
                  <w:tcW w:w="804" w:type="pct"/>
                  <w:vMerge w:val="restar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734" w:type="pct"/>
                  <w:vMerge w:val="restar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08：00-09：00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14：00-15：00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2.2</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1.5</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20：00-21：00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2.2</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restart"/>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2020/10/</w:t>
                  </w:r>
                  <w:r>
                    <w:rPr>
                      <w:rFonts w:hint="eastAsia" w:eastAsiaTheme="minorEastAsia"/>
                      <w:color w:val="000000" w:themeColor="text1"/>
                      <w:szCs w:val="21"/>
                      <w:lang w:val="en-US"/>
                    </w:rPr>
                    <w:t>12</w:t>
                  </w: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02：00-03：00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2.1</w:t>
                  </w:r>
                </w:p>
              </w:tc>
              <w:tc>
                <w:tcPr>
                  <w:tcW w:w="804" w:type="pct"/>
                  <w:vMerge w:val="restar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734" w:type="pct"/>
                  <w:vMerge w:val="restar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08：00-09：00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1.2</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14：00-15：00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2.1</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20：00-21：00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1.9</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restart"/>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2020/10/</w:t>
                  </w:r>
                  <w:r>
                    <w:rPr>
                      <w:rFonts w:hint="eastAsia" w:eastAsiaTheme="minorEastAsia"/>
                      <w:color w:val="000000" w:themeColor="text1"/>
                      <w:szCs w:val="21"/>
                      <w:lang w:val="en-US"/>
                    </w:rPr>
                    <w:t>13</w:t>
                  </w: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02：00-03：00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w:t>
                  </w:r>
                </w:p>
              </w:tc>
              <w:tc>
                <w:tcPr>
                  <w:tcW w:w="804" w:type="pct"/>
                  <w:vMerge w:val="restar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734" w:type="pct"/>
                  <w:vMerge w:val="restar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08：00-09：00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2.1</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14：00-15：00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2.2</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1.5</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20：00-21：00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2.1</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restart"/>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2020/10/</w:t>
                  </w:r>
                  <w:r>
                    <w:rPr>
                      <w:rFonts w:hint="eastAsia" w:eastAsiaTheme="minorEastAsia"/>
                      <w:color w:val="000000" w:themeColor="text1"/>
                      <w:szCs w:val="21"/>
                      <w:lang w:val="en-US"/>
                    </w:rPr>
                    <w:t>14</w:t>
                  </w: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02：00-03：00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2.1</w:t>
                  </w:r>
                </w:p>
              </w:tc>
              <w:tc>
                <w:tcPr>
                  <w:tcW w:w="804" w:type="pct"/>
                  <w:vMerge w:val="restar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734" w:type="pct"/>
                  <w:vMerge w:val="restar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08：00-09：00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2.1</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14：00-15：00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2.1</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20：00-21：00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1.9</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1.5</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restart"/>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2020/10/</w:t>
                  </w:r>
                  <w:r>
                    <w:rPr>
                      <w:rFonts w:hint="eastAsia" w:eastAsiaTheme="minorEastAsia"/>
                      <w:color w:val="000000" w:themeColor="text1"/>
                      <w:szCs w:val="21"/>
                      <w:lang w:val="en-US"/>
                    </w:rPr>
                    <w:t>15</w:t>
                  </w: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02：00-03：00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w:t>
                  </w:r>
                </w:p>
              </w:tc>
              <w:tc>
                <w:tcPr>
                  <w:tcW w:w="804" w:type="pct"/>
                  <w:vMerge w:val="restar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734" w:type="pct"/>
                  <w:vMerge w:val="restar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08：00-09：00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2.2</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14：00-15：00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2.1</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20：00-21：00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restart"/>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2020/10/</w:t>
                  </w:r>
                  <w:r>
                    <w:rPr>
                      <w:rFonts w:hint="eastAsia" w:eastAsiaTheme="minorEastAsia"/>
                      <w:color w:val="000000" w:themeColor="text1"/>
                      <w:szCs w:val="21"/>
                      <w:lang w:val="en-US"/>
                    </w:rPr>
                    <w:t>16</w:t>
                  </w: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02：00-03：00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w:t>
                  </w:r>
                </w:p>
              </w:tc>
              <w:tc>
                <w:tcPr>
                  <w:tcW w:w="804" w:type="pct"/>
                  <w:vMerge w:val="restar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734" w:type="pct"/>
                  <w:vMerge w:val="restar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08：00-09：00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2.1</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03"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14：00-15：00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w:t>
                  </w:r>
                </w:p>
              </w:tc>
              <w:tc>
                <w:tcPr>
                  <w:tcW w:w="80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1.5</w:t>
                  </w:r>
                </w:p>
              </w:tc>
              <w:tc>
                <w:tcPr>
                  <w:tcW w:w="734" w:type="pct"/>
                  <w:vMerge w:val="continue"/>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3" w:type="pct"/>
                  <w:vMerge w:val="continue"/>
                  <w:tcBorders>
                    <w:left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028"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20：00-21：00</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2.1</w:t>
                  </w:r>
                </w:p>
              </w:tc>
              <w:tc>
                <w:tcPr>
                  <w:tcW w:w="804" w:type="pct"/>
                  <w:vMerge w:val="continue"/>
                  <w:tcBorders>
                    <w:left w:val="nil"/>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734" w:type="pct"/>
                  <w:vMerge w:val="continue"/>
                  <w:tcBorders>
                    <w:left w:val="nil"/>
                    <w:right w:val="single" w:color="auto" w:sz="4" w:space="0"/>
                  </w:tcBorders>
                  <w:vAlign w:val="center"/>
                </w:tcPr>
                <w:p>
                  <w:pPr>
                    <w:pStyle w:val="32"/>
                    <w:spacing w:line="360" w:lineRule="exact"/>
                    <w:ind w:left="11"/>
                    <w:rPr>
                      <w:rFonts w:eastAsiaTheme="minorEastAsia"/>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31" w:type="pct"/>
                  <w:gridSpan w:val="2"/>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执行标准</w:t>
                  </w:r>
                </w:p>
              </w:tc>
              <w:tc>
                <w:tcPr>
                  <w:tcW w:w="859"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w:t>
                  </w:r>
                  <w:r>
                    <w:rPr>
                      <w:rFonts w:hint="eastAsia" w:eastAsiaTheme="minorEastAsia"/>
                      <w:color w:val="000000" w:themeColor="text1"/>
                      <w:szCs w:val="21"/>
                      <w:lang w:val="en-US"/>
                    </w:rPr>
                    <w:t>20</w:t>
                  </w:r>
                </w:p>
              </w:tc>
              <w:tc>
                <w:tcPr>
                  <w:tcW w:w="804"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w:t>
                  </w:r>
                  <w:r>
                    <w:rPr>
                      <w:rFonts w:hint="eastAsia" w:eastAsiaTheme="minorEastAsia"/>
                      <w:color w:val="000000" w:themeColor="text1"/>
                      <w:szCs w:val="21"/>
                      <w:lang w:val="en-US"/>
                    </w:rPr>
                    <w:t>7</w:t>
                  </w:r>
                </w:p>
              </w:tc>
              <w:tc>
                <w:tcPr>
                  <w:tcW w:w="772"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w:t>
                  </w:r>
                  <w:r>
                    <w:rPr>
                      <w:rFonts w:hint="eastAsia" w:eastAsiaTheme="minorEastAsia"/>
                      <w:color w:val="000000" w:themeColor="text1"/>
                      <w:szCs w:val="21"/>
                      <w:lang w:val="en-US"/>
                    </w:rPr>
                    <w:t>20</w:t>
                  </w:r>
                </w:p>
              </w:tc>
              <w:tc>
                <w:tcPr>
                  <w:tcW w:w="734"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w:t>
                  </w:r>
                  <w:r>
                    <w:rPr>
                      <w:rFonts w:hint="eastAsia" w:eastAsiaTheme="minorEastAsia"/>
                      <w:color w:val="000000" w:themeColor="text1"/>
                      <w:szCs w:val="21"/>
                      <w:lang w:val="en-US"/>
                    </w:rPr>
                    <w:t>7</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由上表可知，</w:t>
            </w:r>
            <w:r>
              <w:rPr>
                <w:rFonts w:hint="eastAsia" w:eastAsiaTheme="minorEastAsia"/>
                <w:color w:val="000000" w:themeColor="text1"/>
                <w:szCs w:val="24"/>
              </w:rPr>
              <w:t>项目区域氟化物可达到</w:t>
            </w:r>
            <w:r>
              <w:rPr>
                <w:rFonts w:eastAsiaTheme="minorEastAsia"/>
                <w:color w:val="000000" w:themeColor="text1"/>
                <w:szCs w:val="24"/>
              </w:rPr>
              <w:t>《环境空气质量标准》（GB3095-2012）二级标准。</w:t>
            </w:r>
          </w:p>
          <w:p>
            <w:pPr>
              <w:pStyle w:val="40"/>
              <w:ind w:firstLine="482"/>
              <w:rPr>
                <w:rFonts w:hAnsiTheme="minorEastAsia" w:eastAsiaTheme="minorEastAsia"/>
                <w:b/>
                <w:color w:val="000000" w:themeColor="text1"/>
                <w:szCs w:val="24"/>
              </w:rPr>
            </w:pPr>
            <w:r>
              <w:rPr>
                <w:rFonts w:hint="eastAsia" w:hAnsiTheme="minorEastAsia" w:eastAsiaTheme="minorEastAsia"/>
                <w:b/>
                <w:color w:val="000000" w:themeColor="text1"/>
                <w:szCs w:val="24"/>
              </w:rPr>
              <w:t>②TSP环境现状监测</w:t>
            </w:r>
          </w:p>
          <w:p>
            <w:pPr>
              <w:pStyle w:val="40"/>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建设单位委托云南环清环境检测技术有限公司于2021年1月5日至11日对项目区及下风向老村子区域TSP进行了环境质量现状监测，其监测结果如下表所示。</w:t>
            </w:r>
          </w:p>
          <w:p>
            <w:pPr>
              <w:jc w:val="center"/>
              <w:rPr>
                <w:rFonts w:ascii="Times New Roman" w:cs="Times New Roman" w:hAnsiTheme="minorEastAsia"/>
                <w:b/>
                <w:color w:val="000000" w:themeColor="text1"/>
                <w:szCs w:val="24"/>
              </w:rPr>
            </w:pPr>
            <w:r>
              <w:rPr>
                <w:rFonts w:hint="eastAsia" w:ascii="Times New Roman" w:cs="Times New Roman" w:hAnsiTheme="minorEastAsia"/>
                <w:b/>
                <w:color w:val="000000" w:themeColor="text1"/>
                <w:szCs w:val="24"/>
              </w:rPr>
              <w:t xml:space="preserve">表3.1.1-3  TSP监测结果一览表 </w:t>
            </w:r>
            <w:r>
              <w:rPr>
                <w:rFonts w:ascii="Times New Roman" w:cs="Times New Roman" w:hAnsiTheme="minorEastAsia"/>
                <w:b/>
                <w:color w:val="000000" w:themeColor="text1"/>
                <w:szCs w:val="24"/>
              </w:rPr>
              <w:t>ug/m³</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704"/>
              <w:gridCol w:w="2024"/>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9" w:type="pct"/>
                  <w:vMerge w:val="restart"/>
                  <w:tcBorders>
                    <w:top w:val="single" w:color="auto" w:sz="4" w:space="0"/>
                    <w:left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采样时间</w:t>
                  </w:r>
                </w:p>
              </w:tc>
              <w:tc>
                <w:tcPr>
                  <w:tcW w:w="1571" w:type="pct"/>
                  <w:vMerge w:val="restart"/>
                  <w:tcBorders>
                    <w:top w:val="single" w:color="auto" w:sz="4" w:space="0"/>
                    <w:left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监测频次</w:t>
                  </w:r>
                </w:p>
              </w:tc>
              <w:tc>
                <w:tcPr>
                  <w:tcW w:w="1176"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厂区范围（1#）</w:t>
                  </w:r>
                </w:p>
              </w:tc>
              <w:tc>
                <w:tcPr>
                  <w:tcW w:w="1114"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下风向老村子（2#）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9"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571" w:type="pct"/>
                  <w:vMerge w:val="continue"/>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p>
              </w:tc>
              <w:tc>
                <w:tcPr>
                  <w:tcW w:w="1176"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日均值</w:t>
                  </w:r>
                </w:p>
              </w:tc>
              <w:tc>
                <w:tcPr>
                  <w:tcW w:w="1114" w:type="pct"/>
                  <w:tcBorders>
                    <w:top w:val="single" w:color="auto" w:sz="4" w:space="0"/>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日均值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9" w:type="pct"/>
                  <w:tcBorders>
                    <w:top w:val="single" w:color="auto" w:sz="4" w:space="0"/>
                    <w:left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2021/1/</w:t>
                  </w:r>
                  <w:r>
                    <w:rPr>
                      <w:rFonts w:hint="eastAsia" w:eastAsiaTheme="minorEastAsia"/>
                      <w:color w:val="000000" w:themeColor="text1"/>
                      <w:szCs w:val="21"/>
                      <w:lang w:val="en-US"/>
                    </w:rPr>
                    <w:t>5</w:t>
                  </w:r>
                </w:p>
              </w:tc>
              <w:tc>
                <w:tcPr>
                  <w:tcW w:w="1571"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00：00-次日00：00</w:t>
                  </w:r>
                </w:p>
              </w:tc>
              <w:tc>
                <w:tcPr>
                  <w:tcW w:w="1176" w:type="pct"/>
                  <w:tcBorders>
                    <w:top w:val="single" w:color="auto" w:sz="4" w:space="0"/>
                    <w:left w:val="nil"/>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78</w:t>
                  </w:r>
                </w:p>
              </w:tc>
              <w:tc>
                <w:tcPr>
                  <w:tcW w:w="1114" w:type="pct"/>
                  <w:tcBorders>
                    <w:top w:val="single" w:color="auto" w:sz="4" w:space="0"/>
                    <w:left w:val="nil"/>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139" w:type="pct"/>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2021/1/</w:t>
                  </w:r>
                  <w:r>
                    <w:rPr>
                      <w:rFonts w:hint="eastAsia" w:eastAsiaTheme="minorEastAsia"/>
                      <w:color w:val="000000" w:themeColor="text1"/>
                      <w:szCs w:val="21"/>
                      <w:lang w:val="en-US"/>
                    </w:rPr>
                    <w:t>6</w:t>
                  </w:r>
                </w:p>
              </w:tc>
              <w:tc>
                <w:tcPr>
                  <w:tcW w:w="1571"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00：00-次日00：00</w:t>
                  </w:r>
                </w:p>
              </w:tc>
              <w:tc>
                <w:tcPr>
                  <w:tcW w:w="1176"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86</w:t>
                  </w:r>
                </w:p>
              </w:tc>
              <w:tc>
                <w:tcPr>
                  <w:tcW w:w="1114"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9" w:type="pct"/>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2021/1/</w:t>
                  </w:r>
                  <w:r>
                    <w:rPr>
                      <w:rFonts w:hint="eastAsia" w:eastAsiaTheme="minorEastAsia"/>
                      <w:color w:val="000000" w:themeColor="text1"/>
                      <w:szCs w:val="21"/>
                      <w:lang w:val="en-US"/>
                    </w:rPr>
                    <w:t>7</w:t>
                  </w:r>
                </w:p>
              </w:tc>
              <w:tc>
                <w:tcPr>
                  <w:tcW w:w="1571"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00：00-次日00：00</w:t>
                  </w:r>
                </w:p>
              </w:tc>
              <w:tc>
                <w:tcPr>
                  <w:tcW w:w="1176"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87</w:t>
                  </w:r>
                </w:p>
              </w:tc>
              <w:tc>
                <w:tcPr>
                  <w:tcW w:w="1114"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139" w:type="pct"/>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2021/1/</w:t>
                  </w:r>
                  <w:r>
                    <w:rPr>
                      <w:rFonts w:hint="eastAsia" w:eastAsiaTheme="minorEastAsia"/>
                      <w:color w:val="000000" w:themeColor="text1"/>
                      <w:szCs w:val="21"/>
                      <w:lang w:val="en-US"/>
                    </w:rPr>
                    <w:t>8</w:t>
                  </w:r>
                </w:p>
              </w:tc>
              <w:tc>
                <w:tcPr>
                  <w:tcW w:w="1571"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00：00-次日00：00</w:t>
                  </w:r>
                </w:p>
              </w:tc>
              <w:tc>
                <w:tcPr>
                  <w:tcW w:w="1176"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79</w:t>
                  </w:r>
                </w:p>
              </w:tc>
              <w:tc>
                <w:tcPr>
                  <w:tcW w:w="1114"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9" w:type="pct"/>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2021/1/</w:t>
                  </w:r>
                  <w:r>
                    <w:rPr>
                      <w:rFonts w:hint="eastAsia" w:eastAsiaTheme="minorEastAsia"/>
                      <w:color w:val="000000" w:themeColor="text1"/>
                      <w:szCs w:val="21"/>
                      <w:lang w:val="en-US"/>
                    </w:rPr>
                    <w:t>9</w:t>
                  </w:r>
                </w:p>
              </w:tc>
              <w:tc>
                <w:tcPr>
                  <w:tcW w:w="1571"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00：00-次日00：00</w:t>
                  </w:r>
                </w:p>
              </w:tc>
              <w:tc>
                <w:tcPr>
                  <w:tcW w:w="1176"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75</w:t>
                  </w:r>
                </w:p>
              </w:tc>
              <w:tc>
                <w:tcPr>
                  <w:tcW w:w="1114"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9" w:type="pct"/>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2021/1/</w:t>
                  </w:r>
                  <w:r>
                    <w:rPr>
                      <w:rFonts w:hint="eastAsia" w:eastAsiaTheme="minorEastAsia"/>
                      <w:color w:val="000000" w:themeColor="text1"/>
                      <w:szCs w:val="21"/>
                      <w:lang w:val="en-US"/>
                    </w:rPr>
                    <w:t>10</w:t>
                  </w:r>
                </w:p>
              </w:tc>
              <w:tc>
                <w:tcPr>
                  <w:tcW w:w="1571"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00：00-次日00：00</w:t>
                  </w:r>
                </w:p>
              </w:tc>
              <w:tc>
                <w:tcPr>
                  <w:tcW w:w="1176"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86</w:t>
                  </w:r>
                </w:p>
              </w:tc>
              <w:tc>
                <w:tcPr>
                  <w:tcW w:w="1114"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9" w:type="pct"/>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2021/1/</w:t>
                  </w:r>
                  <w:r>
                    <w:rPr>
                      <w:rFonts w:hint="eastAsia" w:eastAsiaTheme="minorEastAsia"/>
                      <w:color w:val="000000" w:themeColor="text1"/>
                      <w:szCs w:val="21"/>
                      <w:lang w:val="en-US"/>
                    </w:rPr>
                    <w:t>11</w:t>
                  </w:r>
                </w:p>
              </w:tc>
              <w:tc>
                <w:tcPr>
                  <w:tcW w:w="1571" w:type="pct"/>
                  <w:tcBorders>
                    <w:top w:val="single" w:color="auto" w:sz="4" w:space="0"/>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00：00-次日00：00</w:t>
                  </w:r>
                </w:p>
              </w:tc>
              <w:tc>
                <w:tcPr>
                  <w:tcW w:w="1176"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76</w:t>
                  </w:r>
                </w:p>
              </w:tc>
              <w:tc>
                <w:tcPr>
                  <w:tcW w:w="1114" w:type="pct"/>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10" w:type="pct"/>
                  <w:gridSpan w:val="2"/>
                  <w:tcBorders>
                    <w:left w:val="single" w:color="auto" w:sz="4" w:space="0"/>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执行标准</w:t>
                  </w:r>
                </w:p>
              </w:tc>
              <w:tc>
                <w:tcPr>
                  <w:tcW w:w="2290" w:type="pct"/>
                  <w:gridSpan w:val="2"/>
                  <w:tcBorders>
                    <w:left w:val="nil"/>
                    <w:bottom w:val="single" w:color="auto" w:sz="4" w:space="0"/>
                    <w:right w:val="single" w:color="auto" w:sz="4" w:space="0"/>
                  </w:tcBorders>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w:t>
                  </w:r>
                  <w:r>
                    <w:rPr>
                      <w:rFonts w:hint="eastAsia" w:eastAsiaTheme="minorEastAsia"/>
                      <w:color w:val="000000" w:themeColor="text1"/>
                      <w:szCs w:val="21"/>
                      <w:lang w:val="en-US"/>
                    </w:rPr>
                    <w:t>300</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由上表可知，</w:t>
            </w:r>
            <w:r>
              <w:rPr>
                <w:rFonts w:hint="eastAsia" w:eastAsiaTheme="minorEastAsia"/>
                <w:color w:val="000000" w:themeColor="text1"/>
                <w:szCs w:val="24"/>
              </w:rPr>
              <w:t>项目区域TSP日均值可达到</w:t>
            </w:r>
            <w:r>
              <w:rPr>
                <w:rFonts w:eastAsiaTheme="minorEastAsia"/>
                <w:color w:val="000000" w:themeColor="text1"/>
                <w:szCs w:val="24"/>
              </w:rPr>
              <w:t>《环境空气质量标准》（GB3095-2012）二级标准。</w:t>
            </w:r>
          </w:p>
          <w:p>
            <w:pPr>
              <w:pStyle w:val="40"/>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40"/>
              <w:ind w:firstLine="480"/>
              <w:rPr>
                <w:color w:val="000000" w:themeColor="text1"/>
                <w:szCs w:val="24"/>
              </w:rPr>
            </w:pPr>
            <w:r>
              <w:rPr>
                <w:color w:val="000000" w:themeColor="text1"/>
                <w:szCs w:val="24"/>
              </w:rPr>
              <w:t>本项目区属于大桥河和小江的汇水范围，大桥河位于项目区</w:t>
            </w:r>
            <w:r>
              <w:rPr>
                <w:rFonts w:hint="eastAsia"/>
                <w:color w:val="000000" w:themeColor="text1"/>
                <w:szCs w:val="24"/>
              </w:rPr>
              <w:t>南侧1033m</w:t>
            </w:r>
            <w:r>
              <w:rPr>
                <w:color w:val="000000" w:themeColor="text1"/>
                <w:szCs w:val="24"/>
              </w:rPr>
              <w:t>，小江位于项目区西侧</w:t>
            </w:r>
            <w:r>
              <w:rPr>
                <w:rFonts w:hint="eastAsia"/>
                <w:color w:val="000000" w:themeColor="text1"/>
                <w:szCs w:val="24"/>
              </w:rPr>
              <w:t>3308</w:t>
            </w:r>
            <w:r>
              <w:rPr>
                <w:color w:val="000000" w:themeColor="text1"/>
                <w:szCs w:val="24"/>
              </w:rPr>
              <w:t>m，大桥河最终汇入小江。</w:t>
            </w:r>
            <w:r>
              <w:rPr>
                <w:rFonts w:hint="eastAsia"/>
                <w:color w:val="000000" w:themeColor="text1"/>
                <w:szCs w:val="24"/>
              </w:rPr>
              <w:t>根据云南省水利厅发布的《云南省水功能区划》（2014版），小江寻甸-东川保留区，从清水海至入金沙江口，2030年的水质目标为III类水体，</w:t>
            </w:r>
            <w:r>
              <w:rPr>
                <w:color w:val="000000" w:themeColor="text1"/>
                <w:szCs w:val="24"/>
              </w:rPr>
              <w:t>大桥河无环境功能区划，根据水功能区划原则，参照执行小江河段的功能区划，亦执行《地表水环境质量标准》（GB3838-2002）I</w:t>
            </w:r>
            <w:r>
              <w:rPr>
                <w:rFonts w:hint="eastAsia"/>
                <w:color w:val="000000" w:themeColor="text1"/>
                <w:szCs w:val="24"/>
              </w:rPr>
              <w:t>II</w:t>
            </w:r>
            <w:r>
              <w:rPr>
                <w:color w:val="000000" w:themeColor="text1"/>
                <w:szCs w:val="24"/>
              </w:rPr>
              <w:t>类水标准。</w:t>
            </w:r>
          </w:p>
          <w:p>
            <w:pPr>
              <w:pStyle w:val="40"/>
              <w:ind w:firstLine="480"/>
              <w:rPr>
                <w:color w:val="000000" w:themeColor="text1"/>
                <w:szCs w:val="24"/>
              </w:rPr>
            </w:pPr>
            <w:r>
              <w:rPr>
                <w:rFonts w:hint="eastAsia"/>
                <w:color w:val="000000" w:themeColor="text1"/>
                <w:szCs w:val="24"/>
              </w:rPr>
              <w:t>根据调查，小江</w:t>
            </w:r>
            <w:r>
              <w:rPr>
                <w:rFonts w:eastAsiaTheme="minorEastAsia"/>
                <w:color w:val="000000" w:themeColor="text1"/>
                <w:szCs w:val="24"/>
              </w:rPr>
              <w:t>板河口断面</w:t>
            </w:r>
            <w:r>
              <w:rPr>
                <w:rFonts w:hint="eastAsia" w:eastAsiaTheme="minorEastAsia"/>
                <w:color w:val="000000" w:themeColor="text1"/>
                <w:szCs w:val="24"/>
              </w:rPr>
              <w:t>位于大桥河于小江汇入点下游500m，距离本项目约3326m；因此</w:t>
            </w:r>
            <w:r>
              <w:rPr>
                <w:rFonts w:eastAsiaTheme="minorEastAsia"/>
                <w:color w:val="000000" w:themeColor="text1"/>
                <w:szCs w:val="24"/>
              </w:rPr>
              <w:t>在评价期间，收集了东川区环境监测站2019年9月对小江的板河口断面的常规监测数据</w:t>
            </w:r>
            <w:r>
              <w:rPr>
                <w:rFonts w:hint="eastAsia" w:eastAsiaTheme="minorEastAsia"/>
                <w:color w:val="000000" w:themeColor="text1"/>
                <w:szCs w:val="24"/>
              </w:rPr>
              <w:t>。</w:t>
            </w:r>
            <w:r>
              <w:rPr>
                <w:rFonts w:eastAsiaTheme="minorEastAsia"/>
                <w:color w:val="000000" w:themeColor="text1"/>
                <w:szCs w:val="24"/>
              </w:rPr>
              <w:t>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3.1.2-1 </w:t>
            </w:r>
            <w:r>
              <w:rPr>
                <w:rFonts w:ascii="Times New Roman" w:cs="Times New Roman" w:hAnsiTheme="minorEastAsia"/>
                <w:b/>
                <w:color w:val="000000" w:themeColor="text1"/>
                <w:szCs w:val="24"/>
              </w:rPr>
              <w:t>项目区域地表水体小江水质检测结果一览表</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单位：</w:t>
            </w:r>
            <w:r>
              <w:rPr>
                <w:rFonts w:ascii="Times New Roman" w:hAnsi="Times New Roman" w:cs="Times New Roman"/>
                <w:b/>
                <w:color w:val="000000" w:themeColor="text1"/>
                <w:szCs w:val="24"/>
              </w:rPr>
              <w:t>mg/L</w:t>
            </w:r>
          </w:p>
          <w:tbl>
            <w:tblPr>
              <w:tblStyle w:val="20"/>
              <w:tblW w:w="5000" w:type="pct"/>
              <w:tblInd w:w="0" w:type="dxa"/>
              <w:tblLayout w:type="fixed"/>
              <w:tblCellMar>
                <w:top w:w="0" w:type="dxa"/>
                <w:left w:w="108" w:type="dxa"/>
                <w:bottom w:w="0" w:type="dxa"/>
                <w:right w:w="108" w:type="dxa"/>
              </w:tblCellMar>
            </w:tblPr>
            <w:tblGrid>
              <w:gridCol w:w="1074"/>
              <w:gridCol w:w="2392"/>
              <w:gridCol w:w="1741"/>
              <w:gridCol w:w="1429"/>
              <w:gridCol w:w="1979"/>
            </w:tblGrid>
            <w:tr>
              <w:tblPrEx>
                <w:tblCellMar>
                  <w:top w:w="0" w:type="dxa"/>
                  <w:left w:w="108" w:type="dxa"/>
                  <w:bottom w:w="0" w:type="dxa"/>
                  <w:right w:w="108" w:type="dxa"/>
                </w:tblCellMar>
              </w:tblPrEx>
              <w:trPr>
                <w:trHeight w:val="148"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序号</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监测项目</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板河口</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标准值</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达标情况</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1</w:t>
                  </w:r>
                </w:p>
              </w:tc>
              <w:tc>
                <w:tcPr>
                  <w:tcW w:w="2018"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pH</w:t>
                  </w:r>
                  <w:r>
                    <w:rPr>
                      <w:rFonts w:hAnsiTheme="minorEastAsia" w:eastAsiaTheme="minorEastAsia"/>
                      <w:color w:val="000000" w:themeColor="text1"/>
                      <w:szCs w:val="21"/>
                    </w:rPr>
                    <w:t>（无量纲）</w:t>
                  </w:r>
                </w:p>
              </w:tc>
              <w:tc>
                <w:tcPr>
                  <w:tcW w:w="1469"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bCs w:val="0"/>
                      <w:color w:val="000000" w:themeColor="text1"/>
                      <w:szCs w:val="24"/>
                    </w:rPr>
                  </w:pPr>
                  <w:r>
                    <w:rPr>
                      <w:rFonts w:eastAsiaTheme="minorEastAsia"/>
                      <w:bCs w:val="0"/>
                      <w:color w:val="000000" w:themeColor="text1"/>
                      <w:szCs w:val="24"/>
                    </w:rPr>
                    <w:t>8.41</w:t>
                  </w:r>
                </w:p>
              </w:tc>
              <w:tc>
                <w:tcPr>
                  <w:tcW w:w="1205"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6-9</w:t>
                  </w:r>
                </w:p>
              </w:tc>
              <w:tc>
                <w:tcPr>
                  <w:tcW w:w="1670"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2</w:t>
                  </w:r>
                </w:p>
              </w:tc>
              <w:tc>
                <w:tcPr>
                  <w:tcW w:w="2018"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COD</w:t>
                  </w:r>
                  <w:r>
                    <w:rPr>
                      <w:rFonts w:eastAsiaTheme="minorEastAsia"/>
                      <w:color w:val="000000" w:themeColor="text1"/>
                      <w:szCs w:val="21"/>
                      <w:vertAlign w:val="subscript"/>
                    </w:rPr>
                    <w:t>Cr</w:t>
                  </w:r>
                </w:p>
              </w:tc>
              <w:tc>
                <w:tcPr>
                  <w:tcW w:w="1469"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bCs w:val="0"/>
                      <w:color w:val="000000" w:themeColor="text1"/>
                      <w:szCs w:val="24"/>
                    </w:rPr>
                  </w:pPr>
                  <w:r>
                    <w:rPr>
                      <w:rFonts w:eastAsiaTheme="minorEastAsia"/>
                      <w:bCs w:val="0"/>
                      <w:color w:val="000000" w:themeColor="text1"/>
                      <w:szCs w:val="24"/>
                    </w:rPr>
                    <w:t>5</w:t>
                  </w:r>
                </w:p>
              </w:tc>
              <w:tc>
                <w:tcPr>
                  <w:tcW w:w="1205"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2</w:t>
                  </w:r>
                  <w:r>
                    <w:rPr>
                      <w:rFonts w:eastAsiaTheme="minorEastAsia"/>
                      <w:color w:val="000000" w:themeColor="text1"/>
                      <w:szCs w:val="21"/>
                    </w:rPr>
                    <w:t>0</w:t>
                  </w:r>
                </w:p>
              </w:tc>
              <w:tc>
                <w:tcPr>
                  <w:tcW w:w="1670"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3</w:t>
                  </w:r>
                </w:p>
              </w:tc>
              <w:tc>
                <w:tcPr>
                  <w:tcW w:w="2018"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469"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bCs w:val="0"/>
                      <w:color w:val="000000" w:themeColor="text1"/>
                      <w:szCs w:val="24"/>
                    </w:rPr>
                  </w:pPr>
                  <w:r>
                    <w:rPr>
                      <w:rFonts w:eastAsiaTheme="minorEastAsia"/>
                      <w:bCs w:val="0"/>
                      <w:color w:val="000000" w:themeColor="text1"/>
                      <w:szCs w:val="24"/>
                    </w:rPr>
                    <w:t>2</w:t>
                  </w:r>
                </w:p>
              </w:tc>
              <w:tc>
                <w:tcPr>
                  <w:tcW w:w="1205"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4</w:t>
                  </w:r>
                </w:p>
              </w:tc>
              <w:tc>
                <w:tcPr>
                  <w:tcW w:w="1670"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5</w:t>
                  </w:r>
                </w:p>
              </w:tc>
              <w:tc>
                <w:tcPr>
                  <w:tcW w:w="2018"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469"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bCs w:val="0"/>
                      <w:color w:val="000000" w:themeColor="text1"/>
                      <w:szCs w:val="24"/>
                    </w:rPr>
                  </w:pPr>
                  <w:r>
                    <w:rPr>
                      <w:rFonts w:eastAsiaTheme="minorEastAsia"/>
                      <w:bCs w:val="0"/>
                      <w:color w:val="000000" w:themeColor="text1"/>
                      <w:szCs w:val="24"/>
                    </w:rPr>
                    <w:t>0.32</w:t>
                  </w:r>
                </w:p>
              </w:tc>
              <w:tc>
                <w:tcPr>
                  <w:tcW w:w="1205"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color w:val="000000" w:themeColor="text1"/>
                      <w:szCs w:val="21"/>
                    </w:rPr>
                    <w:t>≤1.</w:t>
                  </w:r>
                  <w:r>
                    <w:rPr>
                      <w:rFonts w:hint="eastAsia"/>
                      <w:color w:val="000000" w:themeColor="text1"/>
                      <w:szCs w:val="21"/>
                    </w:rPr>
                    <w:t>0</w:t>
                  </w:r>
                </w:p>
              </w:tc>
              <w:tc>
                <w:tcPr>
                  <w:tcW w:w="1670"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6</w:t>
                  </w:r>
                </w:p>
              </w:tc>
              <w:tc>
                <w:tcPr>
                  <w:tcW w:w="2018"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总磷</w:t>
                  </w:r>
                </w:p>
              </w:tc>
              <w:tc>
                <w:tcPr>
                  <w:tcW w:w="1469"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bCs w:val="0"/>
                      <w:color w:val="000000" w:themeColor="text1"/>
                      <w:szCs w:val="24"/>
                    </w:rPr>
                  </w:pPr>
                  <w:r>
                    <w:rPr>
                      <w:rFonts w:eastAsiaTheme="minorEastAsia"/>
                      <w:bCs w:val="0"/>
                      <w:color w:val="000000" w:themeColor="text1"/>
                      <w:szCs w:val="24"/>
                    </w:rPr>
                    <w:t>0.12</w:t>
                  </w:r>
                </w:p>
              </w:tc>
              <w:tc>
                <w:tcPr>
                  <w:tcW w:w="1205"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color w:val="000000" w:themeColor="text1"/>
                      <w:szCs w:val="21"/>
                    </w:rPr>
                    <w:t>≤0.</w:t>
                  </w:r>
                  <w:r>
                    <w:rPr>
                      <w:rFonts w:hint="eastAsia"/>
                      <w:color w:val="000000" w:themeColor="text1"/>
                      <w:szCs w:val="21"/>
                    </w:rPr>
                    <w:t>2</w:t>
                  </w:r>
                </w:p>
              </w:tc>
              <w:tc>
                <w:tcPr>
                  <w:tcW w:w="1670"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7</w:t>
                  </w:r>
                </w:p>
              </w:tc>
              <w:tc>
                <w:tcPr>
                  <w:tcW w:w="2018"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硫化物</w:t>
                  </w:r>
                </w:p>
              </w:tc>
              <w:tc>
                <w:tcPr>
                  <w:tcW w:w="1469"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bCs w:val="0"/>
                      <w:color w:val="000000" w:themeColor="text1"/>
                      <w:szCs w:val="24"/>
                    </w:rPr>
                  </w:pPr>
                  <w:r>
                    <w:rPr>
                      <w:rFonts w:eastAsiaTheme="minorEastAsia"/>
                      <w:bCs w:val="0"/>
                      <w:color w:val="000000" w:themeColor="text1"/>
                      <w:szCs w:val="24"/>
                    </w:rPr>
                    <w:t>0.005L</w:t>
                  </w:r>
                </w:p>
              </w:tc>
              <w:tc>
                <w:tcPr>
                  <w:tcW w:w="1205"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2</w:t>
                  </w:r>
                </w:p>
              </w:tc>
              <w:tc>
                <w:tcPr>
                  <w:tcW w:w="1670"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8</w:t>
                  </w:r>
                </w:p>
              </w:tc>
              <w:tc>
                <w:tcPr>
                  <w:tcW w:w="2018"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锌</w:t>
                  </w:r>
                </w:p>
              </w:tc>
              <w:tc>
                <w:tcPr>
                  <w:tcW w:w="1469"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bCs w:val="0"/>
                      <w:color w:val="000000" w:themeColor="text1"/>
                      <w:szCs w:val="24"/>
                    </w:rPr>
                  </w:pPr>
                  <w:r>
                    <w:rPr>
                      <w:rFonts w:eastAsiaTheme="minorEastAsia"/>
                      <w:bCs w:val="0"/>
                      <w:color w:val="000000" w:themeColor="text1"/>
                      <w:szCs w:val="24"/>
                    </w:rPr>
                    <w:t>0.05L</w:t>
                  </w:r>
                </w:p>
              </w:tc>
              <w:tc>
                <w:tcPr>
                  <w:tcW w:w="1205"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color w:val="000000" w:themeColor="text1"/>
                      <w:szCs w:val="21"/>
                    </w:rPr>
                    <w:t>≤1.0</w:t>
                  </w:r>
                </w:p>
              </w:tc>
              <w:tc>
                <w:tcPr>
                  <w:tcW w:w="1670"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9</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铅</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bCs w:val="0"/>
                      <w:color w:val="000000" w:themeColor="text1"/>
                      <w:szCs w:val="24"/>
                    </w:rPr>
                  </w:pPr>
                  <w:r>
                    <w:rPr>
                      <w:rFonts w:eastAsiaTheme="minorEastAsia"/>
                      <w:bCs w:val="0"/>
                      <w:color w:val="000000" w:themeColor="text1"/>
                      <w:szCs w:val="24"/>
                    </w:rPr>
                    <w:t>0.002L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color w:val="000000" w:themeColor="text1"/>
                      <w:szCs w:val="21"/>
                    </w:rPr>
                    <w:t>≤0.05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10</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镉</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bCs w:val="0"/>
                      <w:color w:val="000000" w:themeColor="text1"/>
                      <w:szCs w:val="24"/>
                    </w:rPr>
                  </w:pPr>
                  <w:r>
                    <w:rPr>
                      <w:rFonts w:eastAsiaTheme="minorEastAsia"/>
                      <w:bCs w:val="0"/>
                      <w:color w:val="000000" w:themeColor="text1"/>
                      <w:szCs w:val="24"/>
                    </w:rPr>
                    <w:t>0.0005</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color w:val="000000" w:themeColor="text1"/>
                      <w:szCs w:val="21"/>
                    </w:rPr>
                    <w:t>≤0.005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11</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砷</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bCs w:val="0"/>
                      <w:color w:val="000000" w:themeColor="text1"/>
                      <w:szCs w:val="24"/>
                    </w:rPr>
                  </w:pPr>
                  <w:r>
                    <w:rPr>
                      <w:rFonts w:eastAsiaTheme="minorEastAsia"/>
                      <w:bCs w:val="0"/>
                      <w:color w:val="000000" w:themeColor="text1"/>
                      <w:szCs w:val="24"/>
                    </w:rPr>
                    <w:t>0.0390</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color w:val="000000" w:themeColor="text1"/>
                      <w:szCs w:val="21"/>
                    </w:rPr>
                    <w:t>≤0.05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12</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铜</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bCs w:val="0"/>
                      <w:color w:val="000000" w:themeColor="text1"/>
                      <w:szCs w:val="24"/>
                    </w:rPr>
                  </w:pPr>
                  <w:r>
                    <w:rPr>
                      <w:rFonts w:eastAsiaTheme="minorEastAsia"/>
                      <w:bCs w:val="0"/>
                      <w:color w:val="000000" w:themeColor="text1"/>
                      <w:szCs w:val="24"/>
                    </w:rPr>
                    <w:t>0.001</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color w:val="000000" w:themeColor="text1"/>
                      <w:szCs w:val="21"/>
                    </w:rPr>
                    <w:t>≤1.0</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13</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氟化物</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bCs w:val="0"/>
                      <w:color w:val="000000" w:themeColor="text1"/>
                      <w:szCs w:val="24"/>
                    </w:rPr>
                  </w:pPr>
                  <w:r>
                    <w:rPr>
                      <w:rFonts w:eastAsiaTheme="minorEastAsia"/>
                      <w:bCs w:val="0"/>
                      <w:color w:val="000000" w:themeColor="text1"/>
                      <w:szCs w:val="24"/>
                    </w:rPr>
                    <w:t>0.23</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≤1.</w:t>
                  </w:r>
                  <w:r>
                    <w:rPr>
                      <w:rFonts w:hint="eastAsia" w:eastAsiaTheme="minorEastAsia"/>
                      <w:color w:val="000000" w:themeColor="text1"/>
                      <w:szCs w:val="21"/>
                    </w:rPr>
                    <w:t>0</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14</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汞</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bCs w:val="0"/>
                      <w:color w:val="000000" w:themeColor="text1"/>
                      <w:sz w:val="20"/>
                    </w:rPr>
                  </w:pPr>
                  <w:r>
                    <w:rPr>
                      <w:rFonts w:eastAsiaTheme="minorEastAsia"/>
                      <w:bCs w:val="0"/>
                      <w:color w:val="000000" w:themeColor="text1"/>
                      <w:sz w:val="20"/>
                    </w:rPr>
                    <w:t>0.00004L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color w:val="000000" w:themeColor="text1"/>
                      <w:szCs w:val="21"/>
                    </w:rPr>
                    <w:t>≤</w:t>
                  </w:r>
                  <w:r>
                    <w:rPr>
                      <w:rFonts w:hint="eastAsia"/>
                      <w:color w:val="000000" w:themeColor="text1"/>
                      <w:szCs w:val="21"/>
                    </w:rPr>
                    <w:t>0.0001</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15</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石油类</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0.01L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color w:val="000000" w:themeColor="text1"/>
                      <w:szCs w:val="21"/>
                    </w:rPr>
                    <w:t>≤0.</w:t>
                  </w:r>
                  <w:r>
                    <w:rPr>
                      <w:rFonts w:hint="eastAsia"/>
                      <w:color w:val="000000" w:themeColor="text1"/>
                      <w:szCs w:val="21"/>
                    </w:rPr>
                    <w:t>0</w:t>
                  </w:r>
                  <w:r>
                    <w:rPr>
                      <w:color w:val="000000" w:themeColor="text1"/>
                      <w:szCs w:val="21"/>
                    </w:rPr>
                    <w:t>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16</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阴离子表面活性剂</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0.05L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color w:val="000000" w:themeColor="text1"/>
                      <w:szCs w:val="21"/>
                    </w:rPr>
                    <w:t>≤0.</w:t>
                  </w:r>
                  <w:r>
                    <w:rPr>
                      <w:rFonts w:hint="eastAsia"/>
                      <w:color w:val="000000" w:themeColor="text1"/>
                      <w:szCs w:val="21"/>
                    </w:rPr>
                    <w:t>2</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17</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粪大肠菌群</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3300</w:t>
                  </w:r>
                  <w:r>
                    <w:rPr>
                      <w:rFonts w:hAnsiTheme="minorEastAsia" w:eastAsiaTheme="minorEastAsia"/>
                      <w:color w:val="000000" w:themeColor="text1"/>
                      <w:szCs w:val="21"/>
                    </w:rPr>
                    <w:t>个</w:t>
                  </w:r>
                  <w:r>
                    <w:rPr>
                      <w:rFonts w:eastAsiaTheme="minorEastAsia"/>
                      <w:color w:val="000000" w:themeColor="text1"/>
                      <w:szCs w:val="21"/>
                    </w:rPr>
                    <w:t>/L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int="eastAsia"/>
                      <w:color w:val="000000" w:themeColor="text1"/>
                      <w:szCs w:val="21"/>
                    </w:rPr>
                    <w:t>1</w:t>
                  </w:r>
                  <w:r>
                    <w:rPr>
                      <w:color w:val="000000" w:themeColor="text1"/>
                      <w:szCs w:val="21"/>
                    </w:rPr>
                    <w:t>0000个/L</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18</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六价铬</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0.004L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color w:val="000000" w:themeColor="text1"/>
                      <w:szCs w:val="21"/>
                    </w:rPr>
                    <w:t>≤</w:t>
                  </w:r>
                  <w:r>
                    <w:rPr>
                      <w:rFonts w:hint="eastAsia"/>
                      <w:color w:val="000000" w:themeColor="text1"/>
                      <w:szCs w:val="21"/>
                    </w:rPr>
                    <w:t>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根据以上监测结果可知，本项目地表水小江水质可达到《地表水环境质量标准》（GB3838-2002）I</w:t>
            </w:r>
            <w:r>
              <w:rPr>
                <w:rFonts w:hint="eastAsia" w:eastAsiaTheme="minorEastAsia"/>
                <w:color w:val="000000" w:themeColor="text1"/>
                <w:szCs w:val="24"/>
              </w:rPr>
              <w:t>II</w:t>
            </w:r>
            <w:r>
              <w:rPr>
                <w:rFonts w:eastAsiaTheme="minorEastAsia"/>
                <w:color w:val="000000" w:themeColor="text1"/>
                <w:szCs w:val="24"/>
              </w:rPr>
              <w:t>类标准。</w:t>
            </w:r>
          </w:p>
          <w:p>
            <w:pPr>
              <w:pStyle w:val="40"/>
              <w:ind w:firstLine="482"/>
              <w:rPr>
                <w:rFonts w:eastAsiaTheme="minorEastAsia"/>
                <w:b/>
                <w:color w:val="000000" w:themeColor="text1"/>
                <w:szCs w:val="24"/>
              </w:rPr>
            </w:pPr>
            <w:r>
              <w:rPr>
                <w:rFonts w:eastAsiaTheme="minorEastAsia"/>
                <w:b/>
                <w:color w:val="000000" w:themeColor="text1"/>
                <w:szCs w:val="24"/>
              </w:rPr>
              <w:t>3.1.</w:t>
            </w:r>
            <w:r>
              <w:rPr>
                <w:rFonts w:hint="eastAsia" w:eastAsiaTheme="minorEastAsia"/>
                <w:b/>
                <w:color w:val="000000" w:themeColor="text1"/>
                <w:szCs w:val="24"/>
              </w:rPr>
              <w:t>3</w:t>
            </w:r>
            <w:r>
              <w:rPr>
                <w:rFonts w:eastAsiaTheme="minorEastAsia"/>
                <w:b/>
                <w:color w:val="000000" w:themeColor="text1"/>
                <w:szCs w:val="24"/>
              </w:rPr>
              <w:t xml:space="preserve"> 声环境质量现状</w:t>
            </w:r>
          </w:p>
          <w:p>
            <w:pPr>
              <w:pStyle w:val="40"/>
              <w:ind w:firstLine="480"/>
              <w:rPr>
                <w:rFonts w:eastAsiaTheme="minorEastAsia"/>
                <w:color w:val="000000" w:themeColor="text1"/>
                <w:szCs w:val="24"/>
              </w:rPr>
            </w:pPr>
            <w:r>
              <w:rPr>
                <w:rFonts w:eastAsiaTheme="minorEastAsia"/>
                <w:color w:val="000000" w:themeColor="text1"/>
                <w:szCs w:val="24"/>
              </w:rPr>
              <w:t>本项目位于昆明市东川区铜都街道办事处绿茂老村，按照《声环境功能区划分技术规范》（GB/T15190-2014）的划分要求，项目区域为</w:t>
            </w:r>
            <w:r>
              <w:rPr>
                <w:rFonts w:hint="eastAsia" w:eastAsiaTheme="minorEastAsia"/>
                <w:color w:val="000000" w:themeColor="text1"/>
                <w:szCs w:val="24"/>
              </w:rPr>
              <w:t>2</w:t>
            </w:r>
            <w:r>
              <w:rPr>
                <w:rFonts w:eastAsiaTheme="minorEastAsia"/>
                <w:color w:val="000000" w:themeColor="text1"/>
                <w:szCs w:val="24"/>
              </w:rPr>
              <w:t>类区。在项目区50m范围内无声环境保护目标；根据《建设项目环境影响报告表编制技术指南》（污染影响类）（试行）的要求，</w:t>
            </w:r>
            <w:r>
              <w:rPr>
                <w:rFonts w:hint="eastAsia" w:eastAsiaTheme="minorEastAsia"/>
                <w:color w:val="000000" w:themeColor="text1"/>
                <w:szCs w:val="24"/>
              </w:rPr>
              <w:t>可不进行声环境质量现状调查，</w:t>
            </w:r>
            <w:r>
              <w:rPr>
                <w:rFonts w:eastAsiaTheme="minorEastAsia"/>
                <w:color w:val="000000" w:themeColor="text1"/>
                <w:szCs w:val="24"/>
              </w:rPr>
              <w:t>根据实际情况，预计项目区域声环境可达到《声环境质量标准》（GB3096-2008）</w:t>
            </w:r>
            <w:r>
              <w:rPr>
                <w:rFonts w:hint="eastAsia" w:eastAsiaTheme="minorEastAsia"/>
                <w:color w:val="000000" w:themeColor="text1"/>
                <w:szCs w:val="24"/>
              </w:rPr>
              <w:t>2</w:t>
            </w:r>
            <w:r>
              <w:rPr>
                <w:rFonts w:eastAsiaTheme="minorEastAsia"/>
                <w:color w:val="000000" w:themeColor="text1"/>
                <w:szCs w:val="24"/>
              </w:rPr>
              <w:t>类区标准。</w:t>
            </w:r>
          </w:p>
          <w:p>
            <w:pPr>
              <w:pStyle w:val="40"/>
              <w:ind w:firstLine="482"/>
              <w:rPr>
                <w:rFonts w:eastAsiaTheme="minorEastAsia"/>
                <w:b/>
                <w:color w:val="000000" w:themeColor="text1"/>
                <w:szCs w:val="24"/>
              </w:rPr>
            </w:pPr>
            <w:bookmarkStart w:id="3" w:name="_Toc248077256"/>
            <w:r>
              <w:rPr>
                <w:rFonts w:eastAsiaTheme="minorEastAsia"/>
                <w:b/>
                <w:color w:val="000000" w:themeColor="text1"/>
                <w:szCs w:val="24"/>
              </w:rPr>
              <w:t>3.1.</w:t>
            </w:r>
            <w:r>
              <w:rPr>
                <w:rFonts w:hint="eastAsia" w:eastAsiaTheme="minorEastAsia"/>
                <w:b/>
                <w:color w:val="000000" w:themeColor="text1"/>
                <w:szCs w:val="24"/>
              </w:rPr>
              <w:t>4</w:t>
            </w:r>
            <w:r>
              <w:rPr>
                <w:rFonts w:eastAsiaTheme="minorEastAsia"/>
                <w:b/>
                <w:color w:val="000000" w:themeColor="text1"/>
                <w:szCs w:val="24"/>
              </w:rPr>
              <w:t xml:space="preserve"> 生态环境质量现状</w:t>
            </w:r>
            <w:bookmarkEnd w:id="3"/>
          </w:p>
          <w:p>
            <w:pPr>
              <w:pStyle w:val="40"/>
              <w:ind w:firstLine="480"/>
              <w:rPr>
                <w:rFonts w:eastAsiaTheme="minorEastAsia"/>
                <w:color w:val="000000" w:themeColor="text1"/>
                <w:szCs w:val="24"/>
              </w:rPr>
            </w:pPr>
            <w:r>
              <w:rPr>
                <w:rFonts w:eastAsiaTheme="minorEastAsia"/>
                <w:color w:val="000000" w:themeColor="text1"/>
                <w:szCs w:val="24"/>
              </w:rPr>
              <w:t>本项目位于昆明市东川区铜都街道办事处绿茂老村，</w:t>
            </w:r>
            <w:r>
              <w:rPr>
                <w:rFonts w:hint="eastAsia" w:eastAsiaTheme="minorEastAsia"/>
                <w:color w:val="000000" w:themeColor="text1"/>
                <w:szCs w:val="24"/>
              </w:rPr>
              <w:t>本项目不在工业园区内，本项目在原有项目厂区范围内进行改扩建，原有项目占地面积23333</w:t>
            </w:r>
            <w:r>
              <w:rPr>
                <w:rFonts w:eastAsiaTheme="minorEastAsia"/>
                <w:color w:val="000000" w:themeColor="text1"/>
                <w:szCs w:val="24"/>
              </w:rPr>
              <w:t>m²</w:t>
            </w:r>
            <w:r>
              <w:rPr>
                <w:rFonts w:hint="eastAsia" w:eastAsiaTheme="minorEastAsia"/>
                <w:color w:val="000000" w:themeColor="text1"/>
                <w:szCs w:val="24"/>
              </w:rPr>
              <w:t>，为满足土地利用总体规划的相关要求，项目占地面积由23333m²缩减至10300m²，不新增占地。</w:t>
            </w:r>
            <w:r>
              <w:rPr>
                <w:rFonts w:eastAsiaTheme="minorEastAsia"/>
                <w:color w:val="000000" w:themeColor="text1"/>
                <w:szCs w:val="24"/>
              </w:rPr>
              <w:t>根据现场调查，厂区范围主要为人工生态系统，随着原有厂区企业多年的生产经营，该区域的天然植被已较少，生物多样性较差，生态环境自身调控能力较低。</w:t>
            </w:r>
            <w:r>
              <w:rPr>
                <w:rFonts w:hint="eastAsia"/>
                <w:color w:val="000000" w:themeColor="text1"/>
              </w:rPr>
              <w:t>评价范围内无国家级和省级保护物种分布，无珍稀濒危物种，无当地特有物种，无古树名木分布。</w:t>
            </w:r>
          </w:p>
          <w:p>
            <w:pPr>
              <w:pStyle w:val="40"/>
              <w:ind w:firstLine="482"/>
              <w:rPr>
                <w:rFonts w:eastAsiaTheme="minorEastAsia"/>
                <w:b/>
                <w:color w:val="000000" w:themeColor="text1"/>
                <w:szCs w:val="24"/>
              </w:rPr>
            </w:pPr>
            <w:r>
              <w:rPr>
                <w:rFonts w:hint="eastAsia" w:eastAsiaTheme="minorEastAsia"/>
                <w:b/>
                <w:color w:val="000000" w:themeColor="text1"/>
                <w:szCs w:val="24"/>
              </w:rPr>
              <w:t>3.1.5 地下水、土壤环境</w:t>
            </w:r>
          </w:p>
          <w:p>
            <w:pPr>
              <w:pStyle w:val="40"/>
              <w:ind w:firstLine="480"/>
              <w:rPr>
                <w:rFonts w:hAnsiTheme="minorEastAsia" w:eastAsiaTheme="minorEastAsia"/>
                <w:color w:val="000000" w:themeColor="text1"/>
                <w:szCs w:val="24"/>
              </w:rPr>
            </w:pPr>
            <w:r>
              <w:rPr>
                <w:rFonts w:hint="eastAsia" w:eastAsiaTheme="minorEastAsia"/>
                <w:color w:val="000000" w:themeColor="text1"/>
                <w:szCs w:val="24"/>
              </w:rPr>
              <w:t>本项目为烧结砖制造项目，基本上不存在地下水环境污染途径，且厂界外500m范围内不涉及集中式饮用水水源和热水、矿泉水、温泉等特殊地下水资源，项目不开展地下水环境质量现状调查。而项目区周围有农田耕地等土壤环境敏感目标，</w:t>
            </w:r>
            <w:r>
              <w:rPr>
                <w:rFonts w:hint="eastAsia" w:hAnsiTheme="minorEastAsia" w:eastAsiaTheme="minorEastAsia"/>
                <w:color w:val="000000" w:themeColor="text1"/>
                <w:szCs w:val="24"/>
              </w:rPr>
              <w:t>因此建设单位委托云南环清环境检测技术有限公司于2021年1月5日对厂区、厂址东北侧140m（项目区下风向旱地）分别进行了了监测，并对土壤理化性质进行了调查，具体监测结果如下。</w:t>
            </w:r>
          </w:p>
          <w:p>
            <w:pPr>
              <w:pStyle w:val="40"/>
              <w:ind w:firstLine="361" w:firstLineChars="150"/>
              <w:rPr>
                <w:rFonts w:hAnsiTheme="minorEastAsia" w:eastAsiaTheme="minorEastAsia"/>
                <w:b/>
                <w:color w:val="000000" w:themeColor="text1"/>
                <w:szCs w:val="24"/>
              </w:rPr>
            </w:pPr>
            <w:r>
              <w:rPr>
                <w:rFonts w:hint="eastAsia" w:hAnsiTheme="minorEastAsia" w:eastAsiaTheme="minorEastAsia"/>
                <w:b/>
                <w:color w:val="000000" w:themeColor="text1"/>
                <w:szCs w:val="24"/>
              </w:rPr>
              <w:t>（1）土壤理化特性</w:t>
            </w:r>
          </w:p>
          <w:p>
            <w:pPr>
              <w:pStyle w:val="40"/>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根据</w:t>
            </w:r>
            <w:r>
              <w:rPr>
                <w:rFonts w:hAnsiTheme="minorEastAsia" w:eastAsiaTheme="minorEastAsia"/>
                <w:color w:val="000000" w:themeColor="text1"/>
                <w:szCs w:val="24"/>
              </w:rPr>
              <w:t>云南圣清环境监测科技有限公司</w:t>
            </w:r>
            <w:r>
              <w:rPr>
                <w:rFonts w:hint="eastAsia" w:hAnsiTheme="minorEastAsia" w:eastAsiaTheme="minorEastAsia"/>
                <w:color w:val="000000" w:themeColor="text1"/>
                <w:szCs w:val="24"/>
              </w:rPr>
              <w:t>出具的土壤理化特性调查表，具体如下表所示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int="eastAsia" w:hAnsi="Times New Roman" w:eastAsia="宋体"/>
                <w:bCs/>
                <w:snapToGrid w:val="0"/>
                <w:color w:val="000000" w:themeColor="text1"/>
                <w:sz w:val="21"/>
                <w:szCs w:val="21"/>
              </w:rPr>
              <w:t>表3.1.5-1 土壤理化特性调查表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3"/>
              <w:gridCol w:w="2706"/>
              <w:gridCol w:w="2445"/>
              <w:gridCol w:w="28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42" w:type="dxa"/>
                  <w:gridSpan w:val="2"/>
                  <w:vMerge w:val="restart"/>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点号</w:t>
                  </w:r>
                </w:p>
              </w:tc>
              <w:tc>
                <w:tcPr>
                  <w:tcW w:w="1861"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厂内</w:t>
                  </w:r>
                </w:p>
              </w:tc>
              <w:tc>
                <w:tcPr>
                  <w:tcW w:w="2147"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厂址东北面</w:t>
                  </w:r>
                  <w:r>
                    <w:rPr>
                      <w:rFonts w:eastAsiaTheme="minorEastAsia"/>
                      <w:color w:val="000000" w:themeColor="text1"/>
                      <w:szCs w:val="21"/>
                    </w:rPr>
                    <w:t>140m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42" w:type="dxa"/>
                  <w:gridSpan w:val="2"/>
                  <w:vMerge w:val="continue"/>
                  <w:vAlign w:val="center"/>
                </w:tcPr>
                <w:p>
                  <w:pPr>
                    <w:pStyle w:val="32"/>
                    <w:spacing w:line="360" w:lineRule="exact"/>
                    <w:rPr>
                      <w:rFonts w:eastAsiaTheme="minorEastAsia"/>
                      <w:color w:val="000000" w:themeColor="text1"/>
                      <w:szCs w:val="21"/>
                    </w:rPr>
                  </w:pPr>
                </w:p>
              </w:tc>
              <w:tc>
                <w:tcPr>
                  <w:tcW w:w="1861"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经度：</w:t>
                  </w:r>
                  <w:r>
                    <w:rPr>
                      <w:rFonts w:eastAsiaTheme="minorEastAsia"/>
                      <w:color w:val="000000" w:themeColor="text1"/>
                      <w:szCs w:val="21"/>
                    </w:rPr>
                    <w:t>103°08'59"</w:t>
                  </w:r>
                  <w:r>
                    <w:rPr>
                      <w:rFonts w:hAnsiTheme="minorEastAsia" w:eastAsiaTheme="minorEastAsia"/>
                      <w:color w:val="000000" w:themeColor="text1"/>
                      <w:szCs w:val="21"/>
                    </w:rPr>
                    <w:t>、纬度</w:t>
                  </w:r>
                  <w:r>
                    <w:rPr>
                      <w:rFonts w:eastAsiaTheme="minorEastAsia"/>
                      <w:color w:val="000000" w:themeColor="text1"/>
                      <w:szCs w:val="21"/>
                    </w:rPr>
                    <w:t>26°10'24"</w:t>
                  </w:r>
                </w:p>
              </w:tc>
              <w:tc>
                <w:tcPr>
                  <w:tcW w:w="2147"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经度：</w:t>
                  </w:r>
                  <w:r>
                    <w:rPr>
                      <w:rFonts w:eastAsiaTheme="minorEastAsia"/>
                      <w:color w:val="000000" w:themeColor="text1"/>
                      <w:szCs w:val="21"/>
                    </w:rPr>
                    <w:t>103°08'59"</w:t>
                  </w:r>
                  <w:r>
                    <w:rPr>
                      <w:rFonts w:hAnsiTheme="minorEastAsia" w:eastAsiaTheme="minorEastAsia"/>
                      <w:color w:val="000000" w:themeColor="text1"/>
                      <w:szCs w:val="21"/>
                    </w:rPr>
                    <w:t>、纬度</w:t>
                  </w:r>
                  <w:r>
                    <w:rPr>
                      <w:rFonts w:eastAsiaTheme="minorEastAsia"/>
                      <w:color w:val="000000" w:themeColor="text1"/>
                      <w:szCs w:val="21"/>
                    </w:rPr>
                    <w:t>26°10'27"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42" w:type="dxa"/>
                  <w:gridSpan w:val="2"/>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时间</w:t>
                  </w:r>
                </w:p>
              </w:tc>
              <w:tc>
                <w:tcPr>
                  <w:tcW w:w="186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2021/01/05</w:t>
                  </w:r>
                </w:p>
              </w:tc>
              <w:tc>
                <w:tcPr>
                  <w:tcW w:w="21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2021/01/05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42" w:type="dxa"/>
                  <w:gridSpan w:val="2"/>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层次</w:t>
                  </w:r>
                </w:p>
              </w:tc>
              <w:tc>
                <w:tcPr>
                  <w:tcW w:w="1861" w:type="dxa"/>
                  <w:tcBorders>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0-20cm</w:t>
                  </w:r>
                </w:p>
              </w:tc>
              <w:tc>
                <w:tcPr>
                  <w:tcW w:w="2147" w:type="dxa"/>
                  <w:tcBorders>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0-20cm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2" w:type="dxa"/>
                  <w:vMerge w:val="restart"/>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现场记录</w:t>
                  </w:r>
                </w:p>
              </w:tc>
              <w:tc>
                <w:tcPr>
                  <w:tcW w:w="2060"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颜色</w:t>
                  </w:r>
                </w:p>
              </w:tc>
              <w:tc>
                <w:tcPr>
                  <w:tcW w:w="1861" w:type="dxa"/>
                  <w:tcBorders>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黄褐色</w:t>
                  </w:r>
                </w:p>
              </w:tc>
              <w:tc>
                <w:tcPr>
                  <w:tcW w:w="2147" w:type="dxa"/>
                  <w:tcBorders>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黄褐色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2" w:type="dxa"/>
                  <w:vMerge w:val="continue"/>
                  <w:vAlign w:val="center"/>
                </w:tcPr>
                <w:p>
                  <w:pPr>
                    <w:pStyle w:val="32"/>
                    <w:spacing w:line="360" w:lineRule="exact"/>
                    <w:rPr>
                      <w:rFonts w:eastAsiaTheme="minorEastAsia"/>
                      <w:color w:val="000000" w:themeColor="text1"/>
                      <w:szCs w:val="21"/>
                    </w:rPr>
                  </w:pPr>
                </w:p>
              </w:tc>
              <w:tc>
                <w:tcPr>
                  <w:tcW w:w="2060"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结构</w:t>
                  </w:r>
                </w:p>
              </w:tc>
              <w:tc>
                <w:tcPr>
                  <w:tcW w:w="1861" w:type="dxa"/>
                  <w:tcBorders>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团粒</w:t>
                  </w:r>
                </w:p>
              </w:tc>
              <w:tc>
                <w:tcPr>
                  <w:tcW w:w="2147" w:type="dxa"/>
                  <w:tcBorders>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团粒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2" w:type="dxa"/>
                  <w:vMerge w:val="continue"/>
                  <w:vAlign w:val="center"/>
                </w:tcPr>
                <w:p>
                  <w:pPr>
                    <w:pStyle w:val="32"/>
                    <w:spacing w:line="360" w:lineRule="exact"/>
                    <w:rPr>
                      <w:rFonts w:eastAsiaTheme="minorEastAsia"/>
                      <w:color w:val="000000" w:themeColor="text1"/>
                      <w:szCs w:val="21"/>
                    </w:rPr>
                  </w:pPr>
                </w:p>
              </w:tc>
              <w:tc>
                <w:tcPr>
                  <w:tcW w:w="2060"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质地</w:t>
                  </w:r>
                </w:p>
              </w:tc>
              <w:tc>
                <w:tcPr>
                  <w:tcW w:w="1861" w:type="dxa"/>
                  <w:tcBorders>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壤土</w:t>
                  </w:r>
                </w:p>
              </w:tc>
              <w:tc>
                <w:tcPr>
                  <w:tcW w:w="2147" w:type="dxa"/>
                  <w:tcBorders>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沙壤土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2" w:type="dxa"/>
                  <w:vMerge w:val="continue"/>
                  <w:vAlign w:val="center"/>
                </w:tcPr>
                <w:p>
                  <w:pPr>
                    <w:pStyle w:val="32"/>
                    <w:spacing w:line="360" w:lineRule="exact"/>
                    <w:rPr>
                      <w:rFonts w:eastAsiaTheme="minorEastAsia"/>
                      <w:color w:val="000000" w:themeColor="text1"/>
                      <w:szCs w:val="21"/>
                    </w:rPr>
                  </w:pPr>
                </w:p>
              </w:tc>
              <w:tc>
                <w:tcPr>
                  <w:tcW w:w="2060"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砂砾含量</w:t>
                  </w:r>
                </w:p>
              </w:tc>
              <w:tc>
                <w:tcPr>
                  <w:tcW w:w="1861" w:type="dxa"/>
                  <w:tcBorders>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少量</w:t>
                  </w:r>
                </w:p>
              </w:tc>
              <w:tc>
                <w:tcPr>
                  <w:tcW w:w="2147" w:type="dxa"/>
                  <w:tcBorders>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少量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2" w:type="dxa"/>
                  <w:vMerge w:val="continue"/>
                  <w:vAlign w:val="center"/>
                </w:tcPr>
                <w:p>
                  <w:pPr>
                    <w:pStyle w:val="32"/>
                    <w:spacing w:line="360" w:lineRule="exact"/>
                    <w:rPr>
                      <w:rFonts w:eastAsiaTheme="minorEastAsia"/>
                      <w:color w:val="000000" w:themeColor="text1"/>
                      <w:szCs w:val="21"/>
                    </w:rPr>
                  </w:pPr>
                </w:p>
              </w:tc>
              <w:tc>
                <w:tcPr>
                  <w:tcW w:w="2060"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其他异物</w:t>
                  </w:r>
                </w:p>
              </w:tc>
              <w:tc>
                <w:tcPr>
                  <w:tcW w:w="1861" w:type="dxa"/>
                  <w:tcBorders>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杂草</w:t>
                  </w:r>
                </w:p>
              </w:tc>
              <w:tc>
                <w:tcPr>
                  <w:tcW w:w="2147" w:type="dxa"/>
                  <w:tcBorders>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杂草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2" w:type="dxa"/>
                  <w:vMerge w:val="restart"/>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实验室测定</w:t>
                  </w:r>
                </w:p>
              </w:tc>
              <w:tc>
                <w:tcPr>
                  <w:tcW w:w="20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r>
                    <w:rPr>
                      <w:rFonts w:hAnsiTheme="minorEastAsia" w:eastAsiaTheme="minorEastAsia"/>
                      <w:color w:val="000000" w:themeColor="text1"/>
                      <w:szCs w:val="21"/>
                    </w:rPr>
                    <w:t>值</w:t>
                  </w:r>
                </w:p>
              </w:tc>
              <w:tc>
                <w:tcPr>
                  <w:tcW w:w="1861" w:type="dxa"/>
                  <w:tcBorders>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6.36</w:t>
                  </w:r>
                </w:p>
              </w:tc>
              <w:tc>
                <w:tcPr>
                  <w:tcW w:w="2147" w:type="dxa"/>
                  <w:tcBorders>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7.01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2" w:type="dxa"/>
                  <w:vMerge w:val="continue"/>
                  <w:vAlign w:val="center"/>
                </w:tcPr>
                <w:p>
                  <w:pPr>
                    <w:pStyle w:val="32"/>
                    <w:spacing w:line="360" w:lineRule="exact"/>
                    <w:rPr>
                      <w:rFonts w:eastAsiaTheme="minorEastAsia"/>
                      <w:color w:val="000000" w:themeColor="text1"/>
                      <w:szCs w:val="21"/>
                    </w:rPr>
                  </w:pPr>
                </w:p>
              </w:tc>
              <w:tc>
                <w:tcPr>
                  <w:tcW w:w="2060"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阳离子交换量</w:t>
                  </w:r>
                </w:p>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kern w:val="0"/>
                      <w:szCs w:val="21"/>
                    </w:rPr>
                    <w:t>cmol/kg</w:t>
                  </w:r>
                  <w:r>
                    <w:rPr>
                      <w:rFonts w:hAnsiTheme="minorEastAsia" w:eastAsiaTheme="minorEastAsia"/>
                      <w:color w:val="000000" w:themeColor="text1"/>
                      <w:kern w:val="0"/>
                      <w:szCs w:val="21"/>
                    </w:rPr>
                    <w:t>（</w:t>
                  </w:r>
                  <w:r>
                    <w:rPr>
                      <w:rFonts w:eastAsiaTheme="minorEastAsia"/>
                      <w:color w:val="000000" w:themeColor="text1"/>
                      <w:kern w:val="0"/>
                      <w:szCs w:val="21"/>
                    </w:rPr>
                    <w:t>+</w:t>
                  </w:r>
                  <w:r>
                    <w:rPr>
                      <w:rFonts w:hAnsiTheme="minorEastAsia" w:eastAsiaTheme="minorEastAsia"/>
                      <w:color w:val="000000" w:themeColor="text1"/>
                      <w:kern w:val="0"/>
                      <w:szCs w:val="21"/>
                    </w:rPr>
                    <w:t>）</w:t>
                  </w:r>
                  <w:r>
                    <w:rPr>
                      <w:rFonts w:eastAsiaTheme="minorEastAsia"/>
                      <w:color w:val="000000" w:themeColor="text1"/>
                      <w:kern w:val="0"/>
                      <w:szCs w:val="21"/>
                    </w:rPr>
                    <w:t>/kg</w:t>
                  </w:r>
                  <w:r>
                    <w:rPr>
                      <w:rFonts w:hAnsiTheme="minorEastAsia" w:eastAsiaTheme="minorEastAsia"/>
                      <w:color w:val="000000" w:themeColor="text1"/>
                      <w:szCs w:val="21"/>
                    </w:rPr>
                    <w:t>）</w:t>
                  </w:r>
                </w:p>
              </w:tc>
              <w:tc>
                <w:tcPr>
                  <w:tcW w:w="1861" w:type="dxa"/>
                  <w:tcBorders>
                    <w:right w:val="single" w:color="auto" w:sz="4" w:space="0"/>
                  </w:tcBorders>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13.5</w:t>
                  </w:r>
                </w:p>
              </w:tc>
              <w:tc>
                <w:tcPr>
                  <w:tcW w:w="2147" w:type="dxa"/>
                  <w:tcBorders>
                    <w:right w:val="single" w:color="auto" w:sz="4" w:space="0"/>
                  </w:tcBorders>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2" w:type="dxa"/>
                  <w:vMerge w:val="continue"/>
                  <w:vAlign w:val="center"/>
                </w:tcPr>
                <w:p>
                  <w:pPr>
                    <w:pStyle w:val="32"/>
                    <w:spacing w:line="360" w:lineRule="exact"/>
                    <w:rPr>
                      <w:rFonts w:eastAsiaTheme="minorEastAsia"/>
                      <w:color w:val="000000" w:themeColor="text1"/>
                      <w:szCs w:val="21"/>
                    </w:rPr>
                  </w:pPr>
                </w:p>
              </w:tc>
              <w:tc>
                <w:tcPr>
                  <w:tcW w:w="2060"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氧化还原电位（</w:t>
                  </w:r>
                  <w:r>
                    <w:rPr>
                      <w:rFonts w:eastAsiaTheme="minorEastAsia"/>
                      <w:color w:val="000000" w:themeColor="text1"/>
                      <w:szCs w:val="21"/>
                    </w:rPr>
                    <w:t>mV</w:t>
                  </w:r>
                  <w:r>
                    <w:rPr>
                      <w:rFonts w:hAnsiTheme="minorEastAsia" w:eastAsiaTheme="minorEastAsia"/>
                      <w:color w:val="000000" w:themeColor="text1"/>
                      <w:szCs w:val="21"/>
                    </w:rPr>
                    <w:t>）</w:t>
                  </w:r>
                </w:p>
              </w:tc>
              <w:tc>
                <w:tcPr>
                  <w:tcW w:w="1861" w:type="dxa"/>
                  <w:tcBorders>
                    <w:right w:val="single" w:color="auto" w:sz="4" w:space="0"/>
                  </w:tcBorders>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425.9</w:t>
                  </w:r>
                </w:p>
              </w:tc>
              <w:tc>
                <w:tcPr>
                  <w:tcW w:w="2147" w:type="dxa"/>
                  <w:tcBorders>
                    <w:right w:val="single" w:color="auto" w:sz="4" w:space="0"/>
                  </w:tcBorders>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451.0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2" w:type="dxa"/>
                  <w:vMerge w:val="continue"/>
                  <w:vAlign w:val="center"/>
                </w:tcPr>
                <w:p>
                  <w:pPr>
                    <w:pStyle w:val="32"/>
                    <w:spacing w:line="360" w:lineRule="exact"/>
                    <w:rPr>
                      <w:rFonts w:eastAsiaTheme="minorEastAsia"/>
                      <w:color w:val="000000" w:themeColor="text1"/>
                      <w:szCs w:val="21"/>
                    </w:rPr>
                  </w:pPr>
                </w:p>
              </w:tc>
              <w:tc>
                <w:tcPr>
                  <w:tcW w:w="2060"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饱和导水率（</w:t>
                  </w:r>
                  <w:r>
                    <w:rPr>
                      <w:rFonts w:eastAsiaTheme="minorEastAsia"/>
                      <w:color w:val="000000" w:themeColor="text1"/>
                      <w:kern w:val="0"/>
                      <w:szCs w:val="21"/>
                    </w:rPr>
                    <w:t>cm/s</w:t>
                  </w:r>
                  <w:r>
                    <w:rPr>
                      <w:rFonts w:hAnsiTheme="minorEastAsia" w:eastAsiaTheme="minorEastAsia"/>
                      <w:color w:val="000000" w:themeColor="text1"/>
                      <w:szCs w:val="21"/>
                    </w:rPr>
                    <w:t>）</w:t>
                  </w:r>
                </w:p>
              </w:tc>
              <w:tc>
                <w:tcPr>
                  <w:tcW w:w="1861" w:type="dxa"/>
                  <w:tcBorders>
                    <w:right w:val="single" w:color="auto" w:sz="4" w:space="0"/>
                  </w:tcBorders>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2.3084</w:t>
                  </w:r>
                </w:p>
              </w:tc>
              <w:tc>
                <w:tcPr>
                  <w:tcW w:w="2147" w:type="dxa"/>
                  <w:tcBorders>
                    <w:right w:val="single" w:color="auto" w:sz="4" w:space="0"/>
                  </w:tcBorders>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2.0135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482" w:type="dxa"/>
                  <w:vMerge w:val="continue"/>
                  <w:vAlign w:val="center"/>
                </w:tcPr>
                <w:p>
                  <w:pPr>
                    <w:pStyle w:val="32"/>
                    <w:spacing w:line="360" w:lineRule="exact"/>
                    <w:rPr>
                      <w:rFonts w:eastAsiaTheme="minorEastAsia"/>
                      <w:color w:val="000000" w:themeColor="text1"/>
                      <w:szCs w:val="21"/>
                    </w:rPr>
                  </w:pPr>
                </w:p>
              </w:tc>
              <w:tc>
                <w:tcPr>
                  <w:tcW w:w="2060"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土壤容重（</w:t>
                  </w:r>
                  <w:r>
                    <w:rPr>
                      <w:rFonts w:eastAsiaTheme="minorEastAsia"/>
                      <w:color w:val="000000" w:themeColor="text1"/>
                      <w:szCs w:val="21"/>
                    </w:rPr>
                    <w:t>kg/m³</w:t>
                  </w:r>
                  <w:r>
                    <w:rPr>
                      <w:rFonts w:hAnsiTheme="minorEastAsia" w:eastAsiaTheme="minorEastAsia"/>
                      <w:color w:val="000000" w:themeColor="text1"/>
                      <w:szCs w:val="21"/>
                    </w:rPr>
                    <w:t>）</w:t>
                  </w:r>
                </w:p>
              </w:tc>
              <w:tc>
                <w:tcPr>
                  <w:tcW w:w="1861" w:type="dxa"/>
                  <w:tcBorders>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1219</w:t>
                  </w:r>
                </w:p>
              </w:tc>
              <w:tc>
                <w:tcPr>
                  <w:tcW w:w="2147" w:type="dxa"/>
                  <w:tcBorders>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1172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2" w:type="dxa"/>
                  <w:vMerge w:val="continue"/>
                  <w:vAlign w:val="center"/>
                </w:tcPr>
                <w:p>
                  <w:pPr>
                    <w:pStyle w:val="32"/>
                    <w:spacing w:line="360" w:lineRule="exact"/>
                    <w:rPr>
                      <w:rFonts w:eastAsiaTheme="minorEastAsia"/>
                      <w:color w:val="000000" w:themeColor="text1"/>
                      <w:szCs w:val="21"/>
                    </w:rPr>
                  </w:pPr>
                </w:p>
              </w:tc>
              <w:tc>
                <w:tcPr>
                  <w:tcW w:w="2060"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孔隙度（</w:t>
                  </w:r>
                  <w:r>
                    <w:rPr>
                      <w:rFonts w:eastAsiaTheme="minorEastAsia"/>
                      <w:color w:val="000000" w:themeColor="text1"/>
                      <w:kern w:val="0"/>
                      <w:szCs w:val="21"/>
                    </w:rPr>
                    <w:t>%</w:t>
                  </w:r>
                  <w:r>
                    <w:rPr>
                      <w:rFonts w:hAnsiTheme="minorEastAsia" w:eastAsiaTheme="minorEastAsia"/>
                      <w:color w:val="000000" w:themeColor="text1"/>
                      <w:szCs w:val="21"/>
                    </w:rPr>
                    <w:t>）</w:t>
                  </w:r>
                </w:p>
              </w:tc>
              <w:tc>
                <w:tcPr>
                  <w:tcW w:w="1861" w:type="dxa"/>
                  <w:tcBorders>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54.0</w:t>
                  </w:r>
                </w:p>
              </w:tc>
              <w:tc>
                <w:tcPr>
                  <w:tcW w:w="2147" w:type="dxa"/>
                  <w:tcBorders>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55.8</w:t>
                  </w:r>
                </w:p>
              </w:tc>
            </w:tr>
          </w:tbl>
          <w:p>
            <w:pPr>
              <w:pStyle w:val="40"/>
              <w:spacing w:beforeLines="50"/>
              <w:ind w:firstLine="361" w:firstLineChars="150"/>
              <w:rPr>
                <w:rFonts w:hAnsiTheme="minorEastAsia" w:eastAsiaTheme="minorEastAsia"/>
                <w:b/>
                <w:color w:val="000000" w:themeColor="text1"/>
                <w:szCs w:val="24"/>
              </w:rPr>
            </w:pPr>
            <w:r>
              <w:rPr>
                <w:rFonts w:hAnsiTheme="minorEastAsia" w:eastAsiaTheme="minorEastAsia"/>
                <w:b/>
                <w:color w:val="000000" w:themeColor="text1"/>
                <w:szCs w:val="24"/>
              </w:rPr>
              <w:t>（</w:t>
            </w:r>
            <w:r>
              <w:rPr>
                <w:rFonts w:hint="eastAsia" w:hAnsiTheme="minorEastAsia" w:eastAsiaTheme="minorEastAsia"/>
                <w:b/>
                <w:color w:val="000000" w:themeColor="text1"/>
                <w:szCs w:val="24"/>
              </w:rPr>
              <w:t>3</w:t>
            </w:r>
            <w:r>
              <w:rPr>
                <w:rFonts w:hAnsiTheme="minorEastAsia" w:eastAsiaTheme="minorEastAsia"/>
                <w:b/>
                <w:color w:val="000000" w:themeColor="text1"/>
                <w:szCs w:val="24"/>
              </w:rPr>
              <w:t>）</w:t>
            </w:r>
            <w:r>
              <w:rPr>
                <w:rFonts w:hint="eastAsia" w:hAnsiTheme="minorEastAsia" w:eastAsiaTheme="minorEastAsia"/>
                <w:b/>
                <w:color w:val="000000" w:themeColor="text1"/>
                <w:szCs w:val="24"/>
              </w:rPr>
              <w:t>土壤监测</w:t>
            </w:r>
            <w:r>
              <w:rPr>
                <w:rFonts w:hAnsiTheme="minorEastAsia" w:eastAsiaTheme="minorEastAsia"/>
                <w:b/>
                <w:color w:val="000000" w:themeColor="text1"/>
                <w:szCs w:val="24"/>
              </w:rPr>
              <w:t>结果</w:t>
            </w:r>
          </w:p>
          <w:p>
            <w:pPr>
              <w:pStyle w:val="40"/>
              <w:ind w:firstLine="482"/>
              <w:rPr>
                <w:rFonts w:hAnsiTheme="minorEastAsia" w:eastAsiaTheme="minorEastAsia"/>
                <w:b/>
                <w:color w:val="000000" w:themeColor="text1"/>
                <w:szCs w:val="24"/>
              </w:rPr>
            </w:pPr>
            <w:r>
              <w:rPr>
                <w:rFonts w:hint="eastAsia" w:hAnsiTheme="minorEastAsia" w:eastAsiaTheme="minorEastAsia"/>
                <w:b/>
                <w:color w:val="000000" w:themeColor="text1"/>
                <w:szCs w:val="24"/>
              </w:rPr>
              <w:t>①厂内</w:t>
            </w:r>
            <w:r>
              <w:rPr>
                <w:rFonts w:hAnsiTheme="minorEastAsia" w:eastAsiaTheme="minorEastAsia"/>
                <w:b/>
                <w:color w:val="000000" w:themeColor="text1"/>
                <w:szCs w:val="24"/>
              </w:rPr>
              <w:t>土壤</w:t>
            </w:r>
            <w:r>
              <w:rPr>
                <w:rFonts w:hint="eastAsia" w:hAnsiTheme="minorEastAsia" w:eastAsiaTheme="minorEastAsia"/>
                <w:b/>
                <w:color w:val="000000" w:themeColor="text1"/>
                <w:szCs w:val="24"/>
              </w:rPr>
              <w:t>监测结果</w:t>
            </w:r>
          </w:p>
          <w:p>
            <w:pPr>
              <w:pStyle w:val="40"/>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厂内</w:t>
            </w:r>
            <w:r>
              <w:rPr>
                <w:rFonts w:hAnsiTheme="minorEastAsia" w:eastAsiaTheme="minorEastAsia"/>
                <w:color w:val="000000" w:themeColor="text1"/>
                <w:szCs w:val="24"/>
              </w:rPr>
              <w:t>土壤监测结果见下表。</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表3.5-</w:t>
            </w:r>
            <w:r>
              <w:rPr>
                <w:rFonts w:hint="eastAsia" w:hAnsi="Times New Roman" w:eastAsia="宋体"/>
                <w:bCs/>
                <w:snapToGrid w:val="0"/>
                <w:color w:val="000000" w:themeColor="text1"/>
                <w:sz w:val="21"/>
                <w:szCs w:val="21"/>
              </w:rPr>
              <w:t>3</w:t>
            </w:r>
            <w:r>
              <w:rPr>
                <w:rFonts w:hAnsi="Times New Roman" w:eastAsia="宋体"/>
                <w:bCs/>
                <w:snapToGrid w:val="0"/>
                <w:color w:val="000000" w:themeColor="text1"/>
                <w:sz w:val="21"/>
                <w:szCs w:val="21"/>
              </w:rPr>
              <w:t xml:space="preserve">  </w:t>
            </w:r>
            <w:r>
              <w:rPr>
                <w:rFonts w:hint="eastAsia" w:hAnsi="Times New Roman" w:eastAsia="宋体"/>
                <w:bCs/>
                <w:snapToGrid w:val="0"/>
                <w:color w:val="000000" w:themeColor="text1"/>
                <w:sz w:val="21"/>
                <w:szCs w:val="21"/>
              </w:rPr>
              <w:t>厂内</w:t>
            </w:r>
            <w:r>
              <w:rPr>
                <w:rFonts w:hAnsi="Times New Roman" w:eastAsia="宋体"/>
                <w:bCs/>
                <w:snapToGrid w:val="0"/>
                <w:color w:val="000000" w:themeColor="text1"/>
                <w:sz w:val="21"/>
                <w:szCs w:val="21"/>
              </w:rPr>
              <w:t>土壤监测结果表 单位：mg/kg</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134"/>
              <w:gridCol w:w="3008"/>
              <w:gridCol w:w="2542"/>
              <w:gridCol w:w="19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05" w:hRule="atLeast"/>
                <w:jc w:val="center"/>
              </w:trPr>
              <w:tc>
                <w:tcPr>
                  <w:tcW w:w="894" w:type="dxa"/>
                  <w:vMerge w:val="restart"/>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序号</w:t>
                  </w:r>
                </w:p>
              </w:tc>
              <w:tc>
                <w:tcPr>
                  <w:tcW w:w="2371" w:type="dxa"/>
                  <w:vMerge w:val="restart"/>
                  <w:tcBorders>
                    <w:tl2br w:val="single" w:color="auto" w:sz="4" w:space="0"/>
                  </w:tcBorders>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检测值</w:t>
                  </w:r>
                </w:p>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分析指标</w:t>
                  </w:r>
                </w:p>
              </w:tc>
              <w:tc>
                <w:tcPr>
                  <w:tcW w:w="2004" w:type="dxa"/>
                  <w:vMerge w:val="restart"/>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厂内</w:t>
                  </w:r>
                </w:p>
              </w:tc>
              <w:tc>
                <w:tcPr>
                  <w:tcW w:w="1514" w:type="dxa"/>
                  <w:tcBorders>
                    <w:right w:val="single" w:color="auto" w:sz="4" w:space="0"/>
                  </w:tcBorders>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第二类用地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01" w:hRule="atLeast"/>
                <w:jc w:val="center"/>
              </w:trPr>
              <w:tc>
                <w:tcPr>
                  <w:tcW w:w="894" w:type="dxa"/>
                  <w:vMerge w:val="continue"/>
                  <w:vAlign w:val="center"/>
                </w:tcPr>
                <w:p>
                  <w:pPr>
                    <w:pStyle w:val="32"/>
                    <w:spacing w:line="360" w:lineRule="exact"/>
                    <w:rPr>
                      <w:rFonts w:hAnsiTheme="minorEastAsia" w:eastAsiaTheme="minorEastAsia"/>
                      <w:color w:val="000000" w:themeColor="text1"/>
                      <w:szCs w:val="21"/>
                    </w:rPr>
                  </w:pPr>
                </w:p>
              </w:tc>
              <w:tc>
                <w:tcPr>
                  <w:tcW w:w="2371" w:type="dxa"/>
                  <w:vMerge w:val="continue"/>
                  <w:tcBorders>
                    <w:tl2br w:val="single" w:color="auto" w:sz="4" w:space="0"/>
                  </w:tcBorders>
                  <w:vAlign w:val="center"/>
                </w:tcPr>
                <w:p>
                  <w:pPr>
                    <w:pStyle w:val="32"/>
                    <w:spacing w:line="360" w:lineRule="exact"/>
                    <w:rPr>
                      <w:rFonts w:hAnsiTheme="minorEastAsia" w:eastAsiaTheme="minorEastAsia"/>
                      <w:color w:val="000000" w:themeColor="text1"/>
                      <w:szCs w:val="21"/>
                    </w:rPr>
                  </w:pPr>
                </w:p>
              </w:tc>
              <w:tc>
                <w:tcPr>
                  <w:tcW w:w="2004" w:type="dxa"/>
                  <w:vMerge w:val="continue"/>
                  <w:vAlign w:val="center"/>
                </w:tcPr>
                <w:p>
                  <w:pPr>
                    <w:pStyle w:val="32"/>
                    <w:spacing w:line="360" w:lineRule="exact"/>
                    <w:rPr>
                      <w:rFonts w:hAnsiTheme="minorEastAsia" w:eastAsiaTheme="minorEastAsia"/>
                      <w:color w:val="000000" w:themeColor="text1"/>
                      <w:szCs w:val="21"/>
                    </w:rPr>
                  </w:pP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筛选值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砷</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18.6</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镉</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3.90</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六价铬</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4</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铜</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36</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18000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5</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铅</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49.4</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6</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汞</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0.464</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7</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镍</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38</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8</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四氯化碳</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9</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氯仿</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10</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氯甲烷</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11</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1,1-二氯乙烷</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12</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1,2-二氯乙烷</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13</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1,1-二氯乙烯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14</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顺-1,2-二氯乙烯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596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15</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反-1,2-二氯乙烯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16</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二氯甲烷</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616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17</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1,2-二氯丙烷</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18</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1,1,1,2四氯乙烷</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19</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1,1,2,2-四氯乙烷</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20</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四氯乙烯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21</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1,1,1-三氯乙烷</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840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22</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1,1,2-三氯乙烷</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23</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三氯乙烯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24</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1,2,3-三氯丙烷</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25</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氯乙烯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26</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27</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氯苯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28</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1,2-二氯苯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560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29</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1,4-二氯苯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30</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乙苯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31</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苯乙烯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1290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32</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甲苯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1290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33</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间二甲苯+对二甲苯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570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34</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邻二甲苯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640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35</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硝基苯</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36</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苯胺</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37</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2-氯酚</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2256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38</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苯并（a）蒽</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39</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苯并（a）芘</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40</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苯并（b）荧蒽</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41</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苯并（k）荧蒽</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42</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䓛</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1293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43</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二苯并[a，h] 蒽</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44</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茚并[1,2,3-cd]芘</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45</w:t>
                  </w:r>
                </w:p>
              </w:tc>
              <w:tc>
                <w:tcPr>
                  <w:tcW w:w="237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萘</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151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894"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4</w:t>
                  </w:r>
                  <w:r>
                    <w:rPr>
                      <w:rFonts w:hint="eastAsia" w:hAnsiTheme="minorEastAsia" w:eastAsiaTheme="minorEastAsia"/>
                      <w:color w:val="000000" w:themeColor="text1"/>
                      <w:szCs w:val="21"/>
                    </w:rPr>
                    <w:t>6</w:t>
                  </w:r>
                </w:p>
              </w:tc>
              <w:tc>
                <w:tcPr>
                  <w:tcW w:w="2371"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氟化物</w:t>
                  </w:r>
                </w:p>
              </w:tc>
              <w:tc>
                <w:tcPr>
                  <w:tcW w:w="200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454</w:t>
                  </w:r>
                </w:p>
              </w:tc>
              <w:tc>
                <w:tcPr>
                  <w:tcW w:w="151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从监测结果看，项目区范围内表层土壤的基本因子</w:t>
            </w:r>
            <w:r>
              <w:rPr>
                <w:rFonts w:hint="eastAsia" w:eastAsiaTheme="minorEastAsia"/>
                <w:color w:val="000000" w:themeColor="text1"/>
                <w:szCs w:val="24"/>
              </w:rPr>
              <w:t>均低于</w:t>
            </w:r>
            <w:r>
              <w:rPr>
                <w:rFonts w:eastAsiaTheme="minorEastAsia"/>
                <w:color w:val="000000" w:themeColor="text1"/>
                <w:szCs w:val="24"/>
              </w:rPr>
              <w:t>《土壤环境质量 建设用地土壤污染风险管控标准（试行）》（GB36600-2018）第二类用地的筛选值标准。</w:t>
            </w:r>
          </w:p>
          <w:p>
            <w:pPr>
              <w:pStyle w:val="40"/>
              <w:ind w:firstLine="482"/>
              <w:rPr>
                <w:rFonts w:hAnsiTheme="minorEastAsia" w:eastAsiaTheme="minorEastAsia"/>
                <w:b/>
                <w:color w:val="000000" w:themeColor="text1"/>
                <w:szCs w:val="24"/>
              </w:rPr>
            </w:pPr>
            <w:r>
              <w:rPr>
                <w:rFonts w:hint="eastAsia" w:hAnsiTheme="minorEastAsia" w:eastAsiaTheme="minorEastAsia"/>
                <w:b/>
                <w:color w:val="000000" w:themeColor="text1"/>
                <w:szCs w:val="24"/>
              </w:rPr>
              <w:t>②厂址东北侧140m（项目区下风向旱地）监测结果</w:t>
            </w:r>
          </w:p>
          <w:p>
            <w:pPr>
              <w:pStyle w:val="40"/>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厂址东北侧140m（项目区下风向旱地）</w:t>
            </w:r>
            <w:r>
              <w:rPr>
                <w:rFonts w:hAnsiTheme="minorEastAsia" w:eastAsiaTheme="minorEastAsia"/>
                <w:color w:val="000000" w:themeColor="text1"/>
                <w:szCs w:val="24"/>
              </w:rPr>
              <w:t>土壤监测结果见下表。</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表3.5-</w:t>
            </w:r>
            <w:r>
              <w:rPr>
                <w:rFonts w:hint="eastAsia" w:hAnsi="Times New Roman" w:eastAsia="宋体"/>
                <w:bCs/>
                <w:snapToGrid w:val="0"/>
                <w:color w:val="000000" w:themeColor="text1"/>
                <w:sz w:val="21"/>
                <w:szCs w:val="21"/>
              </w:rPr>
              <w:t>3</w:t>
            </w:r>
            <w:r>
              <w:rPr>
                <w:rFonts w:hAnsi="Times New Roman" w:eastAsia="宋体"/>
                <w:bCs/>
                <w:snapToGrid w:val="0"/>
                <w:color w:val="000000" w:themeColor="text1"/>
                <w:sz w:val="21"/>
                <w:szCs w:val="21"/>
              </w:rPr>
              <w:t xml:space="preserve">  </w:t>
            </w:r>
            <w:r>
              <w:rPr>
                <w:rFonts w:hint="eastAsia" w:hAnsi="Times New Roman" w:eastAsia="宋体"/>
                <w:bCs/>
                <w:snapToGrid w:val="0"/>
                <w:color w:val="000000" w:themeColor="text1"/>
                <w:sz w:val="21"/>
                <w:szCs w:val="21"/>
              </w:rPr>
              <w:t>厂址东北侧140m（项目区下风向旱地）</w:t>
            </w:r>
            <w:r>
              <w:rPr>
                <w:rFonts w:hAnsi="Times New Roman" w:eastAsia="宋体"/>
                <w:bCs/>
                <w:snapToGrid w:val="0"/>
                <w:color w:val="000000" w:themeColor="text1"/>
                <w:sz w:val="21"/>
                <w:szCs w:val="21"/>
              </w:rPr>
              <w:t>土壤监测结果表 单位：mg/kg</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165"/>
              <w:gridCol w:w="2688"/>
              <w:gridCol w:w="2268"/>
              <w:gridCol w:w="24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405" w:hRule="atLeast"/>
                <w:jc w:val="center"/>
              </w:trPr>
              <w:tc>
                <w:tcPr>
                  <w:tcW w:w="1165" w:type="dxa"/>
                  <w:vMerge w:val="restart"/>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序号</w:t>
                  </w:r>
                </w:p>
              </w:tc>
              <w:tc>
                <w:tcPr>
                  <w:tcW w:w="2688" w:type="dxa"/>
                  <w:vMerge w:val="restart"/>
                  <w:tcBorders>
                    <w:tl2br w:val="single" w:color="auto" w:sz="4" w:space="0"/>
                  </w:tcBorders>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检测值</w:t>
                  </w:r>
                </w:p>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分析指标</w:t>
                  </w:r>
                </w:p>
              </w:tc>
              <w:tc>
                <w:tcPr>
                  <w:tcW w:w="2268" w:type="dxa"/>
                  <w:vMerge w:val="restart"/>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厂址东北面140m（项目区下风向旱地）</w:t>
                  </w:r>
                </w:p>
              </w:tc>
              <w:tc>
                <w:tcPr>
                  <w:tcW w:w="2484" w:type="dxa"/>
                  <w:tcBorders>
                    <w:right w:val="single" w:color="auto" w:sz="4" w:space="0"/>
                  </w:tcBorders>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风险筛选值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4" w:hRule="atLeast"/>
                <w:jc w:val="center"/>
              </w:trPr>
              <w:tc>
                <w:tcPr>
                  <w:tcW w:w="1165" w:type="dxa"/>
                  <w:vMerge w:val="continue"/>
                  <w:vAlign w:val="center"/>
                </w:tcPr>
                <w:p>
                  <w:pPr>
                    <w:pStyle w:val="32"/>
                    <w:spacing w:line="360" w:lineRule="exact"/>
                    <w:rPr>
                      <w:rFonts w:hAnsiTheme="minorEastAsia" w:eastAsiaTheme="minorEastAsia"/>
                      <w:color w:val="000000" w:themeColor="text1"/>
                      <w:szCs w:val="21"/>
                    </w:rPr>
                  </w:pPr>
                </w:p>
              </w:tc>
              <w:tc>
                <w:tcPr>
                  <w:tcW w:w="2688" w:type="dxa"/>
                  <w:vMerge w:val="continue"/>
                  <w:tcBorders>
                    <w:tl2br w:val="single" w:color="auto" w:sz="4" w:space="0"/>
                  </w:tcBorders>
                  <w:vAlign w:val="center"/>
                </w:tcPr>
                <w:p>
                  <w:pPr>
                    <w:pStyle w:val="32"/>
                    <w:spacing w:line="360" w:lineRule="exact"/>
                    <w:rPr>
                      <w:rFonts w:hAnsiTheme="minorEastAsia" w:eastAsiaTheme="minorEastAsia"/>
                      <w:color w:val="000000" w:themeColor="text1"/>
                      <w:szCs w:val="21"/>
                    </w:rPr>
                  </w:pPr>
                </w:p>
              </w:tc>
              <w:tc>
                <w:tcPr>
                  <w:tcW w:w="2268" w:type="dxa"/>
                  <w:vMerge w:val="continue"/>
                  <w:vAlign w:val="center"/>
                </w:tcPr>
                <w:p>
                  <w:pPr>
                    <w:pStyle w:val="32"/>
                    <w:spacing w:line="360" w:lineRule="exact"/>
                    <w:rPr>
                      <w:rFonts w:hAnsiTheme="minorEastAsia" w:eastAsiaTheme="minorEastAsia"/>
                      <w:color w:val="000000" w:themeColor="text1"/>
                      <w:szCs w:val="21"/>
                    </w:rPr>
                  </w:pPr>
                </w:p>
              </w:tc>
              <w:tc>
                <w:tcPr>
                  <w:tcW w:w="248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6.5＜pH≤7.5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16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w:t>
                  </w:r>
                </w:p>
              </w:tc>
              <w:tc>
                <w:tcPr>
                  <w:tcW w:w="2688"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砷</w:t>
                  </w:r>
                </w:p>
              </w:tc>
              <w:tc>
                <w:tcPr>
                  <w:tcW w:w="2268"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36.1</w:t>
                  </w:r>
                </w:p>
              </w:tc>
              <w:tc>
                <w:tcPr>
                  <w:tcW w:w="248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16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w:t>
                  </w:r>
                </w:p>
              </w:tc>
              <w:tc>
                <w:tcPr>
                  <w:tcW w:w="2688"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镉</w:t>
                  </w:r>
                </w:p>
              </w:tc>
              <w:tc>
                <w:tcPr>
                  <w:tcW w:w="2268"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1.60</w:t>
                  </w:r>
                </w:p>
              </w:tc>
              <w:tc>
                <w:tcPr>
                  <w:tcW w:w="248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16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w:t>
                  </w:r>
                </w:p>
              </w:tc>
              <w:tc>
                <w:tcPr>
                  <w:tcW w:w="2688"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六价铬</w:t>
                  </w:r>
                </w:p>
              </w:tc>
              <w:tc>
                <w:tcPr>
                  <w:tcW w:w="2268"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未检出</w:t>
                  </w:r>
                </w:p>
              </w:tc>
              <w:tc>
                <w:tcPr>
                  <w:tcW w:w="248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16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4</w:t>
                  </w:r>
                </w:p>
              </w:tc>
              <w:tc>
                <w:tcPr>
                  <w:tcW w:w="2688"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铜</w:t>
                  </w:r>
                </w:p>
              </w:tc>
              <w:tc>
                <w:tcPr>
                  <w:tcW w:w="2268"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35</w:t>
                  </w:r>
                </w:p>
              </w:tc>
              <w:tc>
                <w:tcPr>
                  <w:tcW w:w="248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16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5</w:t>
                  </w:r>
                </w:p>
              </w:tc>
              <w:tc>
                <w:tcPr>
                  <w:tcW w:w="2688"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铅</w:t>
                  </w:r>
                </w:p>
              </w:tc>
              <w:tc>
                <w:tcPr>
                  <w:tcW w:w="2268"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55.0</w:t>
                  </w:r>
                </w:p>
              </w:tc>
              <w:tc>
                <w:tcPr>
                  <w:tcW w:w="248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16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6</w:t>
                  </w:r>
                </w:p>
              </w:tc>
              <w:tc>
                <w:tcPr>
                  <w:tcW w:w="2688"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汞</w:t>
                  </w:r>
                </w:p>
              </w:tc>
              <w:tc>
                <w:tcPr>
                  <w:tcW w:w="2268"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0.742</w:t>
                  </w:r>
                </w:p>
              </w:tc>
              <w:tc>
                <w:tcPr>
                  <w:tcW w:w="248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16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7</w:t>
                  </w:r>
                </w:p>
              </w:tc>
              <w:tc>
                <w:tcPr>
                  <w:tcW w:w="2688"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镍</w:t>
                  </w:r>
                </w:p>
              </w:tc>
              <w:tc>
                <w:tcPr>
                  <w:tcW w:w="2268"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37</w:t>
                  </w:r>
                </w:p>
              </w:tc>
              <w:tc>
                <w:tcPr>
                  <w:tcW w:w="248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16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4</w:t>
                  </w:r>
                  <w:r>
                    <w:rPr>
                      <w:rFonts w:hint="eastAsia" w:hAnsiTheme="minorEastAsia" w:eastAsiaTheme="minorEastAsia"/>
                      <w:color w:val="000000" w:themeColor="text1"/>
                      <w:szCs w:val="21"/>
                    </w:rPr>
                    <w:t>6</w:t>
                  </w:r>
                </w:p>
              </w:tc>
              <w:tc>
                <w:tcPr>
                  <w:tcW w:w="2688"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氟化物</w:t>
                  </w:r>
                </w:p>
              </w:tc>
              <w:tc>
                <w:tcPr>
                  <w:tcW w:w="2268"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419</w:t>
                  </w:r>
                </w:p>
              </w:tc>
              <w:tc>
                <w:tcPr>
                  <w:tcW w:w="248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w:t>
                  </w:r>
                </w:p>
              </w:tc>
            </w:tr>
          </w:tbl>
          <w:p>
            <w:pPr>
              <w:pStyle w:val="40"/>
              <w:spacing w:beforeLines="50"/>
              <w:ind w:firstLine="480"/>
              <w:rPr>
                <w:color w:val="000000" w:themeColor="text1"/>
                <w:szCs w:val="24"/>
              </w:rPr>
            </w:pPr>
            <w:r>
              <w:rPr>
                <w:rFonts w:hint="eastAsia"/>
                <w:color w:val="000000" w:themeColor="text1"/>
                <w:szCs w:val="24"/>
              </w:rPr>
              <w:t>由上表可知，项目厂址东北面140m（项目下风向）监测值不能达到《土壤环境质量 农用地土壤污染风险管控标准（试行）》（GB15618-2018）中表1 农用地土壤污染风险筛选值（其他）；主要超标因子为</w:t>
            </w:r>
            <w:r>
              <w:rPr>
                <w:color w:val="000000" w:themeColor="text1"/>
                <w:szCs w:val="24"/>
              </w:rPr>
              <w:t>砷</w:t>
            </w:r>
            <w:r>
              <w:rPr>
                <w:rFonts w:hint="eastAsia"/>
                <w:color w:val="000000" w:themeColor="text1"/>
                <w:szCs w:val="24"/>
              </w:rPr>
              <w:t>、</w:t>
            </w:r>
            <w:r>
              <w:rPr>
                <w:color w:val="000000" w:themeColor="text1"/>
                <w:szCs w:val="24"/>
              </w:rPr>
              <w:t>镉</w:t>
            </w:r>
            <w:r>
              <w:rPr>
                <w:rFonts w:hint="eastAsia"/>
                <w:color w:val="000000" w:themeColor="text1"/>
                <w:szCs w:val="24"/>
              </w:rPr>
              <w:t>。本项目不会产生</w:t>
            </w:r>
            <w:r>
              <w:rPr>
                <w:color w:val="000000" w:themeColor="text1"/>
                <w:szCs w:val="24"/>
              </w:rPr>
              <w:t>砷</w:t>
            </w:r>
            <w:r>
              <w:rPr>
                <w:rFonts w:hint="eastAsia"/>
                <w:color w:val="000000" w:themeColor="text1"/>
                <w:szCs w:val="24"/>
              </w:rPr>
              <w:t>、</w:t>
            </w:r>
            <w:r>
              <w:rPr>
                <w:color w:val="000000" w:themeColor="text1"/>
                <w:szCs w:val="24"/>
              </w:rPr>
              <w:t>镉</w:t>
            </w:r>
            <w:r>
              <w:rPr>
                <w:rFonts w:hint="eastAsia"/>
                <w:color w:val="000000" w:themeColor="text1"/>
                <w:szCs w:val="24"/>
              </w:rPr>
              <w:t>两类因子。</w:t>
            </w: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spacing w:beforeLines="5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1" w:type="dxa"/>
            <w:vAlign w:val="center"/>
          </w:tcPr>
          <w:p>
            <w:pPr>
              <w:pStyle w:val="40"/>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40"/>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40"/>
              <w:ind w:firstLine="480"/>
              <w:rPr>
                <w:rFonts w:eastAsiaTheme="minorEastAsia"/>
                <w:color w:val="000000" w:themeColor="text1"/>
                <w:szCs w:val="24"/>
              </w:rPr>
            </w:pPr>
            <w:r>
              <w:rPr>
                <w:rFonts w:eastAsiaTheme="minorEastAsia"/>
                <w:color w:val="000000" w:themeColor="text1"/>
                <w:szCs w:val="24"/>
              </w:rPr>
              <w:t>根据调查</w:t>
            </w:r>
            <w:r>
              <w:rPr>
                <w:rFonts w:hint="eastAsia" w:eastAsiaTheme="minorEastAsia"/>
                <w:color w:val="000000" w:themeColor="text1"/>
                <w:szCs w:val="24"/>
              </w:rPr>
              <w:t>，</w:t>
            </w:r>
            <w:r>
              <w:rPr>
                <w:rFonts w:eastAsiaTheme="minorEastAsia"/>
                <w:color w:val="000000" w:themeColor="text1"/>
                <w:szCs w:val="24"/>
              </w:rPr>
              <w:t>本项目主要大气环境保护目标如下表所示。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.2.1</w:t>
            </w:r>
            <w:r>
              <w:rPr>
                <w:rFonts w:hAnsi="Times New Roman" w:eastAsia="宋体"/>
                <w:bCs/>
                <w:snapToGrid w:val="0"/>
                <w:color w:val="000000" w:themeColor="text1"/>
                <w:sz w:val="21"/>
                <w:szCs w:val="21"/>
              </w:rPr>
              <w:t>-1 环境空气保护目标</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4"/>
              <w:gridCol w:w="1473"/>
              <w:gridCol w:w="1341"/>
              <w:gridCol w:w="810"/>
              <w:gridCol w:w="1038"/>
              <w:gridCol w:w="1116"/>
              <w:gridCol w:w="811"/>
              <w:gridCol w:w="9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4" w:type="dxa"/>
                  <w:vMerge w:val="restart"/>
                  <w:vAlign w:val="center"/>
                </w:tcPr>
                <w:p>
                  <w:pPr>
                    <w:pStyle w:val="32"/>
                    <w:spacing w:line="360" w:lineRule="exact"/>
                    <w:rPr>
                      <w:color w:val="000000" w:themeColor="text1"/>
                      <w:kern w:val="0"/>
                      <w:szCs w:val="21"/>
                    </w:rPr>
                  </w:pPr>
                  <w:r>
                    <w:rPr>
                      <w:color w:val="000000" w:themeColor="text1"/>
                      <w:kern w:val="0"/>
                      <w:szCs w:val="21"/>
                    </w:rPr>
                    <w:t>名称</w:t>
                  </w:r>
                </w:p>
              </w:tc>
              <w:tc>
                <w:tcPr>
                  <w:tcW w:w="2814" w:type="dxa"/>
                  <w:gridSpan w:val="2"/>
                  <w:vAlign w:val="center"/>
                </w:tcPr>
                <w:p>
                  <w:pPr>
                    <w:pStyle w:val="32"/>
                    <w:spacing w:line="360" w:lineRule="exact"/>
                    <w:rPr>
                      <w:color w:val="000000" w:themeColor="text1"/>
                      <w:kern w:val="0"/>
                      <w:szCs w:val="21"/>
                    </w:rPr>
                  </w:pPr>
                  <w:r>
                    <w:rPr>
                      <w:color w:val="000000" w:themeColor="text1"/>
                      <w:kern w:val="0"/>
                      <w:szCs w:val="21"/>
                    </w:rPr>
                    <w:t>坐标/m</w:t>
                  </w:r>
                </w:p>
              </w:tc>
              <w:tc>
                <w:tcPr>
                  <w:tcW w:w="810" w:type="dxa"/>
                  <w:vMerge w:val="restart"/>
                  <w:vAlign w:val="center"/>
                </w:tcPr>
                <w:p>
                  <w:pPr>
                    <w:pStyle w:val="32"/>
                    <w:spacing w:line="360" w:lineRule="exact"/>
                    <w:rPr>
                      <w:color w:val="000000" w:themeColor="text1"/>
                      <w:kern w:val="0"/>
                      <w:szCs w:val="21"/>
                    </w:rPr>
                  </w:pPr>
                  <w:r>
                    <w:rPr>
                      <w:color w:val="000000" w:themeColor="text1"/>
                      <w:kern w:val="0"/>
                      <w:szCs w:val="21"/>
                    </w:rPr>
                    <w:t>保护对象</w:t>
                  </w:r>
                </w:p>
              </w:tc>
              <w:tc>
                <w:tcPr>
                  <w:tcW w:w="1038" w:type="dxa"/>
                  <w:vMerge w:val="restart"/>
                  <w:vAlign w:val="center"/>
                </w:tcPr>
                <w:p>
                  <w:pPr>
                    <w:pStyle w:val="32"/>
                    <w:spacing w:line="360" w:lineRule="exact"/>
                    <w:rPr>
                      <w:color w:val="000000" w:themeColor="text1"/>
                      <w:kern w:val="0"/>
                      <w:szCs w:val="21"/>
                    </w:rPr>
                  </w:pPr>
                  <w:r>
                    <w:rPr>
                      <w:color w:val="000000" w:themeColor="text1"/>
                      <w:kern w:val="0"/>
                      <w:szCs w:val="21"/>
                    </w:rPr>
                    <w:t>保护内容</w:t>
                  </w:r>
                </w:p>
              </w:tc>
              <w:tc>
                <w:tcPr>
                  <w:tcW w:w="1116" w:type="dxa"/>
                  <w:vMerge w:val="restart"/>
                  <w:vAlign w:val="center"/>
                </w:tcPr>
                <w:p>
                  <w:pPr>
                    <w:pStyle w:val="32"/>
                    <w:spacing w:line="360" w:lineRule="exact"/>
                    <w:rPr>
                      <w:color w:val="000000" w:themeColor="text1"/>
                      <w:kern w:val="0"/>
                      <w:szCs w:val="21"/>
                    </w:rPr>
                  </w:pPr>
                  <w:r>
                    <w:rPr>
                      <w:rFonts w:hint="eastAsia"/>
                      <w:color w:val="000000" w:themeColor="text1"/>
                      <w:kern w:val="0"/>
                      <w:szCs w:val="21"/>
                    </w:rPr>
                    <w:t>保护级别</w:t>
                  </w:r>
                </w:p>
              </w:tc>
              <w:tc>
                <w:tcPr>
                  <w:tcW w:w="811" w:type="dxa"/>
                  <w:vMerge w:val="restart"/>
                  <w:vAlign w:val="center"/>
                </w:tcPr>
                <w:p>
                  <w:pPr>
                    <w:pStyle w:val="32"/>
                    <w:spacing w:line="360" w:lineRule="exact"/>
                    <w:rPr>
                      <w:color w:val="000000" w:themeColor="text1"/>
                      <w:kern w:val="0"/>
                      <w:szCs w:val="21"/>
                    </w:rPr>
                  </w:pPr>
                  <w:r>
                    <w:rPr>
                      <w:color w:val="000000" w:themeColor="text1"/>
                      <w:kern w:val="0"/>
                      <w:szCs w:val="21"/>
                    </w:rPr>
                    <w:t>相对厂址方位</w:t>
                  </w:r>
                </w:p>
              </w:tc>
              <w:tc>
                <w:tcPr>
                  <w:tcW w:w="982" w:type="dxa"/>
                  <w:vMerge w:val="restart"/>
                  <w:vAlign w:val="center"/>
                </w:tcPr>
                <w:p>
                  <w:pPr>
                    <w:pStyle w:val="32"/>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4" w:type="dxa"/>
                  <w:vMerge w:val="continue"/>
                  <w:vAlign w:val="center"/>
                </w:tcPr>
                <w:p>
                  <w:pPr>
                    <w:pStyle w:val="32"/>
                    <w:spacing w:line="360" w:lineRule="exact"/>
                    <w:rPr>
                      <w:color w:val="000000" w:themeColor="text1"/>
                      <w:kern w:val="0"/>
                      <w:szCs w:val="21"/>
                    </w:rPr>
                  </w:pPr>
                </w:p>
              </w:tc>
              <w:tc>
                <w:tcPr>
                  <w:tcW w:w="1473" w:type="dxa"/>
                  <w:vAlign w:val="center"/>
                </w:tcPr>
                <w:p>
                  <w:pPr>
                    <w:pStyle w:val="32"/>
                    <w:spacing w:line="360" w:lineRule="exact"/>
                    <w:rPr>
                      <w:color w:val="000000" w:themeColor="text1"/>
                      <w:kern w:val="0"/>
                      <w:szCs w:val="21"/>
                    </w:rPr>
                  </w:pPr>
                  <w:r>
                    <w:rPr>
                      <w:color w:val="000000" w:themeColor="text1"/>
                      <w:kern w:val="0"/>
                      <w:szCs w:val="21"/>
                    </w:rPr>
                    <w:t>经度</w:t>
                  </w:r>
                </w:p>
              </w:tc>
              <w:tc>
                <w:tcPr>
                  <w:tcW w:w="1341" w:type="dxa"/>
                  <w:vAlign w:val="center"/>
                </w:tcPr>
                <w:p>
                  <w:pPr>
                    <w:pStyle w:val="32"/>
                    <w:spacing w:line="360" w:lineRule="exact"/>
                    <w:rPr>
                      <w:color w:val="000000" w:themeColor="text1"/>
                      <w:kern w:val="0"/>
                      <w:szCs w:val="21"/>
                    </w:rPr>
                  </w:pPr>
                  <w:r>
                    <w:rPr>
                      <w:color w:val="000000" w:themeColor="text1"/>
                      <w:kern w:val="0"/>
                      <w:szCs w:val="21"/>
                    </w:rPr>
                    <w:t>纬度</w:t>
                  </w:r>
                </w:p>
              </w:tc>
              <w:tc>
                <w:tcPr>
                  <w:tcW w:w="810" w:type="dxa"/>
                  <w:vMerge w:val="continue"/>
                  <w:vAlign w:val="center"/>
                </w:tcPr>
                <w:p>
                  <w:pPr>
                    <w:pStyle w:val="32"/>
                    <w:spacing w:line="360" w:lineRule="exact"/>
                    <w:rPr>
                      <w:color w:val="000000" w:themeColor="text1"/>
                      <w:kern w:val="0"/>
                      <w:szCs w:val="21"/>
                    </w:rPr>
                  </w:pPr>
                </w:p>
              </w:tc>
              <w:tc>
                <w:tcPr>
                  <w:tcW w:w="1038" w:type="dxa"/>
                  <w:vMerge w:val="continue"/>
                  <w:vAlign w:val="center"/>
                </w:tcPr>
                <w:p>
                  <w:pPr>
                    <w:pStyle w:val="32"/>
                    <w:spacing w:line="360" w:lineRule="exact"/>
                    <w:rPr>
                      <w:color w:val="000000" w:themeColor="text1"/>
                      <w:kern w:val="0"/>
                      <w:szCs w:val="21"/>
                    </w:rPr>
                  </w:pPr>
                </w:p>
              </w:tc>
              <w:tc>
                <w:tcPr>
                  <w:tcW w:w="1116" w:type="dxa"/>
                  <w:vMerge w:val="continue"/>
                  <w:vAlign w:val="center"/>
                </w:tcPr>
                <w:p>
                  <w:pPr>
                    <w:pStyle w:val="32"/>
                    <w:spacing w:line="360" w:lineRule="exact"/>
                    <w:rPr>
                      <w:color w:val="000000" w:themeColor="text1"/>
                      <w:kern w:val="0"/>
                      <w:szCs w:val="21"/>
                    </w:rPr>
                  </w:pPr>
                </w:p>
              </w:tc>
              <w:tc>
                <w:tcPr>
                  <w:tcW w:w="811" w:type="dxa"/>
                  <w:vMerge w:val="continue"/>
                  <w:vAlign w:val="center"/>
                </w:tcPr>
                <w:p>
                  <w:pPr>
                    <w:pStyle w:val="32"/>
                    <w:spacing w:line="360" w:lineRule="exact"/>
                    <w:rPr>
                      <w:color w:val="000000" w:themeColor="text1"/>
                      <w:kern w:val="0"/>
                      <w:szCs w:val="21"/>
                    </w:rPr>
                  </w:pPr>
                </w:p>
              </w:tc>
              <w:tc>
                <w:tcPr>
                  <w:tcW w:w="982" w:type="dxa"/>
                  <w:vMerge w:val="continue"/>
                  <w:vAlign w:val="center"/>
                </w:tcPr>
                <w:p>
                  <w:pPr>
                    <w:pStyle w:val="32"/>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4" w:type="dxa"/>
                  <w:vAlign w:val="center"/>
                </w:tcPr>
                <w:p>
                  <w:pPr>
                    <w:pStyle w:val="32"/>
                    <w:spacing w:line="360" w:lineRule="exact"/>
                    <w:rPr>
                      <w:color w:val="000000" w:themeColor="text1"/>
                      <w:kern w:val="0"/>
                      <w:szCs w:val="21"/>
                    </w:rPr>
                  </w:pPr>
                  <w:r>
                    <w:rPr>
                      <w:color w:val="000000" w:themeColor="text1"/>
                      <w:kern w:val="0"/>
                      <w:szCs w:val="21"/>
                    </w:rPr>
                    <w:t>下村</w:t>
                  </w:r>
                </w:p>
              </w:tc>
              <w:tc>
                <w:tcPr>
                  <w:tcW w:w="1473" w:type="dxa"/>
                  <w:vAlign w:val="center"/>
                </w:tcPr>
                <w:p>
                  <w:pPr>
                    <w:pStyle w:val="32"/>
                    <w:spacing w:line="360" w:lineRule="exact"/>
                    <w:rPr>
                      <w:color w:val="000000" w:themeColor="text1"/>
                      <w:kern w:val="0"/>
                      <w:szCs w:val="21"/>
                    </w:rPr>
                  </w:pPr>
                  <w:r>
                    <w:rPr>
                      <w:color w:val="000000" w:themeColor="text1"/>
                      <w:kern w:val="0"/>
                      <w:szCs w:val="21"/>
                    </w:rPr>
                    <w:t>103°08′51.93″</w:t>
                  </w:r>
                </w:p>
              </w:tc>
              <w:tc>
                <w:tcPr>
                  <w:tcW w:w="1341" w:type="dxa"/>
                  <w:vAlign w:val="center"/>
                </w:tcPr>
                <w:p>
                  <w:pPr>
                    <w:pStyle w:val="32"/>
                    <w:spacing w:line="360" w:lineRule="exact"/>
                    <w:rPr>
                      <w:color w:val="000000" w:themeColor="text1"/>
                      <w:kern w:val="0"/>
                      <w:szCs w:val="21"/>
                    </w:rPr>
                  </w:pPr>
                  <w:r>
                    <w:rPr>
                      <w:color w:val="000000" w:themeColor="text1"/>
                      <w:kern w:val="0"/>
                      <w:szCs w:val="21"/>
                    </w:rPr>
                    <w:t>26°10′33.90″</w:t>
                  </w:r>
                </w:p>
              </w:tc>
              <w:tc>
                <w:tcPr>
                  <w:tcW w:w="810" w:type="dxa"/>
                  <w:vAlign w:val="center"/>
                </w:tcPr>
                <w:p>
                  <w:pPr>
                    <w:pStyle w:val="32"/>
                    <w:spacing w:line="360" w:lineRule="exact"/>
                    <w:rPr>
                      <w:color w:val="000000" w:themeColor="text1"/>
                      <w:kern w:val="0"/>
                      <w:szCs w:val="21"/>
                    </w:rPr>
                  </w:pPr>
                  <w:r>
                    <w:rPr>
                      <w:color w:val="000000" w:themeColor="text1"/>
                      <w:kern w:val="0"/>
                      <w:szCs w:val="21"/>
                    </w:rPr>
                    <w:t>居民区</w:t>
                  </w:r>
                </w:p>
              </w:tc>
              <w:tc>
                <w:tcPr>
                  <w:tcW w:w="1038" w:type="dxa"/>
                  <w:vAlign w:val="center"/>
                </w:tcPr>
                <w:p>
                  <w:pPr>
                    <w:pStyle w:val="32"/>
                    <w:spacing w:line="360" w:lineRule="exact"/>
                    <w:rPr>
                      <w:color w:val="000000" w:themeColor="text1"/>
                      <w:kern w:val="0"/>
                      <w:szCs w:val="21"/>
                    </w:rPr>
                  </w:pPr>
                  <w:r>
                    <w:rPr>
                      <w:color w:val="000000" w:themeColor="text1"/>
                      <w:szCs w:val="21"/>
                    </w:rPr>
                    <w:t>36户/159人</w:t>
                  </w:r>
                </w:p>
              </w:tc>
              <w:tc>
                <w:tcPr>
                  <w:tcW w:w="1116" w:type="dxa"/>
                  <w:vMerge w:val="restart"/>
                  <w:vAlign w:val="center"/>
                </w:tcPr>
                <w:p>
                  <w:pPr>
                    <w:pStyle w:val="32"/>
                    <w:spacing w:line="360" w:lineRule="exact"/>
                    <w:rPr>
                      <w:color w:val="000000" w:themeColor="text1"/>
                      <w:kern w:val="0"/>
                      <w:szCs w:val="21"/>
                    </w:rPr>
                  </w:pPr>
                  <w:r>
                    <w:rPr>
                      <w:rFonts w:hint="eastAsia"/>
                      <w:color w:val="000000" w:themeColor="text1"/>
                      <w:kern w:val="0"/>
                      <w:szCs w:val="21"/>
                    </w:rPr>
                    <w:t>《环境空气质量标准》（</w:t>
                  </w:r>
                  <w:r>
                    <w:rPr>
                      <w:color w:val="000000" w:themeColor="text1"/>
                      <w:kern w:val="0"/>
                      <w:szCs w:val="21"/>
                    </w:rPr>
                    <w:t>GB3095- 2012）二级</w:t>
                  </w:r>
                </w:p>
              </w:tc>
              <w:tc>
                <w:tcPr>
                  <w:tcW w:w="811" w:type="dxa"/>
                  <w:vAlign w:val="center"/>
                </w:tcPr>
                <w:p>
                  <w:pPr>
                    <w:pStyle w:val="32"/>
                    <w:spacing w:line="360" w:lineRule="exact"/>
                    <w:rPr>
                      <w:color w:val="000000" w:themeColor="text1"/>
                      <w:kern w:val="0"/>
                      <w:szCs w:val="21"/>
                    </w:rPr>
                  </w:pPr>
                  <w:r>
                    <w:rPr>
                      <w:rFonts w:hint="eastAsia"/>
                      <w:color w:val="000000" w:themeColor="text1"/>
                      <w:kern w:val="0"/>
                      <w:szCs w:val="21"/>
                    </w:rPr>
                    <w:t>西北侧</w:t>
                  </w:r>
                </w:p>
              </w:tc>
              <w:tc>
                <w:tcPr>
                  <w:tcW w:w="982" w:type="dxa"/>
                  <w:vAlign w:val="center"/>
                </w:tcPr>
                <w:p>
                  <w:pPr>
                    <w:pStyle w:val="32"/>
                    <w:spacing w:line="360" w:lineRule="exact"/>
                    <w:rPr>
                      <w:color w:val="000000" w:themeColor="text1"/>
                      <w:kern w:val="0"/>
                      <w:szCs w:val="21"/>
                    </w:rPr>
                  </w:pPr>
                  <w:r>
                    <w:rPr>
                      <w:rFonts w:hint="eastAsia"/>
                      <w:color w:val="000000" w:themeColor="text1"/>
                      <w:kern w:val="0"/>
                      <w:szCs w:val="21"/>
                    </w:rPr>
                    <w:t>379m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4" w:type="dxa"/>
                  <w:vAlign w:val="center"/>
                </w:tcPr>
                <w:p>
                  <w:pPr>
                    <w:pStyle w:val="32"/>
                    <w:spacing w:line="360" w:lineRule="exact"/>
                    <w:rPr>
                      <w:color w:val="000000" w:themeColor="text1"/>
                      <w:kern w:val="0"/>
                      <w:szCs w:val="21"/>
                    </w:rPr>
                  </w:pPr>
                  <w:r>
                    <w:rPr>
                      <w:color w:val="000000" w:themeColor="text1"/>
                      <w:kern w:val="0"/>
                      <w:szCs w:val="21"/>
                    </w:rPr>
                    <w:t>干沟边</w:t>
                  </w:r>
                </w:p>
              </w:tc>
              <w:tc>
                <w:tcPr>
                  <w:tcW w:w="1473" w:type="dxa"/>
                  <w:vAlign w:val="center"/>
                </w:tcPr>
                <w:p>
                  <w:pPr>
                    <w:pStyle w:val="32"/>
                    <w:spacing w:line="360" w:lineRule="exact"/>
                    <w:rPr>
                      <w:color w:val="000000" w:themeColor="text1"/>
                      <w:kern w:val="0"/>
                      <w:szCs w:val="21"/>
                    </w:rPr>
                  </w:pPr>
                  <w:r>
                    <w:rPr>
                      <w:color w:val="000000" w:themeColor="text1"/>
                      <w:kern w:val="0"/>
                      <w:szCs w:val="21"/>
                    </w:rPr>
                    <w:t>103°08′44.10″</w:t>
                  </w:r>
                </w:p>
              </w:tc>
              <w:tc>
                <w:tcPr>
                  <w:tcW w:w="1341" w:type="dxa"/>
                  <w:vAlign w:val="center"/>
                </w:tcPr>
                <w:p>
                  <w:pPr>
                    <w:pStyle w:val="32"/>
                    <w:spacing w:line="360" w:lineRule="exact"/>
                    <w:rPr>
                      <w:color w:val="000000" w:themeColor="text1"/>
                      <w:kern w:val="0"/>
                      <w:szCs w:val="21"/>
                    </w:rPr>
                  </w:pPr>
                  <w:r>
                    <w:rPr>
                      <w:color w:val="000000" w:themeColor="text1"/>
                      <w:kern w:val="0"/>
                      <w:szCs w:val="21"/>
                    </w:rPr>
                    <w:t>26°10′36.40″</w:t>
                  </w:r>
                </w:p>
              </w:tc>
              <w:tc>
                <w:tcPr>
                  <w:tcW w:w="810" w:type="dxa"/>
                  <w:vAlign w:val="center"/>
                </w:tcPr>
                <w:p>
                  <w:pPr>
                    <w:pStyle w:val="32"/>
                    <w:spacing w:line="360" w:lineRule="exact"/>
                    <w:rPr>
                      <w:color w:val="000000" w:themeColor="text1"/>
                      <w:kern w:val="0"/>
                      <w:szCs w:val="21"/>
                    </w:rPr>
                  </w:pPr>
                  <w:r>
                    <w:rPr>
                      <w:color w:val="000000" w:themeColor="text1"/>
                      <w:kern w:val="0"/>
                      <w:szCs w:val="21"/>
                    </w:rPr>
                    <w:t>居民区</w:t>
                  </w:r>
                </w:p>
              </w:tc>
              <w:tc>
                <w:tcPr>
                  <w:tcW w:w="1038" w:type="dxa"/>
                  <w:vAlign w:val="center"/>
                </w:tcPr>
                <w:p>
                  <w:pPr>
                    <w:pStyle w:val="32"/>
                    <w:spacing w:line="360" w:lineRule="exact"/>
                    <w:rPr>
                      <w:color w:val="000000" w:themeColor="text1"/>
                      <w:kern w:val="0"/>
                      <w:szCs w:val="21"/>
                    </w:rPr>
                  </w:pPr>
                  <w:r>
                    <w:rPr>
                      <w:color w:val="000000" w:themeColor="text1"/>
                      <w:szCs w:val="21"/>
                    </w:rPr>
                    <w:t>42户/178人</w:t>
                  </w:r>
                </w:p>
              </w:tc>
              <w:tc>
                <w:tcPr>
                  <w:tcW w:w="1116" w:type="dxa"/>
                  <w:vMerge w:val="continue"/>
                  <w:vAlign w:val="center"/>
                </w:tcPr>
                <w:p>
                  <w:pPr>
                    <w:pStyle w:val="32"/>
                    <w:spacing w:line="360" w:lineRule="exact"/>
                    <w:rPr>
                      <w:color w:val="000000" w:themeColor="text1"/>
                      <w:kern w:val="0"/>
                      <w:szCs w:val="21"/>
                    </w:rPr>
                  </w:pPr>
                </w:p>
              </w:tc>
              <w:tc>
                <w:tcPr>
                  <w:tcW w:w="811" w:type="dxa"/>
                  <w:vAlign w:val="center"/>
                </w:tcPr>
                <w:p>
                  <w:pPr>
                    <w:pStyle w:val="32"/>
                    <w:spacing w:line="360" w:lineRule="exact"/>
                    <w:rPr>
                      <w:color w:val="000000" w:themeColor="text1"/>
                      <w:kern w:val="0"/>
                      <w:szCs w:val="21"/>
                    </w:rPr>
                  </w:pPr>
                  <w:r>
                    <w:rPr>
                      <w:rFonts w:hint="eastAsia"/>
                      <w:color w:val="000000" w:themeColor="text1"/>
                      <w:kern w:val="0"/>
                      <w:szCs w:val="21"/>
                    </w:rPr>
                    <w:t>西北侧</w:t>
                  </w:r>
                </w:p>
              </w:tc>
              <w:tc>
                <w:tcPr>
                  <w:tcW w:w="982" w:type="dxa"/>
                  <w:vAlign w:val="center"/>
                </w:tcPr>
                <w:p>
                  <w:pPr>
                    <w:pStyle w:val="32"/>
                    <w:spacing w:line="360" w:lineRule="exact"/>
                    <w:rPr>
                      <w:color w:val="000000" w:themeColor="text1"/>
                      <w:kern w:val="0"/>
                      <w:szCs w:val="21"/>
                    </w:rPr>
                  </w:pPr>
                  <w:r>
                    <w:rPr>
                      <w:rFonts w:hint="eastAsia"/>
                      <w:color w:val="000000" w:themeColor="text1"/>
                      <w:kern w:val="0"/>
                      <w:szCs w:val="21"/>
                    </w:rPr>
                    <w:t>492</w:t>
                  </w:r>
                  <w:r>
                    <w:rPr>
                      <w:color w:val="000000" w:themeColor="text1"/>
                      <w:kern w:val="0"/>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4" w:type="dxa"/>
                  <w:vAlign w:val="center"/>
                </w:tcPr>
                <w:p>
                  <w:pPr>
                    <w:pStyle w:val="32"/>
                    <w:spacing w:line="360" w:lineRule="exact"/>
                    <w:rPr>
                      <w:color w:val="000000" w:themeColor="text1"/>
                      <w:kern w:val="0"/>
                      <w:szCs w:val="21"/>
                    </w:rPr>
                  </w:pPr>
                  <w:r>
                    <w:rPr>
                      <w:color w:val="000000" w:themeColor="text1"/>
                      <w:kern w:val="0"/>
                      <w:szCs w:val="21"/>
                    </w:rPr>
                    <w:t>老村子</w:t>
                  </w:r>
                </w:p>
              </w:tc>
              <w:tc>
                <w:tcPr>
                  <w:tcW w:w="1473" w:type="dxa"/>
                  <w:vAlign w:val="center"/>
                </w:tcPr>
                <w:p>
                  <w:pPr>
                    <w:pStyle w:val="32"/>
                    <w:spacing w:line="360" w:lineRule="exact"/>
                    <w:rPr>
                      <w:color w:val="000000" w:themeColor="text1"/>
                      <w:kern w:val="0"/>
                      <w:szCs w:val="21"/>
                    </w:rPr>
                  </w:pPr>
                  <w:r>
                    <w:rPr>
                      <w:color w:val="000000" w:themeColor="text1"/>
                      <w:kern w:val="0"/>
                      <w:szCs w:val="21"/>
                    </w:rPr>
                    <w:t>103°08′56.79″</w:t>
                  </w:r>
                </w:p>
              </w:tc>
              <w:tc>
                <w:tcPr>
                  <w:tcW w:w="1341" w:type="dxa"/>
                  <w:vAlign w:val="center"/>
                </w:tcPr>
                <w:p>
                  <w:pPr>
                    <w:pStyle w:val="32"/>
                    <w:spacing w:line="360" w:lineRule="exact"/>
                    <w:rPr>
                      <w:color w:val="000000" w:themeColor="text1"/>
                      <w:kern w:val="0"/>
                      <w:szCs w:val="21"/>
                    </w:rPr>
                  </w:pPr>
                  <w:r>
                    <w:rPr>
                      <w:color w:val="000000" w:themeColor="text1"/>
                      <w:kern w:val="0"/>
                      <w:szCs w:val="21"/>
                    </w:rPr>
                    <w:t>26°10′37.32″</w:t>
                  </w:r>
                </w:p>
              </w:tc>
              <w:tc>
                <w:tcPr>
                  <w:tcW w:w="810" w:type="dxa"/>
                  <w:vAlign w:val="center"/>
                </w:tcPr>
                <w:p>
                  <w:pPr>
                    <w:pStyle w:val="32"/>
                    <w:spacing w:line="360" w:lineRule="exact"/>
                    <w:rPr>
                      <w:color w:val="000000" w:themeColor="text1"/>
                      <w:kern w:val="0"/>
                      <w:szCs w:val="21"/>
                    </w:rPr>
                  </w:pPr>
                  <w:r>
                    <w:rPr>
                      <w:color w:val="000000" w:themeColor="text1"/>
                      <w:kern w:val="0"/>
                      <w:szCs w:val="21"/>
                    </w:rPr>
                    <w:t>居民区</w:t>
                  </w:r>
                </w:p>
              </w:tc>
              <w:tc>
                <w:tcPr>
                  <w:tcW w:w="1038" w:type="dxa"/>
                  <w:vAlign w:val="center"/>
                </w:tcPr>
                <w:p>
                  <w:pPr>
                    <w:pStyle w:val="32"/>
                    <w:spacing w:line="360" w:lineRule="exact"/>
                    <w:rPr>
                      <w:color w:val="000000" w:themeColor="text1"/>
                      <w:kern w:val="0"/>
                      <w:szCs w:val="21"/>
                    </w:rPr>
                  </w:pPr>
                  <w:r>
                    <w:rPr>
                      <w:color w:val="000000" w:themeColor="text1"/>
                      <w:szCs w:val="21"/>
                    </w:rPr>
                    <w:t>39户/182人</w:t>
                  </w:r>
                </w:p>
              </w:tc>
              <w:tc>
                <w:tcPr>
                  <w:tcW w:w="1116" w:type="dxa"/>
                  <w:vMerge w:val="continue"/>
                  <w:vAlign w:val="center"/>
                </w:tcPr>
                <w:p>
                  <w:pPr>
                    <w:pStyle w:val="32"/>
                    <w:spacing w:line="360" w:lineRule="exact"/>
                    <w:rPr>
                      <w:color w:val="000000" w:themeColor="text1"/>
                      <w:kern w:val="0"/>
                      <w:szCs w:val="21"/>
                    </w:rPr>
                  </w:pPr>
                </w:p>
              </w:tc>
              <w:tc>
                <w:tcPr>
                  <w:tcW w:w="811" w:type="dxa"/>
                  <w:vAlign w:val="center"/>
                </w:tcPr>
                <w:p>
                  <w:pPr>
                    <w:pStyle w:val="32"/>
                    <w:spacing w:line="360" w:lineRule="exact"/>
                    <w:rPr>
                      <w:color w:val="000000" w:themeColor="text1"/>
                      <w:kern w:val="0"/>
                      <w:szCs w:val="21"/>
                    </w:rPr>
                  </w:pPr>
                  <w:r>
                    <w:rPr>
                      <w:color w:val="000000" w:themeColor="text1"/>
                      <w:kern w:val="0"/>
                      <w:szCs w:val="21"/>
                    </w:rPr>
                    <w:t>北侧</w:t>
                  </w:r>
                </w:p>
              </w:tc>
              <w:tc>
                <w:tcPr>
                  <w:tcW w:w="982" w:type="dxa"/>
                  <w:vAlign w:val="center"/>
                </w:tcPr>
                <w:p>
                  <w:pPr>
                    <w:pStyle w:val="32"/>
                    <w:spacing w:line="360" w:lineRule="exact"/>
                    <w:rPr>
                      <w:color w:val="000000" w:themeColor="text1"/>
                      <w:kern w:val="0"/>
                      <w:szCs w:val="21"/>
                    </w:rPr>
                  </w:pPr>
                  <w:r>
                    <w:rPr>
                      <w:rFonts w:hint="eastAsia"/>
                      <w:color w:val="000000" w:themeColor="text1"/>
                      <w:kern w:val="0"/>
                      <w:szCs w:val="21"/>
                    </w:rPr>
                    <w:t>238</w:t>
                  </w:r>
                  <w:r>
                    <w:rPr>
                      <w:color w:val="000000" w:themeColor="text1"/>
                      <w:kern w:val="0"/>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4" w:type="dxa"/>
                  <w:vAlign w:val="center"/>
                </w:tcPr>
                <w:p>
                  <w:pPr>
                    <w:pStyle w:val="32"/>
                    <w:spacing w:line="360" w:lineRule="exact"/>
                    <w:rPr>
                      <w:color w:val="000000" w:themeColor="text1"/>
                      <w:kern w:val="0"/>
                      <w:szCs w:val="21"/>
                    </w:rPr>
                  </w:pPr>
                  <w:r>
                    <w:rPr>
                      <w:rFonts w:hint="eastAsia"/>
                      <w:color w:val="000000" w:themeColor="text1"/>
                      <w:kern w:val="0"/>
                      <w:szCs w:val="21"/>
                    </w:rPr>
                    <w:t>新民村</w:t>
                  </w:r>
                </w:p>
              </w:tc>
              <w:tc>
                <w:tcPr>
                  <w:tcW w:w="1473" w:type="dxa"/>
                  <w:vAlign w:val="center"/>
                </w:tcPr>
                <w:p>
                  <w:pPr>
                    <w:pStyle w:val="32"/>
                    <w:spacing w:line="360" w:lineRule="exact"/>
                    <w:rPr>
                      <w:color w:val="000000" w:themeColor="text1"/>
                      <w:kern w:val="0"/>
                      <w:szCs w:val="21"/>
                    </w:rPr>
                  </w:pPr>
                  <w:r>
                    <w:rPr>
                      <w:color w:val="000000" w:themeColor="text1"/>
                      <w:kern w:val="0"/>
                      <w:szCs w:val="21"/>
                    </w:rPr>
                    <w:t>103°08′</w:t>
                  </w:r>
                  <w:r>
                    <w:rPr>
                      <w:rFonts w:hint="eastAsia"/>
                      <w:color w:val="000000" w:themeColor="text1"/>
                      <w:kern w:val="0"/>
                      <w:szCs w:val="21"/>
                    </w:rPr>
                    <w:t>52.94</w:t>
                  </w:r>
                  <w:r>
                    <w:rPr>
                      <w:color w:val="000000" w:themeColor="text1"/>
                      <w:kern w:val="0"/>
                      <w:szCs w:val="21"/>
                    </w:rPr>
                    <w:t>″</w:t>
                  </w:r>
                </w:p>
              </w:tc>
              <w:tc>
                <w:tcPr>
                  <w:tcW w:w="1341" w:type="dxa"/>
                  <w:vAlign w:val="center"/>
                </w:tcPr>
                <w:p>
                  <w:pPr>
                    <w:pStyle w:val="32"/>
                    <w:spacing w:line="360" w:lineRule="exact"/>
                    <w:rPr>
                      <w:color w:val="000000" w:themeColor="text1"/>
                      <w:kern w:val="0"/>
                      <w:szCs w:val="21"/>
                    </w:rPr>
                  </w:pPr>
                  <w:r>
                    <w:rPr>
                      <w:color w:val="000000" w:themeColor="text1"/>
                      <w:kern w:val="0"/>
                      <w:szCs w:val="21"/>
                    </w:rPr>
                    <w:t>26°10′</w:t>
                  </w:r>
                  <w:r>
                    <w:rPr>
                      <w:rFonts w:hint="eastAsia"/>
                      <w:color w:val="000000" w:themeColor="text1"/>
                      <w:kern w:val="0"/>
                      <w:szCs w:val="21"/>
                    </w:rPr>
                    <w:t>17.69</w:t>
                  </w:r>
                  <w:r>
                    <w:rPr>
                      <w:color w:val="000000" w:themeColor="text1"/>
                      <w:kern w:val="0"/>
                      <w:szCs w:val="21"/>
                    </w:rPr>
                    <w:t>″</w:t>
                  </w:r>
                </w:p>
              </w:tc>
              <w:tc>
                <w:tcPr>
                  <w:tcW w:w="810" w:type="dxa"/>
                  <w:vAlign w:val="center"/>
                </w:tcPr>
                <w:p>
                  <w:pPr>
                    <w:pStyle w:val="32"/>
                    <w:spacing w:line="360" w:lineRule="exact"/>
                    <w:rPr>
                      <w:color w:val="000000" w:themeColor="text1"/>
                      <w:kern w:val="0"/>
                      <w:szCs w:val="21"/>
                    </w:rPr>
                  </w:pPr>
                  <w:r>
                    <w:rPr>
                      <w:color w:val="000000" w:themeColor="text1"/>
                      <w:kern w:val="0"/>
                      <w:szCs w:val="21"/>
                    </w:rPr>
                    <w:t>居民区</w:t>
                  </w:r>
                </w:p>
              </w:tc>
              <w:tc>
                <w:tcPr>
                  <w:tcW w:w="1038" w:type="dxa"/>
                  <w:vAlign w:val="center"/>
                </w:tcPr>
                <w:p>
                  <w:pPr>
                    <w:pStyle w:val="32"/>
                    <w:spacing w:line="360" w:lineRule="exact"/>
                    <w:rPr>
                      <w:color w:val="000000" w:themeColor="text1"/>
                      <w:kern w:val="0"/>
                      <w:szCs w:val="21"/>
                    </w:rPr>
                  </w:pPr>
                  <w:r>
                    <w:rPr>
                      <w:rFonts w:hint="eastAsia"/>
                      <w:color w:val="000000" w:themeColor="text1"/>
                      <w:kern w:val="0"/>
                      <w:szCs w:val="21"/>
                    </w:rPr>
                    <w:t>23</w:t>
                  </w:r>
                  <w:r>
                    <w:rPr>
                      <w:color w:val="000000" w:themeColor="text1"/>
                      <w:szCs w:val="21"/>
                    </w:rPr>
                    <w:t>户/</w:t>
                  </w:r>
                  <w:r>
                    <w:rPr>
                      <w:rFonts w:hint="eastAsia"/>
                      <w:color w:val="000000" w:themeColor="text1"/>
                      <w:szCs w:val="21"/>
                    </w:rPr>
                    <w:t>68</w:t>
                  </w:r>
                  <w:r>
                    <w:rPr>
                      <w:color w:val="000000" w:themeColor="text1"/>
                      <w:szCs w:val="21"/>
                    </w:rPr>
                    <w:t>人</w:t>
                  </w:r>
                </w:p>
              </w:tc>
              <w:tc>
                <w:tcPr>
                  <w:tcW w:w="1116" w:type="dxa"/>
                  <w:vMerge w:val="continue"/>
                  <w:vAlign w:val="center"/>
                </w:tcPr>
                <w:p>
                  <w:pPr>
                    <w:pStyle w:val="32"/>
                    <w:spacing w:line="360" w:lineRule="exact"/>
                    <w:rPr>
                      <w:color w:val="000000" w:themeColor="text1"/>
                      <w:kern w:val="0"/>
                      <w:szCs w:val="21"/>
                    </w:rPr>
                  </w:pPr>
                </w:p>
              </w:tc>
              <w:tc>
                <w:tcPr>
                  <w:tcW w:w="811" w:type="dxa"/>
                  <w:vAlign w:val="center"/>
                </w:tcPr>
                <w:p>
                  <w:pPr>
                    <w:pStyle w:val="32"/>
                    <w:spacing w:line="360" w:lineRule="exact"/>
                    <w:rPr>
                      <w:color w:val="000000" w:themeColor="text1"/>
                      <w:kern w:val="0"/>
                      <w:szCs w:val="21"/>
                    </w:rPr>
                  </w:pPr>
                  <w:r>
                    <w:rPr>
                      <w:rFonts w:hint="eastAsia"/>
                      <w:color w:val="000000" w:themeColor="text1"/>
                      <w:kern w:val="0"/>
                      <w:szCs w:val="21"/>
                    </w:rPr>
                    <w:t>西南</w:t>
                  </w:r>
                  <w:r>
                    <w:rPr>
                      <w:color w:val="000000" w:themeColor="text1"/>
                      <w:kern w:val="0"/>
                      <w:szCs w:val="21"/>
                    </w:rPr>
                    <w:t>侧</w:t>
                  </w:r>
                </w:p>
              </w:tc>
              <w:tc>
                <w:tcPr>
                  <w:tcW w:w="982" w:type="dxa"/>
                  <w:vAlign w:val="center"/>
                </w:tcPr>
                <w:p>
                  <w:pPr>
                    <w:pStyle w:val="32"/>
                    <w:spacing w:line="360" w:lineRule="exact"/>
                    <w:rPr>
                      <w:color w:val="000000" w:themeColor="text1"/>
                      <w:kern w:val="0"/>
                      <w:szCs w:val="21"/>
                    </w:rPr>
                  </w:pPr>
                  <w:r>
                    <w:rPr>
                      <w:rFonts w:hint="eastAsia"/>
                      <w:color w:val="000000" w:themeColor="text1"/>
                      <w:kern w:val="0"/>
                      <w:szCs w:val="21"/>
                    </w:rPr>
                    <w:t>78</w:t>
                  </w:r>
                  <w:r>
                    <w:rPr>
                      <w:color w:val="000000" w:themeColor="text1"/>
                      <w:kern w:val="0"/>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4" w:type="dxa"/>
                  <w:vAlign w:val="center"/>
                </w:tcPr>
                <w:p>
                  <w:pPr>
                    <w:pStyle w:val="32"/>
                    <w:spacing w:line="360" w:lineRule="exact"/>
                    <w:rPr>
                      <w:color w:val="000000" w:themeColor="text1"/>
                      <w:kern w:val="0"/>
                      <w:szCs w:val="21"/>
                    </w:rPr>
                  </w:pPr>
                  <w:r>
                    <w:rPr>
                      <w:color w:val="000000" w:themeColor="text1"/>
                      <w:kern w:val="0"/>
                      <w:szCs w:val="21"/>
                    </w:rPr>
                    <w:t>老村村</w:t>
                  </w:r>
                </w:p>
              </w:tc>
              <w:tc>
                <w:tcPr>
                  <w:tcW w:w="1473" w:type="dxa"/>
                  <w:vAlign w:val="center"/>
                </w:tcPr>
                <w:p>
                  <w:pPr>
                    <w:pStyle w:val="32"/>
                    <w:spacing w:line="360" w:lineRule="exact"/>
                    <w:rPr>
                      <w:color w:val="000000" w:themeColor="text1"/>
                      <w:kern w:val="0"/>
                      <w:szCs w:val="21"/>
                    </w:rPr>
                  </w:pPr>
                  <w:r>
                    <w:rPr>
                      <w:color w:val="000000" w:themeColor="text1"/>
                      <w:kern w:val="0"/>
                      <w:szCs w:val="21"/>
                    </w:rPr>
                    <w:t>103°09′04.51″</w:t>
                  </w:r>
                </w:p>
              </w:tc>
              <w:tc>
                <w:tcPr>
                  <w:tcW w:w="1341" w:type="dxa"/>
                  <w:vAlign w:val="center"/>
                </w:tcPr>
                <w:p>
                  <w:pPr>
                    <w:pStyle w:val="32"/>
                    <w:spacing w:line="360" w:lineRule="exact"/>
                    <w:rPr>
                      <w:color w:val="000000" w:themeColor="text1"/>
                      <w:kern w:val="0"/>
                      <w:szCs w:val="21"/>
                    </w:rPr>
                  </w:pPr>
                  <w:r>
                    <w:rPr>
                      <w:color w:val="000000" w:themeColor="text1"/>
                      <w:kern w:val="0"/>
                      <w:szCs w:val="21"/>
                    </w:rPr>
                    <w:t>26°10′01.34″</w:t>
                  </w:r>
                </w:p>
              </w:tc>
              <w:tc>
                <w:tcPr>
                  <w:tcW w:w="810" w:type="dxa"/>
                  <w:vAlign w:val="center"/>
                </w:tcPr>
                <w:p>
                  <w:pPr>
                    <w:pStyle w:val="32"/>
                    <w:spacing w:line="360" w:lineRule="exact"/>
                    <w:rPr>
                      <w:color w:val="000000" w:themeColor="text1"/>
                      <w:kern w:val="0"/>
                      <w:szCs w:val="21"/>
                    </w:rPr>
                  </w:pPr>
                  <w:r>
                    <w:rPr>
                      <w:color w:val="000000" w:themeColor="text1"/>
                      <w:kern w:val="0"/>
                      <w:szCs w:val="21"/>
                    </w:rPr>
                    <w:t>居民区</w:t>
                  </w:r>
                </w:p>
              </w:tc>
              <w:tc>
                <w:tcPr>
                  <w:tcW w:w="1038" w:type="dxa"/>
                  <w:vAlign w:val="center"/>
                </w:tcPr>
                <w:p>
                  <w:pPr>
                    <w:pStyle w:val="32"/>
                    <w:spacing w:line="360" w:lineRule="exact"/>
                    <w:rPr>
                      <w:color w:val="000000" w:themeColor="text1"/>
                      <w:kern w:val="0"/>
                      <w:szCs w:val="21"/>
                    </w:rPr>
                  </w:pPr>
                  <w:r>
                    <w:rPr>
                      <w:color w:val="000000" w:themeColor="text1"/>
                      <w:szCs w:val="21"/>
                    </w:rPr>
                    <w:t>63户/251人</w:t>
                  </w:r>
                </w:p>
              </w:tc>
              <w:tc>
                <w:tcPr>
                  <w:tcW w:w="1116" w:type="dxa"/>
                  <w:vMerge w:val="continue"/>
                  <w:vAlign w:val="center"/>
                </w:tcPr>
                <w:p>
                  <w:pPr>
                    <w:pStyle w:val="32"/>
                    <w:spacing w:line="360" w:lineRule="exact"/>
                    <w:rPr>
                      <w:color w:val="000000" w:themeColor="text1"/>
                      <w:kern w:val="0"/>
                      <w:szCs w:val="21"/>
                    </w:rPr>
                  </w:pPr>
                </w:p>
              </w:tc>
              <w:tc>
                <w:tcPr>
                  <w:tcW w:w="811" w:type="dxa"/>
                  <w:vAlign w:val="center"/>
                </w:tcPr>
                <w:p>
                  <w:pPr>
                    <w:pStyle w:val="32"/>
                    <w:spacing w:line="360" w:lineRule="exact"/>
                    <w:rPr>
                      <w:color w:val="000000" w:themeColor="text1"/>
                      <w:kern w:val="0"/>
                      <w:szCs w:val="21"/>
                    </w:rPr>
                  </w:pPr>
                  <w:r>
                    <w:rPr>
                      <w:rFonts w:hint="eastAsia"/>
                      <w:color w:val="000000" w:themeColor="text1"/>
                      <w:kern w:val="0"/>
                      <w:szCs w:val="21"/>
                    </w:rPr>
                    <w:t>南</w:t>
                  </w:r>
                  <w:r>
                    <w:rPr>
                      <w:color w:val="000000" w:themeColor="text1"/>
                      <w:kern w:val="0"/>
                      <w:szCs w:val="21"/>
                    </w:rPr>
                    <w:t>侧</w:t>
                  </w:r>
                </w:p>
              </w:tc>
              <w:tc>
                <w:tcPr>
                  <w:tcW w:w="982" w:type="dxa"/>
                  <w:vAlign w:val="center"/>
                </w:tcPr>
                <w:p>
                  <w:pPr>
                    <w:pStyle w:val="32"/>
                    <w:spacing w:line="360" w:lineRule="exact"/>
                    <w:rPr>
                      <w:color w:val="000000" w:themeColor="text1"/>
                      <w:kern w:val="0"/>
                      <w:szCs w:val="21"/>
                    </w:rPr>
                  </w:pPr>
                  <w:r>
                    <w:rPr>
                      <w:rFonts w:hint="eastAsia"/>
                      <w:color w:val="000000" w:themeColor="text1"/>
                      <w:kern w:val="0"/>
                      <w:szCs w:val="21"/>
                    </w:rPr>
                    <w:t>356</w:t>
                  </w:r>
                  <w:r>
                    <w:rPr>
                      <w:color w:val="000000" w:themeColor="text1"/>
                      <w:kern w:val="0"/>
                      <w:szCs w:val="21"/>
                    </w:rPr>
                    <w:t>m</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w:t>
            </w:r>
            <w:r>
              <w:rPr>
                <w:rFonts w:hint="eastAsia" w:eastAsiaTheme="minorEastAsia"/>
                <w:color w:val="000000" w:themeColor="text1"/>
                <w:szCs w:val="24"/>
              </w:rPr>
              <w:t>未要求设施地表水环境保护目标；</w:t>
            </w:r>
            <w:r>
              <w:rPr>
                <w:rFonts w:eastAsiaTheme="minorEastAsia"/>
                <w:color w:val="000000" w:themeColor="text1"/>
                <w:szCs w:val="24"/>
              </w:rPr>
              <w:t>由根据调查发现，项目区域属于大桥河和小江的汇水范围</w:t>
            </w:r>
            <w:r>
              <w:rPr>
                <w:rFonts w:hint="eastAsia" w:eastAsiaTheme="minorEastAsia"/>
                <w:color w:val="000000" w:themeColor="text1"/>
                <w:szCs w:val="24"/>
              </w:rPr>
              <w:t>，</w:t>
            </w:r>
            <w:r>
              <w:rPr>
                <w:rFonts w:eastAsiaTheme="minorEastAsia"/>
                <w:color w:val="000000" w:themeColor="text1"/>
                <w:szCs w:val="24"/>
              </w:rPr>
              <w:t>因此拟将大桥河和小江列入该项目水环境保护目标。</w:t>
            </w:r>
          </w:p>
          <w:p>
            <w:pPr>
              <w:pStyle w:val="40"/>
              <w:ind w:firstLine="480"/>
              <w:rPr>
                <w:rFonts w:eastAsiaTheme="minorEastAsia"/>
                <w:color w:val="000000" w:themeColor="text1"/>
                <w:szCs w:val="24"/>
              </w:rPr>
            </w:pPr>
            <w:r>
              <w:rPr>
                <w:rFonts w:eastAsiaTheme="minorEastAsia"/>
                <w:color w:val="000000" w:themeColor="text1"/>
                <w:szCs w:val="24"/>
              </w:rPr>
              <w:t>根据调查</w:t>
            </w:r>
            <w:r>
              <w:rPr>
                <w:rFonts w:hint="eastAsia" w:eastAsiaTheme="minorEastAsia"/>
                <w:color w:val="000000" w:themeColor="text1"/>
                <w:szCs w:val="24"/>
              </w:rPr>
              <w:t>，</w:t>
            </w:r>
            <w:r>
              <w:rPr>
                <w:rFonts w:eastAsiaTheme="minorEastAsia"/>
                <w:color w:val="000000" w:themeColor="text1"/>
                <w:szCs w:val="24"/>
              </w:rPr>
              <w:t>本项目主要地表水环境保护目标如下表所示。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表3.2.2-1  地表水环境保护目标及保护级别一览表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60"/>
              <w:gridCol w:w="2552"/>
              <w:gridCol w:w="1349"/>
              <w:gridCol w:w="949"/>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类别</w:t>
                  </w:r>
                </w:p>
              </w:tc>
              <w:tc>
                <w:tcPr>
                  <w:tcW w:w="1004"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保护目标</w:t>
                  </w:r>
                </w:p>
              </w:tc>
              <w:tc>
                <w:tcPr>
                  <w:tcW w:w="2693"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坐标</w:t>
                  </w:r>
                </w:p>
              </w:tc>
              <w:tc>
                <w:tcPr>
                  <w:tcW w:w="1417"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与项目区的方位及距离</w:t>
                  </w:r>
                </w:p>
              </w:tc>
              <w:tc>
                <w:tcPr>
                  <w:tcW w:w="993"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高差</w:t>
                  </w:r>
                </w:p>
              </w:tc>
              <w:tc>
                <w:tcPr>
                  <w:tcW w:w="2015"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22" w:type="dxa"/>
                  <w:vMerge w:val="restart"/>
                  <w:tcBorders>
                    <w:top w:val="single" w:color="auto" w:sz="4" w:space="0"/>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地表水</w:t>
                  </w:r>
                </w:p>
              </w:tc>
              <w:tc>
                <w:tcPr>
                  <w:tcW w:w="1004"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bCs w:val="0"/>
                      <w:color w:val="000000" w:themeColor="text1"/>
                      <w:szCs w:val="24"/>
                    </w:rPr>
                    <w:t>小江</w:t>
                  </w:r>
                </w:p>
              </w:tc>
              <w:tc>
                <w:tcPr>
                  <w:tcW w:w="2693" w:type="dxa"/>
                  <w:vMerge w:val="restart"/>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起点</w:t>
                  </w:r>
                  <w:r>
                    <w:rPr>
                      <w:rFonts w:hint="eastAsia"/>
                      <w:color w:val="000000" w:themeColor="text1"/>
                      <w:szCs w:val="21"/>
                    </w:rPr>
                    <w:t>（大桥河）</w:t>
                  </w:r>
                  <w:r>
                    <w:rPr>
                      <w:color w:val="000000" w:themeColor="text1"/>
                      <w:szCs w:val="21"/>
                    </w:rPr>
                    <w:t>：东经103.162291°，北纬26.168843°；</w:t>
                  </w:r>
                </w:p>
                <w:p>
                  <w:pPr>
                    <w:pStyle w:val="32"/>
                    <w:spacing w:line="360" w:lineRule="exact"/>
                    <w:ind w:firstLine="210" w:firstLineChars="100"/>
                    <w:jc w:val="left"/>
                    <w:rPr>
                      <w:color w:val="000000" w:themeColor="text1"/>
                      <w:szCs w:val="21"/>
                    </w:rPr>
                  </w:pPr>
                  <w:r>
                    <w:rPr>
                      <w:color w:val="000000" w:themeColor="text1"/>
                      <w:szCs w:val="21"/>
                    </w:rPr>
                    <w:t>终点</w:t>
                  </w:r>
                  <w:r>
                    <w:rPr>
                      <w:rFonts w:hint="eastAsia"/>
                      <w:color w:val="000000" w:themeColor="text1"/>
                      <w:szCs w:val="21"/>
                    </w:rPr>
                    <w:t>（</w:t>
                  </w:r>
                  <w:r>
                    <w:rPr>
                      <w:color w:val="000000" w:themeColor="text1"/>
                      <w:szCs w:val="21"/>
                    </w:rPr>
                    <w:t>小江</w:t>
                  </w:r>
                  <w:r>
                    <w:rPr>
                      <w:rFonts w:hint="eastAsia"/>
                      <w:color w:val="000000" w:themeColor="text1"/>
                      <w:szCs w:val="21"/>
                    </w:rPr>
                    <w:t>）</w:t>
                  </w:r>
                  <w:r>
                    <w:rPr>
                      <w:color w:val="000000" w:themeColor="text1"/>
                      <w:szCs w:val="21"/>
                    </w:rPr>
                    <w:t>：东经103.124997°，北纬26.147099°；</w:t>
                  </w:r>
                </w:p>
              </w:tc>
              <w:tc>
                <w:tcPr>
                  <w:tcW w:w="1417"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4"/>
                    </w:rPr>
                    <w:t>西侧</w:t>
                  </w:r>
                  <w:r>
                    <w:rPr>
                      <w:rFonts w:hint="eastAsia"/>
                      <w:color w:val="000000" w:themeColor="text1"/>
                      <w:kern w:val="2"/>
                      <w:szCs w:val="24"/>
                    </w:rPr>
                    <w:t>3308</w:t>
                  </w:r>
                  <w:r>
                    <w:rPr>
                      <w:color w:val="000000" w:themeColor="text1"/>
                      <w:kern w:val="2"/>
                      <w:szCs w:val="24"/>
                    </w:rPr>
                    <w:t>m</w:t>
                  </w:r>
                </w:p>
              </w:tc>
              <w:tc>
                <w:tcPr>
                  <w:tcW w:w="993"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256</w:t>
                  </w:r>
                  <w:r>
                    <w:rPr>
                      <w:color w:val="000000" w:themeColor="text1"/>
                      <w:szCs w:val="21"/>
                    </w:rPr>
                    <w:t>m</w:t>
                  </w:r>
                </w:p>
              </w:tc>
              <w:tc>
                <w:tcPr>
                  <w:tcW w:w="2015" w:type="dxa"/>
                  <w:vMerge w:val="restart"/>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《地表水环境质量标准》（GB3838-2002）I</w:t>
                  </w:r>
                  <w:r>
                    <w:rPr>
                      <w:rFonts w:hint="eastAsia"/>
                      <w:color w:val="000000" w:themeColor="text1"/>
                      <w:szCs w:val="21"/>
                    </w:rPr>
                    <w:t>II</w:t>
                  </w:r>
                  <w:r>
                    <w:rPr>
                      <w:color w:val="000000" w:themeColor="text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22" w:type="dxa"/>
                  <w:vMerge w:val="continue"/>
                  <w:tcBorders>
                    <w:top w:val="single" w:color="auto" w:sz="4" w:space="0"/>
                    <w:left w:val="single" w:color="auto" w:sz="4" w:space="0"/>
                    <w:right w:val="single" w:color="auto" w:sz="4" w:space="0"/>
                  </w:tcBorders>
                  <w:vAlign w:val="center"/>
                </w:tcPr>
                <w:p>
                  <w:pPr>
                    <w:pStyle w:val="32"/>
                    <w:spacing w:line="360" w:lineRule="exact"/>
                    <w:rPr>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bCs w:val="0"/>
                      <w:color w:val="000000" w:themeColor="text1"/>
                      <w:szCs w:val="24"/>
                    </w:rPr>
                  </w:pPr>
                  <w:r>
                    <w:rPr>
                      <w:rFonts w:hint="eastAsia"/>
                      <w:bCs w:val="0"/>
                      <w:color w:val="000000" w:themeColor="text1"/>
                      <w:szCs w:val="24"/>
                    </w:rPr>
                    <w:t>大桥河</w:t>
                  </w:r>
                </w:p>
              </w:tc>
              <w:tc>
                <w:tcPr>
                  <w:tcW w:w="2693" w:type="dxa"/>
                  <w:vMerge w:val="continue"/>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bCs w:val="0"/>
                      <w:color w:val="000000" w:themeColor="text1"/>
                      <w:szCs w:val="24"/>
                    </w:rPr>
                  </w:pPr>
                  <w:r>
                    <w:rPr>
                      <w:rFonts w:hint="eastAsia"/>
                      <w:color w:val="000000" w:themeColor="text1"/>
                      <w:szCs w:val="24"/>
                    </w:rPr>
                    <w:t>南侧1033m</w:t>
                  </w:r>
                </w:p>
              </w:tc>
              <w:tc>
                <w:tcPr>
                  <w:tcW w:w="993"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55m</w:t>
                  </w:r>
                </w:p>
              </w:tc>
              <w:tc>
                <w:tcPr>
                  <w:tcW w:w="2015" w:type="dxa"/>
                  <w:vMerge w:val="continue"/>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w:t>
            </w:r>
            <w:r>
              <w:rPr>
                <w:rFonts w:hint="eastAsia" w:eastAsiaTheme="minorEastAsia"/>
                <w:color w:val="000000" w:themeColor="text1"/>
                <w:szCs w:val="24"/>
              </w:rPr>
              <w:t>，</w:t>
            </w:r>
            <w:r>
              <w:rPr>
                <w:rFonts w:eastAsiaTheme="minorEastAsia"/>
                <w:color w:val="000000" w:themeColor="text1"/>
                <w:szCs w:val="24"/>
              </w:rPr>
              <w:t>本项目位于昆明市东川区铜都街道办事处绿茂老村，本项目选址不涉及到地下水集中式饮用水水源和热水、矿泉水、温泉等特殊地下水资源。</w:t>
            </w:r>
          </w:p>
          <w:p>
            <w:pPr>
              <w:pStyle w:val="40"/>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根据《建设项目环境影响报告表编制技术指南》（污染影响类）（试行）的要求，本项目声环境评价范围为50m</w:t>
            </w:r>
            <w:r>
              <w:rPr>
                <w:rFonts w:hint="eastAsia" w:eastAsiaTheme="minorEastAsia"/>
                <w:color w:val="000000" w:themeColor="text1"/>
                <w:szCs w:val="24"/>
              </w:rPr>
              <w:t>，</w:t>
            </w:r>
            <w:r>
              <w:rPr>
                <w:rFonts w:eastAsiaTheme="minorEastAsia"/>
                <w:color w:val="000000" w:themeColor="text1"/>
                <w:szCs w:val="24"/>
              </w:rPr>
              <w:t>根据现场调查，本项目50m范围内无声环境保护目标。</w:t>
            </w:r>
          </w:p>
          <w:p>
            <w:pPr>
              <w:pStyle w:val="40"/>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本项目位于昆明市东川区铜都街道办事处绿茂老村，</w:t>
            </w:r>
            <w:r>
              <w:rPr>
                <w:rFonts w:hint="eastAsia" w:eastAsiaTheme="minorEastAsia"/>
                <w:color w:val="000000" w:themeColor="text1"/>
                <w:szCs w:val="24"/>
              </w:rPr>
              <w:t>本项目不在工业园区内，项目在原有项目厂区范围内进行改扩建，原有项目占地面积23333</w:t>
            </w:r>
            <w:r>
              <w:rPr>
                <w:rFonts w:eastAsiaTheme="minorEastAsia"/>
                <w:color w:val="000000" w:themeColor="text1"/>
                <w:szCs w:val="24"/>
              </w:rPr>
              <w:t>m²</w:t>
            </w:r>
            <w:r>
              <w:rPr>
                <w:rFonts w:hint="eastAsia" w:eastAsiaTheme="minorEastAsia"/>
                <w:color w:val="000000" w:themeColor="text1"/>
                <w:szCs w:val="24"/>
              </w:rPr>
              <w:t>，为满足土地利用总体规划的相关要求，项目占地面积由23333m²缩减至10300m²，不新增占地；</w:t>
            </w:r>
            <w:r>
              <w:rPr>
                <w:rFonts w:eastAsiaTheme="minorEastAsia"/>
                <w:color w:val="000000" w:themeColor="text1"/>
                <w:szCs w:val="24"/>
              </w:rPr>
              <w:t>因此不设置生态环境保护目标。</w:t>
            </w: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1" w:type="dxa"/>
            <w:vAlign w:val="center"/>
          </w:tcPr>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根据《建设项目环境影响报告表编制技术指南》（污染影响类）（试行）的要求，只需填写污染物控制标准，不需填写环境质量标准。因此</w:t>
            </w:r>
            <w:r>
              <w:rPr>
                <w:rFonts w:hint="eastAsia" w:eastAsiaTheme="minorEastAsia"/>
                <w:color w:val="000000" w:themeColor="text1"/>
                <w:szCs w:val="24"/>
              </w:rPr>
              <w:t>仅</w:t>
            </w:r>
            <w:r>
              <w:rPr>
                <w:rFonts w:eastAsiaTheme="minorEastAsia"/>
                <w:color w:val="000000" w:themeColor="text1"/>
                <w:szCs w:val="24"/>
              </w:rPr>
              <w:t>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污染物排放控制标准</w:t>
            </w:r>
          </w:p>
          <w:p>
            <w:pPr>
              <w:pStyle w:val="40"/>
              <w:ind w:firstLine="482"/>
              <w:rPr>
                <w:rFonts w:eastAsiaTheme="minorEastAsia"/>
                <w:b/>
                <w:color w:val="000000" w:themeColor="text1"/>
                <w:szCs w:val="24"/>
              </w:rPr>
            </w:pPr>
            <w:r>
              <w:rPr>
                <w:rFonts w:eastAsiaTheme="minorEastAsia"/>
                <w:b/>
                <w:color w:val="000000" w:themeColor="text1"/>
                <w:szCs w:val="24"/>
              </w:rPr>
              <w:t>3.3.1 废气排放标准</w:t>
            </w:r>
          </w:p>
          <w:p>
            <w:pPr>
              <w:pStyle w:val="40"/>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施工期大气污染物排放执行《大气污染物综合排放标准》（GB16297-1996）表2中无组织排放浓度排放限值。标准值如下表所示。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3.3.1</w:t>
            </w:r>
            <w:r>
              <w:rPr>
                <w:rFonts w:ascii="Times New Roman" w:hAnsi="Times New Roman" w:cs="Times New Roman"/>
                <w:b/>
                <w:color w:val="000000" w:themeColor="text1"/>
                <w:szCs w:val="24"/>
              </w:rPr>
              <w:t xml:space="preserve">-1 </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大气污染物排放限值  单位：mg/m³</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3401"/>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76" w:type="dxa"/>
                </w:tcPr>
                <w:p>
                  <w:pPr>
                    <w:pStyle w:val="32"/>
                    <w:spacing w:line="360" w:lineRule="exact"/>
                    <w:rPr>
                      <w:color w:val="000000" w:themeColor="text1"/>
                      <w:szCs w:val="21"/>
                    </w:rPr>
                  </w:pPr>
                  <w:r>
                    <w:rPr>
                      <w:color w:val="000000" w:themeColor="text1"/>
                      <w:szCs w:val="21"/>
                    </w:rPr>
                    <w:t>污染物</w:t>
                  </w:r>
                </w:p>
              </w:tc>
              <w:tc>
                <w:tcPr>
                  <w:tcW w:w="3577" w:type="dxa"/>
                </w:tcPr>
                <w:p>
                  <w:pPr>
                    <w:pStyle w:val="32"/>
                    <w:spacing w:line="360" w:lineRule="exact"/>
                    <w:rPr>
                      <w:color w:val="000000" w:themeColor="text1"/>
                      <w:szCs w:val="21"/>
                    </w:rPr>
                  </w:pPr>
                  <w:r>
                    <w:rPr>
                      <w:color w:val="000000" w:themeColor="text1"/>
                      <w:szCs w:val="21"/>
                    </w:rPr>
                    <w:t>最高允许排放浓度</w:t>
                  </w:r>
                </w:p>
              </w:tc>
              <w:tc>
                <w:tcPr>
                  <w:tcW w:w="3291" w:type="dxa"/>
                </w:tcPr>
                <w:p>
                  <w:pPr>
                    <w:pStyle w:val="32"/>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pStyle w:val="32"/>
                    <w:spacing w:line="360" w:lineRule="exact"/>
                    <w:rPr>
                      <w:color w:val="000000" w:themeColor="text1"/>
                      <w:szCs w:val="21"/>
                    </w:rPr>
                  </w:pPr>
                  <w:r>
                    <w:rPr>
                      <w:color w:val="000000" w:themeColor="text1"/>
                      <w:szCs w:val="21"/>
                    </w:rPr>
                    <w:t>颗粒物</w:t>
                  </w:r>
                </w:p>
              </w:tc>
              <w:tc>
                <w:tcPr>
                  <w:tcW w:w="3577" w:type="dxa"/>
                </w:tcPr>
                <w:p>
                  <w:pPr>
                    <w:pStyle w:val="32"/>
                    <w:spacing w:line="360" w:lineRule="exact"/>
                    <w:rPr>
                      <w:color w:val="000000" w:themeColor="text1"/>
                      <w:szCs w:val="21"/>
                    </w:rPr>
                  </w:pPr>
                  <w:r>
                    <w:rPr>
                      <w:color w:val="000000" w:themeColor="text1"/>
                      <w:szCs w:val="21"/>
                    </w:rPr>
                    <w:t>--</w:t>
                  </w:r>
                </w:p>
              </w:tc>
              <w:tc>
                <w:tcPr>
                  <w:tcW w:w="3291" w:type="dxa"/>
                </w:tcPr>
                <w:p>
                  <w:pPr>
                    <w:pStyle w:val="32"/>
                    <w:spacing w:line="360" w:lineRule="exact"/>
                    <w:rPr>
                      <w:color w:val="000000" w:themeColor="text1"/>
                      <w:szCs w:val="21"/>
                    </w:rPr>
                  </w:pPr>
                  <w:r>
                    <w:rPr>
                      <w:color w:val="000000" w:themeColor="text1"/>
                      <w:szCs w:val="21"/>
                    </w:rPr>
                    <w:t>1.0</w:t>
                  </w:r>
                </w:p>
              </w:tc>
            </w:tr>
          </w:tbl>
          <w:p>
            <w:pPr>
              <w:pStyle w:val="40"/>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项目属于砖瓦制造项目</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项目产生的废气</w:t>
            </w:r>
            <w:r>
              <w:rPr>
                <w:rFonts w:hint="eastAsia" w:ascii="Times New Roman" w:hAnsi="Times New Roman" w:cs="Times New Roman"/>
                <w:color w:val="000000" w:themeColor="text1"/>
                <w:sz w:val="24"/>
                <w:szCs w:val="24"/>
              </w:rPr>
              <w:t>主要包括生产工艺废气和厨房油烟。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①生产工艺废气执行标准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项目生产工艺废气包括：页岩采装过程扬尘、原料卸料扬尘、堆场扬尘、原料输送过程扬尘、破碎车间粉尘、焙烧烟气等。</w:t>
            </w:r>
            <w:r>
              <w:rPr>
                <w:rFonts w:ascii="Times New Roman" w:hAnsi="Times New Roman" w:cs="Times New Roman"/>
                <w:color w:val="000000" w:themeColor="text1"/>
                <w:sz w:val="24"/>
                <w:szCs w:val="24"/>
              </w:rPr>
              <w:t>执行《砖瓦工业大气污染物排放标准》（GB29620-2013）</w:t>
            </w:r>
            <w:r>
              <w:rPr>
                <w:rFonts w:hint="eastAsia" w:ascii="Times New Roman" w:hAnsi="Times New Roman" w:cs="Times New Roman"/>
                <w:color w:val="000000" w:themeColor="text1"/>
                <w:sz w:val="24"/>
                <w:szCs w:val="24"/>
              </w:rPr>
              <w:t>及其修改单，</w:t>
            </w:r>
            <w:r>
              <w:rPr>
                <w:rFonts w:ascii="Times New Roman" w:hAnsi="Times New Roman" w:cs="Times New Roman"/>
                <w:color w:val="000000" w:themeColor="text1"/>
                <w:sz w:val="24"/>
                <w:szCs w:val="24"/>
              </w:rPr>
              <w:t>其标准值如下表所示。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3.3.1</w:t>
            </w:r>
            <w:r>
              <w:rPr>
                <w:rFonts w:ascii="Times New Roman" w:hAnsi="Times New Roman" w:cs="Times New Roman"/>
                <w:b/>
                <w:color w:val="000000" w:themeColor="text1"/>
                <w:szCs w:val="24"/>
              </w:rPr>
              <w:t>-2 大气污染物排放限值  单位：mg/m³</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1136"/>
              <w:gridCol w:w="1136"/>
              <w:gridCol w:w="1278"/>
              <w:gridCol w:w="1136"/>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vMerge w:val="restart"/>
                  <w:vAlign w:val="center"/>
                </w:tcPr>
                <w:p>
                  <w:pPr>
                    <w:pStyle w:val="32"/>
                    <w:spacing w:line="360" w:lineRule="exact"/>
                    <w:rPr>
                      <w:color w:val="000000" w:themeColor="text1"/>
                      <w:szCs w:val="21"/>
                    </w:rPr>
                  </w:pPr>
                  <w:r>
                    <w:rPr>
                      <w:color w:val="000000" w:themeColor="text1"/>
                      <w:szCs w:val="21"/>
                    </w:rPr>
                    <w:t>生产过程</w:t>
                  </w:r>
                </w:p>
              </w:tc>
              <w:tc>
                <w:tcPr>
                  <w:tcW w:w="4678" w:type="dxa"/>
                  <w:gridSpan w:val="4"/>
                  <w:vAlign w:val="center"/>
                </w:tcPr>
                <w:p>
                  <w:pPr>
                    <w:pStyle w:val="32"/>
                    <w:spacing w:line="360" w:lineRule="exact"/>
                    <w:rPr>
                      <w:color w:val="000000" w:themeColor="text1"/>
                      <w:szCs w:val="21"/>
                    </w:rPr>
                  </w:pPr>
                  <w:r>
                    <w:rPr>
                      <w:color w:val="000000" w:themeColor="text1"/>
                      <w:szCs w:val="21"/>
                    </w:rPr>
                    <w:t>最高允许排放浓度</w:t>
                  </w:r>
                </w:p>
              </w:tc>
              <w:tc>
                <w:tcPr>
                  <w:tcW w:w="1633" w:type="dxa"/>
                  <w:vAlign w:val="center"/>
                </w:tcPr>
                <w:p>
                  <w:pPr>
                    <w:pStyle w:val="32"/>
                    <w:spacing w:line="360" w:lineRule="exact"/>
                    <w:rPr>
                      <w:color w:val="000000" w:themeColor="text1"/>
                      <w:szCs w:val="21"/>
                    </w:rPr>
                  </w:pPr>
                  <w:r>
                    <w:rPr>
                      <w:color w:val="000000" w:themeColor="text1"/>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vMerge w:val="continue"/>
                  <w:vAlign w:val="center"/>
                </w:tcPr>
                <w:p>
                  <w:pPr>
                    <w:pStyle w:val="32"/>
                    <w:spacing w:line="360" w:lineRule="exact"/>
                    <w:rPr>
                      <w:color w:val="000000" w:themeColor="text1"/>
                      <w:szCs w:val="21"/>
                    </w:rPr>
                  </w:pPr>
                </w:p>
              </w:tc>
              <w:tc>
                <w:tcPr>
                  <w:tcW w:w="1134" w:type="dxa"/>
                  <w:vAlign w:val="center"/>
                </w:tcPr>
                <w:p>
                  <w:pPr>
                    <w:pStyle w:val="32"/>
                    <w:spacing w:line="360" w:lineRule="exact"/>
                    <w:rPr>
                      <w:color w:val="000000" w:themeColor="text1"/>
                      <w:szCs w:val="21"/>
                    </w:rPr>
                  </w:pPr>
                  <w:r>
                    <w:rPr>
                      <w:color w:val="000000" w:themeColor="text1"/>
                      <w:szCs w:val="21"/>
                    </w:rPr>
                    <w:t>颗粒物</w:t>
                  </w:r>
                </w:p>
              </w:tc>
              <w:tc>
                <w:tcPr>
                  <w:tcW w:w="1134" w:type="dxa"/>
                  <w:vAlign w:val="center"/>
                </w:tcPr>
                <w:p>
                  <w:pPr>
                    <w:pStyle w:val="32"/>
                    <w:spacing w:line="360" w:lineRule="exact"/>
                    <w:rPr>
                      <w:color w:val="000000" w:themeColor="text1"/>
                      <w:szCs w:val="21"/>
                    </w:rPr>
                  </w:pPr>
                  <w:r>
                    <w:rPr>
                      <w:color w:val="000000" w:themeColor="text1"/>
                      <w:szCs w:val="21"/>
                    </w:rPr>
                    <w:t>二氧化硫</w:t>
                  </w:r>
                </w:p>
              </w:tc>
              <w:tc>
                <w:tcPr>
                  <w:tcW w:w="1276" w:type="dxa"/>
                  <w:vAlign w:val="center"/>
                </w:tcPr>
                <w:p>
                  <w:pPr>
                    <w:pStyle w:val="32"/>
                    <w:spacing w:line="360" w:lineRule="exact"/>
                    <w:rPr>
                      <w:color w:val="000000" w:themeColor="text1"/>
                      <w:szCs w:val="21"/>
                    </w:rPr>
                  </w:pPr>
                  <w:r>
                    <w:rPr>
                      <w:color w:val="000000" w:themeColor="text1"/>
                      <w:szCs w:val="21"/>
                    </w:rPr>
                    <w:t>氮氧化物</w:t>
                  </w:r>
                </w:p>
              </w:tc>
              <w:tc>
                <w:tcPr>
                  <w:tcW w:w="1134" w:type="dxa"/>
                  <w:vAlign w:val="center"/>
                </w:tcPr>
                <w:p>
                  <w:pPr>
                    <w:pStyle w:val="32"/>
                    <w:spacing w:line="360" w:lineRule="exact"/>
                    <w:rPr>
                      <w:color w:val="000000" w:themeColor="text1"/>
                      <w:szCs w:val="21"/>
                    </w:rPr>
                  </w:pPr>
                  <w:r>
                    <w:rPr>
                      <w:color w:val="000000" w:themeColor="text1"/>
                      <w:szCs w:val="21"/>
                    </w:rPr>
                    <w:t>氟化物</w:t>
                  </w:r>
                </w:p>
              </w:tc>
              <w:tc>
                <w:tcPr>
                  <w:tcW w:w="1633" w:type="dxa"/>
                  <w:vMerge w:val="restart"/>
                  <w:vAlign w:val="center"/>
                </w:tcPr>
                <w:p>
                  <w:pPr>
                    <w:pStyle w:val="32"/>
                    <w:spacing w:line="360" w:lineRule="exact"/>
                    <w:rPr>
                      <w:color w:val="000000" w:themeColor="text1"/>
                      <w:szCs w:val="21"/>
                    </w:rPr>
                  </w:pPr>
                  <w:r>
                    <w:rPr>
                      <w:color w:val="000000" w:themeColor="text1"/>
                      <w:szCs w:val="21"/>
                    </w:rPr>
                    <w:t>车间或生产设施监控位置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1" w:type="dxa"/>
                  <w:vAlign w:val="center"/>
                </w:tcPr>
                <w:p>
                  <w:pPr>
                    <w:pStyle w:val="32"/>
                    <w:spacing w:line="360" w:lineRule="exact"/>
                    <w:rPr>
                      <w:color w:val="000000" w:themeColor="text1"/>
                      <w:szCs w:val="21"/>
                    </w:rPr>
                  </w:pPr>
                  <w:r>
                    <w:rPr>
                      <w:color w:val="000000" w:themeColor="text1"/>
                      <w:szCs w:val="21"/>
                    </w:rPr>
                    <w:t>原料破碎及制备过程</w:t>
                  </w:r>
                </w:p>
              </w:tc>
              <w:tc>
                <w:tcPr>
                  <w:tcW w:w="1134" w:type="dxa"/>
                  <w:vAlign w:val="center"/>
                </w:tcPr>
                <w:p>
                  <w:pPr>
                    <w:pStyle w:val="32"/>
                    <w:spacing w:line="360" w:lineRule="exact"/>
                    <w:rPr>
                      <w:color w:val="000000" w:themeColor="text1"/>
                      <w:szCs w:val="21"/>
                    </w:rPr>
                  </w:pPr>
                  <w:r>
                    <w:rPr>
                      <w:color w:val="000000" w:themeColor="text1"/>
                      <w:szCs w:val="21"/>
                    </w:rPr>
                    <w:t>30</w:t>
                  </w:r>
                </w:p>
              </w:tc>
              <w:tc>
                <w:tcPr>
                  <w:tcW w:w="1134" w:type="dxa"/>
                  <w:vAlign w:val="center"/>
                </w:tcPr>
                <w:p>
                  <w:pPr>
                    <w:pStyle w:val="32"/>
                    <w:spacing w:line="360" w:lineRule="exact"/>
                    <w:rPr>
                      <w:color w:val="000000" w:themeColor="text1"/>
                      <w:szCs w:val="21"/>
                    </w:rPr>
                  </w:pPr>
                  <w:r>
                    <w:rPr>
                      <w:color w:val="000000" w:themeColor="text1"/>
                      <w:szCs w:val="21"/>
                    </w:rPr>
                    <w:t>--</w:t>
                  </w:r>
                </w:p>
              </w:tc>
              <w:tc>
                <w:tcPr>
                  <w:tcW w:w="1276" w:type="dxa"/>
                  <w:vAlign w:val="center"/>
                </w:tcPr>
                <w:p>
                  <w:pPr>
                    <w:pStyle w:val="32"/>
                    <w:spacing w:line="360" w:lineRule="exact"/>
                    <w:rPr>
                      <w:color w:val="000000" w:themeColor="text1"/>
                      <w:szCs w:val="21"/>
                    </w:rPr>
                  </w:pPr>
                  <w:r>
                    <w:rPr>
                      <w:color w:val="000000" w:themeColor="text1"/>
                      <w:szCs w:val="21"/>
                    </w:rPr>
                    <w:t>--</w:t>
                  </w:r>
                </w:p>
              </w:tc>
              <w:tc>
                <w:tcPr>
                  <w:tcW w:w="1134" w:type="dxa"/>
                  <w:vAlign w:val="center"/>
                </w:tcPr>
                <w:p>
                  <w:pPr>
                    <w:pStyle w:val="32"/>
                    <w:spacing w:line="360" w:lineRule="exact"/>
                    <w:rPr>
                      <w:color w:val="000000" w:themeColor="text1"/>
                      <w:szCs w:val="21"/>
                    </w:rPr>
                  </w:pPr>
                  <w:r>
                    <w:rPr>
                      <w:color w:val="000000" w:themeColor="text1"/>
                      <w:szCs w:val="21"/>
                    </w:rPr>
                    <w:t>--</w:t>
                  </w:r>
                </w:p>
              </w:tc>
              <w:tc>
                <w:tcPr>
                  <w:tcW w:w="1633"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vAlign w:val="center"/>
                </w:tcPr>
                <w:p>
                  <w:pPr>
                    <w:pStyle w:val="32"/>
                    <w:spacing w:line="360" w:lineRule="exact"/>
                    <w:rPr>
                      <w:color w:val="000000" w:themeColor="text1"/>
                      <w:szCs w:val="21"/>
                    </w:rPr>
                  </w:pPr>
                  <w:r>
                    <w:rPr>
                      <w:color w:val="000000" w:themeColor="text1"/>
                      <w:szCs w:val="21"/>
                    </w:rPr>
                    <w:t>焙烧过程</w:t>
                  </w:r>
                </w:p>
              </w:tc>
              <w:tc>
                <w:tcPr>
                  <w:tcW w:w="1134" w:type="dxa"/>
                  <w:vAlign w:val="center"/>
                </w:tcPr>
                <w:p>
                  <w:pPr>
                    <w:pStyle w:val="32"/>
                    <w:spacing w:line="360" w:lineRule="exact"/>
                    <w:rPr>
                      <w:color w:val="000000" w:themeColor="text1"/>
                      <w:szCs w:val="21"/>
                    </w:rPr>
                  </w:pPr>
                  <w:r>
                    <w:rPr>
                      <w:color w:val="000000" w:themeColor="text1"/>
                      <w:szCs w:val="21"/>
                    </w:rPr>
                    <w:t>30</w:t>
                  </w:r>
                </w:p>
              </w:tc>
              <w:tc>
                <w:tcPr>
                  <w:tcW w:w="1134" w:type="dxa"/>
                  <w:vAlign w:val="center"/>
                </w:tcPr>
                <w:p>
                  <w:pPr>
                    <w:pStyle w:val="32"/>
                    <w:spacing w:line="360" w:lineRule="exact"/>
                    <w:rPr>
                      <w:color w:val="000000" w:themeColor="text1"/>
                      <w:szCs w:val="21"/>
                    </w:rPr>
                  </w:pPr>
                  <w:r>
                    <w:rPr>
                      <w:rFonts w:hint="eastAsia"/>
                      <w:color w:val="000000" w:themeColor="text1"/>
                      <w:szCs w:val="21"/>
                    </w:rPr>
                    <w:t>150</w:t>
                  </w:r>
                </w:p>
              </w:tc>
              <w:tc>
                <w:tcPr>
                  <w:tcW w:w="1276" w:type="dxa"/>
                  <w:vAlign w:val="center"/>
                </w:tcPr>
                <w:p>
                  <w:pPr>
                    <w:pStyle w:val="32"/>
                    <w:spacing w:line="360" w:lineRule="exact"/>
                    <w:rPr>
                      <w:color w:val="000000" w:themeColor="text1"/>
                      <w:szCs w:val="21"/>
                    </w:rPr>
                  </w:pPr>
                  <w:r>
                    <w:rPr>
                      <w:color w:val="000000" w:themeColor="text1"/>
                      <w:szCs w:val="21"/>
                    </w:rPr>
                    <w:t>200</w:t>
                  </w:r>
                </w:p>
              </w:tc>
              <w:tc>
                <w:tcPr>
                  <w:tcW w:w="1134" w:type="dxa"/>
                  <w:vAlign w:val="center"/>
                </w:tcPr>
                <w:p>
                  <w:pPr>
                    <w:pStyle w:val="32"/>
                    <w:spacing w:line="360" w:lineRule="exact"/>
                    <w:rPr>
                      <w:color w:val="000000" w:themeColor="text1"/>
                      <w:szCs w:val="21"/>
                    </w:rPr>
                  </w:pPr>
                  <w:r>
                    <w:rPr>
                      <w:color w:val="000000" w:themeColor="text1"/>
                      <w:szCs w:val="21"/>
                    </w:rPr>
                    <w:t>3</w:t>
                  </w:r>
                </w:p>
              </w:tc>
              <w:tc>
                <w:tcPr>
                  <w:tcW w:w="1633"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vAlign w:val="center"/>
                </w:tcPr>
                <w:p>
                  <w:pPr>
                    <w:pStyle w:val="32"/>
                    <w:spacing w:line="360" w:lineRule="exact"/>
                    <w:rPr>
                      <w:color w:val="000000" w:themeColor="text1"/>
                      <w:szCs w:val="21"/>
                      <w:lang w:val="en-US"/>
                    </w:rPr>
                  </w:pPr>
                  <w:r>
                    <w:rPr>
                      <w:color w:val="000000" w:themeColor="text1"/>
                      <w:szCs w:val="21"/>
                    </w:rPr>
                    <w:t>企业边界任何小时平均浓度</w:t>
                  </w:r>
                </w:p>
              </w:tc>
              <w:tc>
                <w:tcPr>
                  <w:tcW w:w="1134" w:type="dxa"/>
                  <w:vAlign w:val="center"/>
                </w:tcPr>
                <w:p>
                  <w:pPr>
                    <w:pStyle w:val="32"/>
                    <w:spacing w:line="360" w:lineRule="exact"/>
                    <w:rPr>
                      <w:color w:val="000000" w:themeColor="text1"/>
                      <w:szCs w:val="21"/>
                    </w:rPr>
                  </w:pPr>
                  <w:r>
                    <w:rPr>
                      <w:color w:val="000000" w:themeColor="text1"/>
                      <w:szCs w:val="21"/>
                    </w:rPr>
                    <w:t>1.0</w:t>
                  </w:r>
                </w:p>
              </w:tc>
              <w:tc>
                <w:tcPr>
                  <w:tcW w:w="1134" w:type="dxa"/>
                  <w:vAlign w:val="center"/>
                </w:tcPr>
                <w:p>
                  <w:pPr>
                    <w:pStyle w:val="32"/>
                    <w:spacing w:line="360" w:lineRule="exact"/>
                    <w:rPr>
                      <w:color w:val="000000" w:themeColor="text1"/>
                      <w:szCs w:val="21"/>
                    </w:rPr>
                  </w:pPr>
                  <w:r>
                    <w:rPr>
                      <w:rFonts w:hint="eastAsia"/>
                      <w:color w:val="000000" w:themeColor="text1"/>
                      <w:szCs w:val="21"/>
                    </w:rPr>
                    <w:t>0.5</w:t>
                  </w:r>
                </w:p>
              </w:tc>
              <w:tc>
                <w:tcPr>
                  <w:tcW w:w="1276" w:type="dxa"/>
                  <w:vAlign w:val="center"/>
                </w:tcPr>
                <w:p>
                  <w:pPr>
                    <w:pStyle w:val="32"/>
                    <w:spacing w:line="360" w:lineRule="exact"/>
                    <w:rPr>
                      <w:color w:val="000000" w:themeColor="text1"/>
                      <w:szCs w:val="21"/>
                    </w:rPr>
                  </w:pPr>
                  <w:r>
                    <w:rPr>
                      <w:color w:val="000000" w:themeColor="text1"/>
                      <w:szCs w:val="21"/>
                    </w:rPr>
                    <w:t>--</w:t>
                  </w:r>
                </w:p>
              </w:tc>
              <w:tc>
                <w:tcPr>
                  <w:tcW w:w="1134" w:type="dxa"/>
                  <w:vAlign w:val="center"/>
                </w:tcPr>
                <w:p>
                  <w:pPr>
                    <w:pStyle w:val="32"/>
                    <w:spacing w:line="360" w:lineRule="exact"/>
                    <w:rPr>
                      <w:color w:val="000000" w:themeColor="text1"/>
                      <w:szCs w:val="21"/>
                    </w:rPr>
                  </w:pPr>
                  <w:r>
                    <w:rPr>
                      <w:rFonts w:hint="eastAsia"/>
                      <w:color w:val="000000" w:themeColor="text1"/>
                      <w:szCs w:val="21"/>
                    </w:rPr>
                    <w:t>0.02</w:t>
                  </w:r>
                </w:p>
              </w:tc>
              <w:tc>
                <w:tcPr>
                  <w:tcW w:w="1633" w:type="dxa"/>
                  <w:vAlign w:val="center"/>
                </w:tcPr>
                <w:p>
                  <w:pPr>
                    <w:pStyle w:val="32"/>
                    <w:spacing w:line="360" w:lineRule="exact"/>
                    <w:rPr>
                      <w:color w:val="000000" w:themeColor="text1"/>
                      <w:szCs w:val="21"/>
                    </w:rPr>
                  </w:pPr>
                  <w:r>
                    <w:rPr>
                      <w:rFonts w:hint="eastAsia"/>
                      <w:color w:val="000000" w:themeColor="text1"/>
                      <w:szCs w:val="21"/>
                    </w:rPr>
                    <w:t>企业边界</w:t>
                  </w:r>
                </w:p>
              </w:tc>
            </w:tr>
          </w:tbl>
          <w:p>
            <w:pPr>
              <w:pStyle w:val="40"/>
              <w:spacing w:beforeLines="50"/>
              <w:ind w:firstLine="482"/>
              <w:rPr>
                <w:rFonts w:eastAsiaTheme="minorEastAsia"/>
                <w:b/>
                <w:color w:val="000000" w:themeColor="text1"/>
                <w:szCs w:val="24"/>
              </w:rPr>
            </w:pPr>
            <w:r>
              <w:rPr>
                <w:rFonts w:hint="eastAsia" w:eastAsiaTheme="minorEastAsia"/>
                <w:b/>
                <w:color w:val="000000" w:themeColor="text1"/>
                <w:szCs w:val="24"/>
              </w:rPr>
              <w:t>②厨房油烟</w:t>
            </w:r>
            <w:r>
              <w:rPr>
                <w:rFonts w:hint="eastAsia"/>
                <w:b/>
                <w:color w:val="000000" w:themeColor="text1"/>
                <w:szCs w:val="24"/>
              </w:rPr>
              <w:t>执行标准</w:t>
            </w:r>
          </w:p>
          <w:p>
            <w:pPr>
              <w:pStyle w:val="40"/>
              <w:ind w:firstLine="480"/>
              <w:rPr>
                <w:color w:val="000000" w:themeColor="text1"/>
              </w:rPr>
            </w:pPr>
            <w:r>
              <w:rPr>
                <w:color w:val="000000" w:themeColor="text1"/>
              </w:rPr>
              <w:t>项目设置一间厨房（含一个灶头），厨房油烟参照执行《饮食业油烟排放标准》（GB18483-2001）（试行）小型标准，即，灶头数＜3，标准值如下表所示。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3.3.1-3</w:t>
            </w:r>
            <w:r>
              <w:rPr>
                <w:rFonts w:ascii="Times New Roman" w:hAnsi="Times New Roman" w:cs="Times New Roman"/>
                <w:b/>
                <w:color w:val="000000" w:themeColor="text1"/>
                <w:szCs w:val="24"/>
              </w:rPr>
              <w:t xml:space="preserve"> 饮食业单位的油烟最高允许排放浓度和油烟净化设施最低去除效率</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454"/>
              <w:gridCol w:w="3062"/>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3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规模</w:t>
                  </w:r>
                </w:p>
              </w:tc>
              <w:tc>
                <w:tcPr>
                  <w:tcW w:w="1560"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基准灶头数</w:t>
                  </w:r>
                </w:p>
              </w:tc>
              <w:tc>
                <w:tcPr>
                  <w:tcW w:w="3308"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最高允许排放浓度（mg/m³）</w:t>
                  </w:r>
                </w:p>
              </w:tc>
              <w:tc>
                <w:tcPr>
                  <w:tcW w:w="346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净化设施最低去除效率（%）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小型</w:t>
                  </w:r>
                </w:p>
              </w:tc>
              <w:tc>
                <w:tcPr>
                  <w:tcW w:w="1560"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≥1，＜3</w:t>
                  </w:r>
                </w:p>
              </w:tc>
              <w:tc>
                <w:tcPr>
                  <w:tcW w:w="3308"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2.0</w:t>
                  </w:r>
                </w:p>
              </w:tc>
              <w:tc>
                <w:tcPr>
                  <w:tcW w:w="346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60</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根据项目特点，本项目施工量较小，施工</w:t>
            </w:r>
            <w:r>
              <w:rPr>
                <w:rFonts w:hint="eastAsia" w:ascii="Times New Roman" w:hAnsi="Times New Roman" w:cs="Times New Roman"/>
                <w:color w:val="000000" w:themeColor="text1"/>
                <w:sz w:val="24"/>
                <w:szCs w:val="24"/>
              </w:rPr>
              <w:t>废水和施工生活污</w:t>
            </w:r>
            <w:r>
              <w:rPr>
                <w:rFonts w:ascii="Times New Roman" w:hAnsi="Times New Roman" w:cs="Times New Roman"/>
                <w:color w:val="000000" w:themeColor="text1"/>
                <w:sz w:val="24"/>
                <w:szCs w:val="24"/>
              </w:rPr>
              <w:t>水通过施工场地的临时沉淀池沉淀处理后，回用于施工场地洒水降尘，不外排</w:t>
            </w:r>
            <w:r>
              <w:rPr>
                <w:rFonts w:hint="eastAsia" w:ascii="Times New Roman" w:hAnsi="Times New Roman" w:cs="Times New Roman"/>
                <w:color w:val="000000" w:themeColor="text1"/>
                <w:sz w:val="24"/>
                <w:szCs w:val="24"/>
              </w:rPr>
              <w:t>；因此不设排放标准。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项目运营期废水包括脱硫废水、初期雨水和生活污水。</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①脱硫废水和初期雨水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项目脱硫除尘系统定期排出的脱硫废水，项目拟单独配套设置1个30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的脱硫废水沉淀池对脱硫废水进行收集沉淀处理，并调节其pH值后，用于生产；而针对初期雨水，项目拟配套设置了1个60m³的初期雨水收集池</w:t>
            </w:r>
            <w:r>
              <w:rPr>
                <w:rFonts w:ascii="Times New Roman" w:hAnsi="Times New Roman" w:cs="Times New Roman"/>
                <w:color w:val="000000" w:themeColor="text1"/>
                <w:sz w:val="24"/>
                <w:szCs w:val="24"/>
              </w:rPr>
              <w:t>，对厂区的初期雨水进行收集；收集后</w:t>
            </w:r>
            <w:r>
              <w:rPr>
                <w:rFonts w:hint="eastAsia" w:ascii="Times New Roman" w:hAnsi="Times New Roman" w:cs="Times New Roman"/>
                <w:color w:val="000000" w:themeColor="text1"/>
                <w:sz w:val="24"/>
                <w:szCs w:val="24"/>
              </w:rPr>
              <w:t>用于本项目生产用水，不外排。因此不设排放标准。</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项目产生的生活污水通过隔油池、化粪池和一体化污水处理设施处理后，回用于绿化不外排；执行《城市污水再生利用 城市杂用水水质》（GB/T18920 -2020）城市绿化标准。标准限值详见下表。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城市污水再生利用 城市杂用水标准</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394"/>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序号</w:t>
                  </w:r>
                </w:p>
              </w:tc>
              <w:tc>
                <w:tcPr>
                  <w:tcW w:w="3402" w:type="dxa"/>
                  <w:vAlign w:val="center"/>
                </w:tcPr>
                <w:p>
                  <w:pPr>
                    <w:pStyle w:val="32"/>
                    <w:spacing w:line="360" w:lineRule="exact"/>
                    <w:rPr>
                      <w:color w:val="000000" w:themeColor="text1"/>
                      <w:szCs w:val="21"/>
                    </w:rPr>
                  </w:pPr>
                  <w:r>
                    <w:rPr>
                      <w:color w:val="000000" w:themeColor="text1"/>
                      <w:szCs w:val="21"/>
                    </w:rPr>
                    <w:t>项目</w:t>
                  </w:r>
                </w:p>
              </w:tc>
              <w:tc>
                <w:tcPr>
                  <w:tcW w:w="2455" w:type="dxa"/>
                  <w:vAlign w:val="center"/>
                </w:tcPr>
                <w:p>
                  <w:pPr>
                    <w:pStyle w:val="32"/>
                    <w:spacing w:line="360" w:lineRule="exact"/>
                    <w:rPr>
                      <w:color w:val="000000" w:themeColor="text1"/>
                      <w:szCs w:val="21"/>
                    </w:rPr>
                  </w:pPr>
                  <w:r>
                    <w:rPr>
                      <w:color w:val="000000" w:themeColor="text1"/>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1</w:t>
                  </w:r>
                </w:p>
              </w:tc>
              <w:tc>
                <w:tcPr>
                  <w:tcW w:w="3402" w:type="dxa"/>
                  <w:vAlign w:val="center"/>
                </w:tcPr>
                <w:p>
                  <w:pPr>
                    <w:pStyle w:val="32"/>
                    <w:spacing w:line="360" w:lineRule="exact"/>
                    <w:rPr>
                      <w:color w:val="000000" w:themeColor="text1"/>
                      <w:szCs w:val="21"/>
                    </w:rPr>
                  </w:pPr>
                  <w:r>
                    <w:rPr>
                      <w:color w:val="000000" w:themeColor="text1"/>
                      <w:szCs w:val="21"/>
                    </w:rPr>
                    <w:t>pH</w:t>
                  </w:r>
                </w:p>
              </w:tc>
              <w:tc>
                <w:tcPr>
                  <w:tcW w:w="2455" w:type="dxa"/>
                  <w:vAlign w:val="center"/>
                </w:tcPr>
                <w:p>
                  <w:pPr>
                    <w:pStyle w:val="32"/>
                    <w:spacing w:line="360" w:lineRule="exact"/>
                    <w:rPr>
                      <w:color w:val="000000" w:themeColor="text1"/>
                      <w:szCs w:val="21"/>
                    </w:rPr>
                  </w:pPr>
                  <w:r>
                    <w:rPr>
                      <w:color w:val="000000" w:themeColor="text1"/>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2</w:t>
                  </w:r>
                </w:p>
              </w:tc>
              <w:tc>
                <w:tcPr>
                  <w:tcW w:w="3402" w:type="dxa"/>
                  <w:vAlign w:val="center"/>
                </w:tcPr>
                <w:p>
                  <w:pPr>
                    <w:pStyle w:val="32"/>
                    <w:spacing w:line="360" w:lineRule="exact"/>
                    <w:rPr>
                      <w:color w:val="000000" w:themeColor="text1"/>
                      <w:szCs w:val="21"/>
                    </w:rPr>
                  </w:pPr>
                  <w:r>
                    <w:rPr>
                      <w:color w:val="000000" w:themeColor="text1"/>
                      <w:szCs w:val="21"/>
                    </w:rPr>
                    <w:t>色（度）≤</w:t>
                  </w:r>
                </w:p>
              </w:tc>
              <w:tc>
                <w:tcPr>
                  <w:tcW w:w="2455" w:type="dxa"/>
                  <w:vAlign w:val="center"/>
                </w:tcPr>
                <w:p>
                  <w:pPr>
                    <w:pStyle w:val="32"/>
                    <w:spacing w:line="360" w:lineRule="exact"/>
                    <w:rPr>
                      <w:color w:val="000000" w:themeColor="text1"/>
                      <w:szCs w:val="21"/>
                    </w:rPr>
                  </w:pPr>
                  <w:r>
                    <w:rPr>
                      <w:rFonts w:hint="eastAsia"/>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3</w:t>
                  </w:r>
                </w:p>
              </w:tc>
              <w:tc>
                <w:tcPr>
                  <w:tcW w:w="3402" w:type="dxa"/>
                  <w:vAlign w:val="center"/>
                </w:tcPr>
                <w:p>
                  <w:pPr>
                    <w:pStyle w:val="32"/>
                    <w:spacing w:line="360" w:lineRule="exact"/>
                    <w:rPr>
                      <w:color w:val="000000" w:themeColor="text1"/>
                      <w:szCs w:val="21"/>
                    </w:rPr>
                  </w:pPr>
                  <w:r>
                    <w:rPr>
                      <w:color w:val="000000" w:themeColor="text1"/>
                      <w:szCs w:val="21"/>
                    </w:rPr>
                    <w:t>嗅</w:t>
                  </w:r>
                </w:p>
              </w:tc>
              <w:tc>
                <w:tcPr>
                  <w:tcW w:w="2455" w:type="dxa"/>
                  <w:vAlign w:val="center"/>
                </w:tcPr>
                <w:p>
                  <w:pPr>
                    <w:pStyle w:val="32"/>
                    <w:spacing w:line="360" w:lineRule="exact"/>
                    <w:rPr>
                      <w:color w:val="000000" w:themeColor="text1"/>
                      <w:szCs w:val="21"/>
                    </w:rPr>
                  </w:pPr>
                  <w:r>
                    <w:rPr>
                      <w:color w:val="000000" w:themeColor="text1"/>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4</w:t>
                  </w:r>
                </w:p>
              </w:tc>
              <w:tc>
                <w:tcPr>
                  <w:tcW w:w="3402" w:type="dxa"/>
                  <w:vAlign w:val="center"/>
                </w:tcPr>
                <w:p>
                  <w:pPr>
                    <w:pStyle w:val="32"/>
                    <w:spacing w:line="360" w:lineRule="exact"/>
                    <w:rPr>
                      <w:color w:val="000000" w:themeColor="text1"/>
                      <w:szCs w:val="21"/>
                    </w:rPr>
                  </w:pPr>
                  <w:r>
                    <w:rPr>
                      <w:color w:val="000000" w:themeColor="text1"/>
                      <w:szCs w:val="21"/>
                    </w:rPr>
                    <w:t>浊度（NTU）≤</w:t>
                  </w:r>
                </w:p>
              </w:tc>
              <w:tc>
                <w:tcPr>
                  <w:tcW w:w="2455"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5</w:t>
                  </w:r>
                </w:p>
              </w:tc>
              <w:tc>
                <w:tcPr>
                  <w:tcW w:w="3402" w:type="dxa"/>
                  <w:vAlign w:val="center"/>
                </w:tcPr>
                <w:p>
                  <w:pPr>
                    <w:pStyle w:val="32"/>
                    <w:spacing w:line="360" w:lineRule="exact"/>
                    <w:rPr>
                      <w:color w:val="000000" w:themeColor="text1"/>
                      <w:szCs w:val="21"/>
                    </w:rPr>
                  </w:pPr>
                  <w:r>
                    <w:rPr>
                      <w:color w:val="000000" w:themeColor="text1"/>
                      <w:szCs w:val="21"/>
                    </w:rPr>
                    <w:t>溶解性总固体（mg/L）≤</w:t>
                  </w:r>
                </w:p>
              </w:tc>
              <w:tc>
                <w:tcPr>
                  <w:tcW w:w="2455" w:type="dxa"/>
                  <w:vAlign w:val="center"/>
                </w:tcPr>
                <w:p>
                  <w:pPr>
                    <w:pStyle w:val="32"/>
                    <w:spacing w:line="360" w:lineRule="exact"/>
                    <w:rPr>
                      <w:color w:val="000000" w:themeColor="text1"/>
                      <w:szCs w:val="21"/>
                    </w:rPr>
                  </w:pPr>
                  <w:r>
                    <w:rPr>
                      <w:color w:val="000000" w:themeColor="text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6</w:t>
                  </w:r>
                </w:p>
              </w:tc>
              <w:tc>
                <w:tcPr>
                  <w:tcW w:w="3402" w:type="dxa"/>
                  <w:vAlign w:val="center"/>
                </w:tcPr>
                <w:p>
                  <w:pPr>
                    <w:pStyle w:val="32"/>
                    <w:spacing w:line="360" w:lineRule="exact"/>
                    <w:rPr>
                      <w:color w:val="000000" w:themeColor="text1"/>
                      <w:szCs w:val="21"/>
                    </w:rPr>
                  </w:pPr>
                  <w:r>
                    <w:rPr>
                      <w:color w:val="000000" w:themeColor="text1"/>
                      <w:szCs w:val="21"/>
                    </w:rPr>
                    <w:t>五日生化需氧量BOD</w:t>
                  </w:r>
                  <w:r>
                    <w:rPr>
                      <w:color w:val="000000" w:themeColor="text1"/>
                      <w:szCs w:val="21"/>
                      <w:vertAlign w:val="subscript"/>
                    </w:rPr>
                    <w:t>5</w:t>
                  </w:r>
                  <w:r>
                    <w:rPr>
                      <w:color w:val="000000" w:themeColor="text1"/>
                      <w:szCs w:val="21"/>
                    </w:rPr>
                    <w:t>（mg/L）≤</w:t>
                  </w:r>
                </w:p>
              </w:tc>
              <w:tc>
                <w:tcPr>
                  <w:tcW w:w="2455"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7</w:t>
                  </w:r>
                </w:p>
              </w:tc>
              <w:tc>
                <w:tcPr>
                  <w:tcW w:w="3402" w:type="dxa"/>
                  <w:vAlign w:val="center"/>
                </w:tcPr>
                <w:p>
                  <w:pPr>
                    <w:pStyle w:val="32"/>
                    <w:spacing w:line="360" w:lineRule="exact"/>
                    <w:rPr>
                      <w:color w:val="000000" w:themeColor="text1"/>
                      <w:szCs w:val="21"/>
                    </w:rPr>
                  </w:pPr>
                  <w:r>
                    <w:rPr>
                      <w:color w:val="000000" w:themeColor="text1"/>
                      <w:szCs w:val="21"/>
                    </w:rPr>
                    <w:t>氨氮（mg/L）≤</w:t>
                  </w:r>
                </w:p>
              </w:tc>
              <w:tc>
                <w:tcPr>
                  <w:tcW w:w="2455" w:type="dxa"/>
                  <w:vAlign w:val="center"/>
                </w:tcPr>
                <w:p>
                  <w:pPr>
                    <w:pStyle w:val="32"/>
                    <w:spacing w:line="360" w:lineRule="exact"/>
                    <w:rPr>
                      <w:color w:val="000000" w:themeColor="text1"/>
                      <w:szCs w:val="21"/>
                    </w:rPr>
                  </w:pPr>
                  <w:r>
                    <w:rPr>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8</w:t>
                  </w:r>
                </w:p>
              </w:tc>
              <w:tc>
                <w:tcPr>
                  <w:tcW w:w="3402" w:type="dxa"/>
                  <w:vAlign w:val="center"/>
                </w:tcPr>
                <w:p>
                  <w:pPr>
                    <w:pStyle w:val="32"/>
                    <w:spacing w:line="360" w:lineRule="exact"/>
                    <w:rPr>
                      <w:color w:val="000000" w:themeColor="text1"/>
                      <w:szCs w:val="21"/>
                    </w:rPr>
                  </w:pPr>
                  <w:r>
                    <w:rPr>
                      <w:color w:val="000000" w:themeColor="text1"/>
                      <w:szCs w:val="21"/>
                    </w:rPr>
                    <w:t>阴离子表面活性（mg/L）≤</w:t>
                  </w:r>
                </w:p>
              </w:tc>
              <w:tc>
                <w:tcPr>
                  <w:tcW w:w="2455"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9</w:t>
                  </w:r>
                </w:p>
              </w:tc>
              <w:tc>
                <w:tcPr>
                  <w:tcW w:w="3402" w:type="dxa"/>
                  <w:vAlign w:val="center"/>
                </w:tcPr>
                <w:p>
                  <w:pPr>
                    <w:pStyle w:val="32"/>
                    <w:spacing w:line="360" w:lineRule="exact"/>
                    <w:rPr>
                      <w:color w:val="000000" w:themeColor="text1"/>
                      <w:szCs w:val="21"/>
                    </w:rPr>
                  </w:pPr>
                  <w:r>
                    <w:rPr>
                      <w:color w:val="000000" w:themeColor="text1"/>
                      <w:szCs w:val="21"/>
                    </w:rPr>
                    <w:t>铁（mg/L）≤</w:t>
                  </w:r>
                </w:p>
              </w:tc>
              <w:tc>
                <w:tcPr>
                  <w:tcW w:w="2455"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10</w:t>
                  </w:r>
                </w:p>
              </w:tc>
              <w:tc>
                <w:tcPr>
                  <w:tcW w:w="3402" w:type="dxa"/>
                  <w:vAlign w:val="center"/>
                </w:tcPr>
                <w:p>
                  <w:pPr>
                    <w:pStyle w:val="32"/>
                    <w:spacing w:line="360" w:lineRule="exact"/>
                    <w:rPr>
                      <w:color w:val="000000" w:themeColor="text1"/>
                      <w:szCs w:val="21"/>
                    </w:rPr>
                  </w:pPr>
                  <w:r>
                    <w:rPr>
                      <w:color w:val="000000" w:themeColor="text1"/>
                      <w:szCs w:val="21"/>
                    </w:rPr>
                    <w:t>锰（mg/L）≤</w:t>
                  </w:r>
                </w:p>
              </w:tc>
              <w:tc>
                <w:tcPr>
                  <w:tcW w:w="2455"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11</w:t>
                  </w:r>
                </w:p>
              </w:tc>
              <w:tc>
                <w:tcPr>
                  <w:tcW w:w="3402" w:type="dxa"/>
                  <w:vAlign w:val="center"/>
                </w:tcPr>
                <w:p>
                  <w:pPr>
                    <w:pStyle w:val="32"/>
                    <w:spacing w:line="360" w:lineRule="exact"/>
                    <w:rPr>
                      <w:color w:val="000000" w:themeColor="text1"/>
                      <w:szCs w:val="21"/>
                    </w:rPr>
                  </w:pPr>
                  <w:r>
                    <w:rPr>
                      <w:color w:val="000000" w:themeColor="text1"/>
                      <w:szCs w:val="21"/>
                    </w:rPr>
                    <w:t>溶解氧（mg/L）≥</w:t>
                  </w:r>
                </w:p>
              </w:tc>
              <w:tc>
                <w:tcPr>
                  <w:tcW w:w="2455" w:type="dxa"/>
                  <w:vAlign w:val="center"/>
                </w:tcPr>
                <w:p>
                  <w:pPr>
                    <w:pStyle w:val="32"/>
                    <w:spacing w:line="360" w:lineRule="exact"/>
                    <w:rPr>
                      <w:color w:val="000000" w:themeColor="text1"/>
                      <w:szCs w:val="21"/>
                    </w:rPr>
                  </w:pPr>
                  <w:r>
                    <w:rPr>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12</w:t>
                  </w:r>
                </w:p>
              </w:tc>
              <w:tc>
                <w:tcPr>
                  <w:tcW w:w="3402" w:type="dxa"/>
                  <w:vAlign w:val="center"/>
                </w:tcPr>
                <w:p>
                  <w:pPr>
                    <w:pStyle w:val="32"/>
                    <w:spacing w:line="360" w:lineRule="exact"/>
                    <w:rPr>
                      <w:color w:val="000000" w:themeColor="text1"/>
                      <w:szCs w:val="21"/>
                    </w:rPr>
                  </w:pPr>
                  <w:r>
                    <w:rPr>
                      <w:color w:val="000000" w:themeColor="text1"/>
                      <w:szCs w:val="21"/>
                    </w:rPr>
                    <w:t>总余氯（mg/L）≤</w:t>
                  </w:r>
                </w:p>
              </w:tc>
              <w:tc>
                <w:tcPr>
                  <w:tcW w:w="2455" w:type="dxa"/>
                  <w:vAlign w:val="center"/>
                </w:tcPr>
                <w:p>
                  <w:pPr>
                    <w:pStyle w:val="32"/>
                    <w:spacing w:line="360" w:lineRule="exact"/>
                    <w:rPr>
                      <w:color w:val="000000" w:themeColor="text1"/>
                      <w:szCs w:val="21"/>
                    </w:rPr>
                  </w:pPr>
                  <w:r>
                    <w:rPr>
                      <w:rFonts w:hint="eastAsia"/>
                      <w:color w:val="000000" w:themeColor="text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13</w:t>
                  </w:r>
                </w:p>
              </w:tc>
              <w:tc>
                <w:tcPr>
                  <w:tcW w:w="3402" w:type="dxa"/>
                  <w:vAlign w:val="center"/>
                </w:tcPr>
                <w:p>
                  <w:pPr>
                    <w:pStyle w:val="32"/>
                    <w:spacing w:line="360" w:lineRule="exact"/>
                    <w:rPr>
                      <w:color w:val="000000" w:themeColor="text1"/>
                      <w:szCs w:val="21"/>
                    </w:rPr>
                  </w:pPr>
                  <w:r>
                    <w:rPr>
                      <w:color w:val="000000" w:themeColor="text1"/>
                      <w:szCs w:val="21"/>
                    </w:rPr>
                    <w:t>大肠埃氏菌/（MPN/100mL，或CFU/100 mL）</w:t>
                  </w:r>
                </w:p>
              </w:tc>
              <w:tc>
                <w:tcPr>
                  <w:tcW w:w="2455" w:type="dxa"/>
                  <w:vAlign w:val="center"/>
                </w:tcPr>
                <w:p>
                  <w:pPr>
                    <w:pStyle w:val="32"/>
                    <w:spacing w:line="360" w:lineRule="exact"/>
                    <w:rPr>
                      <w:color w:val="000000" w:themeColor="text1"/>
                      <w:szCs w:val="21"/>
                    </w:rPr>
                  </w:pPr>
                  <w:r>
                    <w:rPr>
                      <w:color w:val="000000" w:themeColor="text1"/>
                      <w:szCs w:val="21"/>
                    </w:rPr>
                    <w:t>无</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  单位：dB（A）</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857" w:type="dxa"/>
                  <w:gridSpan w:val="2"/>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2"/>
                    <w:spacing w:line="360" w:lineRule="exact"/>
                    <w:ind w:left="11"/>
                    <w:rPr>
                      <w:rFonts w:eastAsiaTheme="minorEastAsia"/>
                      <w:color w:val="000000" w:themeColor="text1"/>
                      <w:szCs w:val="21"/>
                    </w:rPr>
                  </w:pPr>
                </w:p>
              </w:tc>
              <w:tc>
                <w:tcPr>
                  <w:tcW w:w="2977"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880"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977"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70</w:t>
                  </w:r>
                </w:p>
              </w:tc>
              <w:tc>
                <w:tcPr>
                  <w:tcW w:w="2880"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项目位于昆明市东川区铜都街道办事处绿茂老村，本项目噪声执行《工业企业厂界环境噪声排放标准》（GB12348-2008）</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20"/>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32"/>
                    <w:spacing w:line="360" w:lineRule="exact"/>
                    <w:ind w:left="11"/>
                    <w:rPr>
                      <w:rFonts w:eastAsiaTheme="minorEastAsia"/>
                      <w:color w:val="000000" w:themeColor="text1"/>
                      <w:szCs w:val="21"/>
                    </w:rPr>
                  </w:pP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32"/>
                    <w:spacing w:line="360" w:lineRule="exact"/>
                    <w:ind w:left="11"/>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类</w:t>
                  </w: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w:t>
                  </w:r>
                  <w:r>
                    <w:rPr>
                      <w:rFonts w:hint="eastAsia" w:ascii="Times New Roman" w:hAnsi="Times New Roman" w:cs="Times New Roman"/>
                      <w:bCs/>
                      <w:snapToGrid w:val="0"/>
                      <w:color w:val="000000" w:themeColor="text1"/>
                      <w:kern w:val="32"/>
                      <w:lang w:val="zh-CN"/>
                    </w:rPr>
                    <w:t>0</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w:t>
                  </w:r>
                  <w:r>
                    <w:rPr>
                      <w:rFonts w:hint="eastAsia" w:ascii="Times New Roman" w:hAnsi="Times New Roman" w:cs="Times New Roman"/>
                      <w:bCs/>
                      <w:snapToGrid w:val="0"/>
                      <w:color w:val="000000" w:themeColor="text1"/>
                      <w:kern w:val="32"/>
                      <w:lang w:val="zh-CN"/>
                    </w:rPr>
                    <w:t>0</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危险废物执行《危险废物贮存污染控制标准》（GB18597-2001）及修改单。</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一般固体废物处置执行《一般工业固体废物贮存和填埋污染控制标准》（GB18599-2020）。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3.5 总量控制指标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原有项目已全部拆除，本改扩建完成后的总量指标如下：</w:t>
            </w:r>
          </w:p>
          <w:p>
            <w:pPr>
              <w:spacing w:line="360" w:lineRule="auto"/>
              <w:ind w:firstLine="361" w:firstLineChars="15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有组织排放废气：废气量</w:t>
            </w:r>
            <w:r>
              <w:rPr>
                <w:rFonts w:hint="eastAsia" w:ascii="Times New Roman" w:hAnsi="Times New Roman" w:cs="Times New Roman"/>
                <w:color w:val="000000" w:themeColor="text1"/>
                <w:sz w:val="24"/>
                <w:szCs w:val="24"/>
              </w:rPr>
              <w:t>153600</w:t>
            </w:r>
            <w:r>
              <w:rPr>
                <w:rFonts w:ascii="Times New Roman" w:hAnsi="Times New Roman" w:cs="Times New Roman"/>
                <w:color w:val="000000" w:themeColor="text1"/>
                <w:sz w:val="24"/>
                <w:szCs w:val="24"/>
              </w:rPr>
              <w:t>万m</w:t>
            </w:r>
            <w:r>
              <w:rPr>
                <w:rFonts w:hint="eastAsia" w:ascii="Times New Roman" w:hAnsi="Times New Roman" w:cs="Times New Roman"/>
                <w:color w:val="000000" w:themeColor="text1"/>
                <w:sz w:val="24"/>
                <w:szCs w:val="24"/>
              </w:rPr>
              <w:t>³</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颗粒物：5.12t/a、SO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10.36</w:t>
            </w:r>
            <w:r>
              <w:rPr>
                <w:rFonts w:hint="eastAsia" w:ascii="Times New Roman" w:hAnsi="Times New Roman" w:cs="Times New Roman"/>
                <w:color w:val="000000" w:themeColor="text1"/>
                <w:sz w:val="24"/>
                <w:szCs w:val="24"/>
              </w:rPr>
              <w:t>t/a、NOx：</w:t>
            </w:r>
            <w:r>
              <w:rPr>
                <w:rFonts w:ascii="Times New Roman" w:hAnsi="Times New Roman" w:cs="Times New Roman"/>
                <w:color w:val="000000" w:themeColor="text1"/>
                <w:sz w:val="24"/>
                <w:szCs w:val="24"/>
              </w:rPr>
              <w:t>11.62</w:t>
            </w:r>
            <w:r>
              <w:rPr>
                <w:rFonts w:hint="eastAsia" w:ascii="Times New Roman" w:hAnsi="Times New Roman" w:cs="Times New Roman"/>
                <w:color w:val="000000" w:themeColor="text1"/>
                <w:sz w:val="24"/>
                <w:szCs w:val="24"/>
              </w:rPr>
              <w:t>t/a、氟化物：</w:t>
            </w:r>
            <w:r>
              <w:rPr>
                <w:rFonts w:ascii="Times New Roman" w:hAnsi="Times New Roman" w:cs="Times New Roman"/>
                <w:color w:val="000000" w:themeColor="text1"/>
                <w:sz w:val="24"/>
                <w:szCs w:val="24"/>
              </w:rPr>
              <w:t>0.51</w:t>
            </w:r>
            <w:r>
              <w:rPr>
                <w:rFonts w:hint="eastAsia" w:ascii="Times New Roman" w:hAnsi="Times New Roman" w:cs="Times New Roman"/>
                <w:color w:val="000000" w:themeColor="text1"/>
                <w:sz w:val="24"/>
                <w:szCs w:val="24"/>
              </w:rPr>
              <w:t>t/a。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无组织排放废气：</w:t>
            </w:r>
            <w:r>
              <w:rPr>
                <w:rFonts w:hint="eastAsia" w:ascii="Times New Roman" w:hAnsi="Times New Roman" w:cs="Times New Roman"/>
                <w:color w:val="000000" w:themeColor="text1"/>
                <w:sz w:val="24"/>
                <w:szCs w:val="24"/>
              </w:rPr>
              <w:t>颗粒物：13.11t</w:t>
            </w:r>
            <w:r>
              <w:rPr>
                <w:rFonts w:ascii="Times New Roman" w:hAnsi="Times New Roman" w:cs="Times New Roman"/>
                <w:color w:val="000000" w:themeColor="text1"/>
                <w:sz w:val="24"/>
                <w:szCs w:val="24"/>
              </w:rPr>
              <w: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w:t>
            </w:r>
          </w:p>
          <w:p>
            <w:pPr>
              <w:pStyle w:val="40"/>
              <w:ind w:firstLine="480"/>
              <w:rPr>
                <w:rFonts w:eastAsiaTheme="minorEastAsia"/>
                <w:b/>
                <w:color w:val="000000" w:themeColor="text1"/>
                <w:szCs w:val="24"/>
              </w:rPr>
            </w:pPr>
            <w:r>
              <w:rPr>
                <w:rFonts w:ascii="宋体" w:hAnsi="宋体"/>
                <w:color w:val="000000" w:themeColor="text1"/>
                <w:kern w:val="0"/>
                <w:szCs w:val="21"/>
              </w:rPr>
              <w:t>项目废水经处理后全部回用，不外排，不设总量控制指标</w:t>
            </w:r>
            <w:r>
              <w:rPr>
                <w:rFonts w:hint="eastAsia" w:ascii="宋体" w:hAnsi="宋体"/>
                <w:color w:val="000000" w:themeColor="text1"/>
                <w:kern w:val="0"/>
                <w:szCs w:val="21"/>
              </w:rPr>
              <w:t>。</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1"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pStyle w:val="40"/>
              <w:ind w:firstLine="482"/>
              <w:rPr>
                <w:rFonts w:eastAsiaTheme="minorEastAsia"/>
                <w:b/>
                <w:color w:val="000000" w:themeColor="text1"/>
                <w:szCs w:val="24"/>
              </w:rPr>
            </w:pPr>
            <w:r>
              <w:rPr>
                <w:rFonts w:eastAsiaTheme="minorEastAsia"/>
                <w:b/>
                <w:color w:val="000000" w:themeColor="text1"/>
                <w:szCs w:val="24"/>
              </w:rPr>
              <w:t>4.1.1 施工期废气污染防治措施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项目施工期拟采取的扬尘防治措施主要包括：</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1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①</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2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②</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尽量避免在大风天气下进行施工作业。根据同类项目工程经验，4级以上大风天气不宜实施土方施工；</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3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③</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另外，在施工期，建设单位、施工单位和监理单位必须严格执行《昆明市人民政府办公厅关于进一步落实工地扬尘污染防治责任的通知》（昆政办【2018】27号）相关规定，具体如下：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）建设单位相关要求</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督促施工单位按规定做好工地现场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浓度达到规定的临界值时，督促施工单位采取相应的应急措施；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）施工单位相关要求</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按规定做好工地现场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浓度超过</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时，立即采取洒水降尘</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喷雾降尘等综合降尘措施，</w:t>
            </w:r>
            <w:r>
              <w:rPr>
                <w:rFonts w:ascii="Times New Roman" w:hAnsi="Times New Roman" w:cs="Times New Roman"/>
                <w:color w:val="000000" w:themeColor="text1"/>
                <w:sz w:val="24"/>
                <w:szCs w:val="24"/>
              </w:rPr>
              <w:t>12h</w:t>
            </w:r>
            <w:r>
              <w:rPr>
                <w:rFonts w:ascii="Times New Roman" w:cs="Times New Roman" w:hAnsiTheme="minorEastAsia"/>
                <w:color w:val="000000" w:themeColor="text1"/>
                <w:sz w:val="24"/>
                <w:szCs w:val="24"/>
              </w:rPr>
              <w:t>平均</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浓度超过</w:t>
            </w:r>
            <w:r>
              <w:rPr>
                <w:rFonts w:ascii="Times New Roman" w:hAnsi="Times New Roman" w:cs="Times New Roman"/>
                <w:color w:val="000000" w:themeColor="text1"/>
                <w:sz w:val="24"/>
                <w:szCs w:val="24"/>
              </w:rPr>
              <w:t>100</w:t>
            </w:r>
            <w:r>
              <w:rPr>
                <w:rFonts w:ascii="Times New Roman" w:cs="Times New Roman" w:hAnsiTheme="minorEastAsia"/>
                <w:color w:val="000000" w:themeColor="text1"/>
                <w:sz w:val="24"/>
                <w:szCs w:val="24"/>
              </w:rPr>
              <w:t>时，必须停工整改、加强综合降尘措施；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④施工全过程，一是坚持每天自检自查，各项扬尘污染防治措施必须落实到位，特别是洒水、喷淋降尘和渣土、裸露地面的全苫盖；二是每天24小时对进出工地的渣土车等工程车辆进行检查、登记，规范使用“三池一设备”，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⑤必须服从各级政府及相关管理部门的管理，被责令整改的工地，必须按要求认真、及时、全面的进行整改；被责令停工的工地，非经同意，严禁复工。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）监理单位</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①在监理规划、监理实施细则中建立完善的建筑工地扬尘污染防治监理制度、台帐管理制度并严格按要求开展监理工作；</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③监督施工单位做好工地现场PM</w:t>
            </w:r>
            <w:r>
              <w:rPr>
                <w:rFonts w:ascii="Times New Roman" w:cs="Times New Roman" w:hAnsiTheme="minorEastAsia"/>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监测、视频监控等扬尘信息化监管设备的安装、使用、维护工作，现场PM</w:t>
            </w:r>
            <w:r>
              <w:rPr>
                <w:rFonts w:ascii="Times New Roman" w:cs="Times New Roman" w:hAnsiTheme="minorEastAsia"/>
                <w:color w:val="000000" w:themeColor="text1"/>
                <w:sz w:val="24"/>
                <w:szCs w:val="24"/>
                <w:vertAlign w:val="subscript"/>
              </w:rPr>
              <w:t>10</w:t>
            </w:r>
            <w:r>
              <w:rPr>
                <w:rFonts w:ascii="Times New Roman" w:cs="Times New Roman" w:hAnsiTheme="minorEastAsia"/>
                <w:color w:val="000000" w:themeColor="text1"/>
                <w:sz w:val="24"/>
                <w:szCs w:val="24"/>
              </w:rPr>
              <w:t>浓度超过临界值时，督促施工单位及时采取应急措施；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④安排专门监理人员，每天对施工单位落实苫盖和洒水喷淋降尘措施进行监理，参照“旁站监理”模式，每天对施工单位工程车辆监管、规范使用“三池一设备”情况进行监理，形成台帐；</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⑤对施工单位扬尘污染防治工作不到位的，予以责令整改，拒不整改或整改不到位的及时上报建设单位和项目监督机构。</w:t>
            </w:r>
          </w:p>
          <w:p>
            <w:pPr>
              <w:pStyle w:val="40"/>
              <w:ind w:firstLine="482"/>
              <w:rPr>
                <w:rFonts w:eastAsiaTheme="minorEastAsia"/>
                <w:b/>
                <w:color w:val="000000" w:themeColor="text1"/>
                <w:szCs w:val="24"/>
              </w:rPr>
            </w:pPr>
            <w:r>
              <w:rPr>
                <w:rFonts w:eastAsiaTheme="minorEastAsia"/>
                <w:b/>
                <w:color w:val="000000" w:themeColor="text1"/>
                <w:szCs w:val="24"/>
              </w:rPr>
              <w:t>4.1.2 施工期废水污染防治措施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①施工期施工人员不在项目区食宿，生活污水仅为洗手污水，施工</w:t>
            </w:r>
            <w:r>
              <w:rPr>
                <w:rFonts w:hint="eastAsia" w:ascii="Times New Roman" w:cs="Times New Roman" w:hAnsiTheme="minorEastAsia"/>
                <w:color w:val="000000" w:themeColor="text1"/>
                <w:sz w:val="24"/>
                <w:szCs w:val="24"/>
              </w:rPr>
              <w:t>废水和施工生活污</w:t>
            </w:r>
            <w:r>
              <w:rPr>
                <w:rFonts w:ascii="Times New Roman" w:cs="Times New Roman" w:hAnsiTheme="minorEastAsia"/>
                <w:color w:val="000000" w:themeColor="text1"/>
                <w:sz w:val="24"/>
                <w:szCs w:val="24"/>
              </w:rPr>
              <w:t>水通过施工场地的临时沉淀池沉淀处理后，回用于施工场地洒水降尘，不外排</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项目在雨季施工时容易造成局部水土流失，施工场地雨天产生的地表径流与施工期间天气状况有较大的关系，难以定量分析。该部分废水含有泥沙，直接外排会使周围水体的悬浮物含量增加，甚至还会阻塞排水管网。</w:t>
            </w:r>
            <w:r>
              <w:rPr>
                <w:rFonts w:hint="eastAsia" w:ascii="Times New Roman" w:cs="Times New Roman" w:hAnsiTheme="minorEastAsia"/>
                <w:color w:val="000000" w:themeColor="text1"/>
                <w:sz w:val="24"/>
                <w:szCs w:val="24"/>
              </w:rPr>
              <w:t>针对施工地表径流，拟采取措施如下：</w:t>
            </w:r>
            <w:r>
              <w:rPr>
                <w:rFonts w:ascii="Times New Roman" w:cs="Times New Roman" w:hAnsiTheme="minorEastAsia"/>
                <w:color w:val="000000" w:themeColor="text1"/>
                <w:sz w:val="24"/>
                <w:szCs w:val="24"/>
              </w:rPr>
              <w:t>施工期应按在施工场地内设置临时截洪沟，引排施工场地雨天产生的地表径流水，施工场地</w:t>
            </w:r>
            <w:r>
              <w:rPr>
                <w:rFonts w:hint="eastAsia" w:ascii="Times New Roman" w:cs="Times New Roman" w:hAnsiTheme="minorEastAsia"/>
                <w:color w:val="000000" w:themeColor="text1"/>
                <w:sz w:val="24"/>
                <w:szCs w:val="24"/>
              </w:rPr>
              <w:t>地表径流</w:t>
            </w:r>
            <w:r>
              <w:rPr>
                <w:rFonts w:ascii="Times New Roman" w:cs="Times New Roman" w:hAnsiTheme="minorEastAsia"/>
                <w:color w:val="000000" w:themeColor="text1"/>
                <w:sz w:val="24"/>
                <w:szCs w:val="24"/>
              </w:rPr>
              <w:t>经施工废水沉淀池沉淀后回用，可减少径流水对项目区域地表水体水质的污染。</w:t>
            </w:r>
          </w:p>
          <w:p>
            <w:pPr>
              <w:pStyle w:val="40"/>
              <w:ind w:firstLine="482"/>
              <w:rPr>
                <w:rFonts w:eastAsiaTheme="minorEastAsia"/>
                <w:b/>
                <w:color w:val="000000" w:themeColor="text1"/>
                <w:szCs w:val="24"/>
              </w:rPr>
            </w:pPr>
            <w:r>
              <w:rPr>
                <w:rFonts w:eastAsiaTheme="minorEastAsia"/>
                <w:b/>
                <w:color w:val="000000" w:themeColor="text1"/>
                <w:szCs w:val="24"/>
              </w:rPr>
              <w:t>4.1.3 施工期噪声污染防治措施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①加强施工期的操作规范；</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③加强与周围居民的沟通，避免扰民事件发生。</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④合理安排施工工序及时间，禁止夜间施工。</w:t>
            </w:r>
          </w:p>
          <w:p>
            <w:pPr>
              <w:pStyle w:val="40"/>
              <w:ind w:firstLine="482"/>
              <w:rPr>
                <w:rFonts w:eastAsiaTheme="minorEastAsia"/>
                <w:b/>
                <w:color w:val="000000" w:themeColor="text1"/>
                <w:szCs w:val="24"/>
              </w:rPr>
            </w:pPr>
            <w:r>
              <w:rPr>
                <w:rFonts w:eastAsiaTheme="minorEastAsia"/>
                <w:b/>
                <w:color w:val="000000" w:themeColor="text1"/>
                <w:szCs w:val="24"/>
              </w:rPr>
              <w:t>4.1.4 施工期固体废物污染防治措施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项目施工期产生的固体废弃物主要包括建筑垃圾</w:t>
            </w:r>
            <w:r>
              <w:rPr>
                <w:rFonts w:hint="eastAsia" w:ascii="Times New Roman" w:cs="Times New Roman" w:hAnsiTheme="minorEastAsia"/>
                <w:color w:val="000000" w:themeColor="text1"/>
                <w:sz w:val="24"/>
                <w:szCs w:val="24"/>
              </w:rPr>
              <w:t>、废土石方</w:t>
            </w:r>
            <w:r>
              <w:rPr>
                <w:rFonts w:ascii="Times New Roman" w:cs="Times New Roman" w:hAnsiTheme="minorEastAsia"/>
                <w:color w:val="000000" w:themeColor="text1"/>
                <w:sz w:val="24"/>
                <w:szCs w:val="24"/>
              </w:rPr>
              <w:t>和施工人员产生的生活垃圾。主要采取的施工固废防治措施如下：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①建设垃圾包括混凝土块、废木材、废钢材等，严格按照园区的要求，对其进行分类收集，其中废钢材收集后外售废品收购站，其他不能回收部分运至管理部门指定地点进行合理处置。</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w:t>
            </w:r>
            <w:r>
              <w:rPr>
                <w:rFonts w:hint="eastAsia" w:ascii="Times New Roman" w:cs="Times New Roman" w:hAnsiTheme="minorEastAsia"/>
                <w:color w:val="000000" w:themeColor="text1"/>
                <w:sz w:val="24"/>
                <w:szCs w:val="24"/>
              </w:rPr>
              <w:t>产生的少量废土石方</w:t>
            </w:r>
            <w:r>
              <w:rPr>
                <w:rFonts w:ascii="Times New Roman" w:cs="Times New Roman" w:hAnsiTheme="minorEastAsia"/>
                <w:color w:val="000000" w:themeColor="text1"/>
                <w:sz w:val="24"/>
                <w:szCs w:val="24"/>
              </w:rPr>
              <w:t>直接用于场地低洼处平整。</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③</w:t>
            </w:r>
            <w:r>
              <w:rPr>
                <w:rFonts w:ascii="Times New Roman" w:cs="Times New Roman" w:hAnsiTheme="minorEastAsia"/>
                <w:color w:val="000000" w:themeColor="text1"/>
                <w:sz w:val="24"/>
                <w:szCs w:val="24"/>
              </w:rPr>
              <w:t>生活垃圾委托环卫部门清运处置。</w:t>
            </w:r>
          </w:p>
          <w:p>
            <w:pPr>
              <w:pStyle w:val="40"/>
              <w:ind w:firstLine="482"/>
              <w:rPr>
                <w:rFonts w:eastAsiaTheme="minorEastAsia"/>
                <w:b/>
                <w:color w:val="000000" w:themeColor="text1"/>
                <w:szCs w:val="24"/>
              </w:rPr>
            </w:pPr>
            <w:r>
              <w:rPr>
                <w:rFonts w:hint="eastAsia" w:eastAsiaTheme="minorEastAsia"/>
                <w:b/>
                <w:color w:val="000000" w:themeColor="text1"/>
                <w:szCs w:val="24"/>
              </w:rPr>
              <w:t>4.1.5 施工期生态环境影响防治措施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本项目位于昆明市东川区铜都街道办事处绿茂老村，</w:t>
            </w:r>
            <w:r>
              <w:rPr>
                <w:rFonts w:hint="eastAsia" w:ascii="Times New Roman" w:cs="Times New Roman" w:hAnsiTheme="minorEastAsia"/>
                <w:color w:val="000000" w:themeColor="text1"/>
                <w:sz w:val="24"/>
                <w:szCs w:val="24"/>
              </w:rPr>
              <w:t>本项目不在工业园区内，本项目在原有项目厂区范围内进行改扩建，原有项目占地面积23333</w:t>
            </w:r>
            <w:r>
              <w:rPr>
                <w:rFonts w:ascii="Times New Roman" w:cs="Times New Roman" w:hAnsiTheme="minorEastAsia"/>
                <w:color w:val="000000" w:themeColor="text1"/>
                <w:sz w:val="24"/>
                <w:szCs w:val="24"/>
              </w:rPr>
              <w:t>m²</w:t>
            </w:r>
            <w:r>
              <w:rPr>
                <w:rFonts w:hint="eastAsia" w:ascii="Times New Roman" w:cs="Times New Roman" w:hAnsiTheme="minorEastAsia"/>
                <w:color w:val="000000" w:themeColor="text1"/>
                <w:sz w:val="24"/>
                <w:szCs w:val="24"/>
              </w:rPr>
              <w:t>，为满足土地利用总体规划的相关要求，项目占地面积由23333m²缩减至10300m²，不新增占地。因此施工期对生态环境影响较小。</w:t>
            </w:r>
          </w:p>
          <w:p>
            <w:pPr>
              <w:pStyle w:val="40"/>
              <w:ind w:firstLine="482"/>
              <w:rPr>
                <w:rFonts w:eastAsiaTheme="minorEastAsia"/>
                <w:b/>
                <w:color w:val="000000" w:themeColor="text1"/>
                <w:szCs w:val="24"/>
              </w:rPr>
            </w:pPr>
            <w:r>
              <w:rPr>
                <w:rFonts w:hint="eastAsia" w:eastAsiaTheme="minorEastAsia"/>
                <w:b/>
                <w:color w:val="000000" w:themeColor="text1"/>
                <w:szCs w:val="24"/>
              </w:rPr>
              <w:t>4.1.6 水土流失防治措施</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本项目</w:t>
            </w:r>
            <w:r>
              <w:rPr>
                <w:rFonts w:ascii="Times New Roman" w:cs="Times New Roman" w:hAnsiTheme="minorEastAsia"/>
                <w:color w:val="000000" w:themeColor="text1"/>
                <w:sz w:val="24"/>
                <w:szCs w:val="24"/>
              </w:rPr>
              <w:t>施工期约为12个月，施工期对水土流失的影响主要表现在掘进过程中产生的废土石在废石堆场堆放带来的水土流失；地面平整会带来一定的水土流失。</w:t>
            </w:r>
            <w:r>
              <w:rPr>
                <w:rFonts w:hint="eastAsia" w:ascii="Times New Roman" w:cs="Times New Roman" w:hAnsiTheme="minorEastAsia"/>
                <w:color w:val="000000" w:themeColor="text1"/>
                <w:sz w:val="24"/>
                <w:szCs w:val="24"/>
              </w:rPr>
              <w:t>针对水土流失环境影响，你采取措施如下：</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①项目采取尽量错开雨天进行地面施工，减少水土流失。</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②</w:t>
            </w:r>
            <w:r>
              <w:rPr>
                <w:rFonts w:ascii="Times New Roman" w:cs="Times New Roman" w:hAnsiTheme="minorEastAsia"/>
                <w:color w:val="000000" w:themeColor="text1"/>
                <w:sz w:val="24"/>
                <w:szCs w:val="24"/>
              </w:rPr>
              <w:t>施工期应按在施工场地内设置临时截洪沟，引排施工场地雨天产生的地表径流水</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③对易起尘物料采取相应的遮盖措施。</w:t>
            </w: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1"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项目废气主要包括页岩采装过程扬尘、原料卸料扬尘、堆场扬尘、原料输送过程扬尘、破碎车间粉尘、焙烧烟气、以及厨房油烟。</w:t>
            </w:r>
            <w:r>
              <w:rPr>
                <w:rFonts w:ascii="Times New Roman" w:hAnsi="Times New Roman" w:cs="Times New Roman"/>
                <w:color w:val="000000" w:themeColor="text1"/>
                <w:sz w:val="24"/>
                <w:szCs w:val="24"/>
              </w:rPr>
              <w:t>具体产排情况核算如下</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w:t>
            </w:r>
            <w:r>
              <w:rPr>
                <w:rFonts w:hint="eastAsia" w:ascii="Times New Roman" w:hAnsi="Times New Roman" w:cs="Times New Roman"/>
                <w:b/>
                <w:color w:val="000000" w:themeColor="text1"/>
                <w:sz w:val="24"/>
                <w:szCs w:val="24"/>
              </w:rPr>
              <w:t>页岩采装过程扬尘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根据设计，项目使用页岩全部来源于</w:t>
            </w:r>
            <w:r>
              <w:rPr>
                <w:rFonts w:ascii="Times New Roman" w:hAnsi="Times New Roman" w:cs="Times New Roman"/>
                <w:color w:val="000000" w:themeColor="text1"/>
                <w:sz w:val="24"/>
                <w:szCs w:val="24"/>
              </w:rPr>
              <w:t>昆明红富化肥有限公司磷矿矿山</w:t>
            </w:r>
            <w:r>
              <w:rPr>
                <w:rFonts w:hint="eastAsia" w:ascii="Times New Roman" w:hAnsi="Times New Roman" w:cs="Times New Roman"/>
                <w:color w:val="000000" w:themeColor="text1"/>
                <w:sz w:val="24"/>
                <w:szCs w:val="24"/>
              </w:rPr>
              <w:t>开采剥离的页岩，由</w:t>
            </w:r>
            <w:r>
              <w:rPr>
                <w:rFonts w:ascii="Times New Roman" w:hAnsi="Times New Roman" w:cs="Times New Roman"/>
                <w:color w:val="000000" w:themeColor="text1"/>
                <w:sz w:val="24"/>
                <w:szCs w:val="24"/>
              </w:rPr>
              <w:t>昆明红富化肥有限公司</w:t>
            </w:r>
            <w:r>
              <w:rPr>
                <w:rFonts w:hint="eastAsia" w:ascii="Times New Roman" w:hAnsi="Times New Roman" w:cs="Times New Roman"/>
                <w:color w:val="000000" w:themeColor="text1"/>
                <w:sz w:val="24"/>
                <w:szCs w:val="24"/>
              </w:rPr>
              <w:t>运输至项目区旁的弃土场内，再由建设单位采装入项目区使用；项目页岩使用量为6.06</w:t>
            </w:r>
            <w:r>
              <w:rPr>
                <w:rFonts w:ascii="Times New Roman" w:hAnsi="Times New Roman" w:cs="Times New Roman"/>
                <w:color w:val="000000" w:themeColor="text1"/>
                <w:sz w:val="24"/>
                <w:szCs w:val="24"/>
              </w:rPr>
              <w:t>万m³</w:t>
            </w:r>
            <w:r>
              <w:rPr>
                <w:rFonts w:hint="eastAsia" w:ascii="Times New Roman" w:hAnsi="Times New Roman" w:cs="Times New Roman"/>
                <w:color w:val="000000" w:themeColor="text1"/>
                <w:sz w:val="24"/>
                <w:szCs w:val="24"/>
              </w:rPr>
              <w:t>/a（约15.76</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/a），项目在对页岩采装过程会有一定量的扬尘产生，</w:t>
            </w:r>
            <w:r>
              <w:rPr>
                <w:rFonts w:ascii="Times New Roman" w:hAnsi="Times New Roman" w:cs="Times New Roman"/>
                <w:color w:val="000000" w:themeColor="text1"/>
                <w:sz w:val="24"/>
                <w:szCs w:val="24"/>
              </w:rPr>
              <w:t>参考《逸散性工业粉尘控制技术》中</w:t>
            </w:r>
            <w:r>
              <w:rPr>
                <w:rFonts w:hint="eastAsia" w:ascii="Times New Roman" w:hAnsi="Times New Roman" w:cs="Times New Roman"/>
                <w:color w:val="000000" w:themeColor="text1"/>
                <w:sz w:val="24"/>
                <w:szCs w:val="24"/>
              </w:rPr>
              <w:t>“矿物的开采”中的卡车装料作业的</w:t>
            </w:r>
            <w:r>
              <w:rPr>
                <w:rFonts w:ascii="Times New Roman" w:hAnsi="Times New Roman" w:cs="Times New Roman"/>
                <w:color w:val="000000" w:themeColor="text1"/>
                <w:sz w:val="24"/>
                <w:szCs w:val="24"/>
              </w:rPr>
              <w:t>逸散</w:t>
            </w:r>
            <w:r>
              <w:rPr>
                <w:rFonts w:hint="eastAsia" w:ascii="Times New Roman" w:hAnsi="Times New Roman" w:cs="Times New Roman"/>
                <w:color w:val="000000" w:themeColor="text1"/>
                <w:sz w:val="24"/>
                <w:szCs w:val="24"/>
              </w:rPr>
              <w:t>尘排放因子，碎石（前端式装载机）为0.025kg/t（卸料），则页岩采装过程扬尘产生量为3.94t/a，针对页岩采装过程扬尘，项目拟配套设置1套洒水抑尘设施对在弃土场采装页岩时产生的扬尘进行抑制，洒水抑尘扬尘抑制率约50%，则页岩采装过程扬尘排放量为1.97t/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②原料卸料扬尘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根据项目特点，本项目主要使用的原料包括页岩和煤料，运输至项目区后卸入各自的堆场堆存过程中均会产生一定量的扬尘，项目页岩使用量为6.06</w:t>
            </w:r>
            <w:r>
              <w:rPr>
                <w:rFonts w:ascii="Times New Roman" w:hAnsi="Times New Roman" w:cs="Times New Roman"/>
                <w:color w:val="000000" w:themeColor="text1"/>
                <w:sz w:val="24"/>
                <w:szCs w:val="24"/>
              </w:rPr>
              <w:t>万m³</w:t>
            </w:r>
            <w:r>
              <w:rPr>
                <w:rFonts w:hint="eastAsia" w:ascii="Times New Roman" w:hAnsi="Times New Roman" w:cs="Times New Roman"/>
                <w:color w:val="000000" w:themeColor="text1"/>
                <w:sz w:val="24"/>
                <w:szCs w:val="24"/>
              </w:rPr>
              <w:t>/a（约15.76</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/a）、煤使用量为1.96</w:t>
            </w:r>
            <w:r>
              <w:rPr>
                <w:rFonts w:ascii="Times New Roman" w:hAnsi="Times New Roman" w:cs="Times New Roman"/>
                <w:color w:val="000000" w:themeColor="text1"/>
                <w:sz w:val="24"/>
                <w:szCs w:val="24"/>
              </w:rPr>
              <w:t>万m³</w:t>
            </w:r>
            <w:r>
              <w:rPr>
                <w:rFonts w:hint="eastAsia" w:ascii="Times New Roman" w:hAnsi="Times New Roman" w:cs="Times New Roman"/>
                <w:color w:val="000000" w:themeColor="text1"/>
                <w:sz w:val="24"/>
                <w:szCs w:val="24"/>
              </w:rPr>
              <w:t>/a（约3.15</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/a），合计卸料量约18.91</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参考《逸散性工业粉尘控制技术》中</w:t>
            </w:r>
            <w:r>
              <w:rPr>
                <w:rFonts w:hint="eastAsia" w:ascii="Times New Roman" w:hAnsi="Times New Roman" w:cs="Times New Roman"/>
                <w:color w:val="000000" w:themeColor="text1"/>
                <w:sz w:val="24"/>
                <w:szCs w:val="24"/>
              </w:rPr>
              <w:t>“砖和粘土产品制造厂逸散尘的排放因子”中的卡车卸料排放因子为0.02kg/t（卸料），则原料卸料扬尘产生量为3.78t/a，卸料均在页岩堆场和煤料堆场，两堆场除车辆进出区域，其他区域均设置不低于物料堆存高度围挡和顶棚，并配套设置洒水抑尘设施，其扬尘抑制率约为80%，则原料卸料扬尘排放量为1.89t/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③堆场扬尘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根据项目工程内容，项目分别设置了1个页岩堆场和1个煤料堆场，堆场扬尘页岩堆场扬尘和煤料堆场扬尘，具体如下：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页岩堆场扬尘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根据项目工程内容，项目设置了1个页岩堆场，页岩在页岩堆场堆存过程中会有一定量的扬尘产生，</w:t>
            </w:r>
            <w:r>
              <w:rPr>
                <w:rFonts w:ascii="Times New Roman" w:hAnsi="Times New Roman" w:cs="Times New Roman"/>
                <w:color w:val="000000" w:themeColor="text1"/>
                <w:sz w:val="24"/>
                <w:szCs w:val="24"/>
              </w:rPr>
              <w:t>其扬尘产生量受风速、水分含量等多种因素的影响。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本环评采用西安冶金建筑学院的石块、砂料起尘量推荐公式进行计算，</w:t>
            </w:r>
            <w:r>
              <w:rPr>
                <w:rFonts w:ascii="Times New Roman" w:hAnsi="Times New Roman" w:cs="Times New Roman"/>
                <w:color w:val="000000" w:themeColor="text1"/>
                <w:sz w:val="24"/>
                <w:szCs w:val="24"/>
              </w:rPr>
              <w:t>公示如下：</w:t>
            </w:r>
          </w:p>
          <w:p>
            <w:pPr>
              <w:spacing w:line="360" w:lineRule="auto"/>
              <w:ind w:firstLine="480" w:firstLineChars="200"/>
              <w:rPr>
                <w:rFonts w:ascii="Times New Roman" w:hAnsi="Times New Roman" w:cs="Times New Roman"/>
                <w:color w:val="000000" w:themeColor="text1"/>
                <w:sz w:val="24"/>
                <w:szCs w:val="24"/>
              </w:rPr>
            </w:pPr>
            <m:oMathPara>
              <m:oMath>
                <m:r>
                  <m:rPr>
                    <m:sty m:val="p"/>
                  </m:rPr>
                  <w:rPr>
                    <w:rFonts w:ascii="Cambria Math" w:hAnsi="Times New Roman" w:cs="Times New Roman"/>
                    <w:color w:val="000000" w:themeColor="text1"/>
                    <w:sz w:val="24"/>
                    <w:szCs w:val="24"/>
                  </w:rPr>
                  <m:t>Q</m:t>
                </m:r>
                <m:sSup>
                  <m:sSupPr>
                    <m:ctrlPr>
                      <w:rPr>
                        <w:rFonts w:ascii="Cambria Math" w:hAnsi="Cambria Math" w:cs="Times New Roman"/>
                        <w:color w:val="000000" w:themeColor="text1"/>
                        <w:sz w:val="24"/>
                        <w:szCs w:val="24"/>
                      </w:rPr>
                    </m:ctrlPr>
                  </m:sSupPr>
                  <m:e>
                    <m:r>
                      <m:rPr>
                        <m:sty m:val="p"/>
                      </m:rPr>
                      <w:rPr>
                        <w:rFonts w:ascii="Cambria Math" w:hAnsi="Times New Roman" w:cs="Times New Roman"/>
                        <w:color w:val="000000" w:themeColor="text1"/>
                        <w:sz w:val="24"/>
                        <w:szCs w:val="24"/>
                      </w:rPr>
                      <m:t>=4.23×10</m:t>
                    </m:r>
                    <m:ctrlPr>
                      <w:rPr>
                        <w:rFonts w:ascii="Cambria Math" w:hAnsi="Cambria Math" w:cs="Times New Roman"/>
                        <w:color w:val="000000" w:themeColor="text1"/>
                        <w:sz w:val="24"/>
                        <w:szCs w:val="24"/>
                      </w:rPr>
                    </m:ctrlPr>
                  </m:e>
                  <m:sup>
                    <m:r>
                      <m:rPr>
                        <m:sty m:val="p"/>
                      </m:rPr>
                      <w:rPr>
                        <w:rFonts w:ascii="Cambria Math" w:hAnsi="Times New Roman" w:cs="Times New Roman"/>
                        <w:color w:val="000000" w:themeColor="text1"/>
                        <w:sz w:val="24"/>
                        <w:szCs w:val="24"/>
                      </w:rPr>
                      <m:t>−4</m:t>
                    </m:r>
                    <m:ctrlPr>
                      <w:rPr>
                        <w:rFonts w:ascii="Cambria Math" w:hAnsi="Cambria Math" w:cs="Times New Roman"/>
                        <w:color w:val="000000" w:themeColor="text1"/>
                        <w:sz w:val="24"/>
                        <w:szCs w:val="24"/>
                      </w:rPr>
                    </m:ctrlP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V</m:t>
                    </m:r>
                    <m:ctrlPr>
                      <w:rPr>
                        <w:rFonts w:ascii="Cambria Math" w:hAnsi="Cambria Math" w:cs="Times New Roman"/>
                        <w:color w:val="000000" w:themeColor="text1"/>
                        <w:sz w:val="24"/>
                        <w:szCs w:val="24"/>
                      </w:rPr>
                    </m:ctrlPr>
                  </m:e>
                  <m:sup>
                    <m:r>
                      <m:rPr>
                        <m:sty m:val="p"/>
                      </m:rPr>
                      <w:rPr>
                        <w:rFonts w:ascii="Cambria Math" w:hAnsi="Times New Roman" w:cs="Times New Roman"/>
                        <w:color w:val="000000" w:themeColor="text1"/>
                        <w:sz w:val="24"/>
                        <w:szCs w:val="24"/>
                      </w:rPr>
                      <m:t>4.9</m:t>
                    </m:r>
                    <m:ctrlPr>
                      <w:rPr>
                        <w:rFonts w:ascii="Cambria Math" w:hAnsi="Cambria Math" w:cs="Times New Roman"/>
                        <w:color w:val="000000" w:themeColor="text1"/>
                        <w:sz w:val="24"/>
                        <w:szCs w:val="24"/>
                      </w:rPr>
                    </m:ctrlPr>
                  </m:sup>
                </m:sSup>
                <m:r>
                  <m:rPr>
                    <m:sty m:val="p"/>
                  </m:rPr>
                  <w:rPr>
                    <w:rFonts w:ascii="Cambria Math" w:hAnsi="Cambria Math" w:cs="Times New Roman"/>
                    <w:color w:val="000000" w:themeColor="text1"/>
                    <w:sz w:val="24"/>
                    <w:szCs w:val="24"/>
                  </w:rPr>
                  <m:t>×S</m:t>
                </m:r>
              </m:oMath>
            </m:oMathPara>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式中：Q--起尘量，（</w:t>
            </w:r>
            <w:r>
              <w:rPr>
                <w:rFonts w:hint="eastAsia"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g/</w:t>
            </w:r>
            <w:r>
              <w:rPr>
                <w:rFonts w:hint="eastAsia"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rPr>
              <w:t>V</w:t>
            </w:r>
            <w:r>
              <w:rPr>
                <w:rFonts w:ascii="Times New Roman" w:hAnsi="Times New Roman" w:cs="Times New Roman"/>
                <w:color w:val="000000" w:themeColor="text1"/>
                <w:sz w:val="24"/>
                <w:szCs w:val="24"/>
              </w:rPr>
              <w:t>--当地风速，（m/s）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堆场面积</w:t>
            </w:r>
            <w:r>
              <w:rPr>
                <w:rFonts w:ascii="Times New Roman" w:hAnsi="Times New Roman" w:cs="Times New Roman"/>
                <w:color w:val="000000" w:themeColor="text1"/>
                <w:sz w:val="24"/>
                <w:szCs w:val="24"/>
              </w:rPr>
              <w:t>，（m²）</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根据设计，项目拟设置的页岩堆场建筑面积约为1500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当地平均风速约为3.4m/s</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经计算，本项目</w:t>
            </w:r>
            <w:r>
              <w:rPr>
                <w:rFonts w:hint="eastAsia" w:ascii="Times New Roman" w:hAnsi="Times New Roman" w:cs="Times New Roman"/>
                <w:color w:val="000000" w:themeColor="text1"/>
                <w:sz w:val="24"/>
                <w:szCs w:val="24"/>
              </w:rPr>
              <w:t>页岩</w:t>
            </w:r>
            <w:r>
              <w:rPr>
                <w:rFonts w:ascii="Times New Roman" w:hAnsi="Times New Roman" w:cs="Times New Roman"/>
                <w:color w:val="000000" w:themeColor="text1"/>
                <w:sz w:val="24"/>
                <w:szCs w:val="24"/>
              </w:rPr>
              <w:t>堆场扬尘产生量约为</w:t>
            </w:r>
            <w:r>
              <w:rPr>
                <w:rFonts w:hint="eastAsia" w:ascii="Times New Roman" w:hAnsi="Times New Roman" w:cs="Times New Roman"/>
                <w:color w:val="000000" w:themeColor="text1"/>
                <w:sz w:val="24"/>
                <w:szCs w:val="24"/>
              </w:rPr>
              <w:t>6.61</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；为了降低堆场的扬尘，对页岩堆场除车辆进出区域，其他区域均设置不低于物料堆存高度围挡和顶棚，并配套设置洒水抑尘设施，其扬尘抑制率约为80%，</w:t>
            </w:r>
            <w:r>
              <w:rPr>
                <w:rFonts w:ascii="Times New Roman" w:hAnsi="Times New Roman" w:cs="Times New Roman"/>
                <w:color w:val="000000" w:themeColor="text1"/>
                <w:sz w:val="24"/>
                <w:szCs w:val="24"/>
              </w:rPr>
              <w:t>则</w:t>
            </w:r>
            <w:r>
              <w:rPr>
                <w:rFonts w:hint="eastAsia" w:ascii="Times New Roman" w:hAnsi="Times New Roman" w:cs="Times New Roman"/>
                <w:color w:val="000000" w:themeColor="text1"/>
                <w:sz w:val="24"/>
                <w:szCs w:val="24"/>
              </w:rPr>
              <w:t>页岩</w:t>
            </w:r>
            <w:r>
              <w:rPr>
                <w:rFonts w:ascii="Times New Roman" w:hAnsi="Times New Roman" w:cs="Times New Roman"/>
                <w:color w:val="000000" w:themeColor="text1"/>
                <w:sz w:val="24"/>
                <w:szCs w:val="24"/>
              </w:rPr>
              <w:t>堆场堆存扬尘排放量为</w:t>
            </w:r>
            <w:r>
              <w:rPr>
                <w:rFonts w:hint="eastAsia" w:ascii="Times New Roman" w:hAnsi="Times New Roman" w:cs="Times New Roman"/>
                <w:color w:val="000000" w:themeColor="text1"/>
                <w:sz w:val="24"/>
                <w:szCs w:val="24"/>
              </w:rPr>
              <w:t>1.32</w:t>
            </w:r>
            <w:r>
              <w:rPr>
                <w:rFonts w:ascii="Times New Roman" w:hAnsi="Times New Roman" w:cs="Times New Roman"/>
                <w:color w:val="000000" w:themeColor="text1"/>
                <w:sz w:val="24"/>
                <w:szCs w:val="24"/>
              </w:rPr>
              <w:t>t/a；为无组织排放。</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煤料堆场扬尘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根据项目工程内容，项目设置了1个煤料堆场，页岩在煤料堆场堆存过程中会有一定量的扬尘产生，</w:t>
            </w:r>
            <w:r>
              <w:rPr>
                <w:rFonts w:ascii="Times New Roman" w:hAnsi="Times New Roman" w:cs="Times New Roman"/>
                <w:color w:val="000000" w:themeColor="text1"/>
                <w:sz w:val="24"/>
                <w:szCs w:val="24"/>
              </w:rPr>
              <w:t>其扬尘产生量受风速、水分含量等多种因素的影响。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本环评采用秦皇岛码头煤堆起尘量计算公式进行计算，</w:t>
            </w:r>
            <w:r>
              <w:rPr>
                <w:rFonts w:ascii="Times New Roman" w:hAnsi="Times New Roman" w:cs="Times New Roman"/>
                <w:color w:val="000000" w:themeColor="text1"/>
                <w:sz w:val="24"/>
                <w:szCs w:val="24"/>
              </w:rPr>
              <w:t>公示如下：</w:t>
            </w:r>
          </w:p>
          <w:p>
            <w:pPr>
              <w:spacing w:line="360" w:lineRule="auto"/>
              <w:ind w:firstLine="480" w:firstLineChars="200"/>
              <w:rPr>
                <w:rFonts w:ascii="Times New Roman" w:hAnsi="Times New Roman" w:cs="Times New Roman"/>
                <w:color w:val="000000" w:themeColor="text1"/>
                <w:sz w:val="24"/>
                <w:szCs w:val="24"/>
              </w:rPr>
            </w:pPr>
            <m:oMathPara>
              <m:oMath>
                <m:r>
                  <m:rPr>
                    <m:sty m:val="p"/>
                  </m:rPr>
                  <w:rPr>
                    <w:rFonts w:ascii="Cambria Math" w:hAnsi="Times New Roman" w:cs="Times New Roman"/>
                    <w:color w:val="000000" w:themeColor="text1"/>
                    <w:sz w:val="24"/>
                    <w:szCs w:val="24"/>
                  </w:rPr>
                  <m:t>Q</m:t>
                </m:r>
                <m:sSup>
                  <m:sSupPr>
                    <m:ctrlPr>
                      <w:rPr>
                        <w:rFonts w:ascii="Cambria Math" w:hAnsi="Cambria Math" w:cs="Times New Roman"/>
                        <w:color w:val="000000" w:themeColor="text1"/>
                        <w:sz w:val="24"/>
                        <w:szCs w:val="24"/>
                      </w:rPr>
                    </m:ctrlPr>
                  </m:sSupPr>
                  <m:e>
                    <m:r>
                      <m:rPr>
                        <m:sty m:val="p"/>
                      </m:rPr>
                      <w:rPr>
                        <w:rFonts w:ascii="Cambria Math" w:hAnsi="Times New Roman" w:cs="Times New Roman"/>
                        <w:color w:val="000000" w:themeColor="text1"/>
                        <w:sz w:val="24"/>
                        <w:szCs w:val="24"/>
                      </w:rPr>
                      <m:t>=2.1K×（U−U0）</m:t>
                    </m:r>
                    <m:ctrlPr>
                      <w:rPr>
                        <w:rFonts w:ascii="Cambria Math" w:hAnsi="Cambria Math" w:cs="Times New Roman"/>
                        <w:color w:val="000000" w:themeColor="text1"/>
                        <w:sz w:val="24"/>
                        <w:szCs w:val="24"/>
                      </w:rPr>
                    </m:ctrlPr>
                  </m:e>
                  <m:sup>
                    <m:r>
                      <m:rPr>
                        <m:sty m:val="p"/>
                      </m:rPr>
                      <w:rPr>
                        <w:rFonts w:ascii="Cambria Math" w:hAnsi="Times New Roman" w:cs="Times New Roman"/>
                        <w:color w:val="000000" w:themeColor="text1"/>
                        <w:sz w:val="24"/>
                        <w:szCs w:val="24"/>
                      </w:rPr>
                      <m:t>3</m:t>
                    </m:r>
                    <m:ctrlPr>
                      <w:rPr>
                        <w:rFonts w:ascii="Cambria Math" w:hAnsi="Cambria Math" w:cs="Times New Roman"/>
                        <w:color w:val="000000" w:themeColor="text1"/>
                        <w:sz w:val="24"/>
                        <w:szCs w:val="24"/>
                      </w:rPr>
                    </m:ctrlP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e</m:t>
                    </m:r>
                    <m:ctrlPr>
                      <w:rPr>
                        <w:rFonts w:ascii="Cambria Math" w:hAnsi="Cambria Math" w:cs="Times New Roman"/>
                        <w:color w:val="000000" w:themeColor="text1"/>
                        <w:sz w:val="24"/>
                        <w:szCs w:val="24"/>
                      </w:rPr>
                    </m:ctrlPr>
                  </m:e>
                  <m:sup>
                    <m:r>
                      <m:rPr>
                        <m:sty m:val="p"/>
                      </m:rPr>
                      <w:rPr>
                        <w:rFonts w:ascii="Cambria Math" w:hAnsi="Times New Roman" w:cs="Times New Roman"/>
                        <w:color w:val="000000" w:themeColor="text1"/>
                        <w:sz w:val="24"/>
                        <w:szCs w:val="24"/>
                      </w:rPr>
                      <m:t>−1.023w</m:t>
                    </m:r>
                    <m:ctrlPr>
                      <w:rPr>
                        <w:rFonts w:ascii="Cambria Math" w:hAnsi="Cambria Math" w:cs="Times New Roman"/>
                        <w:color w:val="000000" w:themeColor="text1"/>
                        <w:sz w:val="24"/>
                        <w:szCs w:val="24"/>
                      </w:rPr>
                    </m:ctrlPr>
                  </m:sup>
                </m:sSup>
                <m:r>
                  <m:rPr>
                    <m:sty m:val="p"/>
                  </m:rPr>
                  <w:rPr>
                    <w:rFonts w:ascii="Cambria Math" w:hAnsi="Cambria Math" w:cs="Times New Roman"/>
                    <w:color w:val="000000" w:themeColor="text1"/>
                    <w:sz w:val="24"/>
                    <w:szCs w:val="24"/>
                  </w:rPr>
                  <m:t>×P</m:t>
                </m:r>
              </m:oMath>
            </m:oMathPara>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式中：Q--起尘量，（</w:t>
            </w:r>
            <w:r>
              <w:rPr>
                <w:rFonts w:hint="eastAsia"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g/</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rPr>
              <w:t>K--经验系数，取0.96</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U</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煤场平均</w:t>
            </w:r>
            <w:r>
              <w:rPr>
                <w:rFonts w:ascii="Times New Roman" w:hAnsi="Times New Roman" w:cs="Times New Roman"/>
                <w:color w:val="000000" w:themeColor="text1"/>
                <w:sz w:val="24"/>
                <w:szCs w:val="24"/>
              </w:rPr>
              <w:t>风速，（m/s）</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U0</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煤尘的启动</w:t>
            </w:r>
            <w:r>
              <w:rPr>
                <w:rFonts w:ascii="Times New Roman" w:hAnsi="Times New Roman" w:cs="Times New Roman"/>
                <w:color w:val="000000" w:themeColor="text1"/>
                <w:sz w:val="24"/>
                <w:szCs w:val="24"/>
              </w:rPr>
              <w:t>风速，（m/s）</w:t>
            </w:r>
            <w:r>
              <w:rPr>
                <w:rFonts w:hint="eastAsia" w:ascii="Times New Roman" w:hAnsi="Times New Roman" w:cs="Times New Roman"/>
                <w:color w:val="000000" w:themeColor="text1"/>
                <w:sz w:val="24"/>
                <w:szCs w:val="24"/>
              </w:rPr>
              <w:t>，取3.0</w:t>
            </w:r>
            <w:r>
              <w:rPr>
                <w:rFonts w:ascii="Times New Roman" w:hAnsi="Times New Roman" w:cs="Times New Roman"/>
                <w:color w:val="000000" w:themeColor="text1"/>
                <w:sz w:val="24"/>
                <w:szCs w:val="24"/>
              </w:rPr>
              <w:t xml:space="preserve"> m/s</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煤尘表面含水率</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煤场年累计堆煤量</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根据设计，项目煤料堆场年累计堆煤量为3.15万t，根据原有项目的实际生产经验，</w:t>
            </w:r>
            <w:r>
              <w:rPr>
                <w:rFonts w:ascii="Times New Roman" w:hAnsi="Times New Roman" w:cs="Times New Roman"/>
                <w:color w:val="000000" w:themeColor="text1"/>
                <w:sz w:val="24"/>
                <w:szCs w:val="24"/>
              </w:rPr>
              <w:t>原料的含水率在4%</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6%（本环评取值5%）</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当地平均风速约为3.4m/s</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经计算，本项目</w:t>
            </w:r>
            <w:r>
              <w:rPr>
                <w:rFonts w:hint="eastAsia" w:ascii="Times New Roman" w:hAnsi="Times New Roman" w:cs="Times New Roman"/>
                <w:color w:val="000000" w:themeColor="text1"/>
                <w:sz w:val="24"/>
                <w:szCs w:val="24"/>
              </w:rPr>
              <w:t>煤料堆场</w:t>
            </w:r>
            <w:r>
              <w:rPr>
                <w:rFonts w:ascii="Times New Roman" w:hAnsi="Times New Roman" w:cs="Times New Roman"/>
                <w:color w:val="000000" w:themeColor="text1"/>
                <w:sz w:val="24"/>
                <w:szCs w:val="24"/>
              </w:rPr>
              <w:t>扬尘产生量约为</w:t>
            </w:r>
            <w:r>
              <w:rPr>
                <w:rFonts w:hint="eastAsia" w:ascii="Times New Roman" w:hAnsi="Times New Roman" w:cs="Times New Roman"/>
                <w:color w:val="000000" w:themeColor="text1"/>
                <w:sz w:val="24"/>
                <w:szCs w:val="24"/>
              </w:rPr>
              <w:t>3.86</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；为了降低堆场的扬尘，对煤料堆场除车辆进出区域，其他区域均设置不低于物料堆存高度围挡和顶棚，并配套设置洒水抑尘设施，其扬尘抑制率约为80%，</w:t>
            </w:r>
            <w:r>
              <w:rPr>
                <w:rFonts w:ascii="Times New Roman" w:hAnsi="Times New Roman" w:cs="Times New Roman"/>
                <w:color w:val="000000" w:themeColor="text1"/>
                <w:sz w:val="24"/>
                <w:szCs w:val="24"/>
              </w:rPr>
              <w:t>则</w:t>
            </w:r>
            <w:r>
              <w:rPr>
                <w:rFonts w:hint="eastAsia" w:ascii="Times New Roman" w:hAnsi="Times New Roman" w:cs="Times New Roman"/>
                <w:color w:val="000000" w:themeColor="text1"/>
                <w:sz w:val="24"/>
                <w:szCs w:val="24"/>
              </w:rPr>
              <w:t>煤料堆场</w:t>
            </w:r>
            <w:r>
              <w:rPr>
                <w:rFonts w:ascii="Times New Roman" w:hAnsi="Times New Roman" w:cs="Times New Roman"/>
                <w:color w:val="000000" w:themeColor="text1"/>
                <w:sz w:val="24"/>
                <w:szCs w:val="24"/>
              </w:rPr>
              <w:t>堆存扬尘排放量为</w:t>
            </w:r>
            <w:r>
              <w:rPr>
                <w:rFonts w:hint="eastAsia" w:ascii="Times New Roman" w:hAnsi="Times New Roman" w:cs="Times New Roman"/>
                <w:color w:val="000000" w:themeColor="text1"/>
                <w:sz w:val="24"/>
                <w:szCs w:val="24"/>
              </w:rPr>
              <w:t>0.77</w:t>
            </w:r>
            <w:r>
              <w:rPr>
                <w:rFonts w:ascii="Times New Roman" w:hAnsi="Times New Roman" w:cs="Times New Roman"/>
                <w:color w:val="000000" w:themeColor="text1"/>
                <w:sz w:val="24"/>
                <w:szCs w:val="24"/>
              </w:rPr>
              <w:t>t/a；为无组织排放。</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综上，本项目堆场扬尘产生量为10.47t/a，排放量为2.09t/a。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④原料输送过程扬尘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原料输送过程扬尘包括装载机输送过程和皮带输送过程扬尘。具体如下：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装载机输送过程扬尘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根据项目特点，本项目主要使用的原料包括页岩和煤料，页岩堆场区的页岩、煤料堆场区的煤料分别采用装载机运输至鄂破和混合工序，其装载机采装、卸料及运输过程会产生扬尘，项目页岩使用量为6.06</w:t>
            </w:r>
            <w:r>
              <w:rPr>
                <w:rFonts w:ascii="Times New Roman" w:hAnsi="Times New Roman" w:cs="Times New Roman"/>
                <w:color w:val="000000" w:themeColor="text1"/>
                <w:sz w:val="24"/>
                <w:szCs w:val="24"/>
              </w:rPr>
              <w:t>万m³</w:t>
            </w:r>
            <w:r>
              <w:rPr>
                <w:rFonts w:hint="eastAsia" w:ascii="Times New Roman" w:hAnsi="Times New Roman" w:cs="Times New Roman"/>
                <w:color w:val="000000" w:themeColor="text1"/>
                <w:sz w:val="24"/>
                <w:szCs w:val="24"/>
              </w:rPr>
              <w:t>/a（约15.76</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/a）、煤使用量为1.96</w:t>
            </w:r>
            <w:r>
              <w:rPr>
                <w:rFonts w:ascii="Times New Roman" w:hAnsi="Times New Roman" w:cs="Times New Roman"/>
                <w:color w:val="000000" w:themeColor="text1"/>
                <w:sz w:val="24"/>
                <w:szCs w:val="24"/>
              </w:rPr>
              <w:t>万m³</w:t>
            </w:r>
            <w:r>
              <w:rPr>
                <w:rFonts w:hint="eastAsia" w:ascii="Times New Roman" w:hAnsi="Times New Roman" w:cs="Times New Roman"/>
                <w:color w:val="000000" w:themeColor="text1"/>
                <w:sz w:val="24"/>
                <w:szCs w:val="24"/>
              </w:rPr>
              <w:t>/a（约3.15</w:t>
            </w:r>
            <w:r>
              <w:rPr>
                <w:rFonts w:ascii="Times New Roman" w:hAnsi="Times New Roman" w:cs="Times New Roman"/>
                <w:color w:val="000000" w:themeColor="text1"/>
                <w:sz w:val="24"/>
                <w:szCs w:val="24"/>
              </w:rPr>
              <w:t>万t</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参考《逸散性工业粉尘控制技术》中</w:t>
            </w:r>
            <w:r>
              <w:rPr>
                <w:rFonts w:hint="eastAsia" w:ascii="Times New Roman" w:hAnsi="Times New Roman" w:cs="Times New Roman"/>
                <w:color w:val="000000" w:themeColor="text1"/>
                <w:sz w:val="24"/>
                <w:szCs w:val="24"/>
              </w:rPr>
              <w:t>“物料的装卸运输”中的物料运输和转运的排放因子，其中煤的运输和转运排放因子为0.02-0.48kg/t（取中间值0.25kg/t），页岩参考砂的运输和转运排放因子为0.15kg/t，经计算装载机输送过程扬尘产生量为31.52t/a，针对装载机采装、卸料及运输过程会产生的扬尘，项目拟在车间内设置雾炮机对其进行洒水降尘，其扬尘抑制率约为80%，则装载机输送过程扬尘排放量为6.30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皮带输送过程扬尘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工艺流程，项目原料在各工段之间（含破碎-混合-粉碎-筛分-陈化-搅拌）皮带运输过程会产生少量的粉尘，其产生量主要取决于物料含水率和室内风速，无法对其进行定量计算，为降低扬尘对环境的影响，各工段之间的粉料运输均采用皮带密闭运输，则原料输送过程扬尘排放量较小。</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⑤破碎车间粉尘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根据工艺流程，项目破碎车间的主要粉尘产生节点包括颚破、混合、粉碎和筛分四个环节，根据</w:t>
            </w:r>
            <w:r>
              <w:rPr>
                <w:rFonts w:ascii="Times New Roman" w:hAnsi="Times New Roman" w:cs="Times New Roman"/>
                <w:color w:val="000000" w:themeColor="text1"/>
                <w:sz w:val="24"/>
                <w:szCs w:val="24"/>
              </w:rPr>
              <w:t>《排放源统计调查产排污核算方法和系数手册》</w:t>
            </w:r>
            <w:r>
              <w:rPr>
                <w:rFonts w:hint="eastAsia" w:ascii="Times New Roman" w:hAnsi="Times New Roman" w:cs="Times New Roman"/>
                <w:color w:val="000000" w:themeColor="text1"/>
                <w:sz w:val="24"/>
                <w:szCs w:val="24"/>
              </w:rPr>
              <w:t>中“</w:t>
            </w:r>
            <w:r>
              <w:rPr>
                <w:rFonts w:ascii="Times New Roman" w:hAnsi="Times New Roman" w:cs="Times New Roman"/>
                <w:color w:val="000000" w:themeColor="text1"/>
                <w:sz w:val="24"/>
                <w:szCs w:val="24"/>
              </w:rPr>
              <w:t>303</w:t>
            </w:r>
            <w:r>
              <w:rPr>
                <w:rFonts w:hint="eastAsia" w:ascii="Times New Roman" w:hAnsi="Times New Roman" w:cs="Times New Roman"/>
                <w:color w:val="000000" w:themeColor="text1"/>
                <w:sz w:val="24"/>
                <w:szCs w:val="24"/>
              </w:rPr>
              <w:t>砖瓦、石材等建筑材料制造行业系数手册”，窑炉外工艺废气中颗粒物的产污系数如下表所示。</w:t>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t>表4.2</w:t>
            </w:r>
            <w:r>
              <w:rPr>
                <w:rFonts w:ascii="Times New Roman" w:hAnsi="Times New Roman" w:eastAsia="宋体" w:cs="Times New Roman"/>
                <w:b/>
                <w:color w:val="000000" w:themeColor="text1"/>
                <w:szCs w:val="24"/>
              </w:rPr>
              <w:t>.1-1</w:t>
            </w:r>
            <w:r>
              <w:rPr>
                <w:rFonts w:hint="eastAsia" w:ascii="Times New Roman" w:hAnsi="Times New Roman" w:eastAsia="宋体" w:cs="Times New Roman"/>
                <w:b/>
                <w:color w:val="000000" w:themeColor="text1"/>
                <w:szCs w:val="24"/>
              </w:rPr>
              <w:t xml:space="preserve">   粘土砖瓦及建筑砌块制造系数表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9"/>
              <w:gridCol w:w="1096"/>
              <w:gridCol w:w="993"/>
              <w:gridCol w:w="708"/>
              <w:gridCol w:w="709"/>
              <w:gridCol w:w="709"/>
              <w:gridCol w:w="1044"/>
              <w:gridCol w:w="943"/>
              <w:gridCol w:w="1010"/>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89" w:type="dxa"/>
                  <w:vAlign w:val="center"/>
                </w:tcPr>
                <w:p>
                  <w:pPr>
                    <w:pStyle w:val="32"/>
                    <w:spacing w:line="360" w:lineRule="exact"/>
                    <w:rPr>
                      <w:color w:val="000000" w:themeColor="text1"/>
                      <w:szCs w:val="21"/>
                    </w:rPr>
                  </w:pPr>
                  <w:r>
                    <w:rPr>
                      <w:rFonts w:hint="eastAsia"/>
                      <w:color w:val="000000" w:themeColor="text1"/>
                      <w:szCs w:val="21"/>
                    </w:rPr>
                    <w:t>工段名称</w:t>
                  </w:r>
                </w:p>
              </w:tc>
              <w:tc>
                <w:tcPr>
                  <w:tcW w:w="1096" w:type="dxa"/>
                  <w:vAlign w:val="center"/>
                </w:tcPr>
                <w:p>
                  <w:pPr>
                    <w:pStyle w:val="32"/>
                    <w:spacing w:line="360" w:lineRule="exact"/>
                    <w:rPr>
                      <w:color w:val="000000" w:themeColor="text1"/>
                      <w:szCs w:val="21"/>
                    </w:rPr>
                  </w:pPr>
                  <w:r>
                    <w:rPr>
                      <w:rFonts w:hint="eastAsia"/>
                      <w:color w:val="000000" w:themeColor="text1"/>
                      <w:szCs w:val="21"/>
                    </w:rPr>
                    <w:t>产品名称</w:t>
                  </w:r>
                </w:p>
              </w:tc>
              <w:tc>
                <w:tcPr>
                  <w:tcW w:w="993" w:type="dxa"/>
                  <w:vAlign w:val="center"/>
                </w:tcPr>
                <w:p>
                  <w:pPr>
                    <w:pStyle w:val="32"/>
                    <w:spacing w:line="360" w:lineRule="exact"/>
                    <w:rPr>
                      <w:color w:val="000000" w:themeColor="text1"/>
                      <w:szCs w:val="21"/>
                    </w:rPr>
                  </w:pPr>
                  <w:r>
                    <w:rPr>
                      <w:rFonts w:hint="eastAsia"/>
                      <w:color w:val="000000" w:themeColor="text1"/>
                      <w:szCs w:val="21"/>
                    </w:rPr>
                    <w:t>工艺名称</w:t>
                  </w:r>
                </w:p>
              </w:tc>
              <w:tc>
                <w:tcPr>
                  <w:tcW w:w="708" w:type="dxa"/>
                  <w:vAlign w:val="center"/>
                </w:tcPr>
                <w:p>
                  <w:pPr>
                    <w:pStyle w:val="32"/>
                    <w:spacing w:line="360" w:lineRule="exact"/>
                    <w:rPr>
                      <w:color w:val="000000" w:themeColor="text1"/>
                      <w:szCs w:val="21"/>
                    </w:rPr>
                  </w:pPr>
                  <w:r>
                    <w:rPr>
                      <w:rFonts w:hint="eastAsia"/>
                      <w:color w:val="000000" w:themeColor="text1"/>
                      <w:szCs w:val="21"/>
                    </w:rPr>
                    <w:t>规模等级</w:t>
                  </w:r>
                </w:p>
              </w:tc>
              <w:tc>
                <w:tcPr>
                  <w:tcW w:w="1418" w:type="dxa"/>
                  <w:gridSpan w:val="2"/>
                  <w:vAlign w:val="center"/>
                </w:tcPr>
                <w:p>
                  <w:pPr>
                    <w:pStyle w:val="32"/>
                    <w:spacing w:line="360" w:lineRule="exact"/>
                    <w:rPr>
                      <w:color w:val="000000" w:themeColor="text1"/>
                      <w:szCs w:val="21"/>
                    </w:rPr>
                  </w:pPr>
                  <w:r>
                    <w:rPr>
                      <w:rFonts w:hint="eastAsia"/>
                      <w:color w:val="000000" w:themeColor="text1"/>
                      <w:szCs w:val="21"/>
                    </w:rPr>
                    <w:t>污染物指标</w:t>
                  </w:r>
                </w:p>
              </w:tc>
              <w:tc>
                <w:tcPr>
                  <w:tcW w:w="1044" w:type="dxa"/>
                  <w:vAlign w:val="center"/>
                </w:tcPr>
                <w:p>
                  <w:pPr>
                    <w:pStyle w:val="32"/>
                    <w:spacing w:line="360" w:lineRule="exact"/>
                    <w:rPr>
                      <w:color w:val="000000" w:themeColor="text1"/>
                      <w:szCs w:val="21"/>
                    </w:rPr>
                  </w:pPr>
                  <w:r>
                    <w:rPr>
                      <w:rFonts w:hint="eastAsia"/>
                      <w:color w:val="000000" w:themeColor="text1"/>
                      <w:szCs w:val="21"/>
                    </w:rPr>
                    <w:t>系数单位</w:t>
                  </w:r>
                </w:p>
              </w:tc>
              <w:tc>
                <w:tcPr>
                  <w:tcW w:w="943" w:type="dxa"/>
                  <w:vAlign w:val="center"/>
                </w:tcPr>
                <w:p>
                  <w:pPr>
                    <w:pStyle w:val="32"/>
                    <w:spacing w:line="360" w:lineRule="exact"/>
                    <w:rPr>
                      <w:color w:val="000000" w:themeColor="text1"/>
                      <w:szCs w:val="21"/>
                    </w:rPr>
                  </w:pPr>
                  <w:r>
                    <w:rPr>
                      <w:rFonts w:hint="eastAsia"/>
                      <w:color w:val="000000" w:themeColor="text1"/>
                      <w:szCs w:val="21"/>
                    </w:rPr>
                    <w:t>产污系数</w:t>
                  </w:r>
                </w:p>
              </w:tc>
              <w:tc>
                <w:tcPr>
                  <w:tcW w:w="1010" w:type="dxa"/>
                  <w:vAlign w:val="center"/>
                </w:tcPr>
                <w:p>
                  <w:pPr>
                    <w:pStyle w:val="32"/>
                    <w:spacing w:line="360" w:lineRule="exact"/>
                    <w:rPr>
                      <w:color w:val="000000" w:themeColor="text1"/>
                      <w:szCs w:val="21"/>
                    </w:rPr>
                  </w:pPr>
                  <w:r>
                    <w:rPr>
                      <w:rFonts w:hint="eastAsia"/>
                      <w:color w:val="000000" w:themeColor="text1"/>
                      <w:szCs w:val="21"/>
                    </w:rPr>
                    <w:t>末端治理技术</w:t>
                  </w:r>
                </w:p>
              </w:tc>
              <w:tc>
                <w:tcPr>
                  <w:tcW w:w="904" w:type="dxa"/>
                  <w:vAlign w:val="center"/>
                </w:tcPr>
                <w:p>
                  <w:pPr>
                    <w:pStyle w:val="32"/>
                    <w:spacing w:line="360" w:lineRule="exact"/>
                    <w:rPr>
                      <w:color w:val="000000" w:themeColor="text1"/>
                      <w:szCs w:val="21"/>
                    </w:rPr>
                  </w:pPr>
                  <w:r>
                    <w:rPr>
                      <w:rFonts w:hint="eastAsia"/>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9" w:type="dxa"/>
                  <w:vAlign w:val="center"/>
                </w:tcPr>
                <w:p>
                  <w:pPr>
                    <w:pStyle w:val="32"/>
                    <w:spacing w:line="360" w:lineRule="exact"/>
                    <w:rPr>
                      <w:color w:val="000000" w:themeColor="text1"/>
                      <w:szCs w:val="21"/>
                    </w:rPr>
                  </w:pPr>
                  <w:r>
                    <w:rPr>
                      <w:rFonts w:hint="eastAsia"/>
                      <w:color w:val="000000" w:themeColor="text1"/>
                      <w:szCs w:val="21"/>
                    </w:rPr>
                    <w:t>/</w:t>
                  </w:r>
                </w:p>
              </w:tc>
              <w:tc>
                <w:tcPr>
                  <w:tcW w:w="1096" w:type="dxa"/>
                  <w:vAlign w:val="center"/>
                </w:tcPr>
                <w:p>
                  <w:pPr>
                    <w:pStyle w:val="32"/>
                    <w:spacing w:line="360" w:lineRule="exact"/>
                    <w:rPr>
                      <w:color w:val="000000" w:themeColor="text1"/>
                      <w:szCs w:val="21"/>
                    </w:rPr>
                  </w:pPr>
                  <w:r>
                    <w:rPr>
                      <w:rFonts w:hint="eastAsia"/>
                      <w:color w:val="000000" w:themeColor="text1"/>
                      <w:szCs w:val="21"/>
                    </w:rPr>
                    <w:t>烧结类砖瓦及建筑砌块</w:t>
                  </w:r>
                </w:p>
              </w:tc>
              <w:tc>
                <w:tcPr>
                  <w:tcW w:w="993" w:type="dxa"/>
                  <w:vAlign w:val="center"/>
                </w:tcPr>
                <w:p>
                  <w:pPr>
                    <w:pStyle w:val="32"/>
                    <w:spacing w:line="360" w:lineRule="exact"/>
                    <w:rPr>
                      <w:color w:val="000000" w:themeColor="text1"/>
                      <w:szCs w:val="21"/>
                    </w:rPr>
                  </w:pPr>
                  <w:r>
                    <w:rPr>
                      <w:rFonts w:hint="eastAsia"/>
                      <w:color w:val="000000" w:themeColor="text1"/>
                      <w:szCs w:val="21"/>
                    </w:rPr>
                    <w:t>破碎、筛分、成型干燥等</w:t>
                  </w:r>
                </w:p>
              </w:tc>
              <w:tc>
                <w:tcPr>
                  <w:tcW w:w="708" w:type="dxa"/>
                  <w:vAlign w:val="center"/>
                </w:tcPr>
                <w:p>
                  <w:pPr>
                    <w:pStyle w:val="32"/>
                    <w:spacing w:line="360" w:lineRule="exact"/>
                    <w:rPr>
                      <w:color w:val="000000" w:themeColor="text1"/>
                      <w:szCs w:val="21"/>
                    </w:rPr>
                  </w:pPr>
                  <w:r>
                    <w:rPr>
                      <w:rFonts w:hint="eastAsia"/>
                      <w:color w:val="000000" w:themeColor="text1"/>
                      <w:szCs w:val="21"/>
                    </w:rPr>
                    <w:t>所有规模</w:t>
                  </w:r>
                </w:p>
              </w:tc>
              <w:tc>
                <w:tcPr>
                  <w:tcW w:w="709" w:type="dxa"/>
                  <w:vAlign w:val="center"/>
                </w:tcPr>
                <w:p>
                  <w:pPr>
                    <w:pStyle w:val="32"/>
                    <w:spacing w:line="360" w:lineRule="exact"/>
                    <w:rPr>
                      <w:color w:val="000000" w:themeColor="text1"/>
                      <w:szCs w:val="21"/>
                    </w:rPr>
                  </w:pPr>
                  <w:r>
                    <w:rPr>
                      <w:rFonts w:hint="eastAsia"/>
                      <w:color w:val="000000" w:themeColor="text1"/>
                      <w:szCs w:val="21"/>
                    </w:rPr>
                    <w:t>废气</w:t>
                  </w:r>
                </w:p>
              </w:tc>
              <w:tc>
                <w:tcPr>
                  <w:tcW w:w="709" w:type="dxa"/>
                  <w:vAlign w:val="center"/>
                </w:tcPr>
                <w:p>
                  <w:pPr>
                    <w:pStyle w:val="32"/>
                    <w:spacing w:line="360" w:lineRule="exact"/>
                    <w:rPr>
                      <w:color w:val="000000" w:themeColor="text1"/>
                      <w:szCs w:val="21"/>
                    </w:rPr>
                  </w:pPr>
                  <w:r>
                    <w:rPr>
                      <w:rFonts w:hint="eastAsia"/>
                      <w:color w:val="000000" w:themeColor="text1"/>
                      <w:szCs w:val="21"/>
                    </w:rPr>
                    <w:t>颗粒物</w:t>
                  </w:r>
                </w:p>
              </w:tc>
              <w:tc>
                <w:tcPr>
                  <w:tcW w:w="1044" w:type="dxa"/>
                  <w:vAlign w:val="center"/>
                </w:tcPr>
                <w:p>
                  <w:pPr>
                    <w:pStyle w:val="32"/>
                    <w:spacing w:line="360" w:lineRule="exact"/>
                    <w:rPr>
                      <w:color w:val="000000" w:themeColor="text1"/>
                      <w:szCs w:val="21"/>
                    </w:rPr>
                  </w:pPr>
                  <w:r>
                    <w:rPr>
                      <w:rFonts w:hint="eastAsia"/>
                      <w:color w:val="000000" w:themeColor="text1"/>
                      <w:szCs w:val="21"/>
                    </w:rPr>
                    <w:t>千克/万块标砖</w:t>
                  </w:r>
                </w:p>
              </w:tc>
              <w:tc>
                <w:tcPr>
                  <w:tcW w:w="943" w:type="dxa"/>
                  <w:vAlign w:val="center"/>
                </w:tcPr>
                <w:p>
                  <w:pPr>
                    <w:pStyle w:val="32"/>
                    <w:spacing w:line="360" w:lineRule="exact"/>
                    <w:rPr>
                      <w:color w:val="000000" w:themeColor="text1"/>
                      <w:szCs w:val="21"/>
                    </w:rPr>
                  </w:pPr>
                  <w:r>
                    <w:rPr>
                      <w:rFonts w:hint="eastAsia"/>
                      <w:color w:val="000000" w:themeColor="text1"/>
                      <w:szCs w:val="21"/>
                    </w:rPr>
                    <w:t>1.23</w:t>
                  </w:r>
                </w:p>
              </w:tc>
              <w:tc>
                <w:tcPr>
                  <w:tcW w:w="1010" w:type="dxa"/>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袋式除尘</w:t>
                  </w:r>
                </w:p>
              </w:tc>
              <w:tc>
                <w:tcPr>
                  <w:tcW w:w="904" w:type="dxa"/>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98</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w:t>
            </w:r>
            <w:r>
              <w:rPr>
                <w:rFonts w:ascii="Times New Roman" w:hAnsi="Times New Roman" w:cs="Times New Roman"/>
                <w:color w:val="000000" w:themeColor="text1"/>
                <w:sz w:val="24"/>
                <w:szCs w:val="24"/>
              </w:rPr>
              <w:t>年产页岩砖</w:t>
            </w:r>
            <w:r>
              <w:rPr>
                <w:rFonts w:hint="eastAsia" w:ascii="Times New Roman" w:hAnsi="Times New Roman" w:cs="Times New Roman"/>
                <w:color w:val="000000" w:themeColor="text1"/>
                <w:sz w:val="24"/>
                <w:szCs w:val="24"/>
              </w:rPr>
              <w:t>7000万</w:t>
            </w:r>
            <w:r>
              <w:rPr>
                <w:rFonts w:ascii="Times New Roman" w:hAnsi="Times New Roman" w:cs="Times New Roman"/>
                <w:color w:val="000000" w:themeColor="text1"/>
                <w:sz w:val="24"/>
                <w:szCs w:val="24"/>
              </w:rPr>
              <w:t>块（折标）</w:t>
            </w:r>
            <w:r>
              <w:rPr>
                <w:rFonts w:hint="eastAsia" w:ascii="Times New Roman" w:hAnsi="Times New Roman" w:cs="Times New Roman"/>
                <w:color w:val="000000" w:themeColor="text1"/>
                <w:sz w:val="24"/>
                <w:szCs w:val="24"/>
              </w:rPr>
              <w:t>，项目颚破、混合、粉碎和筛分四个环节颗粒物产生量为8.61t/a；项目首先</w:t>
            </w:r>
            <w:r>
              <w:rPr>
                <w:rFonts w:ascii="Times New Roman" w:hAnsi="Times New Roman" w:cs="Times New Roman"/>
                <w:color w:val="000000" w:themeColor="text1"/>
                <w:sz w:val="24"/>
                <w:szCs w:val="24"/>
              </w:rPr>
              <w:t>将颚式破碎机</w:t>
            </w:r>
            <w:r>
              <w:rPr>
                <w:rFonts w:hint="eastAsia" w:ascii="Times New Roman" w:hAnsi="Times New Roman" w:cs="Times New Roman"/>
                <w:color w:val="000000" w:themeColor="text1"/>
                <w:sz w:val="24"/>
                <w:szCs w:val="24"/>
              </w:rPr>
              <w:t>、自动配煤机、</w:t>
            </w:r>
            <w:r>
              <w:rPr>
                <w:rFonts w:ascii="Times New Roman" w:hAnsi="Times New Roman" w:cs="Times New Roman"/>
                <w:color w:val="000000" w:themeColor="text1"/>
                <w:sz w:val="24"/>
                <w:szCs w:val="24"/>
              </w:rPr>
              <w:t>粉碎机</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滚筒筛</w:t>
            </w:r>
            <w:r>
              <w:rPr>
                <w:rFonts w:hint="eastAsia" w:ascii="Times New Roman" w:hAnsi="Times New Roman" w:cs="Times New Roman"/>
                <w:color w:val="000000" w:themeColor="text1"/>
                <w:sz w:val="24"/>
                <w:szCs w:val="24"/>
              </w:rPr>
              <w:t>等4个工序设备进行封闭，并分别对每套设备各设置1个集气罩对其粉尘进行收集，各粉尘统一收集后，</w:t>
            </w:r>
            <w:r>
              <w:rPr>
                <w:rFonts w:ascii="Times New Roman" w:hAnsi="Times New Roman" w:cs="Times New Roman"/>
                <w:color w:val="000000" w:themeColor="text1"/>
                <w:sz w:val="24"/>
                <w:szCs w:val="24"/>
              </w:rPr>
              <w:t>并设置</w:t>
            </w:r>
            <w:r>
              <w:rPr>
                <w:rFonts w:hint="eastAsia" w:ascii="Times New Roman" w:hAnsi="Times New Roman" w:cs="Times New Roman"/>
                <w:color w:val="000000" w:themeColor="text1"/>
                <w:sz w:val="24"/>
                <w:szCs w:val="24"/>
              </w:rPr>
              <w:t>1台脉冲布袋除尘器进行处理，处理后通过</w:t>
            </w:r>
            <w:r>
              <w:rPr>
                <w:rFonts w:ascii="Times New Roman" w:hAnsi="Times New Roman" w:cs="Times New Roman"/>
                <w:color w:val="000000" w:themeColor="text1"/>
                <w:sz w:val="24"/>
                <w:szCs w:val="24"/>
              </w:rPr>
              <w:t>1根</w:t>
            </w:r>
            <w:r>
              <w:rPr>
                <w:rFonts w:hint="eastAsia" w:ascii="Times New Roman" w:hAnsi="Times New Roman" w:cs="Times New Roman"/>
                <w:color w:val="000000" w:themeColor="text1"/>
                <w:sz w:val="24"/>
                <w:szCs w:val="24"/>
              </w:rPr>
              <w:t>15m高</w:t>
            </w:r>
            <w:r>
              <w:rPr>
                <w:rFonts w:ascii="Times New Roman" w:hAnsi="Times New Roman" w:cs="Times New Roman"/>
                <w:color w:val="000000" w:themeColor="text1"/>
                <w:sz w:val="24"/>
                <w:szCs w:val="24"/>
              </w:rPr>
              <w:t>排气筒（DA001）外排</w:t>
            </w:r>
            <w:r>
              <w:rPr>
                <w:rFonts w:hint="eastAsia" w:ascii="Times New Roman" w:hAnsi="Times New Roman" w:cs="Times New Roman"/>
                <w:color w:val="000000" w:themeColor="text1"/>
                <w:sz w:val="24"/>
                <w:szCs w:val="24"/>
              </w:rPr>
              <w:t>，其中各集气罩均为5000m³/h（合计20000m³/h）；集气效率不低于90%，</w:t>
            </w:r>
            <w:r>
              <w:rPr>
                <w:rFonts w:ascii="Times New Roman" w:hAnsi="Times New Roman" w:cs="Times New Roman"/>
                <w:color w:val="000000" w:themeColor="text1"/>
                <w:sz w:val="24"/>
                <w:szCs w:val="24"/>
              </w:rPr>
              <w:t>脉冲布袋除尘器</w:t>
            </w:r>
            <w:r>
              <w:rPr>
                <w:rFonts w:hint="eastAsia" w:ascii="Times New Roman" w:hAnsi="Times New Roman" w:cs="Times New Roman"/>
                <w:color w:val="000000" w:themeColor="text1"/>
                <w:sz w:val="24"/>
                <w:szCs w:val="24"/>
              </w:rPr>
              <w:t>的除尘效率不低于98%，参考</w:t>
            </w:r>
            <w:r>
              <w:rPr>
                <w:rFonts w:ascii="Times New Roman" w:hAnsi="Times New Roman" w:cs="Times New Roman"/>
                <w:color w:val="000000" w:themeColor="text1"/>
                <w:sz w:val="24"/>
                <w:szCs w:val="24"/>
              </w:rPr>
              <w:t>k</w:t>
            </w:r>
            <w:r>
              <w:rPr>
                <w:rFonts w:hint="eastAsia" w:ascii="Times New Roman" w:hAnsi="Times New Roman" w:cs="Times New Roman"/>
                <w:color w:val="000000" w:themeColor="text1"/>
                <w:sz w:val="24"/>
                <w:szCs w:val="24"/>
              </w:rPr>
              <w:t>值取1；综上，破碎车间粉尘排放情况如下表所示。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hint="eastAsia" w:ascii="Times New Roman" w:hAnsi="Times New Roman" w:eastAsia="宋体" w:cs="Times New Roman"/>
                <w:b/>
                <w:color w:val="000000" w:themeColor="text1"/>
                <w:szCs w:val="24"/>
              </w:rPr>
              <w:t>4.2</w:t>
            </w:r>
            <w:r>
              <w:rPr>
                <w:rFonts w:ascii="Times New Roman" w:hAnsi="Times New Roman" w:eastAsia="宋体" w:cs="Times New Roman"/>
                <w:b/>
                <w:color w:val="000000" w:themeColor="text1"/>
                <w:szCs w:val="24"/>
              </w:rPr>
              <w:t>.1-</w:t>
            </w:r>
            <w:r>
              <w:rPr>
                <w:rFonts w:hint="eastAsia" w:ascii="Times New Roman" w:hAnsi="Times New Roman" w:eastAsia="宋体" w:cs="Times New Roman"/>
                <w:b/>
                <w:color w:val="000000" w:themeColor="text1"/>
                <w:szCs w:val="24"/>
              </w:rPr>
              <w:t>2</w:t>
            </w:r>
            <w:r>
              <w:rPr>
                <w:rFonts w:ascii="Times New Roman" w:hAnsi="Times New Roman" w:eastAsia="宋体" w:cs="Times New Roman"/>
                <w:b/>
                <w:color w:val="000000" w:themeColor="text1"/>
                <w:szCs w:val="24"/>
              </w:rPr>
              <w:t xml:space="preserve"> </w:t>
            </w:r>
            <w:r>
              <w:rPr>
                <w:rFonts w:hint="eastAsia" w:ascii="Times New Roman" w:hAnsi="Times New Roman" w:eastAsia="宋体" w:cs="Times New Roman"/>
                <w:b/>
                <w:color w:val="000000" w:themeColor="text1"/>
                <w:szCs w:val="24"/>
              </w:rPr>
              <w:t xml:space="preserve"> 破碎车间粉尘</w:t>
            </w:r>
            <w:r>
              <w:rPr>
                <w:rFonts w:ascii="Times New Roman" w:hAnsi="Times New Roman" w:eastAsia="宋体" w:cs="Times New Roman"/>
                <w:b/>
                <w:color w:val="000000" w:themeColor="text1"/>
                <w:szCs w:val="24"/>
              </w:rPr>
              <w:t>产排情况一览表</w:t>
            </w:r>
          </w:p>
          <w:tbl>
            <w:tblPr>
              <w:tblStyle w:val="20"/>
              <w:tblW w:w="5000" w:type="pct"/>
              <w:tblInd w:w="0" w:type="dxa"/>
              <w:tblLayout w:type="fixed"/>
              <w:tblCellMar>
                <w:top w:w="0" w:type="dxa"/>
                <w:left w:w="108" w:type="dxa"/>
                <w:bottom w:w="0" w:type="dxa"/>
                <w:right w:w="108" w:type="dxa"/>
              </w:tblCellMar>
            </w:tblPr>
            <w:tblGrid>
              <w:gridCol w:w="731"/>
              <w:gridCol w:w="712"/>
              <w:gridCol w:w="852"/>
              <w:gridCol w:w="1137"/>
              <w:gridCol w:w="857"/>
              <w:gridCol w:w="848"/>
              <w:gridCol w:w="136"/>
              <w:gridCol w:w="984"/>
              <w:gridCol w:w="1374"/>
              <w:gridCol w:w="984"/>
            </w:tblGrid>
            <w:tr>
              <w:tblPrEx>
                <w:tblCellMar>
                  <w:top w:w="0" w:type="dxa"/>
                  <w:left w:w="108" w:type="dxa"/>
                  <w:bottom w:w="0" w:type="dxa"/>
                  <w:right w:w="108" w:type="dxa"/>
                </w:tblCellMar>
              </w:tblPrEx>
              <w:trPr>
                <w:trHeight w:val="300" w:hRule="atLeast"/>
              </w:trPr>
              <w:tc>
                <w:tcPr>
                  <w:tcW w:w="72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产物环节</w:t>
                  </w:r>
                </w:p>
              </w:tc>
              <w:tc>
                <w:tcPr>
                  <w:tcW w:w="71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污染物类型</w:t>
                  </w:r>
                </w:p>
              </w:tc>
              <w:tc>
                <w:tcPr>
                  <w:tcW w:w="2839" w:type="dxa"/>
                  <w:gridSpan w:val="3"/>
                  <w:tcBorders>
                    <w:top w:val="single" w:color="auto" w:sz="8" w:space="0"/>
                    <w:left w:val="single" w:color="auto" w:sz="8" w:space="0"/>
                    <w:bottom w:val="single" w:color="auto" w:sz="4" w:space="0"/>
                    <w:right w:val="single" w:color="000000"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产生情况</w:t>
                  </w:r>
                </w:p>
              </w:tc>
              <w:tc>
                <w:tcPr>
                  <w:tcW w:w="4317" w:type="dxa"/>
                  <w:gridSpan w:val="5"/>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排放情况</w:t>
                  </w:r>
                </w:p>
              </w:tc>
            </w:tr>
            <w:tr>
              <w:tblPrEx>
                <w:tblCellMar>
                  <w:top w:w="0" w:type="dxa"/>
                  <w:left w:w="108" w:type="dxa"/>
                  <w:bottom w:w="0" w:type="dxa"/>
                  <w:right w:w="108" w:type="dxa"/>
                </w:tblCellMar>
              </w:tblPrEx>
              <w:trPr>
                <w:trHeight w:val="300" w:hRule="atLeast"/>
              </w:trPr>
              <w:tc>
                <w:tcPr>
                  <w:tcW w:w="72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710"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984" w:type="dxa"/>
                  <w:gridSpan w:val="2"/>
                  <w:tcBorders>
                    <w:top w:val="single" w:color="auto" w:sz="4" w:space="0"/>
                    <w:left w:val="single" w:color="auto" w:sz="8" w:space="0"/>
                    <w:bottom w:val="single" w:color="000000" w:sz="8"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有组织</w:t>
                  </w:r>
                </w:p>
              </w:tc>
              <w:tc>
                <w:tcPr>
                  <w:tcW w:w="855" w:type="dxa"/>
                  <w:tcBorders>
                    <w:top w:val="single" w:color="auto" w:sz="4" w:space="0"/>
                    <w:left w:val="single" w:color="auto" w:sz="4" w:space="0"/>
                    <w:bottom w:val="single" w:color="000000" w:sz="8" w:space="0"/>
                    <w:right w:val="single" w:color="000000" w:sz="8" w:space="0"/>
                  </w:tcBorders>
                  <w:vAlign w:val="center"/>
                </w:tcPr>
                <w:p>
                  <w:pPr>
                    <w:pStyle w:val="32"/>
                    <w:spacing w:line="360" w:lineRule="exact"/>
                    <w:rPr>
                      <w:color w:val="000000" w:themeColor="text1"/>
                      <w:szCs w:val="21"/>
                    </w:rPr>
                  </w:pPr>
                  <w:r>
                    <w:rPr>
                      <w:rFonts w:hint="eastAsia"/>
                      <w:color w:val="000000" w:themeColor="text1"/>
                      <w:szCs w:val="21"/>
                    </w:rPr>
                    <w:t>无组织</w:t>
                  </w:r>
                </w:p>
              </w:tc>
              <w:tc>
                <w:tcPr>
                  <w:tcW w:w="3335" w:type="dxa"/>
                  <w:gridSpan w:val="4"/>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有组织</w:t>
                  </w:r>
                </w:p>
              </w:tc>
              <w:tc>
                <w:tcPr>
                  <w:tcW w:w="982" w:type="dxa"/>
                  <w:tcBorders>
                    <w:top w:val="nil"/>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无组织</w:t>
                  </w:r>
                </w:p>
              </w:tc>
            </w:tr>
            <w:tr>
              <w:tblPrEx>
                <w:tblCellMar>
                  <w:top w:w="0" w:type="dxa"/>
                  <w:left w:w="108" w:type="dxa"/>
                  <w:bottom w:w="0" w:type="dxa"/>
                  <w:right w:w="108" w:type="dxa"/>
                </w:tblCellMar>
              </w:tblPrEx>
              <w:trPr>
                <w:trHeight w:val="56" w:hRule="atLeast"/>
              </w:trPr>
              <w:tc>
                <w:tcPr>
                  <w:tcW w:w="72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710"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850"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产生量（</w:t>
                  </w:r>
                  <w:r>
                    <w:rPr>
                      <w:color w:val="000000" w:themeColor="text1"/>
                      <w:szCs w:val="21"/>
                    </w:rPr>
                    <w:t>t/a</w:t>
                  </w:r>
                  <w:r>
                    <w:rPr>
                      <w:rFonts w:hint="eastAsia"/>
                      <w:color w:val="000000" w:themeColor="text1"/>
                      <w:szCs w:val="21"/>
                    </w:rPr>
                    <w:t>）</w:t>
                  </w:r>
                </w:p>
              </w:tc>
              <w:tc>
                <w:tcPr>
                  <w:tcW w:w="1134" w:type="dxa"/>
                  <w:tcBorders>
                    <w:top w:val="nil"/>
                    <w:left w:val="single" w:color="auto" w:sz="4" w:space="0"/>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产生浓度（</w:t>
                  </w:r>
                  <w:r>
                    <w:rPr>
                      <w:color w:val="000000" w:themeColor="text1"/>
                      <w:szCs w:val="21"/>
                    </w:rPr>
                    <w:t>mg/m³</w:t>
                  </w:r>
                  <w:r>
                    <w:rPr>
                      <w:rFonts w:hint="eastAsia"/>
                      <w:color w:val="000000" w:themeColor="text1"/>
                      <w:szCs w:val="21"/>
                    </w:rPr>
                    <w:t>）</w:t>
                  </w:r>
                </w:p>
              </w:tc>
              <w:tc>
                <w:tcPr>
                  <w:tcW w:w="85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产生量（</w:t>
                  </w:r>
                  <w:r>
                    <w:rPr>
                      <w:color w:val="000000" w:themeColor="text1"/>
                      <w:szCs w:val="21"/>
                    </w:rPr>
                    <w:t>t/a</w:t>
                  </w:r>
                  <w:r>
                    <w:rPr>
                      <w:rFonts w:hint="eastAsia"/>
                      <w:color w:val="000000" w:themeColor="text1"/>
                      <w:szCs w:val="21"/>
                    </w:rPr>
                    <w:t>）</w:t>
                  </w:r>
                </w:p>
              </w:tc>
              <w:tc>
                <w:tcPr>
                  <w:tcW w:w="846"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排放量（</w:t>
                  </w:r>
                  <w:r>
                    <w:rPr>
                      <w:color w:val="000000" w:themeColor="text1"/>
                      <w:szCs w:val="21"/>
                    </w:rPr>
                    <w:t>t/a</w:t>
                  </w:r>
                  <w:r>
                    <w:rPr>
                      <w:rFonts w:hint="eastAsia"/>
                      <w:color w:val="000000" w:themeColor="text1"/>
                      <w:szCs w:val="21"/>
                    </w:rPr>
                    <w:t>）</w:t>
                  </w:r>
                </w:p>
              </w:tc>
              <w:tc>
                <w:tcPr>
                  <w:tcW w:w="1118" w:type="dxa"/>
                  <w:gridSpan w:val="2"/>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排放速率（</w:t>
                  </w:r>
                  <w:r>
                    <w:rPr>
                      <w:color w:val="000000" w:themeColor="text1"/>
                      <w:szCs w:val="21"/>
                    </w:rPr>
                    <w:t>kg/h</w:t>
                  </w:r>
                  <w:r>
                    <w:rPr>
                      <w:rFonts w:hint="eastAsia"/>
                      <w:color w:val="000000" w:themeColor="text1"/>
                      <w:szCs w:val="21"/>
                    </w:rPr>
                    <w:t>）</w:t>
                  </w:r>
                </w:p>
              </w:tc>
              <w:tc>
                <w:tcPr>
                  <w:tcW w:w="137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排放浓度（</w:t>
                  </w:r>
                  <w:r>
                    <w:rPr>
                      <w:color w:val="000000" w:themeColor="text1"/>
                      <w:szCs w:val="21"/>
                    </w:rPr>
                    <w:t>mg/m³</w:t>
                  </w:r>
                  <w:r>
                    <w:rPr>
                      <w:rFonts w:hint="eastAsia"/>
                      <w:color w:val="000000" w:themeColor="text1"/>
                      <w:szCs w:val="21"/>
                    </w:rPr>
                    <w:t>）</w:t>
                  </w:r>
                </w:p>
              </w:tc>
              <w:tc>
                <w:tcPr>
                  <w:tcW w:w="98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排放量（</w:t>
                  </w:r>
                  <w:r>
                    <w:rPr>
                      <w:color w:val="000000" w:themeColor="text1"/>
                      <w:szCs w:val="21"/>
                    </w:rPr>
                    <w:t>t/a</w:t>
                  </w:r>
                  <w:r>
                    <w:rPr>
                      <w:rFonts w:hint="eastAsia"/>
                      <w:color w:val="000000" w:themeColor="text1"/>
                      <w:szCs w:val="21"/>
                    </w:rPr>
                    <w:t>）</w:t>
                  </w:r>
                </w:p>
              </w:tc>
            </w:tr>
            <w:tr>
              <w:tblPrEx>
                <w:tblCellMar>
                  <w:top w:w="0" w:type="dxa"/>
                  <w:left w:w="108" w:type="dxa"/>
                  <w:bottom w:w="0" w:type="dxa"/>
                  <w:right w:w="108" w:type="dxa"/>
                </w:tblCellMar>
              </w:tblPrEx>
              <w:trPr>
                <w:trHeight w:val="56" w:hRule="atLeast"/>
              </w:trPr>
              <w:tc>
                <w:tcPr>
                  <w:tcW w:w="729" w:type="dxa"/>
                  <w:vMerge w:val="restart"/>
                  <w:tcBorders>
                    <w:top w:val="nil"/>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破碎车间</w:t>
                  </w:r>
                </w:p>
              </w:tc>
              <w:tc>
                <w:tcPr>
                  <w:tcW w:w="710" w:type="dxa"/>
                  <w:tcBorders>
                    <w:top w:val="nil"/>
                    <w:left w:val="nil"/>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废气量</w:t>
                  </w:r>
                </w:p>
              </w:tc>
              <w:tc>
                <w:tcPr>
                  <w:tcW w:w="1984" w:type="dxa"/>
                  <w:gridSpan w:val="2"/>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9600万</w:t>
                  </w:r>
                  <w:r>
                    <w:rPr>
                      <w:color w:val="000000" w:themeColor="text1"/>
                      <w:szCs w:val="21"/>
                    </w:rPr>
                    <w:t>m</w:t>
                  </w:r>
                  <w:r>
                    <w:rPr>
                      <w:rFonts w:hint="eastAsia"/>
                      <w:color w:val="000000" w:themeColor="text1"/>
                      <w:szCs w:val="21"/>
                    </w:rPr>
                    <w:t>³</w:t>
                  </w:r>
                  <w:r>
                    <w:rPr>
                      <w:color w:val="000000" w:themeColor="text1"/>
                      <w:szCs w:val="21"/>
                    </w:rPr>
                    <w:t>/a</w:t>
                  </w:r>
                </w:p>
              </w:tc>
              <w:tc>
                <w:tcPr>
                  <w:tcW w:w="85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w:t>
                  </w:r>
                </w:p>
              </w:tc>
              <w:tc>
                <w:tcPr>
                  <w:tcW w:w="3335" w:type="dxa"/>
                  <w:gridSpan w:val="4"/>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9600万</w:t>
                  </w:r>
                  <w:r>
                    <w:rPr>
                      <w:color w:val="000000" w:themeColor="text1"/>
                      <w:szCs w:val="21"/>
                    </w:rPr>
                    <w:t>m</w:t>
                  </w:r>
                  <w:r>
                    <w:rPr>
                      <w:rFonts w:hint="eastAsia"/>
                      <w:color w:val="000000" w:themeColor="text1"/>
                      <w:szCs w:val="21"/>
                    </w:rPr>
                    <w:t>³</w:t>
                  </w:r>
                  <w:r>
                    <w:rPr>
                      <w:color w:val="000000" w:themeColor="text1"/>
                      <w:szCs w:val="21"/>
                    </w:rPr>
                    <w:t>/a</w:t>
                  </w:r>
                </w:p>
              </w:tc>
              <w:tc>
                <w:tcPr>
                  <w:tcW w:w="98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w:t>
                  </w:r>
                </w:p>
              </w:tc>
            </w:tr>
            <w:tr>
              <w:tblPrEx>
                <w:tblCellMar>
                  <w:top w:w="0" w:type="dxa"/>
                  <w:left w:w="108" w:type="dxa"/>
                  <w:bottom w:w="0" w:type="dxa"/>
                  <w:right w:w="108" w:type="dxa"/>
                </w:tblCellMar>
              </w:tblPrEx>
              <w:trPr>
                <w:trHeight w:val="56" w:hRule="atLeast"/>
              </w:trPr>
              <w:tc>
                <w:tcPr>
                  <w:tcW w:w="72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71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粉尘</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7.75</w:t>
                  </w:r>
                </w:p>
              </w:tc>
              <w:tc>
                <w:tcPr>
                  <w:tcW w:w="113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89.69</w:t>
                  </w:r>
                </w:p>
              </w:tc>
              <w:tc>
                <w:tcPr>
                  <w:tcW w:w="85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0.86</w:t>
                  </w:r>
                </w:p>
              </w:tc>
              <w:tc>
                <w:tcPr>
                  <w:tcW w:w="982" w:type="dxa"/>
                  <w:gridSpan w:val="2"/>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0.15</w:t>
                  </w:r>
                </w:p>
              </w:tc>
              <w:tc>
                <w:tcPr>
                  <w:tcW w:w="98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0.03</w:t>
                  </w:r>
                </w:p>
              </w:tc>
              <w:tc>
                <w:tcPr>
                  <w:tcW w:w="137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1.56</w:t>
                  </w:r>
                </w:p>
              </w:tc>
              <w:tc>
                <w:tcPr>
                  <w:tcW w:w="98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0.86</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⑥焙烧烟气</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根据工艺，项目设置了1条4.2m×130m的焙烧窑，对砖坯进行焙烧，在焙烧过程会产生烟气，烟气的主要成分为烟尘、SO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、NOx和氟化物，项目年产页岩砖7000万块</w:t>
            </w:r>
            <w:r>
              <w:rPr>
                <w:rFonts w:ascii="Times New Roman" w:hAnsi="Times New Roman" w:cs="Times New Roman"/>
                <w:color w:val="000000" w:themeColor="text1"/>
                <w:sz w:val="24"/>
                <w:szCs w:val="24"/>
              </w:rPr>
              <w:t>标砖/年</w:t>
            </w: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《排放源统计调查产排污核算方法和系数手册》</w:t>
            </w:r>
            <w:r>
              <w:rPr>
                <w:rFonts w:hint="eastAsia" w:ascii="Times New Roman" w:hAnsi="Times New Roman" w:cs="Times New Roman"/>
                <w:color w:val="000000" w:themeColor="text1"/>
                <w:sz w:val="24"/>
                <w:szCs w:val="24"/>
              </w:rPr>
              <w:t>中“</w:t>
            </w:r>
            <w:r>
              <w:rPr>
                <w:rFonts w:ascii="Times New Roman" w:hAnsi="Times New Roman" w:cs="Times New Roman"/>
                <w:color w:val="000000" w:themeColor="text1"/>
                <w:sz w:val="24"/>
                <w:szCs w:val="24"/>
              </w:rPr>
              <w:t>303</w:t>
            </w:r>
            <w:r>
              <w:rPr>
                <w:rFonts w:hint="eastAsia" w:ascii="Times New Roman" w:hAnsi="Times New Roman" w:cs="Times New Roman"/>
                <w:color w:val="000000" w:themeColor="text1"/>
                <w:sz w:val="24"/>
                <w:szCs w:val="24"/>
              </w:rPr>
              <w:t>砖瓦、石材等建筑材料制造行业系数手册”，窑炉工艺废气中烟尘、</w:t>
            </w:r>
            <w:r>
              <w:rPr>
                <w:rFonts w:ascii="Times New Roman" w:hAnsi="Times New Roman" w:cs="Times New Roman"/>
                <w:color w:val="000000" w:themeColor="text1"/>
                <w:sz w:val="24"/>
                <w:szCs w:val="24"/>
              </w:rPr>
              <w:t>二氧化硫</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氮氧化物</w:t>
            </w:r>
            <w:r>
              <w:rPr>
                <w:rFonts w:hint="eastAsia" w:ascii="Times New Roman" w:hAnsi="Times New Roman" w:cs="Times New Roman"/>
                <w:color w:val="000000" w:themeColor="text1"/>
                <w:sz w:val="24"/>
                <w:szCs w:val="24"/>
              </w:rPr>
              <w:t>的产污系数如下表所示。</w:t>
            </w:r>
          </w:p>
          <w:p>
            <w:pPr>
              <w:pStyle w:val="42"/>
              <w:rPr>
                <w:color w:val="000000" w:themeColor="text1"/>
              </w:rPr>
            </w:pPr>
            <w:r>
              <w:rPr>
                <w:rFonts w:hint="eastAsia"/>
                <w:color w:val="000000" w:themeColor="text1"/>
              </w:rPr>
              <w:t>表4.2</w:t>
            </w:r>
            <w:r>
              <w:rPr>
                <w:color w:val="000000" w:themeColor="text1"/>
              </w:rPr>
              <w:t>.1-</w:t>
            </w:r>
            <w:r>
              <w:rPr>
                <w:rFonts w:hint="eastAsia"/>
                <w:color w:val="000000" w:themeColor="text1"/>
              </w:rPr>
              <w:t>3   粘土砖瓦及建筑砌块制造系数表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4"/>
              <w:gridCol w:w="662"/>
              <w:gridCol w:w="529"/>
              <w:gridCol w:w="683"/>
              <w:gridCol w:w="801"/>
              <w:gridCol w:w="502"/>
              <w:gridCol w:w="931"/>
              <w:gridCol w:w="1185"/>
              <w:gridCol w:w="931"/>
              <w:gridCol w:w="994"/>
              <w:gridCol w:w="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4" w:type="dxa"/>
                  <w:vAlign w:val="center"/>
                </w:tcPr>
                <w:p>
                  <w:pPr>
                    <w:pStyle w:val="32"/>
                    <w:spacing w:line="360" w:lineRule="exact"/>
                    <w:rPr>
                      <w:color w:val="000000" w:themeColor="text1"/>
                      <w:szCs w:val="21"/>
                    </w:rPr>
                  </w:pPr>
                  <w:r>
                    <w:rPr>
                      <w:rFonts w:hint="eastAsia"/>
                      <w:color w:val="000000" w:themeColor="text1"/>
                      <w:szCs w:val="21"/>
                    </w:rPr>
                    <w:t>工段名称</w:t>
                  </w:r>
                </w:p>
              </w:tc>
              <w:tc>
                <w:tcPr>
                  <w:tcW w:w="662" w:type="dxa"/>
                  <w:vAlign w:val="center"/>
                </w:tcPr>
                <w:p>
                  <w:pPr>
                    <w:pStyle w:val="32"/>
                    <w:spacing w:line="360" w:lineRule="exact"/>
                    <w:rPr>
                      <w:color w:val="000000" w:themeColor="text1"/>
                      <w:szCs w:val="21"/>
                    </w:rPr>
                  </w:pPr>
                  <w:r>
                    <w:rPr>
                      <w:rFonts w:hint="eastAsia"/>
                      <w:color w:val="000000" w:themeColor="text1"/>
                      <w:szCs w:val="21"/>
                    </w:rPr>
                    <w:t>产品名称</w:t>
                  </w:r>
                </w:p>
              </w:tc>
              <w:tc>
                <w:tcPr>
                  <w:tcW w:w="529"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原料名称</w:t>
                  </w:r>
                </w:p>
              </w:tc>
              <w:tc>
                <w:tcPr>
                  <w:tcW w:w="683"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工艺</w:t>
                  </w:r>
                </w:p>
                <w:p>
                  <w:pPr>
                    <w:pStyle w:val="32"/>
                    <w:spacing w:line="360" w:lineRule="exact"/>
                    <w:rPr>
                      <w:color w:val="000000" w:themeColor="text1"/>
                      <w:szCs w:val="21"/>
                    </w:rPr>
                  </w:pPr>
                  <w:r>
                    <w:rPr>
                      <w:rFonts w:hint="eastAsia"/>
                      <w:color w:val="000000" w:themeColor="text1"/>
                      <w:szCs w:val="21"/>
                    </w:rPr>
                    <w:t>名称</w:t>
                  </w:r>
                </w:p>
              </w:tc>
              <w:tc>
                <w:tcPr>
                  <w:tcW w:w="801" w:type="dxa"/>
                  <w:vAlign w:val="center"/>
                </w:tcPr>
                <w:p>
                  <w:pPr>
                    <w:pStyle w:val="32"/>
                    <w:spacing w:line="360" w:lineRule="exact"/>
                    <w:rPr>
                      <w:color w:val="000000" w:themeColor="text1"/>
                      <w:szCs w:val="21"/>
                    </w:rPr>
                  </w:pPr>
                  <w:r>
                    <w:rPr>
                      <w:rFonts w:hint="eastAsia"/>
                      <w:color w:val="000000" w:themeColor="text1"/>
                      <w:szCs w:val="21"/>
                    </w:rPr>
                    <w:t>规模等级</w:t>
                  </w:r>
                </w:p>
              </w:tc>
              <w:tc>
                <w:tcPr>
                  <w:tcW w:w="1433" w:type="dxa"/>
                  <w:gridSpan w:val="2"/>
                  <w:vAlign w:val="center"/>
                </w:tcPr>
                <w:p>
                  <w:pPr>
                    <w:pStyle w:val="32"/>
                    <w:spacing w:line="360" w:lineRule="exact"/>
                    <w:rPr>
                      <w:color w:val="000000" w:themeColor="text1"/>
                      <w:szCs w:val="21"/>
                    </w:rPr>
                  </w:pPr>
                  <w:r>
                    <w:rPr>
                      <w:rFonts w:hint="eastAsia"/>
                      <w:color w:val="000000" w:themeColor="text1"/>
                      <w:szCs w:val="21"/>
                    </w:rPr>
                    <w:t>污染物指标</w:t>
                  </w:r>
                </w:p>
              </w:tc>
              <w:tc>
                <w:tcPr>
                  <w:tcW w:w="1185" w:type="dxa"/>
                  <w:vAlign w:val="center"/>
                </w:tcPr>
                <w:p>
                  <w:pPr>
                    <w:pStyle w:val="32"/>
                    <w:spacing w:line="360" w:lineRule="exact"/>
                    <w:rPr>
                      <w:color w:val="000000" w:themeColor="text1"/>
                      <w:szCs w:val="21"/>
                    </w:rPr>
                  </w:pPr>
                  <w:r>
                    <w:rPr>
                      <w:rFonts w:hint="eastAsia"/>
                      <w:color w:val="000000" w:themeColor="text1"/>
                      <w:szCs w:val="21"/>
                    </w:rPr>
                    <w:t>系数单位</w:t>
                  </w:r>
                </w:p>
              </w:tc>
              <w:tc>
                <w:tcPr>
                  <w:tcW w:w="931" w:type="dxa"/>
                  <w:vAlign w:val="center"/>
                </w:tcPr>
                <w:p>
                  <w:pPr>
                    <w:pStyle w:val="32"/>
                    <w:spacing w:line="360" w:lineRule="exact"/>
                    <w:rPr>
                      <w:color w:val="000000" w:themeColor="text1"/>
                      <w:szCs w:val="21"/>
                    </w:rPr>
                  </w:pPr>
                  <w:r>
                    <w:rPr>
                      <w:rFonts w:hint="eastAsia"/>
                      <w:color w:val="000000" w:themeColor="text1"/>
                      <w:szCs w:val="21"/>
                    </w:rPr>
                    <w:t>产污系数</w:t>
                  </w:r>
                </w:p>
              </w:tc>
              <w:tc>
                <w:tcPr>
                  <w:tcW w:w="994" w:type="dxa"/>
                  <w:vAlign w:val="center"/>
                </w:tcPr>
                <w:p>
                  <w:pPr>
                    <w:pStyle w:val="32"/>
                    <w:spacing w:line="360" w:lineRule="exact"/>
                    <w:rPr>
                      <w:color w:val="000000" w:themeColor="text1"/>
                      <w:szCs w:val="21"/>
                    </w:rPr>
                  </w:pPr>
                  <w:r>
                    <w:rPr>
                      <w:rFonts w:hint="eastAsia"/>
                      <w:color w:val="000000" w:themeColor="text1"/>
                      <w:szCs w:val="21"/>
                    </w:rPr>
                    <w:t>末端治理技术</w:t>
                  </w:r>
                </w:p>
              </w:tc>
              <w:tc>
                <w:tcPr>
                  <w:tcW w:w="893" w:type="dxa"/>
                  <w:vAlign w:val="center"/>
                </w:tcPr>
                <w:p>
                  <w:pPr>
                    <w:pStyle w:val="32"/>
                    <w:spacing w:line="360" w:lineRule="exact"/>
                    <w:rPr>
                      <w:color w:val="000000" w:themeColor="text1"/>
                      <w:szCs w:val="21"/>
                    </w:rPr>
                  </w:pPr>
                  <w:r>
                    <w:rPr>
                      <w:rFonts w:hint="eastAsia"/>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4" w:type="dxa"/>
                  <w:vMerge w:val="restart"/>
                  <w:vAlign w:val="center"/>
                </w:tcPr>
                <w:p>
                  <w:pPr>
                    <w:pStyle w:val="32"/>
                    <w:spacing w:line="360" w:lineRule="exact"/>
                    <w:rPr>
                      <w:color w:val="000000" w:themeColor="text1"/>
                      <w:szCs w:val="21"/>
                    </w:rPr>
                  </w:pPr>
                  <w:r>
                    <w:rPr>
                      <w:rFonts w:hint="eastAsia"/>
                      <w:color w:val="000000" w:themeColor="text1"/>
                      <w:szCs w:val="21"/>
                    </w:rPr>
                    <w:t>/</w:t>
                  </w:r>
                </w:p>
              </w:tc>
              <w:tc>
                <w:tcPr>
                  <w:tcW w:w="662" w:type="dxa"/>
                  <w:vMerge w:val="restart"/>
                  <w:vAlign w:val="center"/>
                </w:tcPr>
                <w:p>
                  <w:pPr>
                    <w:pStyle w:val="32"/>
                    <w:spacing w:line="360" w:lineRule="exact"/>
                    <w:rPr>
                      <w:color w:val="000000" w:themeColor="text1"/>
                      <w:szCs w:val="21"/>
                    </w:rPr>
                  </w:pPr>
                  <w:r>
                    <w:rPr>
                      <w:rFonts w:hint="eastAsia"/>
                      <w:color w:val="000000" w:themeColor="text1"/>
                      <w:szCs w:val="21"/>
                    </w:rPr>
                    <w:t>烧结类砖瓦及建筑砌块</w:t>
                  </w:r>
                </w:p>
              </w:tc>
              <w:tc>
                <w:tcPr>
                  <w:tcW w:w="529"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页岩</w:t>
                  </w:r>
                </w:p>
              </w:tc>
              <w:tc>
                <w:tcPr>
                  <w:tcW w:w="683" w:type="dxa"/>
                  <w:vMerge w:val="restart"/>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砖瓦工业焙烧窑炉</w:t>
                  </w:r>
                </w:p>
              </w:tc>
              <w:tc>
                <w:tcPr>
                  <w:tcW w:w="801" w:type="dxa"/>
                  <w:vMerge w:val="restart"/>
                  <w:vAlign w:val="center"/>
                </w:tcPr>
                <w:p>
                  <w:pPr>
                    <w:pStyle w:val="32"/>
                    <w:spacing w:line="360" w:lineRule="exact"/>
                    <w:rPr>
                      <w:color w:val="000000" w:themeColor="text1"/>
                      <w:szCs w:val="21"/>
                    </w:rPr>
                  </w:pPr>
                  <w:r>
                    <w:rPr>
                      <w:rFonts w:hint="eastAsia"/>
                      <w:color w:val="000000" w:themeColor="text1"/>
                      <w:szCs w:val="21"/>
                    </w:rPr>
                    <w:t>≥5000万块标砖/年</w:t>
                  </w:r>
                </w:p>
              </w:tc>
              <w:tc>
                <w:tcPr>
                  <w:tcW w:w="502" w:type="dxa"/>
                  <w:vMerge w:val="restart"/>
                  <w:vAlign w:val="center"/>
                </w:tcPr>
                <w:p>
                  <w:pPr>
                    <w:pStyle w:val="32"/>
                    <w:spacing w:line="360" w:lineRule="exact"/>
                    <w:rPr>
                      <w:color w:val="000000" w:themeColor="text1"/>
                      <w:szCs w:val="21"/>
                    </w:rPr>
                  </w:pPr>
                  <w:r>
                    <w:rPr>
                      <w:rFonts w:hint="eastAsia"/>
                      <w:color w:val="000000" w:themeColor="text1"/>
                      <w:szCs w:val="21"/>
                    </w:rPr>
                    <w:t>废气</w:t>
                  </w:r>
                </w:p>
              </w:tc>
              <w:tc>
                <w:tcPr>
                  <w:tcW w:w="931" w:type="dxa"/>
                  <w:vAlign w:val="center"/>
                </w:tcPr>
                <w:p>
                  <w:pPr>
                    <w:pStyle w:val="32"/>
                    <w:spacing w:line="360" w:lineRule="exact"/>
                    <w:rPr>
                      <w:color w:val="000000" w:themeColor="text1"/>
                      <w:szCs w:val="21"/>
                    </w:rPr>
                  </w:pPr>
                  <w:r>
                    <w:rPr>
                      <w:rFonts w:hint="eastAsia"/>
                      <w:color w:val="000000" w:themeColor="text1"/>
                      <w:szCs w:val="21"/>
                    </w:rPr>
                    <w:t>颗粒物</w:t>
                  </w:r>
                </w:p>
              </w:tc>
              <w:tc>
                <w:tcPr>
                  <w:tcW w:w="1185" w:type="dxa"/>
                  <w:vAlign w:val="center"/>
                </w:tcPr>
                <w:p>
                  <w:pPr>
                    <w:pStyle w:val="32"/>
                    <w:spacing w:line="360" w:lineRule="exact"/>
                    <w:rPr>
                      <w:color w:val="000000" w:themeColor="text1"/>
                      <w:szCs w:val="21"/>
                    </w:rPr>
                  </w:pPr>
                  <w:r>
                    <w:rPr>
                      <w:rFonts w:hint="eastAsia"/>
                      <w:color w:val="000000" w:themeColor="text1"/>
                      <w:szCs w:val="21"/>
                    </w:rPr>
                    <w:t>千克/万块标砖</w:t>
                  </w:r>
                </w:p>
              </w:tc>
              <w:tc>
                <w:tcPr>
                  <w:tcW w:w="931" w:type="dxa"/>
                  <w:vAlign w:val="center"/>
                </w:tcPr>
                <w:p>
                  <w:pPr>
                    <w:pStyle w:val="32"/>
                    <w:spacing w:line="360" w:lineRule="exact"/>
                    <w:rPr>
                      <w:color w:val="000000" w:themeColor="text1"/>
                      <w:szCs w:val="21"/>
                    </w:rPr>
                  </w:pPr>
                  <w:r>
                    <w:rPr>
                      <w:rFonts w:hint="eastAsia"/>
                      <w:color w:val="000000" w:themeColor="text1"/>
                      <w:szCs w:val="21"/>
                    </w:rPr>
                    <w:t>4.73</w:t>
                  </w:r>
                </w:p>
              </w:tc>
              <w:tc>
                <w:tcPr>
                  <w:tcW w:w="994" w:type="dxa"/>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湿式除尘</w:t>
                  </w:r>
                </w:p>
              </w:tc>
              <w:tc>
                <w:tcPr>
                  <w:tcW w:w="893" w:type="dxa"/>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4" w:type="dxa"/>
                  <w:vMerge w:val="continue"/>
                  <w:vAlign w:val="center"/>
                </w:tcPr>
                <w:p>
                  <w:pPr>
                    <w:pStyle w:val="32"/>
                    <w:spacing w:line="360" w:lineRule="exact"/>
                    <w:rPr>
                      <w:color w:val="000000" w:themeColor="text1"/>
                      <w:szCs w:val="21"/>
                    </w:rPr>
                  </w:pPr>
                </w:p>
              </w:tc>
              <w:tc>
                <w:tcPr>
                  <w:tcW w:w="662" w:type="dxa"/>
                  <w:vMerge w:val="continue"/>
                  <w:vAlign w:val="center"/>
                </w:tcPr>
                <w:p>
                  <w:pPr>
                    <w:pStyle w:val="32"/>
                    <w:spacing w:line="360" w:lineRule="exact"/>
                    <w:rPr>
                      <w:color w:val="000000" w:themeColor="text1"/>
                      <w:szCs w:val="21"/>
                    </w:rPr>
                  </w:pPr>
                </w:p>
              </w:tc>
              <w:tc>
                <w:tcPr>
                  <w:tcW w:w="529" w:type="dxa"/>
                  <w:vMerge w:val="continue"/>
                  <w:tcBorders>
                    <w:right w:val="single" w:color="auto" w:sz="4" w:space="0"/>
                  </w:tcBorders>
                  <w:vAlign w:val="center"/>
                </w:tcPr>
                <w:p>
                  <w:pPr>
                    <w:pStyle w:val="32"/>
                    <w:spacing w:line="360" w:lineRule="exact"/>
                    <w:rPr>
                      <w:color w:val="000000" w:themeColor="text1"/>
                      <w:szCs w:val="21"/>
                    </w:rPr>
                  </w:pPr>
                </w:p>
              </w:tc>
              <w:tc>
                <w:tcPr>
                  <w:tcW w:w="683" w:type="dxa"/>
                  <w:vMerge w:val="continue"/>
                  <w:tcBorders>
                    <w:left w:val="single" w:color="auto" w:sz="4" w:space="0"/>
                  </w:tcBorders>
                  <w:vAlign w:val="center"/>
                </w:tcPr>
                <w:p>
                  <w:pPr>
                    <w:pStyle w:val="32"/>
                    <w:spacing w:line="360" w:lineRule="exact"/>
                    <w:rPr>
                      <w:color w:val="000000" w:themeColor="text1"/>
                      <w:szCs w:val="21"/>
                    </w:rPr>
                  </w:pPr>
                </w:p>
              </w:tc>
              <w:tc>
                <w:tcPr>
                  <w:tcW w:w="801" w:type="dxa"/>
                  <w:vMerge w:val="continue"/>
                  <w:vAlign w:val="center"/>
                </w:tcPr>
                <w:p>
                  <w:pPr>
                    <w:pStyle w:val="32"/>
                    <w:spacing w:line="360" w:lineRule="exact"/>
                    <w:rPr>
                      <w:color w:val="000000" w:themeColor="text1"/>
                      <w:szCs w:val="21"/>
                    </w:rPr>
                  </w:pPr>
                </w:p>
              </w:tc>
              <w:tc>
                <w:tcPr>
                  <w:tcW w:w="502" w:type="dxa"/>
                  <w:vMerge w:val="continue"/>
                  <w:vAlign w:val="center"/>
                </w:tcPr>
                <w:p>
                  <w:pPr>
                    <w:pStyle w:val="32"/>
                    <w:spacing w:line="360" w:lineRule="exact"/>
                    <w:rPr>
                      <w:color w:val="000000" w:themeColor="text1"/>
                      <w:szCs w:val="21"/>
                    </w:rPr>
                  </w:pPr>
                </w:p>
              </w:tc>
              <w:tc>
                <w:tcPr>
                  <w:tcW w:w="931" w:type="dxa"/>
                  <w:vAlign w:val="center"/>
                </w:tcPr>
                <w:p>
                  <w:pPr>
                    <w:pStyle w:val="32"/>
                    <w:spacing w:line="360" w:lineRule="exact"/>
                    <w:rPr>
                      <w:color w:val="000000" w:themeColor="text1"/>
                      <w:szCs w:val="21"/>
                    </w:rPr>
                  </w:pPr>
                  <w:r>
                    <w:rPr>
                      <w:rFonts w:hint="eastAsia"/>
                      <w:color w:val="000000" w:themeColor="text1"/>
                      <w:szCs w:val="21"/>
                    </w:rPr>
                    <w:t>二氧化硫</w:t>
                  </w:r>
                </w:p>
              </w:tc>
              <w:tc>
                <w:tcPr>
                  <w:tcW w:w="1185" w:type="dxa"/>
                  <w:vAlign w:val="center"/>
                </w:tcPr>
                <w:p>
                  <w:pPr>
                    <w:pStyle w:val="32"/>
                    <w:spacing w:line="360" w:lineRule="exact"/>
                    <w:rPr>
                      <w:color w:val="000000" w:themeColor="text1"/>
                      <w:szCs w:val="21"/>
                    </w:rPr>
                  </w:pPr>
                  <w:r>
                    <w:rPr>
                      <w:rFonts w:hint="eastAsia"/>
                      <w:color w:val="000000" w:themeColor="text1"/>
                      <w:szCs w:val="21"/>
                    </w:rPr>
                    <w:t>千克/万块标砖</w:t>
                  </w:r>
                </w:p>
              </w:tc>
              <w:tc>
                <w:tcPr>
                  <w:tcW w:w="931" w:type="dxa"/>
                  <w:vAlign w:val="center"/>
                </w:tcPr>
                <w:p>
                  <w:pPr>
                    <w:pStyle w:val="32"/>
                    <w:spacing w:line="360" w:lineRule="exact"/>
                    <w:rPr>
                      <w:color w:val="000000" w:themeColor="text1"/>
                      <w:szCs w:val="21"/>
                    </w:rPr>
                  </w:pPr>
                  <w:r>
                    <w:rPr>
                      <w:rFonts w:hint="eastAsia"/>
                      <w:color w:val="000000" w:themeColor="text1"/>
                      <w:szCs w:val="21"/>
                    </w:rPr>
                    <w:t>14.8</w:t>
                  </w:r>
                </w:p>
              </w:tc>
              <w:tc>
                <w:tcPr>
                  <w:tcW w:w="994" w:type="dxa"/>
                  <w:vAlign w:val="center"/>
                </w:tcPr>
                <w:p>
                  <w:pPr>
                    <w:pStyle w:val="32"/>
                    <w:spacing w:line="360" w:lineRule="exact"/>
                    <w:rPr>
                      <w:color w:val="000000" w:themeColor="text1"/>
                      <w:szCs w:val="21"/>
                    </w:rPr>
                  </w:pPr>
                  <w:r>
                    <w:rPr>
                      <w:rFonts w:hint="eastAsia"/>
                      <w:color w:val="000000" w:themeColor="text1"/>
                      <w:szCs w:val="21"/>
                    </w:rPr>
                    <w:t>双碱法</w:t>
                  </w:r>
                </w:p>
              </w:tc>
              <w:tc>
                <w:tcPr>
                  <w:tcW w:w="893" w:type="dxa"/>
                  <w:vAlign w:val="center"/>
                </w:tcPr>
                <w:p>
                  <w:pPr>
                    <w:pStyle w:val="32"/>
                    <w:spacing w:line="360" w:lineRule="exact"/>
                    <w:rPr>
                      <w:color w:val="000000" w:themeColor="text1"/>
                      <w:szCs w:val="21"/>
                    </w:rPr>
                  </w:pPr>
                  <w:r>
                    <w:rPr>
                      <w:rFonts w:hint="eastAsia"/>
                      <w:color w:val="000000" w:themeColor="text1"/>
                      <w:szCs w:val="21"/>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4" w:type="dxa"/>
                  <w:vMerge w:val="continue"/>
                  <w:vAlign w:val="center"/>
                </w:tcPr>
                <w:p>
                  <w:pPr>
                    <w:pStyle w:val="32"/>
                    <w:spacing w:line="360" w:lineRule="exact"/>
                    <w:rPr>
                      <w:color w:val="000000" w:themeColor="text1"/>
                      <w:szCs w:val="21"/>
                    </w:rPr>
                  </w:pPr>
                </w:p>
              </w:tc>
              <w:tc>
                <w:tcPr>
                  <w:tcW w:w="662" w:type="dxa"/>
                  <w:vMerge w:val="continue"/>
                  <w:vAlign w:val="center"/>
                </w:tcPr>
                <w:p>
                  <w:pPr>
                    <w:pStyle w:val="32"/>
                    <w:spacing w:line="360" w:lineRule="exact"/>
                    <w:rPr>
                      <w:color w:val="000000" w:themeColor="text1"/>
                      <w:szCs w:val="21"/>
                    </w:rPr>
                  </w:pPr>
                </w:p>
              </w:tc>
              <w:tc>
                <w:tcPr>
                  <w:tcW w:w="529" w:type="dxa"/>
                  <w:vMerge w:val="continue"/>
                  <w:tcBorders>
                    <w:right w:val="single" w:color="auto" w:sz="4" w:space="0"/>
                  </w:tcBorders>
                  <w:vAlign w:val="center"/>
                </w:tcPr>
                <w:p>
                  <w:pPr>
                    <w:pStyle w:val="32"/>
                    <w:spacing w:line="360" w:lineRule="exact"/>
                    <w:rPr>
                      <w:color w:val="000000" w:themeColor="text1"/>
                      <w:szCs w:val="21"/>
                    </w:rPr>
                  </w:pPr>
                </w:p>
              </w:tc>
              <w:tc>
                <w:tcPr>
                  <w:tcW w:w="683" w:type="dxa"/>
                  <w:vMerge w:val="continue"/>
                  <w:tcBorders>
                    <w:left w:val="single" w:color="auto" w:sz="4" w:space="0"/>
                  </w:tcBorders>
                  <w:vAlign w:val="center"/>
                </w:tcPr>
                <w:p>
                  <w:pPr>
                    <w:pStyle w:val="32"/>
                    <w:spacing w:line="360" w:lineRule="exact"/>
                    <w:rPr>
                      <w:color w:val="000000" w:themeColor="text1"/>
                      <w:szCs w:val="21"/>
                    </w:rPr>
                  </w:pPr>
                </w:p>
              </w:tc>
              <w:tc>
                <w:tcPr>
                  <w:tcW w:w="801" w:type="dxa"/>
                  <w:vMerge w:val="continue"/>
                  <w:vAlign w:val="center"/>
                </w:tcPr>
                <w:p>
                  <w:pPr>
                    <w:pStyle w:val="32"/>
                    <w:spacing w:line="360" w:lineRule="exact"/>
                    <w:rPr>
                      <w:color w:val="000000" w:themeColor="text1"/>
                      <w:szCs w:val="21"/>
                    </w:rPr>
                  </w:pPr>
                </w:p>
              </w:tc>
              <w:tc>
                <w:tcPr>
                  <w:tcW w:w="502" w:type="dxa"/>
                  <w:vMerge w:val="continue"/>
                  <w:vAlign w:val="center"/>
                </w:tcPr>
                <w:p>
                  <w:pPr>
                    <w:pStyle w:val="32"/>
                    <w:spacing w:line="360" w:lineRule="exact"/>
                    <w:rPr>
                      <w:color w:val="000000" w:themeColor="text1"/>
                      <w:szCs w:val="21"/>
                    </w:rPr>
                  </w:pPr>
                </w:p>
              </w:tc>
              <w:tc>
                <w:tcPr>
                  <w:tcW w:w="931" w:type="dxa"/>
                  <w:vAlign w:val="center"/>
                </w:tcPr>
                <w:p>
                  <w:pPr>
                    <w:pStyle w:val="32"/>
                    <w:spacing w:line="360" w:lineRule="exact"/>
                    <w:rPr>
                      <w:color w:val="000000" w:themeColor="text1"/>
                      <w:szCs w:val="21"/>
                    </w:rPr>
                  </w:pPr>
                  <w:r>
                    <w:rPr>
                      <w:rFonts w:hint="eastAsia"/>
                      <w:color w:val="000000" w:themeColor="text1"/>
                      <w:szCs w:val="21"/>
                    </w:rPr>
                    <w:t>氮氧化物</w:t>
                  </w:r>
                </w:p>
              </w:tc>
              <w:tc>
                <w:tcPr>
                  <w:tcW w:w="1185" w:type="dxa"/>
                  <w:vAlign w:val="center"/>
                </w:tcPr>
                <w:p>
                  <w:pPr>
                    <w:pStyle w:val="32"/>
                    <w:spacing w:line="360" w:lineRule="exact"/>
                    <w:rPr>
                      <w:color w:val="000000" w:themeColor="text1"/>
                      <w:szCs w:val="21"/>
                    </w:rPr>
                  </w:pPr>
                  <w:r>
                    <w:rPr>
                      <w:rFonts w:hint="eastAsia"/>
                      <w:color w:val="000000" w:themeColor="text1"/>
                      <w:szCs w:val="21"/>
                    </w:rPr>
                    <w:t>千克/万块标砖</w:t>
                  </w:r>
                </w:p>
              </w:tc>
              <w:tc>
                <w:tcPr>
                  <w:tcW w:w="931" w:type="dxa"/>
                  <w:vAlign w:val="center"/>
                </w:tcPr>
                <w:p>
                  <w:pPr>
                    <w:pStyle w:val="32"/>
                    <w:spacing w:line="360" w:lineRule="exact"/>
                    <w:rPr>
                      <w:color w:val="000000" w:themeColor="text1"/>
                      <w:szCs w:val="21"/>
                    </w:rPr>
                  </w:pPr>
                  <w:r>
                    <w:rPr>
                      <w:rFonts w:hint="eastAsia"/>
                      <w:color w:val="000000" w:themeColor="text1"/>
                      <w:szCs w:val="21"/>
                    </w:rPr>
                    <w:t>1.66</w:t>
                  </w:r>
                </w:p>
              </w:tc>
              <w:tc>
                <w:tcPr>
                  <w:tcW w:w="994" w:type="dxa"/>
                  <w:vAlign w:val="center"/>
                </w:tcPr>
                <w:p>
                  <w:pPr>
                    <w:pStyle w:val="32"/>
                    <w:spacing w:line="360" w:lineRule="exact"/>
                    <w:rPr>
                      <w:color w:val="000000" w:themeColor="text1"/>
                      <w:szCs w:val="21"/>
                    </w:rPr>
                  </w:pPr>
                  <w:r>
                    <w:rPr>
                      <w:rFonts w:hint="eastAsia"/>
                      <w:color w:val="000000" w:themeColor="text1"/>
                      <w:szCs w:val="21"/>
                    </w:rPr>
                    <w:t>/</w:t>
                  </w:r>
                </w:p>
              </w:tc>
              <w:tc>
                <w:tcPr>
                  <w:tcW w:w="893" w:type="dxa"/>
                  <w:vAlign w:val="center"/>
                </w:tcPr>
                <w:p>
                  <w:pPr>
                    <w:pStyle w:val="32"/>
                    <w:spacing w:line="360" w:lineRule="exact"/>
                    <w:rPr>
                      <w:color w:val="000000" w:themeColor="text1"/>
                      <w:szCs w:val="21"/>
                    </w:rPr>
                  </w:pPr>
                  <w:r>
                    <w:rPr>
                      <w:rFonts w:hint="eastAsia"/>
                      <w:color w:val="000000" w:themeColor="text1"/>
                      <w:szCs w:val="21"/>
                    </w:rPr>
                    <w:t>/</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采用一烘一焙隧道窑生产页岩烧结砖，为了保证炉窑中温度使砖内燃，隧道窑进出口处，其他区域必须全封闭，而烟气流向是控温的重要环节，所有烟气在风机的作用全部由焙烧窑进入干燥窑，最后进入脱硫系统，经脱硫系统处理处理后外排；因此烟气均为有组织排放。</w:t>
            </w:r>
            <w:r>
              <w:rPr>
                <w:rFonts w:ascii="Times New Roman" w:hAnsi="Times New Roman" w:cs="Times New Roman"/>
                <w:color w:val="000000" w:themeColor="text1"/>
                <w:sz w:val="24"/>
                <w:szCs w:val="24"/>
              </w:rPr>
              <w:t>项目拟设置1套脱硫除尘系统对焙烧工序产生的废气进行处理，该脱硫除尘系统采用钠碱双碱还原法脱硫除尘工艺，</w:t>
            </w: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《排放源统计调查产排污核算方法和系数手册》</w:t>
            </w:r>
            <w:r>
              <w:rPr>
                <w:rFonts w:hint="eastAsia" w:ascii="Times New Roman" w:hAnsi="Times New Roman" w:cs="Times New Roman"/>
                <w:color w:val="000000" w:themeColor="text1"/>
                <w:sz w:val="24"/>
                <w:szCs w:val="24"/>
              </w:rPr>
              <w:t>中“</w:t>
            </w:r>
            <w:r>
              <w:rPr>
                <w:rFonts w:ascii="Times New Roman" w:hAnsi="Times New Roman" w:cs="Times New Roman"/>
                <w:color w:val="000000" w:themeColor="text1"/>
                <w:sz w:val="24"/>
                <w:szCs w:val="24"/>
              </w:rPr>
              <w:t>303</w:t>
            </w:r>
            <w:r>
              <w:rPr>
                <w:rFonts w:hint="eastAsia" w:ascii="Times New Roman" w:hAnsi="Times New Roman" w:cs="Times New Roman"/>
                <w:color w:val="000000" w:themeColor="text1"/>
                <w:sz w:val="24"/>
                <w:szCs w:val="24"/>
              </w:rPr>
              <w:t>砖瓦、石材等建筑材料制造行业系数手册”，给出的“末端治理技术平均去除效率（</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rPr>
              <w:t>”本项目烟气采用湿式除尘，</w:t>
            </w:r>
            <w:r>
              <w:rPr>
                <w:rFonts w:ascii="Times New Roman" w:hAnsi="Times New Roman" w:cs="Times New Roman"/>
                <w:color w:val="000000" w:themeColor="text1"/>
                <w:sz w:val="24"/>
                <w:szCs w:val="24"/>
              </w:rPr>
              <w:t>烟尘去除率85%、</w:t>
            </w:r>
            <w:r>
              <w:rPr>
                <w:rFonts w:ascii="Times New Roman" w:hAnsi="Times New Roman" w:cs="Times New Roman"/>
                <w:bCs/>
                <w:color w:val="000000" w:themeColor="text1"/>
                <w:sz w:val="24"/>
                <w:szCs w:val="24"/>
              </w:rPr>
              <w:t>双碱还原法脱硫除尘工艺</w:t>
            </w:r>
            <w:r>
              <w:rPr>
                <w:rFonts w:ascii="Times New Roman" w:hAnsi="Times New Roman" w:cs="Times New Roman"/>
                <w:color w:val="000000" w:themeColor="text1"/>
                <w:sz w:val="24"/>
                <w:szCs w:val="24"/>
              </w:rPr>
              <w:t>二氧化硫去除率为90%、</w:t>
            </w:r>
            <w:r>
              <w:rPr>
                <w:rFonts w:ascii="Times New Roman" w:hAnsi="Times New Roman" w:cs="Times New Roman"/>
                <w:bCs/>
                <w:color w:val="000000" w:themeColor="text1"/>
                <w:sz w:val="24"/>
                <w:szCs w:val="24"/>
              </w:rPr>
              <w:t>根据《砖瓦厂氟化物排放研究》（浙江农业大学）双碱还原法脱硫除尘</w:t>
            </w:r>
            <w:r>
              <w:rPr>
                <w:rFonts w:hint="eastAsia" w:ascii="Times New Roman" w:hAnsi="Times New Roman" w:cs="Times New Roman"/>
                <w:bCs/>
                <w:color w:val="000000" w:themeColor="text1"/>
                <w:sz w:val="24"/>
                <w:szCs w:val="24"/>
              </w:rPr>
              <w:t>工艺氟化物</w:t>
            </w:r>
            <w:r>
              <w:rPr>
                <w:rFonts w:ascii="Times New Roman" w:hAnsi="Times New Roman" w:cs="Times New Roman"/>
                <w:bCs/>
                <w:color w:val="000000" w:themeColor="text1"/>
                <w:sz w:val="24"/>
                <w:szCs w:val="24"/>
              </w:rPr>
              <w:t>净化率高于</w:t>
            </w:r>
            <w:r>
              <w:rPr>
                <w:rFonts w:hint="eastAsia"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0%</w:t>
            </w:r>
            <w:r>
              <w:rPr>
                <w:rFonts w:hint="eastAsia" w:ascii="Times New Roman" w:hAnsi="Times New Roman" w:cs="Times New Roman"/>
                <w:bCs/>
                <w:color w:val="000000" w:themeColor="text1"/>
                <w:sz w:val="24"/>
                <w:szCs w:val="24"/>
              </w:rPr>
              <w:t>，则</w:t>
            </w:r>
            <w:r>
              <w:rPr>
                <w:rFonts w:ascii="Times New Roman" w:hAnsi="Times New Roman" w:cs="Times New Roman"/>
                <w:color w:val="000000" w:themeColor="text1"/>
                <w:sz w:val="24"/>
                <w:szCs w:val="24"/>
              </w:rPr>
              <w:t>氟化物去除率为70%，处理后的烟气通过18m高（DA002）的排气筒外排。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1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⑴</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烟气</w:t>
            </w:r>
            <w:r>
              <w:rPr>
                <w:rFonts w:hint="eastAsia" w:ascii="Times New Roman" w:hAnsi="Times New Roman" w:cs="Times New Roman"/>
                <w:b/>
                <w:bCs/>
                <w:color w:val="000000" w:themeColor="text1"/>
                <w:sz w:val="24"/>
                <w:szCs w:val="24"/>
              </w:rPr>
              <w:t>产排</w:t>
            </w:r>
            <w:r>
              <w:rPr>
                <w:rFonts w:ascii="Times New Roman" w:hAnsi="Times New Roman" w:cs="Times New Roman"/>
                <w:b/>
                <w:bCs/>
                <w:color w:val="000000" w:themeColor="text1"/>
                <w:sz w:val="24"/>
                <w:szCs w:val="24"/>
              </w:rPr>
              <w:t>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w:t>
            </w:r>
            <w:r>
              <w:rPr>
                <w:rFonts w:hint="eastAsia" w:ascii="Times New Roman" w:hAnsi="Times New Roman" w:cs="Times New Roman"/>
                <w:bCs/>
                <w:color w:val="000000" w:themeColor="text1"/>
                <w:sz w:val="24"/>
                <w:szCs w:val="24"/>
              </w:rPr>
              <w:t>项目拟设置隧道窑的参数，项目风机量约为20万</w:t>
            </w:r>
            <w:r>
              <w:rPr>
                <w:rFonts w:ascii="Times New Roman" w:hAnsi="Times New Roman" w:cs="Times New Roman"/>
                <w:bCs/>
                <w:color w:val="000000" w:themeColor="text1"/>
                <w:sz w:val="24"/>
                <w:szCs w:val="24"/>
              </w:rPr>
              <w:t>m³/</w:t>
            </w:r>
            <w:r>
              <w:rPr>
                <w:rFonts w:hint="eastAsia" w:ascii="Times New Roman" w:hAnsi="Times New Roman" w:cs="Times New Roman"/>
                <w:bCs/>
                <w:color w:val="000000" w:themeColor="text1"/>
                <w:sz w:val="24"/>
                <w:szCs w:val="24"/>
              </w:rPr>
              <w:t>h，则</w:t>
            </w:r>
            <w:r>
              <w:rPr>
                <w:rFonts w:ascii="Times New Roman" w:hAnsi="Times New Roman" w:cs="Times New Roman"/>
                <w:bCs/>
                <w:color w:val="000000" w:themeColor="text1"/>
                <w:sz w:val="24"/>
                <w:szCs w:val="24"/>
              </w:rPr>
              <w:t>气排放量为</w:t>
            </w:r>
            <w:r>
              <w:rPr>
                <w:rFonts w:hint="eastAsia" w:ascii="Times New Roman" w:hAnsi="Times New Roman" w:cs="Times New Roman"/>
                <w:bCs/>
                <w:color w:val="000000" w:themeColor="text1"/>
                <w:sz w:val="24"/>
                <w:szCs w:val="24"/>
              </w:rPr>
              <w:t>144000万</w:t>
            </w:r>
            <w:r>
              <w:rPr>
                <w:rFonts w:ascii="Times New Roman" w:hAnsi="Times New Roman" w:cs="Times New Roman"/>
                <w:bCs/>
                <w:color w:val="000000" w:themeColor="text1"/>
                <w:sz w:val="24"/>
                <w:szCs w:val="24"/>
              </w:rPr>
              <w:t>m³/a</w:t>
            </w:r>
            <w:r>
              <w:rPr>
                <w:rFonts w:hint="eastAsia" w:ascii="Times New Roman" w:hAnsi="Times New Roman" w:cs="Times New Roman"/>
                <w:bCs/>
                <w:color w:val="000000" w:themeColor="text1"/>
                <w:sz w:val="24"/>
                <w:szCs w:val="24"/>
              </w:rPr>
              <w:t>，烟气经余热利用、湿法处理后，温度约为30-40℃。</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烟尘</w:t>
            </w:r>
            <w:r>
              <w:rPr>
                <w:rFonts w:hint="eastAsia" w:ascii="Times New Roman" w:hAnsi="Times New Roman" w:cs="Times New Roman"/>
                <w:b/>
                <w:bCs/>
                <w:color w:val="000000" w:themeColor="text1"/>
                <w:sz w:val="24"/>
                <w:szCs w:val="24"/>
              </w:rPr>
              <w:t>产排</w:t>
            </w:r>
            <w:r>
              <w:rPr>
                <w:rFonts w:ascii="Times New Roman" w:hAnsi="Times New Roman" w:cs="Times New Roman"/>
                <w:b/>
                <w:bCs/>
                <w:color w:val="000000" w:themeColor="text1"/>
                <w:sz w:val="24"/>
                <w:szCs w:val="24"/>
              </w:rPr>
              <w:t>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w:t>
            </w:r>
            <w:r>
              <w:rPr>
                <w:rFonts w:hint="eastAsia" w:ascii="Times New Roman" w:hAnsi="Times New Roman" w:cs="Times New Roman"/>
                <w:bCs/>
                <w:color w:val="000000" w:themeColor="text1"/>
                <w:sz w:val="24"/>
                <w:szCs w:val="24"/>
              </w:rPr>
              <w:t>“表4.2</w:t>
            </w:r>
            <w:r>
              <w:rPr>
                <w:rFonts w:ascii="Times New Roman" w:hAnsi="Times New Roman" w:cs="Times New Roman"/>
                <w:bCs/>
                <w:color w:val="000000" w:themeColor="text1"/>
                <w:sz w:val="24"/>
                <w:szCs w:val="24"/>
              </w:rPr>
              <w:t>.1-</w:t>
            </w:r>
            <w:r>
              <w:rPr>
                <w:rFonts w:hint="eastAsia" w:ascii="Times New Roman" w:hAnsi="Times New Roman" w:cs="Times New Roman"/>
                <w:bCs/>
                <w:color w:val="000000" w:themeColor="text1"/>
                <w:sz w:val="24"/>
                <w:szCs w:val="24"/>
              </w:rPr>
              <w:t>3 粘土砖瓦及建筑砌块制造系数表”，</w:t>
            </w:r>
            <w:r>
              <w:rPr>
                <w:rFonts w:ascii="Times New Roman" w:hAnsi="Times New Roman" w:cs="Times New Roman"/>
                <w:bCs/>
                <w:color w:val="000000" w:themeColor="text1"/>
                <w:sz w:val="24"/>
                <w:szCs w:val="24"/>
              </w:rPr>
              <w:t>项目年产页岩砖</w:t>
            </w:r>
            <w:r>
              <w:rPr>
                <w:rFonts w:hint="eastAsia" w:ascii="Times New Roman" w:hAnsi="Times New Roman" w:cs="Times New Roman"/>
                <w:bCs/>
                <w:color w:val="000000" w:themeColor="text1"/>
                <w:sz w:val="24"/>
                <w:szCs w:val="24"/>
              </w:rPr>
              <w:t>7000万</w:t>
            </w:r>
            <w:r>
              <w:rPr>
                <w:rFonts w:ascii="Times New Roman" w:hAnsi="Times New Roman" w:cs="Times New Roman"/>
                <w:bCs/>
                <w:color w:val="000000" w:themeColor="text1"/>
                <w:sz w:val="24"/>
                <w:szCs w:val="24"/>
              </w:rPr>
              <w:t>块（折标），烟尘产污系数为4.7</w:t>
            </w:r>
            <w:r>
              <w:rPr>
                <w:rFonts w:hint="eastAsia"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kg/万块</w:t>
            </w:r>
            <w:r>
              <w:rPr>
                <w:rFonts w:hint="eastAsia" w:ascii="Times New Roman" w:hAnsi="Times New Roman" w:cs="Times New Roman"/>
                <w:bCs/>
                <w:color w:val="000000" w:themeColor="text1"/>
                <w:sz w:val="24"/>
                <w:szCs w:val="24"/>
              </w:rPr>
              <w:t>标砖，</w:t>
            </w:r>
            <w:r>
              <w:rPr>
                <w:rFonts w:ascii="Times New Roman" w:hAnsi="Times New Roman" w:cs="Times New Roman"/>
                <w:bCs/>
                <w:color w:val="000000" w:themeColor="text1"/>
                <w:sz w:val="24"/>
                <w:szCs w:val="24"/>
              </w:rPr>
              <w:t>则烟尘产生量为</w:t>
            </w:r>
            <w:r>
              <w:rPr>
                <w:rFonts w:hint="eastAsia" w:ascii="Times New Roman" w:hAnsi="Times New Roman" w:cs="Times New Roman"/>
                <w:bCs/>
                <w:color w:val="000000" w:themeColor="text1"/>
                <w:sz w:val="24"/>
                <w:szCs w:val="24"/>
              </w:rPr>
              <w:t>33.11</w:t>
            </w:r>
            <w:r>
              <w:rPr>
                <w:rFonts w:ascii="Times New Roman" w:hAnsi="Times New Roman" w:cs="Times New Roman"/>
                <w:bCs/>
                <w:color w:val="000000" w:themeColor="text1"/>
                <w:sz w:val="24"/>
                <w:szCs w:val="24"/>
              </w:rPr>
              <w:t>t/a，产生速率为</w:t>
            </w:r>
            <w:r>
              <w:rPr>
                <w:rFonts w:hint="eastAsia" w:ascii="Times New Roman" w:hAnsi="Times New Roman" w:cs="Times New Roman"/>
                <w:bCs/>
                <w:color w:val="000000" w:themeColor="text1"/>
                <w:sz w:val="24"/>
                <w:szCs w:val="24"/>
              </w:rPr>
              <w:t>4.60</w:t>
            </w:r>
            <w:r>
              <w:rPr>
                <w:rFonts w:ascii="Times New Roman" w:hAnsi="Times New Roman" w:cs="Times New Roman"/>
                <w:bCs/>
                <w:color w:val="000000" w:themeColor="text1"/>
                <w:sz w:val="24"/>
                <w:szCs w:val="24"/>
              </w:rPr>
              <w:t>kg/h，脱硫除尘系统的烟尘去除效率约为</w:t>
            </w:r>
            <w:r>
              <w:rPr>
                <w:rFonts w:hint="eastAsia" w:ascii="Times New Roman" w:hAnsi="Times New Roman" w:cs="Times New Roman"/>
                <w:bCs/>
                <w:color w:val="000000" w:themeColor="text1"/>
                <w:sz w:val="24"/>
                <w:szCs w:val="24"/>
              </w:rPr>
              <w:t>85%</w:t>
            </w:r>
            <w:r>
              <w:rPr>
                <w:rFonts w:ascii="Times New Roman" w:hAnsi="Times New Roman" w:cs="Times New Roman"/>
                <w:bCs/>
                <w:color w:val="000000" w:themeColor="text1"/>
                <w:sz w:val="24"/>
                <w:szCs w:val="24"/>
              </w:rPr>
              <w:t>，则烟尘排放量为</w:t>
            </w:r>
            <w:r>
              <w:rPr>
                <w:rFonts w:hint="eastAsia" w:ascii="Times New Roman" w:hAnsi="Times New Roman" w:cs="Times New Roman"/>
                <w:bCs/>
                <w:color w:val="000000" w:themeColor="text1"/>
                <w:sz w:val="24"/>
                <w:szCs w:val="24"/>
              </w:rPr>
              <w:t>4.97</w:t>
            </w:r>
            <w:r>
              <w:rPr>
                <w:rFonts w:ascii="Times New Roman" w:hAnsi="Times New Roman" w:cs="Times New Roman"/>
                <w:bCs/>
                <w:color w:val="000000" w:themeColor="text1"/>
                <w:sz w:val="24"/>
                <w:szCs w:val="24"/>
              </w:rPr>
              <w:t>t/a，排放速率为</w:t>
            </w:r>
            <w:r>
              <w:rPr>
                <w:rFonts w:hint="eastAsia" w:ascii="Times New Roman" w:hAnsi="Times New Roman" w:cs="Times New Roman"/>
                <w:bCs/>
                <w:color w:val="000000" w:themeColor="text1"/>
                <w:sz w:val="24"/>
                <w:szCs w:val="24"/>
              </w:rPr>
              <w:t>0.69</w:t>
            </w:r>
            <w:r>
              <w:rPr>
                <w:rFonts w:ascii="Times New Roman" w:hAnsi="Times New Roman" w:cs="Times New Roman"/>
                <w:bCs/>
                <w:color w:val="000000" w:themeColor="text1"/>
                <w:sz w:val="24"/>
                <w:szCs w:val="24"/>
              </w:rPr>
              <w:t>kg/h。</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3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⑶</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SO</w:t>
            </w:r>
            <w:r>
              <w:rPr>
                <w:rFonts w:ascii="Times New Roman" w:hAnsi="Times New Roman" w:cs="Times New Roman"/>
                <w:b/>
                <w:bCs/>
                <w:color w:val="000000" w:themeColor="text1"/>
                <w:sz w:val="24"/>
                <w:szCs w:val="24"/>
                <w:vertAlign w:val="subscript"/>
              </w:rPr>
              <w:t>2</w:t>
            </w:r>
            <w:r>
              <w:rPr>
                <w:rFonts w:hint="eastAsia" w:ascii="Times New Roman" w:hAnsi="Times New Roman" w:cs="Times New Roman"/>
                <w:b/>
                <w:bCs/>
                <w:color w:val="000000" w:themeColor="text1"/>
                <w:sz w:val="24"/>
                <w:szCs w:val="24"/>
              </w:rPr>
              <w:t>产生</w:t>
            </w:r>
            <w:r>
              <w:rPr>
                <w:rFonts w:ascii="Times New Roman" w:hAnsi="Times New Roman" w:cs="Times New Roman"/>
                <w:b/>
                <w:bCs/>
                <w:color w:val="000000" w:themeColor="text1"/>
                <w:sz w:val="24"/>
                <w:szCs w:val="24"/>
              </w:rPr>
              <w:t>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w:t>
            </w:r>
            <w:r>
              <w:rPr>
                <w:rFonts w:hint="eastAsia" w:ascii="Times New Roman" w:hAnsi="Times New Roman" w:cs="Times New Roman"/>
                <w:bCs/>
                <w:color w:val="000000" w:themeColor="text1"/>
                <w:sz w:val="24"/>
                <w:szCs w:val="24"/>
              </w:rPr>
              <w:t>“表4.2</w:t>
            </w:r>
            <w:r>
              <w:rPr>
                <w:rFonts w:ascii="Times New Roman" w:hAnsi="Times New Roman" w:cs="Times New Roman"/>
                <w:bCs/>
                <w:color w:val="000000" w:themeColor="text1"/>
                <w:sz w:val="24"/>
                <w:szCs w:val="24"/>
              </w:rPr>
              <w:t>.1-</w:t>
            </w:r>
            <w:r>
              <w:rPr>
                <w:rFonts w:hint="eastAsia" w:ascii="Times New Roman" w:hAnsi="Times New Roman" w:cs="Times New Roman"/>
                <w:bCs/>
                <w:color w:val="000000" w:themeColor="text1"/>
                <w:sz w:val="24"/>
                <w:szCs w:val="24"/>
              </w:rPr>
              <w:t>3 粘土砖瓦及建筑砌块制造系数表”，</w:t>
            </w:r>
            <w:r>
              <w:rPr>
                <w:rFonts w:ascii="Times New Roman" w:hAnsi="Times New Roman" w:cs="Times New Roman"/>
                <w:bCs/>
                <w:color w:val="000000" w:themeColor="text1"/>
                <w:sz w:val="24"/>
                <w:szCs w:val="24"/>
              </w:rPr>
              <w:t>项目年产页岩砖</w:t>
            </w:r>
            <w:r>
              <w:rPr>
                <w:rFonts w:hint="eastAsia" w:ascii="Times New Roman" w:hAnsi="Times New Roman" w:cs="Times New Roman"/>
                <w:bCs/>
                <w:color w:val="000000" w:themeColor="text1"/>
                <w:sz w:val="24"/>
                <w:szCs w:val="24"/>
              </w:rPr>
              <w:t>7000万</w:t>
            </w:r>
            <w:r>
              <w:rPr>
                <w:rFonts w:ascii="Times New Roman" w:hAnsi="Times New Roman" w:cs="Times New Roman"/>
                <w:bCs/>
                <w:color w:val="000000" w:themeColor="text1"/>
                <w:sz w:val="24"/>
                <w:szCs w:val="24"/>
              </w:rPr>
              <w:t>块（折标），SO</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的产生系数为14.8kg/万块</w:t>
            </w:r>
            <w:r>
              <w:rPr>
                <w:rFonts w:hint="eastAsia" w:ascii="Times New Roman" w:hAnsi="Times New Roman" w:cs="Times New Roman"/>
                <w:bCs/>
                <w:color w:val="000000" w:themeColor="text1"/>
                <w:sz w:val="24"/>
                <w:szCs w:val="24"/>
              </w:rPr>
              <w:t>标砖，</w:t>
            </w:r>
            <w:r>
              <w:rPr>
                <w:rFonts w:ascii="Times New Roman" w:hAnsi="Times New Roman" w:cs="Times New Roman"/>
                <w:bCs/>
                <w:color w:val="000000" w:themeColor="text1"/>
                <w:sz w:val="24"/>
                <w:szCs w:val="24"/>
              </w:rPr>
              <w:t>则SO</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产生量为</w:t>
            </w:r>
            <w:r>
              <w:rPr>
                <w:rFonts w:hint="eastAsia" w:ascii="Times New Roman" w:hAnsi="Times New Roman" w:cs="Times New Roman"/>
                <w:bCs/>
                <w:color w:val="000000" w:themeColor="text1"/>
                <w:sz w:val="24"/>
                <w:szCs w:val="24"/>
              </w:rPr>
              <w:t>103.6</w:t>
            </w:r>
            <w:r>
              <w:rPr>
                <w:rFonts w:ascii="Times New Roman" w:hAnsi="Times New Roman" w:cs="Times New Roman"/>
                <w:bCs/>
                <w:color w:val="000000" w:themeColor="text1"/>
                <w:sz w:val="24"/>
                <w:szCs w:val="24"/>
              </w:rPr>
              <w:t>t/a，产生速率为</w:t>
            </w:r>
            <w:r>
              <w:rPr>
                <w:rFonts w:hint="eastAsia" w:ascii="Times New Roman" w:hAnsi="Times New Roman" w:cs="Times New Roman"/>
                <w:bCs/>
                <w:color w:val="000000" w:themeColor="text1"/>
                <w:sz w:val="24"/>
                <w:szCs w:val="24"/>
              </w:rPr>
              <w:t>14.39</w:t>
            </w:r>
            <w:r>
              <w:rPr>
                <w:rFonts w:ascii="Times New Roman" w:hAnsi="Times New Roman" w:cs="Times New Roman"/>
                <w:bCs/>
                <w:color w:val="000000" w:themeColor="text1"/>
                <w:sz w:val="24"/>
                <w:szCs w:val="24"/>
              </w:rPr>
              <w:t>kg/h，脱硫除尘系统的SO</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去除效率约为</w:t>
            </w:r>
            <w:r>
              <w:rPr>
                <w:rFonts w:hint="eastAsia" w:ascii="Times New Roman" w:hAnsi="Times New Roman" w:cs="Times New Roman"/>
                <w:bCs/>
                <w:color w:val="000000" w:themeColor="text1"/>
                <w:sz w:val="24"/>
                <w:szCs w:val="24"/>
              </w:rPr>
              <w:t>90</w:t>
            </w:r>
            <w:r>
              <w:rPr>
                <w:rFonts w:ascii="Times New Roman" w:hAnsi="Times New Roman" w:cs="Times New Roman"/>
                <w:bCs/>
                <w:color w:val="000000" w:themeColor="text1"/>
                <w:sz w:val="24"/>
                <w:szCs w:val="24"/>
              </w:rPr>
              <w:t>%，则SO</w:t>
            </w:r>
            <w:r>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排放量为</w:t>
            </w:r>
            <w:r>
              <w:rPr>
                <w:rFonts w:hint="eastAsia" w:ascii="Times New Roman" w:hAnsi="Times New Roman" w:cs="Times New Roman"/>
                <w:bCs/>
                <w:color w:val="000000" w:themeColor="text1"/>
                <w:sz w:val="24"/>
                <w:szCs w:val="24"/>
              </w:rPr>
              <w:t>10.36</w:t>
            </w:r>
            <w:r>
              <w:rPr>
                <w:rFonts w:ascii="Times New Roman" w:hAnsi="Times New Roman" w:cs="Times New Roman"/>
                <w:bCs/>
                <w:color w:val="000000" w:themeColor="text1"/>
                <w:sz w:val="24"/>
                <w:szCs w:val="24"/>
              </w:rPr>
              <w:t>t/a，排放速率为</w:t>
            </w:r>
            <w:r>
              <w:rPr>
                <w:rFonts w:hint="eastAsia" w:ascii="Times New Roman" w:hAnsi="Times New Roman" w:cs="Times New Roman"/>
                <w:bCs/>
                <w:color w:val="000000" w:themeColor="text1"/>
                <w:sz w:val="24"/>
                <w:szCs w:val="24"/>
              </w:rPr>
              <w:t>1.44</w:t>
            </w:r>
            <w:r>
              <w:rPr>
                <w:rFonts w:ascii="Times New Roman" w:hAnsi="Times New Roman" w:cs="Times New Roman"/>
                <w:bCs/>
                <w:color w:val="000000" w:themeColor="text1"/>
                <w:sz w:val="24"/>
                <w:szCs w:val="24"/>
              </w:rPr>
              <w:t>kg/h。</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4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⑷</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NOx</w:t>
            </w:r>
            <w:r>
              <w:rPr>
                <w:rFonts w:hint="eastAsia" w:ascii="Times New Roman" w:hAnsi="Times New Roman" w:cs="Times New Roman"/>
                <w:b/>
                <w:bCs/>
                <w:color w:val="000000" w:themeColor="text1"/>
                <w:sz w:val="24"/>
                <w:szCs w:val="24"/>
              </w:rPr>
              <w:t>产生</w:t>
            </w:r>
            <w:r>
              <w:rPr>
                <w:rFonts w:ascii="Times New Roman" w:hAnsi="Times New Roman" w:cs="Times New Roman"/>
                <w:b/>
                <w:bCs/>
                <w:color w:val="000000" w:themeColor="text1"/>
                <w:sz w:val="24"/>
                <w:szCs w:val="24"/>
              </w:rPr>
              <w:t>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w:t>
            </w:r>
            <w:r>
              <w:rPr>
                <w:rFonts w:hint="eastAsia" w:ascii="Times New Roman" w:hAnsi="Times New Roman" w:cs="Times New Roman"/>
                <w:bCs/>
                <w:color w:val="000000" w:themeColor="text1"/>
                <w:sz w:val="24"/>
                <w:szCs w:val="24"/>
              </w:rPr>
              <w:t>“表4.2</w:t>
            </w:r>
            <w:r>
              <w:rPr>
                <w:rFonts w:ascii="Times New Roman" w:hAnsi="Times New Roman" w:cs="Times New Roman"/>
                <w:bCs/>
                <w:color w:val="000000" w:themeColor="text1"/>
                <w:sz w:val="24"/>
                <w:szCs w:val="24"/>
              </w:rPr>
              <w:t>.1-</w:t>
            </w:r>
            <w:r>
              <w:rPr>
                <w:rFonts w:hint="eastAsia" w:ascii="Times New Roman" w:hAnsi="Times New Roman" w:cs="Times New Roman"/>
                <w:bCs/>
                <w:color w:val="000000" w:themeColor="text1"/>
                <w:sz w:val="24"/>
                <w:szCs w:val="24"/>
              </w:rPr>
              <w:t>3 粘土砖瓦及建筑砌块制造系数表”，</w:t>
            </w:r>
            <w:r>
              <w:rPr>
                <w:rFonts w:ascii="Times New Roman" w:hAnsi="Times New Roman" w:cs="Times New Roman"/>
                <w:bCs/>
                <w:color w:val="000000" w:themeColor="text1"/>
                <w:sz w:val="24"/>
                <w:szCs w:val="24"/>
              </w:rPr>
              <w:t>项目年产页岩砖</w:t>
            </w:r>
            <w:r>
              <w:rPr>
                <w:rFonts w:hint="eastAsia" w:ascii="Times New Roman" w:hAnsi="Times New Roman" w:cs="Times New Roman"/>
                <w:bCs/>
                <w:color w:val="000000" w:themeColor="text1"/>
                <w:sz w:val="24"/>
                <w:szCs w:val="24"/>
              </w:rPr>
              <w:t>7000万</w:t>
            </w:r>
            <w:r>
              <w:rPr>
                <w:rFonts w:ascii="Times New Roman" w:hAnsi="Times New Roman" w:cs="Times New Roman"/>
                <w:bCs/>
                <w:color w:val="000000" w:themeColor="text1"/>
                <w:sz w:val="24"/>
                <w:szCs w:val="24"/>
              </w:rPr>
              <w:t>块（折标），NOx的产生系数为1.6</w:t>
            </w:r>
            <w:r>
              <w:rPr>
                <w:rFonts w:hint="eastAsia"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kg/万块，则NOx产生量为</w:t>
            </w:r>
            <w:r>
              <w:rPr>
                <w:rFonts w:hint="eastAsia" w:ascii="Times New Roman" w:hAnsi="Times New Roman" w:cs="Times New Roman"/>
                <w:bCs/>
                <w:color w:val="000000" w:themeColor="text1"/>
                <w:sz w:val="24"/>
                <w:szCs w:val="24"/>
              </w:rPr>
              <w:t>11.62</w:t>
            </w:r>
            <w:r>
              <w:rPr>
                <w:rFonts w:ascii="Times New Roman" w:hAnsi="Times New Roman" w:cs="Times New Roman"/>
                <w:bCs/>
                <w:color w:val="000000" w:themeColor="text1"/>
                <w:sz w:val="24"/>
                <w:szCs w:val="24"/>
              </w:rPr>
              <w:t>t/a，产生速率为</w:t>
            </w:r>
            <w:r>
              <w:rPr>
                <w:rFonts w:hint="eastAsia" w:ascii="Times New Roman" w:hAnsi="Times New Roman" w:cs="Times New Roman"/>
                <w:bCs/>
                <w:color w:val="000000" w:themeColor="text1"/>
                <w:sz w:val="24"/>
                <w:szCs w:val="24"/>
              </w:rPr>
              <w:t>1.61</w:t>
            </w:r>
            <w:r>
              <w:rPr>
                <w:rFonts w:ascii="Times New Roman" w:hAnsi="Times New Roman" w:cs="Times New Roman"/>
                <w:bCs/>
                <w:color w:val="000000" w:themeColor="text1"/>
                <w:sz w:val="24"/>
                <w:szCs w:val="24"/>
              </w:rPr>
              <w:t>kg/h，NOx排放量为</w:t>
            </w:r>
            <w:r>
              <w:rPr>
                <w:rFonts w:hint="eastAsia" w:ascii="Times New Roman" w:hAnsi="Times New Roman" w:cs="Times New Roman"/>
                <w:bCs/>
                <w:color w:val="000000" w:themeColor="text1"/>
                <w:sz w:val="24"/>
                <w:szCs w:val="24"/>
              </w:rPr>
              <w:t>11.62</w:t>
            </w:r>
            <w:r>
              <w:rPr>
                <w:rFonts w:ascii="Times New Roman" w:hAnsi="Times New Roman" w:cs="Times New Roman"/>
                <w:bCs/>
                <w:color w:val="000000" w:themeColor="text1"/>
                <w:sz w:val="24"/>
                <w:szCs w:val="24"/>
              </w:rPr>
              <w:t>t/a，排放速率为</w:t>
            </w:r>
            <w:r>
              <w:rPr>
                <w:rFonts w:hint="eastAsia" w:ascii="Times New Roman" w:hAnsi="Times New Roman" w:cs="Times New Roman"/>
                <w:bCs/>
                <w:color w:val="000000" w:themeColor="text1"/>
                <w:sz w:val="24"/>
                <w:szCs w:val="24"/>
              </w:rPr>
              <w:t>1.61</w:t>
            </w:r>
            <w:r>
              <w:rPr>
                <w:rFonts w:ascii="Times New Roman" w:hAnsi="Times New Roman" w:cs="Times New Roman"/>
                <w:bCs/>
                <w:color w:val="000000" w:themeColor="text1"/>
                <w:sz w:val="24"/>
                <w:szCs w:val="24"/>
              </w:rPr>
              <w:t>kg/h。</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5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⑸</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氟化物</w:t>
            </w:r>
            <w:r>
              <w:rPr>
                <w:rFonts w:hint="eastAsia" w:ascii="Times New Roman" w:hAnsi="Times New Roman" w:cs="Times New Roman"/>
                <w:b/>
                <w:bCs/>
                <w:color w:val="000000" w:themeColor="text1"/>
                <w:sz w:val="24"/>
                <w:szCs w:val="24"/>
              </w:rPr>
              <w:t>产生</w:t>
            </w:r>
            <w:r>
              <w:rPr>
                <w:rFonts w:ascii="Times New Roman" w:hAnsi="Times New Roman" w:cs="Times New Roman"/>
                <w:b/>
                <w:bCs/>
                <w:color w:val="000000" w:themeColor="text1"/>
                <w:sz w:val="24"/>
                <w:szCs w:val="24"/>
              </w:rPr>
              <w:t>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本项目主要原料为页岩和煤，氟化物主要来自于页岩，页岩是由粘土在地壳运动中挤压而形成的岩石，其中含有氟化物，经高温焙烧时会有部分氟化物挥发。根据项目可研，</w:t>
            </w:r>
            <w:r>
              <w:rPr>
                <w:rFonts w:hint="eastAsia" w:ascii="Times New Roman" w:hAnsi="Times New Roman" w:cs="Times New Roman"/>
                <w:bCs/>
                <w:color w:val="000000" w:themeColor="text1"/>
                <w:sz w:val="24"/>
                <w:szCs w:val="24"/>
              </w:rPr>
              <w:t>本项目使用页岩的氟化物含量为0.002</w:t>
            </w:r>
            <w:r>
              <w:rPr>
                <w:rFonts w:ascii="Times New Roman" w:hAnsi="Times New Roman" w:cs="Times New Roman"/>
                <w:bCs/>
                <w:color w:val="000000" w:themeColor="text1"/>
                <w:sz w:val="24"/>
                <w:szCs w:val="24"/>
              </w:rPr>
              <w:t>%</w:t>
            </w:r>
            <w:r>
              <w:rPr>
                <w:rFonts w:hint="eastAsia" w:ascii="Times New Roman" w:hAnsi="Times New Roman" w:cs="Times New Roman"/>
                <w:bCs/>
                <w:color w:val="000000" w:themeColor="text1"/>
                <w:sz w:val="24"/>
                <w:szCs w:val="24"/>
              </w:rPr>
              <w:t>，项目页岩使用量为6.06</w:t>
            </w:r>
            <w:r>
              <w:rPr>
                <w:rFonts w:ascii="Times New Roman" w:hAnsi="Times New Roman" w:cs="Times New Roman"/>
                <w:bCs/>
                <w:color w:val="000000" w:themeColor="text1"/>
                <w:sz w:val="24"/>
                <w:szCs w:val="24"/>
              </w:rPr>
              <w:t>万m³</w:t>
            </w:r>
            <w:r>
              <w:rPr>
                <w:rFonts w:hint="eastAsia" w:ascii="Times New Roman" w:hAnsi="Times New Roman" w:cs="Times New Roman"/>
                <w:bCs/>
                <w:color w:val="000000" w:themeColor="text1"/>
                <w:sz w:val="24"/>
                <w:szCs w:val="24"/>
              </w:rPr>
              <w:t>/a（约15.76</w:t>
            </w:r>
            <w:r>
              <w:rPr>
                <w:rFonts w:ascii="Times New Roman" w:hAnsi="Times New Roman" w:cs="Times New Roman"/>
                <w:bCs/>
                <w:color w:val="000000" w:themeColor="text1"/>
                <w:sz w:val="24"/>
                <w:szCs w:val="24"/>
              </w:rPr>
              <w:t>万t</w:t>
            </w:r>
            <w:r>
              <w:rPr>
                <w:rFonts w:hint="eastAsia"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则项目页岩原料中氟化物含量约为</w:t>
            </w:r>
            <w:r>
              <w:rPr>
                <w:rFonts w:hint="eastAsia" w:ascii="Times New Roman" w:hAnsi="Times New Roman" w:cs="Times New Roman"/>
                <w:bCs/>
                <w:color w:val="000000" w:themeColor="text1"/>
                <w:sz w:val="24"/>
                <w:szCs w:val="24"/>
              </w:rPr>
              <w:t>3.15</w:t>
            </w:r>
            <w:r>
              <w:rPr>
                <w:rFonts w:ascii="Times New Roman" w:hAnsi="Times New Roman" w:cs="Times New Roman"/>
                <w:bCs/>
                <w:color w:val="000000" w:themeColor="text1"/>
                <w:sz w:val="24"/>
                <w:szCs w:val="24"/>
              </w:rPr>
              <w:t>t/a；根据文献《砖瓦厂氟化物排放研究》（浙江农业大学）的研究表明，烧制过程中氟的平均释放率为54.3%，则氟化物产生量为</w:t>
            </w:r>
            <w:r>
              <w:rPr>
                <w:rFonts w:hint="eastAsia" w:ascii="Times New Roman" w:hAnsi="Times New Roman" w:cs="Times New Roman"/>
                <w:bCs/>
                <w:color w:val="000000" w:themeColor="text1"/>
                <w:sz w:val="24"/>
                <w:szCs w:val="24"/>
              </w:rPr>
              <w:t>1.71</w:t>
            </w:r>
            <w:r>
              <w:rPr>
                <w:rFonts w:ascii="Times New Roman" w:hAnsi="Times New Roman" w:cs="Times New Roman"/>
                <w:bCs/>
                <w:color w:val="000000" w:themeColor="text1"/>
                <w:sz w:val="24"/>
                <w:szCs w:val="24"/>
              </w:rPr>
              <w:t>t/a，产生速率为</w:t>
            </w:r>
            <w:r>
              <w:rPr>
                <w:rFonts w:hint="eastAsia" w:ascii="Times New Roman" w:hAnsi="Times New Roman" w:cs="Times New Roman"/>
                <w:bCs/>
                <w:color w:val="000000" w:themeColor="text1"/>
                <w:sz w:val="24"/>
                <w:szCs w:val="24"/>
              </w:rPr>
              <w:t>0.24</w:t>
            </w:r>
            <w:r>
              <w:rPr>
                <w:rFonts w:ascii="Times New Roman" w:hAnsi="Times New Roman" w:cs="Times New Roman"/>
                <w:bCs/>
                <w:color w:val="000000" w:themeColor="text1"/>
                <w:sz w:val="24"/>
                <w:szCs w:val="24"/>
              </w:rPr>
              <w:t>kg/h，由根据该文献，项目采用该脱硫除尘系统采用钠碱双碱还原法脱硫除尘工艺，是以水和碱性溶液为吸收剂，而HF和SiF</w:t>
            </w:r>
            <w:r>
              <w:rPr>
                <w:rFonts w:ascii="Times New Roman" w:hAnsi="Times New Roman" w:cs="Times New Roman"/>
                <w:bCs/>
                <w:color w:val="000000" w:themeColor="text1"/>
                <w:sz w:val="24"/>
                <w:szCs w:val="24"/>
                <w:vertAlign w:val="subscript"/>
              </w:rPr>
              <w:t>4</w:t>
            </w:r>
            <w:r>
              <w:rPr>
                <w:rFonts w:ascii="Times New Roman" w:hAnsi="Times New Roman" w:cs="Times New Roman"/>
                <w:bCs/>
                <w:color w:val="000000" w:themeColor="text1"/>
                <w:sz w:val="24"/>
                <w:szCs w:val="24"/>
              </w:rPr>
              <w:t>都易溶于水，在净化过程中净化率高于</w:t>
            </w:r>
            <w:r>
              <w:rPr>
                <w:rFonts w:hint="eastAsia"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0%，则氟化物排放量为</w:t>
            </w:r>
            <w:r>
              <w:rPr>
                <w:rFonts w:hint="eastAsia" w:ascii="Times New Roman" w:hAnsi="Times New Roman" w:cs="Times New Roman"/>
                <w:bCs/>
                <w:color w:val="000000" w:themeColor="text1"/>
                <w:sz w:val="24"/>
                <w:szCs w:val="24"/>
              </w:rPr>
              <w:t>0.51</w:t>
            </w:r>
            <w:r>
              <w:rPr>
                <w:rFonts w:ascii="Times New Roman" w:hAnsi="Times New Roman" w:cs="Times New Roman"/>
                <w:bCs/>
                <w:color w:val="000000" w:themeColor="text1"/>
                <w:sz w:val="24"/>
                <w:szCs w:val="24"/>
              </w:rPr>
              <w:t>t/a</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排放速率为</w:t>
            </w:r>
            <w:r>
              <w:rPr>
                <w:rFonts w:hint="eastAsia" w:ascii="Times New Roman" w:hAnsi="Times New Roman" w:cs="Times New Roman"/>
                <w:bCs/>
                <w:color w:val="000000" w:themeColor="text1"/>
                <w:sz w:val="24"/>
                <w:szCs w:val="24"/>
              </w:rPr>
              <w:t>0.07</w:t>
            </w:r>
            <w:r>
              <w:rPr>
                <w:rFonts w:ascii="Times New Roman" w:hAnsi="Times New Roman" w:cs="Times New Roman"/>
                <w:bCs/>
                <w:color w:val="000000" w:themeColor="text1"/>
                <w:sz w:val="24"/>
                <w:szCs w:val="24"/>
              </w:rPr>
              <w:t>kg/h。</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综上，焙烧烟气产排情况如下表所示。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hint="eastAsia" w:ascii="Times New Roman" w:hAnsi="Times New Roman" w:eastAsia="宋体" w:cs="Times New Roman"/>
                <w:b/>
                <w:color w:val="000000" w:themeColor="text1"/>
                <w:szCs w:val="24"/>
              </w:rPr>
              <w:t>4.2.1-3</w:t>
            </w:r>
            <w:r>
              <w:rPr>
                <w:rFonts w:ascii="Times New Roman" w:hAnsi="Times New Roman" w:eastAsia="宋体" w:cs="Times New Roman"/>
                <w:b/>
                <w:color w:val="000000" w:themeColor="text1"/>
                <w:szCs w:val="24"/>
              </w:rPr>
              <w:t xml:space="preserve"> </w:t>
            </w:r>
            <w:r>
              <w:rPr>
                <w:rFonts w:hint="eastAsia" w:ascii="Times New Roman" w:hAnsi="Times New Roman" w:eastAsia="宋体" w:cs="Times New Roman"/>
                <w:b/>
                <w:color w:val="000000" w:themeColor="text1"/>
                <w:szCs w:val="24"/>
              </w:rPr>
              <w:t xml:space="preserve"> 焙烧烟气</w:t>
            </w:r>
            <w:r>
              <w:rPr>
                <w:rFonts w:ascii="Times New Roman" w:hAnsi="Times New Roman" w:eastAsia="宋体" w:cs="Times New Roman"/>
                <w:b/>
                <w:color w:val="000000" w:themeColor="text1"/>
                <w:szCs w:val="24"/>
              </w:rPr>
              <w:t>产排情况一览表</w:t>
            </w:r>
          </w:p>
          <w:tbl>
            <w:tblPr>
              <w:tblStyle w:val="20"/>
              <w:tblW w:w="5000" w:type="pct"/>
              <w:jc w:val="center"/>
              <w:tblLayout w:type="fixed"/>
              <w:tblCellMar>
                <w:top w:w="0" w:type="dxa"/>
                <w:left w:w="108" w:type="dxa"/>
                <w:bottom w:w="0" w:type="dxa"/>
                <w:right w:w="108" w:type="dxa"/>
              </w:tblCellMar>
            </w:tblPr>
            <w:tblGrid>
              <w:gridCol w:w="882"/>
              <w:gridCol w:w="1060"/>
              <w:gridCol w:w="1063"/>
              <w:gridCol w:w="1062"/>
              <w:gridCol w:w="1211"/>
              <w:gridCol w:w="1062"/>
              <w:gridCol w:w="1062"/>
              <w:gridCol w:w="1211"/>
            </w:tblGrid>
            <w:tr>
              <w:trPr>
                <w:trHeight w:val="331" w:hRule="atLeast"/>
                <w:jc w:val="center"/>
              </w:trPr>
              <w:tc>
                <w:tcPr>
                  <w:tcW w:w="8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产物环节</w:t>
                  </w:r>
                </w:p>
              </w:tc>
              <w:tc>
                <w:tcPr>
                  <w:tcW w:w="105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污染物类型</w:t>
                  </w:r>
                </w:p>
              </w:tc>
              <w:tc>
                <w:tcPr>
                  <w:tcW w:w="3329" w:type="dxa"/>
                  <w:gridSpan w:val="3"/>
                  <w:tcBorders>
                    <w:top w:val="single" w:color="auto" w:sz="8" w:space="0"/>
                    <w:left w:val="nil"/>
                    <w:right w:val="single" w:color="auto" w:sz="4" w:space="0"/>
                  </w:tcBorders>
                  <w:shd w:val="clear" w:color="auto" w:fill="auto"/>
                  <w:vAlign w:val="center"/>
                </w:tcPr>
                <w:p>
                  <w:pPr>
                    <w:pStyle w:val="32"/>
                    <w:snapToGrid w:val="0"/>
                    <w:spacing w:line="360" w:lineRule="exact"/>
                    <w:rPr>
                      <w:color w:val="000000" w:themeColor="text1"/>
                      <w:szCs w:val="21"/>
                    </w:rPr>
                  </w:pPr>
                  <w:r>
                    <w:rPr>
                      <w:color w:val="000000" w:themeColor="text1"/>
                      <w:szCs w:val="21"/>
                    </w:rPr>
                    <w:t>产生情况</w:t>
                  </w:r>
                </w:p>
              </w:tc>
              <w:tc>
                <w:tcPr>
                  <w:tcW w:w="3328" w:type="dxa"/>
                  <w:gridSpan w:val="3"/>
                  <w:tcBorders>
                    <w:top w:val="single" w:color="auto" w:sz="8" w:space="0"/>
                    <w:left w:val="single" w:color="auto" w:sz="4" w:space="0"/>
                    <w:right w:val="single" w:color="000000" w:sz="8" w:space="0"/>
                  </w:tcBorders>
                  <w:shd w:val="clear" w:color="auto" w:fill="auto"/>
                  <w:vAlign w:val="center"/>
                </w:tcPr>
                <w:p>
                  <w:pPr>
                    <w:pStyle w:val="32"/>
                    <w:snapToGrid w:val="0"/>
                    <w:spacing w:line="360" w:lineRule="exact"/>
                    <w:rPr>
                      <w:color w:val="000000" w:themeColor="text1"/>
                      <w:szCs w:val="21"/>
                    </w:rPr>
                  </w:pPr>
                  <w:r>
                    <w:rPr>
                      <w:color w:val="000000" w:themeColor="text1"/>
                      <w:szCs w:val="21"/>
                    </w:rPr>
                    <w:t>排放情况</w:t>
                  </w:r>
                </w:p>
              </w:tc>
            </w:tr>
            <w:tr>
              <w:tblPrEx>
                <w:tblCellMar>
                  <w:top w:w="0" w:type="dxa"/>
                  <w:left w:w="108" w:type="dxa"/>
                  <w:bottom w:w="0" w:type="dxa"/>
                  <w:right w:w="108" w:type="dxa"/>
                </w:tblCellMar>
              </w:tblPrEx>
              <w:trPr>
                <w:trHeight w:val="588" w:hRule="atLeast"/>
                <w:jc w:val="center"/>
              </w:trPr>
              <w:tc>
                <w:tcPr>
                  <w:tcW w:w="880"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058"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06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产生量（t/a）</w:t>
                  </w:r>
                </w:p>
              </w:tc>
              <w:tc>
                <w:tcPr>
                  <w:tcW w:w="1060" w:type="dxa"/>
                  <w:tcBorders>
                    <w:top w:val="single" w:color="auto" w:sz="4" w:space="0"/>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产生速率（kg/h）</w:t>
                  </w:r>
                </w:p>
              </w:tc>
              <w:tc>
                <w:tcPr>
                  <w:tcW w:w="1208" w:type="dxa"/>
                  <w:tcBorders>
                    <w:top w:val="single" w:color="auto" w:sz="4" w:space="0"/>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产生浓度（mg/m³）</w:t>
                  </w:r>
                </w:p>
              </w:tc>
              <w:tc>
                <w:tcPr>
                  <w:tcW w:w="1060"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排放量（t/a）</w:t>
                  </w:r>
                </w:p>
              </w:tc>
              <w:tc>
                <w:tcPr>
                  <w:tcW w:w="1060" w:type="dxa"/>
                  <w:tcBorders>
                    <w:top w:val="single" w:color="auto" w:sz="4" w:space="0"/>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排放速率（kg/h）</w:t>
                  </w:r>
                </w:p>
              </w:tc>
              <w:tc>
                <w:tcPr>
                  <w:tcW w:w="1208" w:type="dxa"/>
                  <w:tcBorders>
                    <w:top w:val="single" w:color="auto" w:sz="4" w:space="0"/>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排放浓度（mg/m³）</w:t>
                  </w:r>
                </w:p>
              </w:tc>
            </w:tr>
            <w:tr>
              <w:tblPrEx>
                <w:tblCellMar>
                  <w:top w:w="0" w:type="dxa"/>
                  <w:left w:w="108" w:type="dxa"/>
                  <w:bottom w:w="0" w:type="dxa"/>
                  <w:right w:w="108" w:type="dxa"/>
                </w:tblCellMar>
              </w:tblPrEx>
              <w:trPr>
                <w:trHeight w:val="56" w:hRule="atLeast"/>
                <w:jc w:val="center"/>
              </w:trPr>
              <w:tc>
                <w:tcPr>
                  <w:tcW w:w="880" w:type="dxa"/>
                  <w:vMerge w:val="restart"/>
                  <w:tcBorders>
                    <w:top w:val="single" w:color="auto" w:sz="8" w:space="0"/>
                    <w:left w:val="single" w:color="auto" w:sz="8" w:space="0"/>
                    <w:right w:val="single" w:color="auto" w:sz="8" w:space="0"/>
                  </w:tcBorders>
                  <w:vAlign w:val="center"/>
                </w:tcPr>
                <w:p>
                  <w:pPr>
                    <w:pStyle w:val="32"/>
                    <w:snapToGrid w:val="0"/>
                    <w:spacing w:line="360" w:lineRule="exact"/>
                    <w:rPr>
                      <w:color w:val="000000" w:themeColor="text1"/>
                      <w:szCs w:val="21"/>
                    </w:rPr>
                  </w:pPr>
                  <w:r>
                    <w:rPr>
                      <w:rFonts w:hint="eastAsia"/>
                      <w:color w:val="000000" w:themeColor="text1"/>
                      <w:szCs w:val="21"/>
                    </w:rPr>
                    <w:t>焙烧工段</w:t>
                  </w:r>
                </w:p>
              </w:tc>
              <w:tc>
                <w:tcPr>
                  <w:tcW w:w="105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烟气量</w:t>
                  </w:r>
                </w:p>
              </w:tc>
              <w:tc>
                <w:tcPr>
                  <w:tcW w:w="3329" w:type="dxa"/>
                  <w:gridSpan w:val="3"/>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144000万</w:t>
                  </w:r>
                  <w:r>
                    <w:rPr>
                      <w:color w:val="000000" w:themeColor="text1"/>
                      <w:szCs w:val="21"/>
                    </w:rPr>
                    <w:t>m³/a</w:t>
                  </w:r>
                </w:p>
              </w:tc>
              <w:tc>
                <w:tcPr>
                  <w:tcW w:w="3328" w:type="dxa"/>
                  <w:gridSpan w:val="3"/>
                  <w:tcBorders>
                    <w:top w:val="nil"/>
                    <w:left w:val="nil"/>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144000万</w:t>
                  </w:r>
                  <w:r>
                    <w:rPr>
                      <w:color w:val="000000" w:themeColor="text1"/>
                      <w:szCs w:val="21"/>
                    </w:rPr>
                    <w:t>m³/a</w:t>
                  </w:r>
                </w:p>
              </w:tc>
            </w:tr>
            <w:tr>
              <w:tblPrEx>
                <w:tblCellMar>
                  <w:top w:w="0" w:type="dxa"/>
                  <w:left w:w="108" w:type="dxa"/>
                  <w:bottom w:w="0" w:type="dxa"/>
                  <w:right w:w="108" w:type="dxa"/>
                </w:tblCellMar>
              </w:tblPrEx>
              <w:trPr>
                <w:trHeight w:val="56" w:hRule="atLeast"/>
                <w:jc w:val="center"/>
              </w:trPr>
              <w:tc>
                <w:tcPr>
                  <w:tcW w:w="880" w:type="dxa"/>
                  <w:vMerge w:val="continue"/>
                  <w:tcBorders>
                    <w:left w:val="single" w:color="auto" w:sz="8" w:space="0"/>
                    <w:right w:val="single" w:color="auto" w:sz="8" w:space="0"/>
                  </w:tcBorders>
                  <w:vAlign w:val="center"/>
                </w:tcPr>
                <w:p>
                  <w:pPr>
                    <w:pStyle w:val="32"/>
                    <w:snapToGrid w:val="0"/>
                    <w:spacing w:line="360" w:lineRule="exact"/>
                    <w:rPr>
                      <w:color w:val="000000" w:themeColor="text1"/>
                      <w:szCs w:val="21"/>
                    </w:rPr>
                  </w:pPr>
                </w:p>
              </w:tc>
              <w:tc>
                <w:tcPr>
                  <w:tcW w:w="105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烟尘</w:t>
                  </w:r>
                </w:p>
              </w:tc>
              <w:tc>
                <w:tcPr>
                  <w:tcW w:w="10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33.11</w:t>
                  </w:r>
                </w:p>
              </w:tc>
              <w:tc>
                <w:tcPr>
                  <w:tcW w:w="1060"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4.6</w:t>
                  </w:r>
                </w:p>
              </w:tc>
              <w:tc>
                <w:tcPr>
                  <w:tcW w:w="1208" w:type="dxa"/>
                  <w:tcBorders>
                    <w:top w:val="nil"/>
                    <w:left w:val="single" w:color="auto" w:sz="4" w:space="0"/>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23</w:t>
                  </w:r>
                </w:p>
              </w:tc>
              <w:tc>
                <w:tcPr>
                  <w:tcW w:w="1060" w:type="dxa"/>
                  <w:tcBorders>
                    <w:top w:val="nil"/>
                    <w:left w:val="nil"/>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4.97</w:t>
                  </w:r>
                </w:p>
              </w:tc>
              <w:tc>
                <w:tcPr>
                  <w:tcW w:w="1060" w:type="dxa"/>
                  <w:tcBorders>
                    <w:top w:val="nil"/>
                    <w:left w:val="nil"/>
                    <w:bottom w:val="single" w:color="auto" w:sz="4"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0.69</w:t>
                  </w:r>
                </w:p>
              </w:tc>
              <w:tc>
                <w:tcPr>
                  <w:tcW w:w="1208" w:type="dxa"/>
                  <w:tcBorders>
                    <w:top w:val="nil"/>
                    <w:left w:val="single" w:color="auto" w:sz="4" w:space="0"/>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3.45</w:t>
                  </w:r>
                </w:p>
              </w:tc>
            </w:tr>
            <w:tr>
              <w:tblPrEx>
                <w:tblCellMar>
                  <w:top w:w="0" w:type="dxa"/>
                  <w:left w:w="108" w:type="dxa"/>
                  <w:bottom w:w="0" w:type="dxa"/>
                  <w:right w:w="108" w:type="dxa"/>
                </w:tblCellMar>
              </w:tblPrEx>
              <w:trPr>
                <w:trHeight w:val="56" w:hRule="atLeast"/>
                <w:jc w:val="center"/>
              </w:trPr>
              <w:tc>
                <w:tcPr>
                  <w:tcW w:w="880" w:type="dxa"/>
                  <w:vMerge w:val="continue"/>
                  <w:tcBorders>
                    <w:left w:val="single" w:color="auto" w:sz="8" w:space="0"/>
                    <w:right w:val="single" w:color="auto" w:sz="8" w:space="0"/>
                  </w:tcBorders>
                  <w:vAlign w:val="center"/>
                </w:tcPr>
                <w:p>
                  <w:pPr>
                    <w:pStyle w:val="32"/>
                    <w:snapToGrid w:val="0"/>
                    <w:spacing w:line="360" w:lineRule="exact"/>
                    <w:rPr>
                      <w:color w:val="000000" w:themeColor="text1"/>
                      <w:szCs w:val="21"/>
                    </w:rPr>
                  </w:pPr>
                </w:p>
              </w:tc>
              <w:tc>
                <w:tcPr>
                  <w:tcW w:w="105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SO</w:t>
                  </w:r>
                  <w:r>
                    <w:rPr>
                      <w:color w:val="000000" w:themeColor="text1"/>
                      <w:szCs w:val="21"/>
                      <w:vertAlign w:val="subscript"/>
                    </w:rPr>
                    <w:t>2</w:t>
                  </w:r>
                </w:p>
              </w:tc>
              <w:tc>
                <w:tcPr>
                  <w:tcW w:w="10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103.6</w:t>
                  </w:r>
                </w:p>
              </w:tc>
              <w:tc>
                <w:tcPr>
                  <w:tcW w:w="1060"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14.39</w:t>
                  </w:r>
                </w:p>
              </w:tc>
              <w:tc>
                <w:tcPr>
                  <w:tcW w:w="1208" w:type="dxa"/>
                  <w:tcBorders>
                    <w:top w:val="nil"/>
                    <w:left w:val="single" w:color="auto" w:sz="4" w:space="0"/>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71.95</w:t>
                  </w:r>
                </w:p>
              </w:tc>
              <w:tc>
                <w:tcPr>
                  <w:tcW w:w="1060" w:type="dxa"/>
                  <w:tcBorders>
                    <w:top w:val="nil"/>
                    <w:left w:val="nil"/>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10.36</w:t>
                  </w:r>
                </w:p>
              </w:tc>
              <w:tc>
                <w:tcPr>
                  <w:tcW w:w="1060" w:type="dxa"/>
                  <w:tcBorders>
                    <w:top w:val="nil"/>
                    <w:left w:val="nil"/>
                    <w:bottom w:val="single" w:color="auto" w:sz="4"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1.44</w:t>
                  </w:r>
                </w:p>
              </w:tc>
              <w:tc>
                <w:tcPr>
                  <w:tcW w:w="1208" w:type="dxa"/>
                  <w:tcBorders>
                    <w:top w:val="nil"/>
                    <w:left w:val="single" w:color="auto" w:sz="4" w:space="0"/>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7.2</w:t>
                  </w:r>
                </w:p>
              </w:tc>
            </w:tr>
            <w:tr>
              <w:tblPrEx>
                <w:tblCellMar>
                  <w:top w:w="0" w:type="dxa"/>
                  <w:left w:w="108" w:type="dxa"/>
                  <w:bottom w:w="0" w:type="dxa"/>
                  <w:right w:w="108" w:type="dxa"/>
                </w:tblCellMar>
              </w:tblPrEx>
              <w:trPr>
                <w:trHeight w:val="56" w:hRule="atLeast"/>
                <w:jc w:val="center"/>
              </w:trPr>
              <w:tc>
                <w:tcPr>
                  <w:tcW w:w="880" w:type="dxa"/>
                  <w:vMerge w:val="continue"/>
                  <w:tcBorders>
                    <w:left w:val="single" w:color="auto" w:sz="8" w:space="0"/>
                    <w:right w:val="single" w:color="auto" w:sz="8" w:space="0"/>
                  </w:tcBorders>
                  <w:vAlign w:val="center"/>
                </w:tcPr>
                <w:p>
                  <w:pPr>
                    <w:pStyle w:val="32"/>
                    <w:snapToGrid w:val="0"/>
                    <w:spacing w:line="360" w:lineRule="exact"/>
                    <w:rPr>
                      <w:color w:val="000000" w:themeColor="text1"/>
                      <w:szCs w:val="21"/>
                    </w:rPr>
                  </w:pPr>
                </w:p>
              </w:tc>
              <w:tc>
                <w:tcPr>
                  <w:tcW w:w="105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NOx</w:t>
                  </w:r>
                </w:p>
              </w:tc>
              <w:tc>
                <w:tcPr>
                  <w:tcW w:w="10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11.6</w:t>
                  </w:r>
                  <w:r>
                    <w:rPr>
                      <w:rFonts w:hint="eastAsia"/>
                      <w:color w:val="000000" w:themeColor="text1"/>
                      <w:szCs w:val="21"/>
                    </w:rPr>
                    <w:t>2</w:t>
                  </w:r>
                </w:p>
              </w:tc>
              <w:tc>
                <w:tcPr>
                  <w:tcW w:w="1060"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1.61</w:t>
                  </w:r>
                </w:p>
              </w:tc>
              <w:tc>
                <w:tcPr>
                  <w:tcW w:w="1208" w:type="dxa"/>
                  <w:tcBorders>
                    <w:top w:val="nil"/>
                    <w:left w:val="single" w:color="auto" w:sz="4" w:space="0"/>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8.05</w:t>
                  </w:r>
                </w:p>
              </w:tc>
              <w:tc>
                <w:tcPr>
                  <w:tcW w:w="1060" w:type="dxa"/>
                  <w:tcBorders>
                    <w:top w:val="nil"/>
                    <w:left w:val="nil"/>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11.6</w:t>
                  </w:r>
                  <w:r>
                    <w:rPr>
                      <w:rFonts w:hint="eastAsia"/>
                      <w:color w:val="000000" w:themeColor="text1"/>
                      <w:szCs w:val="21"/>
                    </w:rPr>
                    <w:t>2</w:t>
                  </w:r>
                </w:p>
              </w:tc>
              <w:tc>
                <w:tcPr>
                  <w:tcW w:w="1060" w:type="dxa"/>
                  <w:tcBorders>
                    <w:top w:val="nil"/>
                    <w:left w:val="nil"/>
                    <w:bottom w:val="single" w:color="auto" w:sz="4"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1.61</w:t>
                  </w:r>
                </w:p>
              </w:tc>
              <w:tc>
                <w:tcPr>
                  <w:tcW w:w="1208" w:type="dxa"/>
                  <w:tcBorders>
                    <w:top w:val="nil"/>
                    <w:left w:val="single" w:color="auto" w:sz="4" w:space="0"/>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8.05</w:t>
                  </w:r>
                </w:p>
              </w:tc>
            </w:tr>
            <w:tr>
              <w:tblPrEx>
                <w:tblCellMar>
                  <w:top w:w="0" w:type="dxa"/>
                  <w:left w:w="108" w:type="dxa"/>
                  <w:bottom w:w="0" w:type="dxa"/>
                  <w:right w:w="108" w:type="dxa"/>
                </w:tblCellMar>
              </w:tblPrEx>
              <w:trPr>
                <w:trHeight w:val="56" w:hRule="atLeast"/>
                <w:jc w:val="center"/>
              </w:trPr>
              <w:tc>
                <w:tcPr>
                  <w:tcW w:w="880" w:type="dxa"/>
                  <w:vMerge w:val="continue"/>
                  <w:tcBorders>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05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氟化物</w:t>
                  </w:r>
                </w:p>
              </w:tc>
              <w:tc>
                <w:tcPr>
                  <w:tcW w:w="10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1.71</w:t>
                  </w:r>
                </w:p>
              </w:tc>
              <w:tc>
                <w:tcPr>
                  <w:tcW w:w="1060"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0.24</w:t>
                  </w:r>
                </w:p>
              </w:tc>
              <w:tc>
                <w:tcPr>
                  <w:tcW w:w="1208" w:type="dxa"/>
                  <w:tcBorders>
                    <w:top w:val="nil"/>
                    <w:left w:val="single" w:color="auto" w:sz="4" w:space="0"/>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1.2</w:t>
                  </w:r>
                </w:p>
              </w:tc>
              <w:tc>
                <w:tcPr>
                  <w:tcW w:w="1060" w:type="dxa"/>
                  <w:tcBorders>
                    <w:top w:val="nil"/>
                    <w:left w:val="nil"/>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0.51</w:t>
                  </w:r>
                </w:p>
              </w:tc>
              <w:tc>
                <w:tcPr>
                  <w:tcW w:w="1060" w:type="dxa"/>
                  <w:tcBorders>
                    <w:top w:val="nil"/>
                    <w:left w:val="nil"/>
                    <w:bottom w:val="single" w:color="auto" w:sz="4"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0.07</w:t>
                  </w:r>
                </w:p>
              </w:tc>
              <w:tc>
                <w:tcPr>
                  <w:tcW w:w="1208" w:type="dxa"/>
                  <w:tcBorders>
                    <w:top w:val="nil"/>
                    <w:left w:val="single" w:color="auto" w:sz="4" w:space="0"/>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0.35</w:t>
                  </w:r>
                </w:p>
              </w:tc>
            </w:tr>
          </w:tbl>
          <w:p>
            <w:pPr>
              <w:spacing w:beforeLines="50"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⑦厨房油烟</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根据项目工程内容，项目设置一间厨房（含一个灶头），</w:t>
            </w:r>
            <w:r>
              <w:rPr>
                <w:rFonts w:hint="eastAsia" w:ascii="Times New Roman" w:cs="Times New Roman" w:hAnsiTheme="minorEastAsia"/>
                <w:color w:val="000000" w:themeColor="text1"/>
                <w:sz w:val="24"/>
              </w:rPr>
              <w:t>项目员工20人，均在</w:t>
            </w:r>
            <w:r>
              <w:rPr>
                <w:rFonts w:ascii="Times New Roman" w:cs="Times New Roman" w:hAnsiTheme="minorEastAsia"/>
                <w:color w:val="000000" w:themeColor="text1"/>
                <w:sz w:val="24"/>
              </w:rPr>
              <w:t>厂区吃饭</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厨房使用煤气等清洁燃料；根据对居民用油情况的类比调查，目前居民人均食用油日用量约30g/人•d</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油烟产生量按用油量的2%计算，则本项目耗油量约</w:t>
            </w:r>
            <w:r>
              <w:rPr>
                <w:rFonts w:hint="eastAsia" w:ascii="Times New Roman" w:cs="Times New Roman" w:hAnsiTheme="minorEastAsia"/>
                <w:color w:val="000000" w:themeColor="text1"/>
                <w:sz w:val="24"/>
              </w:rPr>
              <w:t>600</w:t>
            </w:r>
            <w:r>
              <w:rPr>
                <w:rFonts w:ascii="Times New Roman" w:cs="Times New Roman" w:hAnsiTheme="minorEastAsia"/>
                <w:color w:val="000000" w:themeColor="text1"/>
                <w:sz w:val="24"/>
              </w:rPr>
              <w:t>g/d，油烟产生量约</w:t>
            </w:r>
            <w:r>
              <w:rPr>
                <w:rFonts w:hint="eastAsia" w:ascii="Times New Roman" w:cs="Times New Roman" w:hAnsiTheme="minorEastAsia"/>
                <w:color w:val="000000" w:themeColor="text1"/>
                <w:sz w:val="24"/>
              </w:rPr>
              <w:t>12</w:t>
            </w:r>
            <w:r>
              <w:rPr>
                <w:rFonts w:ascii="Times New Roman" w:cs="Times New Roman" w:hAnsiTheme="minorEastAsia"/>
                <w:color w:val="000000" w:themeColor="text1"/>
                <w:sz w:val="24"/>
              </w:rPr>
              <w:t>g/d</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每天连续烧炒时间为3h，项目区厨房安装一个最低去除率60%的油烟净化器，按每个灶头基准排风量2000m³/h，灶头数按1个计算，油烟排放口烟气浓度约为</w:t>
            </w:r>
            <w:r>
              <w:rPr>
                <w:rFonts w:hint="eastAsia" w:ascii="Times New Roman" w:cs="Times New Roman" w:hAnsiTheme="minorEastAsia"/>
                <w:color w:val="000000" w:themeColor="text1"/>
                <w:sz w:val="24"/>
              </w:rPr>
              <w:t>0.8</w:t>
            </w:r>
            <w:r>
              <w:rPr>
                <w:rFonts w:ascii="Times New Roman" w:cs="Times New Roman" w:hAnsiTheme="minorEastAsia"/>
                <w:color w:val="000000" w:themeColor="text1"/>
                <w:sz w:val="24"/>
              </w:rPr>
              <w:t>mg/m³，经油烟净化器处理后的厨房油烟高于房顶1.5m的烟道外排，可达到《饮食业油烟排放标准》（GB18483-2001）（试行）小型标准。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 xml:space="preserve"> 废气污染物治理措施及排放方式一览表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7"/>
              <w:gridCol w:w="922"/>
              <w:gridCol w:w="852"/>
              <w:gridCol w:w="3245"/>
              <w:gridCol w:w="709"/>
              <w:gridCol w:w="709"/>
              <w:gridCol w:w="14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9" w:type="dxa"/>
                  <w:gridSpan w:val="2"/>
                  <w:vAlign w:val="center"/>
                </w:tcPr>
                <w:p>
                  <w:pPr>
                    <w:pStyle w:val="32"/>
                    <w:spacing w:line="360" w:lineRule="exact"/>
                    <w:rPr>
                      <w:color w:val="000000" w:themeColor="text1"/>
                      <w:szCs w:val="21"/>
                    </w:rPr>
                  </w:pPr>
                  <w:r>
                    <w:rPr>
                      <w:color w:val="000000" w:themeColor="text1"/>
                      <w:szCs w:val="21"/>
                    </w:rPr>
                    <w:t>产排污环节</w:t>
                  </w:r>
                </w:p>
              </w:tc>
              <w:tc>
                <w:tcPr>
                  <w:tcW w:w="852" w:type="dxa"/>
                  <w:vAlign w:val="center"/>
                </w:tcPr>
                <w:p>
                  <w:pPr>
                    <w:pStyle w:val="32"/>
                    <w:spacing w:line="360" w:lineRule="exact"/>
                    <w:rPr>
                      <w:color w:val="000000" w:themeColor="text1"/>
                      <w:szCs w:val="21"/>
                    </w:rPr>
                  </w:pPr>
                  <w:r>
                    <w:rPr>
                      <w:color w:val="000000" w:themeColor="text1"/>
                      <w:szCs w:val="21"/>
                    </w:rPr>
                    <w:t>污染物种类</w:t>
                  </w:r>
                </w:p>
              </w:tc>
              <w:tc>
                <w:tcPr>
                  <w:tcW w:w="3245" w:type="dxa"/>
                  <w:vAlign w:val="center"/>
                </w:tcPr>
                <w:p>
                  <w:pPr>
                    <w:pStyle w:val="32"/>
                    <w:spacing w:line="360" w:lineRule="exact"/>
                    <w:rPr>
                      <w:color w:val="000000" w:themeColor="text1"/>
                      <w:szCs w:val="21"/>
                    </w:rPr>
                  </w:pPr>
                  <w:r>
                    <w:rPr>
                      <w:color w:val="000000" w:themeColor="text1"/>
                      <w:szCs w:val="21"/>
                    </w:rPr>
                    <w:t>治理设施及效率</w:t>
                  </w:r>
                </w:p>
              </w:tc>
              <w:tc>
                <w:tcPr>
                  <w:tcW w:w="709"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200" w:type="dxa"/>
                  <w:gridSpan w:val="2"/>
                  <w:vAlign w:val="center"/>
                </w:tcPr>
                <w:p>
                  <w:pPr>
                    <w:pStyle w:val="32"/>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9" w:type="dxa"/>
                  <w:gridSpan w:val="2"/>
                  <w:vAlign w:val="center"/>
                </w:tcPr>
                <w:p>
                  <w:pPr>
                    <w:pStyle w:val="32"/>
                    <w:spacing w:line="360" w:lineRule="exact"/>
                    <w:rPr>
                      <w:color w:val="000000" w:themeColor="text1"/>
                      <w:szCs w:val="21"/>
                    </w:rPr>
                  </w:pPr>
                  <w:r>
                    <w:rPr>
                      <w:rFonts w:hint="eastAsia"/>
                      <w:color w:val="000000" w:themeColor="text1"/>
                      <w:szCs w:val="21"/>
                    </w:rPr>
                    <w:t>页岩采装</w:t>
                  </w:r>
                </w:p>
              </w:tc>
              <w:tc>
                <w:tcPr>
                  <w:tcW w:w="852" w:type="dxa"/>
                  <w:vAlign w:val="center"/>
                </w:tcPr>
                <w:p>
                  <w:pPr>
                    <w:pStyle w:val="32"/>
                    <w:spacing w:line="360" w:lineRule="exact"/>
                    <w:rPr>
                      <w:color w:val="000000" w:themeColor="text1"/>
                      <w:szCs w:val="21"/>
                    </w:rPr>
                  </w:pPr>
                  <w:r>
                    <w:rPr>
                      <w:rFonts w:hint="eastAsia"/>
                      <w:color w:val="000000" w:themeColor="text1"/>
                      <w:szCs w:val="21"/>
                    </w:rPr>
                    <w:t>颗粒物</w:t>
                  </w:r>
                </w:p>
              </w:tc>
              <w:tc>
                <w:tcPr>
                  <w:tcW w:w="3245"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针对页岩采装过程扬尘，项目拟配套设置1套洒水抑尘设施对在弃土场采装页岩时产生的扬尘进行抑制，洒水抑尘扬尘抑制率约50%。</w:t>
                  </w:r>
                </w:p>
              </w:tc>
              <w:tc>
                <w:tcPr>
                  <w:tcW w:w="709" w:type="dxa"/>
                  <w:vMerge w:val="restart"/>
                  <w:vAlign w:val="center"/>
                </w:tcPr>
                <w:p>
                  <w:pPr>
                    <w:pStyle w:val="32"/>
                    <w:spacing w:line="360" w:lineRule="exact"/>
                    <w:rPr>
                      <w:bCs w:val="0"/>
                      <w:color w:val="000000" w:themeColor="text1"/>
                    </w:rPr>
                  </w:pPr>
                  <w:r>
                    <w:rPr>
                      <w:rFonts w:hint="eastAsia"/>
                      <w:color w:val="000000" w:themeColor="text1"/>
                      <w:szCs w:val="21"/>
                    </w:rPr>
                    <w:t>无组织</w:t>
                  </w:r>
                </w:p>
              </w:tc>
              <w:tc>
                <w:tcPr>
                  <w:tcW w:w="2200" w:type="dxa"/>
                  <w:gridSpan w:val="2"/>
                  <w:vMerge w:val="restart"/>
                  <w:vAlign w:val="center"/>
                </w:tcPr>
                <w:p>
                  <w:pPr>
                    <w:pStyle w:val="32"/>
                    <w:spacing w:line="360" w:lineRule="exact"/>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9" w:type="dxa"/>
                  <w:gridSpan w:val="2"/>
                  <w:vAlign w:val="center"/>
                </w:tcPr>
                <w:p>
                  <w:pPr>
                    <w:pStyle w:val="32"/>
                    <w:spacing w:line="360" w:lineRule="exact"/>
                    <w:rPr>
                      <w:color w:val="000000" w:themeColor="text1"/>
                      <w:szCs w:val="21"/>
                    </w:rPr>
                  </w:pPr>
                  <w:r>
                    <w:rPr>
                      <w:rFonts w:hint="eastAsia"/>
                      <w:color w:val="000000" w:themeColor="text1"/>
                      <w:szCs w:val="21"/>
                    </w:rPr>
                    <w:t>原料卸料</w:t>
                  </w:r>
                </w:p>
              </w:tc>
              <w:tc>
                <w:tcPr>
                  <w:tcW w:w="852" w:type="dxa"/>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颗粒物</w:t>
                  </w:r>
                </w:p>
              </w:tc>
              <w:tc>
                <w:tcPr>
                  <w:tcW w:w="3245" w:type="dxa"/>
                  <w:vMerge w:val="restar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对页岩堆场和煤料堆场，除车辆进出区域，其他区域均设置不低于物料堆存高度围挡和顶棚，并配套设置洒水抑尘设施，其扬尘抑制率约为80%。</w:t>
                  </w:r>
                </w:p>
              </w:tc>
              <w:tc>
                <w:tcPr>
                  <w:tcW w:w="70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00" w:type="dxa"/>
                  <w:gridSpan w:val="2"/>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9" w:type="dxa"/>
                  <w:gridSpan w:val="2"/>
                  <w:vAlign w:val="center"/>
                </w:tcPr>
                <w:p>
                  <w:pPr>
                    <w:pStyle w:val="32"/>
                    <w:spacing w:line="360" w:lineRule="exact"/>
                    <w:rPr>
                      <w:color w:val="000000" w:themeColor="text1"/>
                      <w:szCs w:val="21"/>
                    </w:rPr>
                  </w:pPr>
                  <w:r>
                    <w:rPr>
                      <w:rFonts w:hint="eastAsia"/>
                      <w:color w:val="000000" w:themeColor="text1"/>
                      <w:szCs w:val="21"/>
                    </w:rPr>
                    <w:t>贮存</w:t>
                  </w:r>
                </w:p>
              </w:tc>
              <w:tc>
                <w:tcPr>
                  <w:tcW w:w="852" w:type="dxa"/>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颗粒物</w:t>
                  </w:r>
                </w:p>
              </w:tc>
              <w:tc>
                <w:tcPr>
                  <w:tcW w:w="3245" w:type="dxa"/>
                  <w:vMerge w:val="continue"/>
                  <w:vAlign w:val="center"/>
                </w:tcPr>
                <w:p>
                  <w:pPr>
                    <w:pStyle w:val="32"/>
                    <w:spacing w:line="360" w:lineRule="exact"/>
                    <w:ind w:firstLine="210" w:firstLineChars="100"/>
                    <w:jc w:val="both"/>
                    <w:rPr>
                      <w:color w:val="000000" w:themeColor="text1"/>
                      <w:szCs w:val="21"/>
                    </w:rPr>
                  </w:pPr>
                </w:p>
              </w:tc>
              <w:tc>
                <w:tcPr>
                  <w:tcW w:w="70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00" w:type="dxa"/>
                  <w:gridSpan w:val="2"/>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9" w:type="dxa"/>
                  <w:gridSpan w:val="2"/>
                  <w:vAlign w:val="center"/>
                </w:tcPr>
                <w:p>
                  <w:pPr>
                    <w:pStyle w:val="32"/>
                    <w:spacing w:line="360" w:lineRule="exact"/>
                    <w:rPr>
                      <w:color w:val="000000" w:themeColor="text1"/>
                      <w:szCs w:val="21"/>
                    </w:rPr>
                  </w:pPr>
                  <w:r>
                    <w:rPr>
                      <w:rFonts w:hint="eastAsia"/>
                      <w:color w:val="000000" w:themeColor="text1"/>
                      <w:szCs w:val="21"/>
                    </w:rPr>
                    <w:t>原料输送过程</w:t>
                  </w:r>
                </w:p>
              </w:tc>
              <w:tc>
                <w:tcPr>
                  <w:tcW w:w="852" w:type="dxa"/>
                  <w:vAlign w:val="center"/>
                </w:tcPr>
                <w:p>
                  <w:pPr>
                    <w:pStyle w:val="32"/>
                    <w:spacing w:line="360" w:lineRule="exact"/>
                    <w:rPr>
                      <w:color w:val="000000" w:themeColor="text1"/>
                      <w:szCs w:val="21"/>
                    </w:rPr>
                  </w:pPr>
                  <w:r>
                    <w:rPr>
                      <w:rFonts w:hint="eastAsia"/>
                      <w:color w:val="000000" w:themeColor="text1"/>
                      <w:szCs w:val="21"/>
                    </w:rPr>
                    <w:t>颗粒物</w:t>
                  </w:r>
                </w:p>
              </w:tc>
              <w:tc>
                <w:tcPr>
                  <w:tcW w:w="3245" w:type="dxa"/>
                  <w:vAlign w:val="center"/>
                </w:tcPr>
                <w:p>
                  <w:pPr>
                    <w:pStyle w:val="32"/>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1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⑴</w:t>
                  </w:r>
                  <w:r>
                    <w:rPr>
                      <w:color w:val="000000" w:themeColor="text1"/>
                      <w:szCs w:val="21"/>
                    </w:rPr>
                    <w:fldChar w:fldCharType="end"/>
                  </w:r>
                  <w:r>
                    <w:rPr>
                      <w:rFonts w:hint="eastAsia"/>
                      <w:color w:val="000000" w:themeColor="text1"/>
                      <w:szCs w:val="21"/>
                    </w:rPr>
                    <w:t>针对装载机采装、卸料及运输过程会产生的扬尘，项目拟在车间内设置雾炮机对其进行洒水降尘，其扬尘抑制率约为80%。</w:t>
                  </w:r>
                </w:p>
                <w:p>
                  <w:pPr>
                    <w:pStyle w:val="32"/>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2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⑵</w:t>
                  </w:r>
                  <w:r>
                    <w:rPr>
                      <w:color w:val="000000" w:themeColor="text1"/>
                      <w:szCs w:val="21"/>
                    </w:rPr>
                    <w:fldChar w:fldCharType="end"/>
                  </w:r>
                  <w:r>
                    <w:rPr>
                      <w:rFonts w:hint="eastAsia"/>
                      <w:color w:val="000000" w:themeColor="text1"/>
                      <w:szCs w:val="21"/>
                    </w:rPr>
                    <w:t>为降低扬尘对环境的影响，各工段之间的粉料运输均采用皮带密闭运输。</w:t>
                  </w:r>
                </w:p>
              </w:tc>
              <w:tc>
                <w:tcPr>
                  <w:tcW w:w="70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00" w:type="dxa"/>
                  <w:gridSpan w:val="2"/>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restart"/>
                  <w:vAlign w:val="center"/>
                </w:tcPr>
                <w:p>
                  <w:pPr>
                    <w:pStyle w:val="32"/>
                    <w:spacing w:line="360" w:lineRule="exact"/>
                    <w:rPr>
                      <w:color w:val="000000" w:themeColor="text1"/>
                      <w:szCs w:val="21"/>
                    </w:rPr>
                  </w:pPr>
                  <w:r>
                    <w:rPr>
                      <w:rFonts w:hint="eastAsia"/>
                      <w:color w:val="000000" w:themeColor="text1"/>
                      <w:szCs w:val="21"/>
                    </w:rPr>
                    <w:t>破碎车间</w:t>
                  </w:r>
                </w:p>
              </w:tc>
              <w:tc>
                <w:tcPr>
                  <w:tcW w:w="922" w:type="dxa"/>
                  <w:vMerge w:val="restart"/>
                  <w:vAlign w:val="center"/>
                </w:tcPr>
                <w:p>
                  <w:pPr>
                    <w:pStyle w:val="32"/>
                    <w:spacing w:line="360" w:lineRule="exact"/>
                    <w:rPr>
                      <w:color w:val="000000" w:themeColor="text1"/>
                      <w:szCs w:val="21"/>
                    </w:rPr>
                  </w:pPr>
                  <w:r>
                    <w:rPr>
                      <w:rFonts w:hint="eastAsia"/>
                      <w:color w:val="000000" w:themeColor="text1"/>
                      <w:szCs w:val="21"/>
                    </w:rPr>
                    <w:t>颚破、混合、粉碎和筛分</w:t>
                  </w:r>
                </w:p>
              </w:tc>
              <w:tc>
                <w:tcPr>
                  <w:tcW w:w="852" w:type="dxa"/>
                  <w:vMerge w:val="restart"/>
                  <w:vAlign w:val="center"/>
                </w:tcPr>
                <w:p>
                  <w:pPr>
                    <w:pStyle w:val="32"/>
                    <w:spacing w:line="360" w:lineRule="exact"/>
                    <w:rPr>
                      <w:color w:val="000000" w:themeColor="text1"/>
                      <w:szCs w:val="21"/>
                    </w:rPr>
                  </w:pPr>
                  <w:r>
                    <w:rPr>
                      <w:rFonts w:hint="eastAsia"/>
                      <w:color w:val="000000" w:themeColor="text1"/>
                      <w:szCs w:val="21"/>
                    </w:rPr>
                    <w:t>颗粒物</w:t>
                  </w:r>
                </w:p>
              </w:tc>
              <w:tc>
                <w:tcPr>
                  <w:tcW w:w="3245" w:type="dxa"/>
                  <w:vMerge w:val="restar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项目拟分别对破碎车间颚破、混合、粉碎和筛分四个环节进行密闭，并设置集气罩，将粉尘进行有效收集，收集后统一通过1台脉冲布袋除尘器进行处理，处理后通过</w:t>
                  </w:r>
                  <w:r>
                    <w:rPr>
                      <w:color w:val="000000" w:themeColor="text1"/>
                      <w:szCs w:val="21"/>
                    </w:rPr>
                    <w:t>1根</w:t>
                  </w:r>
                  <w:r>
                    <w:rPr>
                      <w:rFonts w:hint="eastAsia"/>
                      <w:color w:val="000000" w:themeColor="text1"/>
                      <w:szCs w:val="21"/>
                    </w:rPr>
                    <w:t>15m高</w:t>
                  </w:r>
                  <w:r>
                    <w:rPr>
                      <w:color w:val="000000" w:themeColor="text1"/>
                      <w:szCs w:val="21"/>
                    </w:rPr>
                    <w:t>排气筒（DA001）外排</w:t>
                  </w:r>
                  <w:r>
                    <w:rPr>
                      <w:rFonts w:hint="eastAsia"/>
                      <w:color w:val="000000" w:themeColor="text1"/>
                      <w:szCs w:val="21"/>
                    </w:rPr>
                    <w:t>。</w:t>
                  </w:r>
                </w:p>
              </w:tc>
              <w:tc>
                <w:tcPr>
                  <w:tcW w:w="709" w:type="dxa"/>
                  <w:vMerge w:val="restart"/>
                  <w:vAlign w:val="center"/>
                </w:tcPr>
                <w:p>
                  <w:pPr>
                    <w:pStyle w:val="32"/>
                    <w:spacing w:line="360" w:lineRule="exact"/>
                    <w:rPr>
                      <w:color w:val="000000" w:themeColor="text1"/>
                      <w:szCs w:val="21"/>
                    </w:rPr>
                  </w:pPr>
                  <w:r>
                    <w:rPr>
                      <w:color w:val="000000" w:themeColor="text1"/>
                      <w:szCs w:val="21"/>
                    </w:rPr>
                    <w:t>有组织</w:t>
                  </w:r>
                </w:p>
              </w:tc>
              <w:tc>
                <w:tcPr>
                  <w:tcW w:w="2200" w:type="dxa"/>
                  <w:gridSpan w:val="2"/>
                  <w:vAlign w:val="center"/>
                </w:tcPr>
                <w:p>
                  <w:pPr>
                    <w:pStyle w:val="32"/>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continue"/>
                  <w:vAlign w:val="center"/>
                </w:tcPr>
                <w:p>
                  <w:pPr>
                    <w:pStyle w:val="32"/>
                    <w:spacing w:line="360" w:lineRule="exact"/>
                    <w:rPr>
                      <w:color w:val="000000" w:themeColor="text1"/>
                      <w:szCs w:val="21"/>
                    </w:rPr>
                  </w:pPr>
                </w:p>
              </w:tc>
              <w:tc>
                <w:tcPr>
                  <w:tcW w:w="922" w:type="dxa"/>
                  <w:vMerge w:val="continue"/>
                  <w:vAlign w:val="center"/>
                </w:tcPr>
                <w:p>
                  <w:pPr>
                    <w:pStyle w:val="32"/>
                    <w:spacing w:line="360" w:lineRule="exact"/>
                    <w:rPr>
                      <w:color w:val="000000" w:themeColor="text1"/>
                      <w:szCs w:val="21"/>
                    </w:rPr>
                  </w:pPr>
                </w:p>
              </w:tc>
              <w:tc>
                <w:tcPr>
                  <w:tcW w:w="852" w:type="dxa"/>
                  <w:vMerge w:val="continue"/>
                  <w:vAlign w:val="center"/>
                </w:tcPr>
                <w:p>
                  <w:pPr>
                    <w:pStyle w:val="32"/>
                    <w:spacing w:line="360" w:lineRule="exact"/>
                    <w:rPr>
                      <w:color w:val="000000" w:themeColor="text1"/>
                      <w:szCs w:val="21"/>
                    </w:rPr>
                  </w:pPr>
                </w:p>
              </w:tc>
              <w:tc>
                <w:tcPr>
                  <w:tcW w:w="3245"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高度</w:t>
                  </w:r>
                </w:p>
              </w:tc>
              <w:tc>
                <w:tcPr>
                  <w:tcW w:w="1491" w:type="dxa"/>
                  <w:vAlign w:val="center"/>
                </w:tcPr>
                <w:p>
                  <w:pPr>
                    <w:pStyle w:val="32"/>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continue"/>
                  <w:vAlign w:val="center"/>
                </w:tcPr>
                <w:p>
                  <w:pPr>
                    <w:pStyle w:val="32"/>
                    <w:spacing w:line="360" w:lineRule="exact"/>
                    <w:rPr>
                      <w:color w:val="000000" w:themeColor="text1"/>
                      <w:szCs w:val="21"/>
                    </w:rPr>
                  </w:pPr>
                </w:p>
              </w:tc>
              <w:tc>
                <w:tcPr>
                  <w:tcW w:w="922" w:type="dxa"/>
                  <w:vMerge w:val="continue"/>
                  <w:vAlign w:val="center"/>
                </w:tcPr>
                <w:p>
                  <w:pPr>
                    <w:pStyle w:val="32"/>
                    <w:spacing w:line="360" w:lineRule="exact"/>
                    <w:rPr>
                      <w:color w:val="000000" w:themeColor="text1"/>
                      <w:szCs w:val="21"/>
                    </w:rPr>
                  </w:pPr>
                </w:p>
              </w:tc>
              <w:tc>
                <w:tcPr>
                  <w:tcW w:w="852" w:type="dxa"/>
                  <w:vMerge w:val="continue"/>
                  <w:vAlign w:val="center"/>
                </w:tcPr>
                <w:p>
                  <w:pPr>
                    <w:pStyle w:val="32"/>
                    <w:spacing w:line="360" w:lineRule="exact"/>
                    <w:rPr>
                      <w:color w:val="000000" w:themeColor="text1"/>
                      <w:szCs w:val="21"/>
                    </w:rPr>
                  </w:pPr>
                </w:p>
              </w:tc>
              <w:tc>
                <w:tcPr>
                  <w:tcW w:w="3245"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内径</w:t>
                  </w:r>
                </w:p>
              </w:tc>
              <w:tc>
                <w:tcPr>
                  <w:tcW w:w="1491" w:type="dxa"/>
                  <w:vAlign w:val="center"/>
                </w:tcPr>
                <w:p>
                  <w:pPr>
                    <w:pStyle w:val="32"/>
                    <w:spacing w:line="360" w:lineRule="exact"/>
                    <w:rPr>
                      <w:color w:val="000000" w:themeColor="text1"/>
                      <w:szCs w:val="21"/>
                    </w:rPr>
                  </w:pPr>
                  <w:r>
                    <w:rPr>
                      <w:rFonts w:hint="eastAsia"/>
                      <w:color w:val="000000" w:themeColor="text1"/>
                      <w:szCs w:val="21"/>
                    </w:rPr>
                    <w:t>0.8m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continue"/>
                  <w:vAlign w:val="center"/>
                </w:tcPr>
                <w:p>
                  <w:pPr>
                    <w:pStyle w:val="32"/>
                    <w:spacing w:line="360" w:lineRule="exact"/>
                    <w:rPr>
                      <w:color w:val="000000" w:themeColor="text1"/>
                      <w:szCs w:val="21"/>
                    </w:rPr>
                  </w:pPr>
                </w:p>
              </w:tc>
              <w:tc>
                <w:tcPr>
                  <w:tcW w:w="922" w:type="dxa"/>
                  <w:vMerge w:val="continue"/>
                  <w:vAlign w:val="center"/>
                </w:tcPr>
                <w:p>
                  <w:pPr>
                    <w:pStyle w:val="32"/>
                    <w:spacing w:line="360" w:lineRule="exact"/>
                    <w:rPr>
                      <w:color w:val="000000" w:themeColor="text1"/>
                      <w:szCs w:val="21"/>
                    </w:rPr>
                  </w:pPr>
                </w:p>
              </w:tc>
              <w:tc>
                <w:tcPr>
                  <w:tcW w:w="852" w:type="dxa"/>
                  <w:vMerge w:val="continue"/>
                  <w:vAlign w:val="center"/>
                </w:tcPr>
                <w:p>
                  <w:pPr>
                    <w:pStyle w:val="32"/>
                    <w:spacing w:line="360" w:lineRule="exact"/>
                    <w:rPr>
                      <w:color w:val="000000" w:themeColor="text1"/>
                      <w:szCs w:val="21"/>
                    </w:rPr>
                  </w:pPr>
                </w:p>
              </w:tc>
              <w:tc>
                <w:tcPr>
                  <w:tcW w:w="3245"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温度</w:t>
                  </w:r>
                </w:p>
              </w:tc>
              <w:tc>
                <w:tcPr>
                  <w:tcW w:w="1491" w:type="dxa"/>
                  <w:vAlign w:val="center"/>
                </w:tcPr>
                <w:p>
                  <w:pPr>
                    <w:pStyle w:val="32"/>
                    <w:spacing w:line="360" w:lineRule="exact"/>
                    <w:rPr>
                      <w:color w:val="000000" w:themeColor="text1"/>
                      <w:szCs w:val="21"/>
                    </w:rPr>
                  </w:pPr>
                  <w:r>
                    <w:rPr>
                      <w:rFonts w:hint="eastAsia"/>
                      <w:color w:val="000000" w:themeColor="text1"/>
                      <w:szCs w:val="21"/>
                    </w:rPr>
                    <w:t>20-30</w:t>
                  </w:r>
                  <w:r>
                    <w:fldChar w:fldCharType="begin"/>
                  </w:r>
                  <w:r>
                    <w:instrText xml:space="preserve"> HYPERLINK "https://www.so.com/s?q=%E2%84%83&amp;psid=124f801495110ace532d8ceba47f0c03&amp;eci=&amp;nlpv=zzdt_pcco&amp;src=pdr_guide_3.2" \t "_blank" </w:instrText>
                  </w:r>
                  <w:r>
                    <w:fldChar w:fldCharType="separate"/>
                  </w:r>
                  <w:r>
                    <w:rPr>
                      <w:rFonts w:hint="eastAsia"/>
                      <w:color w:val="000000" w:themeColor="text1"/>
                      <w:szCs w:val="21"/>
                    </w:rPr>
                    <w:t>℃</w:t>
                  </w:r>
                  <w:r>
                    <w:rPr>
                      <w:rFonts w:hint="eastAsia"/>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continue"/>
                  <w:vAlign w:val="center"/>
                </w:tcPr>
                <w:p>
                  <w:pPr>
                    <w:pStyle w:val="32"/>
                    <w:spacing w:line="360" w:lineRule="exact"/>
                    <w:rPr>
                      <w:color w:val="000000" w:themeColor="text1"/>
                      <w:szCs w:val="21"/>
                    </w:rPr>
                  </w:pPr>
                </w:p>
              </w:tc>
              <w:tc>
                <w:tcPr>
                  <w:tcW w:w="922" w:type="dxa"/>
                  <w:vMerge w:val="continue"/>
                  <w:vAlign w:val="center"/>
                </w:tcPr>
                <w:p>
                  <w:pPr>
                    <w:pStyle w:val="32"/>
                    <w:spacing w:line="360" w:lineRule="exact"/>
                    <w:rPr>
                      <w:color w:val="000000" w:themeColor="text1"/>
                      <w:szCs w:val="21"/>
                    </w:rPr>
                  </w:pPr>
                </w:p>
              </w:tc>
              <w:tc>
                <w:tcPr>
                  <w:tcW w:w="852" w:type="dxa"/>
                  <w:vMerge w:val="continue"/>
                  <w:vAlign w:val="center"/>
                </w:tcPr>
                <w:p>
                  <w:pPr>
                    <w:pStyle w:val="32"/>
                    <w:spacing w:line="360" w:lineRule="exact"/>
                    <w:rPr>
                      <w:color w:val="000000" w:themeColor="text1"/>
                      <w:szCs w:val="21"/>
                    </w:rPr>
                  </w:pPr>
                </w:p>
              </w:tc>
              <w:tc>
                <w:tcPr>
                  <w:tcW w:w="3245"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编号</w:t>
                  </w:r>
                </w:p>
              </w:tc>
              <w:tc>
                <w:tcPr>
                  <w:tcW w:w="1491" w:type="dxa"/>
                  <w:vAlign w:val="center"/>
                </w:tcPr>
                <w:p>
                  <w:pPr>
                    <w:pStyle w:val="32"/>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continue"/>
                  <w:vAlign w:val="center"/>
                </w:tcPr>
                <w:p>
                  <w:pPr>
                    <w:pStyle w:val="32"/>
                    <w:spacing w:line="360" w:lineRule="exact"/>
                    <w:rPr>
                      <w:color w:val="000000" w:themeColor="text1"/>
                      <w:szCs w:val="21"/>
                    </w:rPr>
                  </w:pPr>
                </w:p>
              </w:tc>
              <w:tc>
                <w:tcPr>
                  <w:tcW w:w="922" w:type="dxa"/>
                  <w:vMerge w:val="continue"/>
                  <w:vAlign w:val="center"/>
                </w:tcPr>
                <w:p>
                  <w:pPr>
                    <w:pStyle w:val="32"/>
                    <w:spacing w:line="360" w:lineRule="exact"/>
                    <w:rPr>
                      <w:color w:val="000000" w:themeColor="text1"/>
                      <w:szCs w:val="21"/>
                    </w:rPr>
                  </w:pPr>
                </w:p>
              </w:tc>
              <w:tc>
                <w:tcPr>
                  <w:tcW w:w="852" w:type="dxa"/>
                  <w:vMerge w:val="continue"/>
                  <w:vAlign w:val="center"/>
                </w:tcPr>
                <w:p>
                  <w:pPr>
                    <w:pStyle w:val="32"/>
                    <w:spacing w:line="360" w:lineRule="exact"/>
                    <w:rPr>
                      <w:color w:val="000000" w:themeColor="text1"/>
                      <w:szCs w:val="21"/>
                    </w:rPr>
                  </w:pPr>
                </w:p>
              </w:tc>
              <w:tc>
                <w:tcPr>
                  <w:tcW w:w="3245"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类型</w:t>
                  </w:r>
                </w:p>
              </w:tc>
              <w:tc>
                <w:tcPr>
                  <w:tcW w:w="1491"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continue"/>
                  <w:vAlign w:val="center"/>
                </w:tcPr>
                <w:p>
                  <w:pPr>
                    <w:pStyle w:val="32"/>
                    <w:spacing w:line="360" w:lineRule="exact"/>
                    <w:rPr>
                      <w:color w:val="000000" w:themeColor="text1"/>
                      <w:szCs w:val="21"/>
                    </w:rPr>
                  </w:pPr>
                </w:p>
              </w:tc>
              <w:tc>
                <w:tcPr>
                  <w:tcW w:w="922" w:type="dxa"/>
                  <w:vMerge w:val="continue"/>
                  <w:vAlign w:val="center"/>
                </w:tcPr>
                <w:p>
                  <w:pPr>
                    <w:pStyle w:val="32"/>
                    <w:spacing w:line="360" w:lineRule="exact"/>
                    <w:rPr>
                      <w:color w:val="000000" w:themeColor="text1"/>
                      <w:szCs w:val="21"/>
                    </w:rPr>
                  </w:pPr>
                </w:p>
              </w:tc>
              <w:tc>
                <w:tcPr>
                  <w:tcW w:w="852" w:type="dxa"/>
                  <w:vMerge w:val="continue"/>
                  <w:vAlign w:val="center"/>
                </w:tcPr>
                <w:p>
                  <w:pPr>
                    <w:pStyle w:val="32"/>
                    <w:spacing w:line="360" w:lineRule="exact"/>
                    <w:rPr>
                      <w:color w:val="000000" w:themeColor="text1"/>
                      <w:szCs w:val="21"/>
                    </w:rPr>
                  </w:pPr>
                </w:p>
              </w:tc>
              <w:tc>
                <w:tcPr>
                  <w:tcW w:w="3245"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坐标</w:t>
                  </w:r>
                </w:p>
              </w:tc>
              <w:tc>
                <w:tcPr>
                  <w:tcW w:w="1491" w:type="dxa"/>
                  <w:vAlign w:val="center"/>
                </w:tcPr>
                <w:p>
                  <w:pPr>
                    <w:pStyle w:val="32"/>
                    <w:spacing w:line="360" w:lineRule="exact"/>
                    <w:rPr>
                      <w:color w:val="000000" w:themeColor="text1"/>
                      <w:szCs w:val="21"/>
                    </w:rPr>
                  </w:pPr>
                  <w:r>
                    <w:rPr>
                      <w:color w:val="000000" w:themeColor="text1"/>
                      <w:szCs w:val="21"/>
                    </w:rPr>
                    <w:t>E103</w:t>
                  </w:r>
                  <w:r>
                    <w:rPr>
                      <w:rFonts w:hint="eastAsia"/>
                      <w:color w:val="000000" w:themeColor="text1"/>
                      <w:szCs w:val="21"/>
                    </w:rPr>
                    <w:t>.150426</w:t>
                  </w:r>
                  <w:r>
                    <w:rPr>
                      <w:color w:val="000000" w:themeColor="text1"/>
                      <w:szCs w:val="21"/>
                    </w:rPr>
                    <w:t>°、N2</w:t>
                  </w:r>
                  <w:r>
                    <w:rPr>
                      <w:rFonts w:hint="eastAsia"/>
                      <w:color w:val="000000" w:themeColor="text1"/>
                      <w:szCs w:val="21"/>
                    </w:rPr>
                    <w:t>6.173522</w:t>
                  </w: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restart"/>
                  <w:vAlign w:val="center"/>
                </w:tcPr>
                <w:p>
                  <w:pPr>
                    <w:pStyle w:val="32"/>
                    <w:spacing w:line="360" w:lineRule="exact"/>
                    <w:rPr>
                      <w:color w:val="000000" w:themeColor="text1"/>
                      <w:szCs w:val="21"/>
                    </w:rPr>
                  </w:pPr>
                  <w:r>
                    <w:rPr>
                      <w:rFonts w:hint="eastAsia"/>
                      <w:color w:val="000000" w:themeColor="text1"/>
                      <w:szCs w:val="21"/>
                    </w:rPr>
                    <w:t>焙烧车间</w:t>
                  </w:r>
                </w:p>
              </w:tc>
              <w:tc>
                <w:tcPr>
                  <w:tcW w:w="922" w:type="dxa"/>
                  <w:vMerge w:val="restart"/>
                  <w:vAlign w:val="center"/>
                </w:tcPr>
                <w:p>
                  <w:pPr>
                    <w:pStyle w:val="32"/>
                    <w:spacing w:line="360" w:lineRule="exact"/>
                    <w:rPr>
                      <w:color w:val="000000" w:themeColor="text1"/>
                      <w:szCs w:val="21"/>
                    </w:rPr>
                  </w:pPr>
                  <w:r>
                    <w:rPr>
                      <w:rFonts w:hint="eastAsia"/>
                      <w:color w:val="000000" w:themeColor="text1"/>
                      <w:szCs w:val="21"/>
                    </w:rPr>
                    <w:t>焙烧</w:t>
                  </w:r>
                </w:p>
              </w:tc>
              <w:tc>
                <w:tcPr>
                  <w:tcW w:w="852" w:type="dxa"/>
                  <w:vMerge w:val="restart"/>
                  <w:vAlign w:val="center"/>
                </w:tcPr>
                <w:p>
                  <w:pPr>
                    <w:pStyle w:val="32"/>
                    <w:spacing w:line="360" w:lineRule="exact"/>
                    <w:rPr>
                      <w:color w:val="000000" w:themeColor="text1"/>
                      <w:szCs w:val="21"/>
                    </w:rPr>
                  </w:pPr>
                  <w:r>
                    <w:rPr>
                      <w:rFonts w:hint="eastAsia"/>
                      <w:color w:val="000000" w:themeColor="text1"/>
                      <w:szCs w:val="21"/>
                    </w:rPr>
                    <w:t>烟尘、SO</w:t>
                  </w:r>
                  <w:r>
                    <w:rPr>
                      <w:rFonts w:hint="eastAsia"/>
                      <w:color w:val="000000" w:themeColor="text1"/>
                      <w:szCs w:val="21"/>
                      <w:vertAlign w:val="subscript"/>
                    </w:rPr>
                    <w:t>2</w:t>
                  </w:r>
                  <w:r>
                    <w:rPr>
                      <w:rFonts w:hint="eastAsia"/>
                      <w:color w:val="000000" w:themeColor="text1"/>
                      <w:szCs w:val="21"/>
                    </w:rPr>
                    <w:t>、NOx和氟化物</w:t>
                  </w:r>
                </w:p>
              </w:tc>
              <w:tc>
                <w:tcPr>
                  <w:tcW w:w="3245"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项目拟设置1套脱硫除尘系统对焙烧工序产生的废气进行处理，该脱硫除尘系统采用钠碱双碱还原法脱硫除尘工艺，烟尘去除率85%、二氧化硫去除率为90%、氟化物去除率为70%，处理后的烟气通过18m高（DA002）的排气筒外排。</w:t>
                  </w:r>
                </w:p>
              </w:tc>
              <w:tc>
                <w:tcPr>
                  <w:tcW w:w="709" w:type="dxa"/>
                  <w:vMerge w:val="restart"/>
                  <w:vAlign w:val="center"/>
                </w:tcPr>
                <w:p>
                  <w:pPr>
                    <w:pStyle w:val="32"/>
                    <w:spacing w:line="360" w:lineRule="exact"/>
                    <w:rPr>
                      <w:color w:val="000000" w:themeColor="text1"/>
                      <w:szCs w:val="21"/>
                    </w:rPr>
                  </w:pPr>
                  <w:r>
                    <w:rPr>
                      <w:color w:val="000000" w:themeColor="text1"/>
                      <w:szCs w:val="21"/>
                    </w:rPr>
                    <w:t>有组织</w:t>
                  </w:r>
                </w:p>
              </w:tc>
              <w:tc>
                <w:tcPr>
                  <w:tcW w:w="2200" w:type="dxa"/>
                  <w:gridSpan w:val="2"/>
                  <w:vAlign w:val="center"/>
                </w:tcPr>
                <w:p>
                  <w:pPr>
                    <w:pStyle w:val="32"/>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continue"/>
                  <w:vAlign w:val="center"/>
                </w:tcPr>
                <w:p>
                  <w:pPr>
                    <w:pStyle w:val="32"/>
                    <w:spacing w:line="360" w:lineRule="exact"/>
                    <w:rPr>
                      <w:color w:val="000000" w:themeColor="text1"/>
                      <w:szCs w:val="21"/>
                    </w:rPr>
                  </w:pPr>
                </w:p>
              </w:tc>
              <w:tc>
                <w:tcPr>
                  <w:tcW w:w="922" w:type="dxa"/>
                  <w:vMerge w:val="continue"/>
                  <w:vAlign w:val="center"/>
                </w:tcPr>
                <w:p>
                  <w:pPr>
                    <w:pStyle w:val="32"/>
                    <w:spacing w:line="360" w:lineRule="exact"/>
                    <w:rPr>
                      <w:color w:val="000000" w:themeColor="text1"/>
                      <w:szCs w:val="21"/>
                    </w:rPr>
                  </w:pPr>
                </w:p>
              </w:tc>
              <w:tc>
                <w:tcPr>
                  <w:tcW w:w="852" w:type="dxa"/>
                  <w:vMerge w:val="continue"/>
                  <w:vAlign w:val="center"/>
                </w:tcPr>
                <w:p>
                  <w:pPr>
                    <w:pStyle w:val="32"/>
                    <w:spacing w:line="360" w:lineRule="exact"/>
                    <w:rPr>
                      <w:color w:val="000000" w:themeColor="text1"/>
                      <w:szCs w:val="21"/>
                    </w:rPr>
                  </w:pPr>
                </w:p>
              </w:tc>
              <w:tc>
                <w:tcPr>
                  <w:tcW w:w="3245"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高度</w:t>
                  </w:r>
                </w:p>
              </w:tc>
              <w:tc>
                <w:tcPr>
                  <w:tcW w:w="1491" w:type="dxa"/>
                  <w:vAlign w:val="center"/>
                </w:tcPr>
                <w:p>
                  <w:pPr>
                    <w:pStyle w:val="32"/>
                    <w:spacing w:line="360" w:lineRule="exact"/>
                    <w:rPr>
                      <w:color w:val="000000" w:themeColor="text1"/>
                      <w:szCs w:val="21"/>
                    </w:rPr>
                  </w:pPr>
                  <w:r>
                    <w:rPr>
                      <w:color w:val="000000" w:themeColor="text1"/>
                      <w:szCs w:val="21"/>
                    </w:rPr>
                    <w:t>1</w:t>
                  </w:r>
                  <w:r>
                    <w:rPr>
                      <w:rFonts w:hint="eastAsia"/>
                      <w:color w:val="000000" w:themeColor="text1"/>
                      <w:szCs w:val="21"/>
                    </w:rPr>
                    <w:t>8</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continue"/>
                  <w:vAlign w:val="center"/>
                </w:tcPr>
                <w:p>
                  <w:pPr>
                    <w:pStyle w:val="32"/>
                    <w:spacing w:line="360" w:lineRule="exact"/>
                    <w:rPr>
                      <w:color w:val="000000" w:themeColor="text1"/>
                      <w:szCs w:val="21"/>
                    </w:rPr>
                  </w:pPr>
                </w:p>
              </w:tc>
              <w:tc>
                <w:tcPr>
                  <w:tcW w:w="922" w:type="dxa"/>
                  <w:vMerge w:val="continue"/>
                  <w:vAlign w:val="center"/>
                </w:tcPr>
                <w:p>
                  <w:pPr>
                    <w:pStyle w:val="32"/>
                    <w:spacing w:line="360" w:lineRule="exact"/>
                    <w:rPr>
                      <w:color w:val="000000" w:themeColor="text1"/>
                      <w:szCs w:val="21"/>
                    </w:rPr>
                  </w:pPr>
                </w:p>
              </w:tc>
              <w:tc>
                <w:tcPr>
                  <w:tcW w:w="852" w:type="dxa"/>
                  <w:vMerge w:val="continue"/>
                  <w:vAlign w:val="center"/>
                </w:tcPr>
                <w:p>
                  <w:pPr>
                    <w:pStyle w:val="32"/>
                    <w:spacing w:line="360" w:lineRule="exact"/>
                    <w:rPr>
                      <w:color w:val="000000" w:themeColor="text1"/>
                      <w:szCs w:val="21"/>
                    </w:rPr>
                  </w:pPr>
                </w:p>
              </w:tc>
              <w:tc>
                <w:tcPr>
                  <w:tcW w:w="3245"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内径</w:t>
                  </w:r>
                </w:p>
              </w:tc>
              <w:tc>
                <w:tcPr>
                  <w:tcW w:w="1491" w:type="dxa"/>
                  <w:vAlign w:val="center"/>
                </w:tcPr>
                <w:p>
                  <w:pPr>
                    <w:pStyle w:val="32"/>
                    <w:spacing w:line="360" w:lineRule="exact"/>
                    <w:rPr>
                      <w:color w:val="000000" w:themeColor="text1"/>
                      <w:szCs w:val="21"/>
                    </w:rPr>
                  </w:pPr>
                  <w:r>
                    <w:rPr>
                      <w:rFonts w:hint="eastAsia"/>
                      <w:color w:val="000000" w:themeColor="text1"/>
                      <w:szCs w:val="21"/>
                    </w:rPr>
                    <w:t>1.2m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continue"/>
                  <w:vAlign w:val="center"/>
                </w:tcPr>
                <w:p>
                  <w:pPr>
                    <w:pStyle w:val="32"/>
                    <w:spacing w:line="360" w:lineRule="exact"/>
                    <w:rPr>
                      <w:color w:val="000000" w:themeColor="text1"/>
                      <w:szCs w:val="21"/>
                    </w:rPr>
                  </w:pPr>
                </w:p>
              </w:tc>
              <w:tc>
                <w:tcPr>
                  <w:tcW w:w="922" w:type="dxa"/>
                  <w:vMerge w:val="continue"/>
                  <w:vAlign w:val="center"/>
                </w:tcPr>
                <w:p>
                  <w:pPr>
                    <w:pStyle w:val="32"/>
                    <w:spacing w:line="360" w:lineRule="exact"/>
                    <w:rPr>
                      <w:color w:val="000000" w:themeColor="text1"/>
                      <w:szCs w:val="21"/>
                    </w:rPr>
                  </w:pPr>
                </w:p>
              </w:tc>
              <w:tc>
                <w:tcPr>
                  <w:tcW w:w="852" w:type="dxa"/>
                  <w:vMerge w:val="continue"/>
                  <w:vAlign w:val="center"/>
                </w:tcPr>
                <w:p>
                  <w:pPr>
                    <w:pStyle w:val="32"/>
                    <w:spacing w:line="360" w:lineRule="exact"/>
                    <w:rPr>
                      <w:color w:val="000000" w:themeColor="text1"/>
                      <w:szCs w:val="21"/>
                    </w:rPr>
                  </w:pPr>
                </w:p>
              </w:tc>
              <w:tc>
                <w:tcPr>
                  <w:tcW w:w="3245"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温度</w:t>
                  </w:r>
                </w:p>
              </w:tc>
              <w:tc>
                <w:tcPr>
                  <w:tcW w:w="1491" w:type="dxa"/>
                  <w:vAlign w:val="center"/>
                </w:tcPr>
                <w:p>
                  <w:pPr>
                    <w:pStyle w:val="32"/>
                    <w:spacing w:line="360" w:lineRule="exact"/>
                    <w:rPr>
                      <w:color w:val="000000" w:themeColor="text1"/>
                      <w:szCs w:val="21"/>
                    </w:rPr>
                  </w:pPr>
                  <w:r>
                    <w:rPr>
                      <w:rFonts w:hint="eastAsia"/>
                      <w:color w:val="000000" w:themeColor="text1"/>
                      <w:szCs w:val="21"/>
                    </w:rPr>
                    <w:t>30-40℃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continue"/>
                  <w:vAlign w:val="center"/>
                </w:tcPr>
                <w:p>
                  <w:pPr>
                    <w:pStyle w:val="32"/>
                    <w:spacing w:line="360" w:lineRule="exact"/>
                    <w:rPr>
                      <w:color w:val="000000" w:themeColor="text1"/>
                      <w:szCs w:val="21"/>
                    </w:rPr>
                  </w:pPr>
                </w:p>
              </w:tc>
              <w:tc>
                <w:tcPr>
                  <w:tcW w:w="922" w:type="dxa"/>
                  <w:vMerge w:val="continue"/>
                  <w:vAlign w:val="center"/>
                </w:tcPr>
                <w:p>
                  <w:pPr>
                    <w:pStyle w:val="32"/>
                    <w:spacing w:line="360" w:lineRule="exact"/>
                    <w:rPr>
                      <w:color w:val="000000" w:themeColor="text1"/>
                      <w:szCs w:val="21"/>
                    </w:rPr>
                  </w:pPr>
                </w:p>
              </w:tc>
              <w:tc>
                <w:tcPr>
                  <w:tcW w:w="852" w:type="dxa"/>
                  <w:vMerge w:val="continue"/>
                  <w:vAlign w:val="center"/>
                </w:tcPr>
                <w:p>
                  <w:pPr>
                    <w:pStyle w:val="32"/>
                    <w:spacing w:line="360" w:lineRule="exact"/>
                    <w:rPr>
                      <w:color w:val="000000" w:themeColor="text1"/>
                      <w:szCs w:val="21"/>
                    </w:rPr>
                  </w:pPr>
                </w:p>
              </w:tc>
              <w:tc>
                <w:tcPr>
                  <w:tcW w:w="3245"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编号</w:t>
                  </w:r>
                </w:p>
              </w:tc>
              <w:tc>
                <w:tcPr>
                  <w:tcW w:w="1491" w:type="dxa"/>
                  <w:vAlign w:val="center"/>
                </w:tcPr>
                <w:p>
                  <w:pPr>
                    <w:pStyle w:val="32"/>
                    <w:spacing w:line="360" w:lineRule="exact"/>
                    <w:rPr>
                      <w:color w:val="000000" w:themeColor="text1"/>
                      <w:szCs w:val="21"/>
                    </w:rPr>
                  </w:pPr>
                  <w:r>
                    <w:rPr>
                      <w:color w:val="000000" w:themeColor="text1"/>
                      <w:szCs w:val="21"/>
                    </w:rPr>
                    <w:t>DA00</w:t>
                  </w:r>
                  <w:r>
                    <w:rPr>
                      <w:rFonts w:hint="eastAsia"/>
                      <w:color w:val="000000" w:themeColor="text1"/>
                      <w:szCs w:val="21"/>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continue"/>
                  <w:vAlign w:val="center"/>
                </w:tcPr>
                <w:p>
                  <w:pPr>
                    <w:pStyle w:val="32"/>
                    <w:spacing w:line="360" w:lineRule="exact"/>
                    <w:rPr>
                      <w:color w:val="000000" w:themeColor="text1"/>
                      <w:szCs w:val="21"/>
                    </w:rPr>
                  </w:pPr>
                </w:p>
              </w:tc>
              <w:tc>
                <w:tcPr>
                  <w:tcW w:w="922" w:type="dxa"/>
                  <w:vMerge w:val="continue"/>
                  <w:vAlign w:val="center"/>
                </w:tcPr>
                <w:p>
                  <w:pPr>
                    <w:pStyle w:val="32"/>
                    <w:spacing w:line="360" w:lineRule="exact"/>
                    <w:rPr>
                      <w:color w:val="000000" w:themeColor="text1"/>
                      <w:szCs w:val="21"/>
                    </w:rPr>
                  </w:pPr>
                </w:p>
              </w:tc>
              <w:tc>
                <w:tcPr>
                  <w:tcW w:w="852" w:type="dxa"/>
                  <w:vMerge w:val="continue"/>
                  <w:vAlign w:val="center"/>
                </w:tcPr>
                <w:p>
                  <w:pPr>
                    <w:pStyle w:val="32"/>
                    <w:spacing w:line="360" w:lineRule="exact"/>
                    <w:rPr>
                      <w:color w:val="000000" w:themeColor="text1"/>
                      <w:szCs w:val="21"/>
                    </w:rPr>
                  </w:pPr>
                </w:p>
              </w:tc>
              <w:tc>
                <w:tcPr>
                  <w:tcW w:w="3245"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类型</w:t>
                  </w:r>
                </w:p>
              </w:tc>
              <w:tc>
                <w:tcPr>
                  <w:tcW w:w="1491"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Merge w:val="continue"/>
                  <w:vAlign w:val="center"/>
                </w:tcPr>
                <w:p>
                  <w:pPr>
                    <w:pStyle w:val="32"/>
                    <w:spacing w:line="360" w:lineRule="exact"/>
                    <w:rPr>
                      <w:color w:val="000000" w:themeColor="text1"/>
                      <w:szCs w:val="21"/>
                    </w:rPr>
                  </w:pPr>
                </w:p>
              </w:tc>
              <w:tc>
                <w:tcPr>
                  <w:tcW w:w="922" w:type="dxa"/>
                  <w:vMerge w:val="continue"/>
                  <w:vAlign w:val="center"/>
                </w:tcPr>
                <w:p>
                  <w:pPr>
                    <w:pStyle w:val="32"/>
                    <w:spacing w:line="360" w:lineRule="exact"/>
                    <w:rPr>
                      <w:color w:val="000000" w:themeColor="text1"/>
                      <w:szCs w:val="21"/>
                    </w:rPr>
                  </w:pPr>
                </w:p>
              </w:tc>
              <w:tc>
                <w:tcPr>
                  <w:tcW w:w="852" w:type="dxa"/>
                  <w:vMerge w:val="continue"/>
                  <w:vAlign w:val="center"/>
                </w:tcPr>
                <w:p>
                  <w:pPr>
                    <w:pStyle w:val="32"/>
                    <w:spacing w:line="360" w:lineRule="exact"/>
                    <w:rPr>
                      <w:color w:val="000000" w:themeColor="text1"/>
                      <w:szCs w:val="21"/>
                    </w:rPr>
                  </w:pPr>
                </w:p>
              </w:tc>
              <w:tc>
                <w:tcPr>
                  <w:tcW w:w="3245" w:type="dxa"/>
                  <w:vMerge w:val="continue"/>
                  <w:vAlign w:val="center"/>
                </w:tcPr>
                <w:p>
                  <w:pPr>
                    <w:pStyle w:val="32"/>
                    <w:spacing w:line="360" w:lineRule="exact"/>
                    <w:ind w:firstLine="210" w:firstLineChars="100"/>
                    <w:jc w:val="lef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坐标</w:t>
                  </w:r>
                </w:p>
              </w:tc>
              <w:tc>
                <w:tcPr>
                  <w:tcW w:w="1491" w:type="dxa"/>
                  <w:vAlign w:val="center"/>
                </w:tcPr>
                <w:p>
                  <w:pPr>
                    <w:pStyle w:val="32"/>
                    <w:spacing w:line="360" w:lineRule="exact"/>
                    <w:rPr>
                      <w:color w:val="000000" w:themeColor="text1"/>
                      <w:szCs w:val="21"/>
                    </w:rPr>
                  </w:pPr>
                  <w:r>
                    <w:rPr>
                      <w:color w:val="000000" w:themeColor="text1"/>
                      <w:szCs w:val="21"/>
                    </w:rPr>
                    <w:t>E103</w:t>
                  </w:r>
                  <w:r>
                    <w:rPr>
                      <w:rFonts w:hint="eastAsia"/>
                      <w:color w:val="000000" w:themeColor="text1"/>
                      <w:szCs w:val="21"/>
                    </w:rPr>
                    <w:t>.149970</w:t>
                  </w:r>
                  <w:r>
                    <w:rPr>
                      <w:color w:val="000000" w:themeColor="text1"/>
                      <w:szCs w:val="21"/>
                    </w:rPr>
                    <w:t>°、N2</w:t>
                  </w:r>
                  <w:r>
                    <w:rPr>
                      <w:rFonts w:hint="eastAsia"/>
                      <w:color w:val="000000" w:themeColor="text1"/>
                      <w:szCs w:val="21"/>
                    </w:rPr>
                    <w:t>6.174230</w:t>
                  </w: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7" w:type="dxa"/>
                  <w:vAlign w:val="center"/>
                </w:tcPr>
                <w:p>
                  <w:pPr>
                    <w:pStyle w:val="32"/>
                    <w:spacing w:line="360" w:lineRule="exact"/>
                    <w:rPr>
                      <w:color w:val="000000" w:themeColor="text1"/>
                      <w:szCs w:val="21"/>
                    </w:rPr>
                  </w:pPr>
                  <w:r>
                    <w:rPr>
                      <w:rFonts w:hint="eastAsia"/>
                      <w:color w:val="000000" w:themeColor="text1"/>
                      <w:szCs w:val="21"/>
                    </w:rPr>
                    <w:t>厨房</w:t>
                  </w:r>
                </w:p>
              </w:tc>
              <w:tc>
                <w:tcPr>
                  <w:tcW w:w="922" w:type="dxa"/>
                  <w:vAlign w:val="center"/>
                </w:tcPr>
                <w:p>
                  <w:pPr>
                    <w:pStyle w:val="32"/>
                    <w:spacing w:line="360" w:lineRule="exact"/>
                    <w:rPr>
                      <w:color w:val="000000" w:themeColor="text1"/>
                      <w:szCs w:val="21"/>
                    </w:rPr>
                  </w:pPr>
                  <w:r>
                    <w:rPr>
                      <w:rFonts w:hint="eastAsia"/>
                      <w:color w:val="000000" w:themeColor="text1"/>
                      <w:szCs w:val="21"/>
                    </w:rPr>
                    <w:t>--</w:t>
                  </w:r>
                </w:p>
              </w:tc>
              <w:tc>
                <w:tcPr>
                  <w:tcW w:w="852" w:type="dxa"/>
                  <w:vAlign w:val="center"/>
                </w:tcPr>
                <w:p>
                  <w:pPr>
                    <w:pStyle w:val="32"/>
                    <w:spacing w:line="360" w:lineRule="exact"/>
                    <w:rPr>
                      <w:color w:val="000000" w:themeColor="text1"/>
                      <w:szCs w:val="21"/>
                    </w:rPr>
                  </w:pPr>
                  <w:r>
                    <w:rPr>
                      <w:rFonts w:hint="eastAsia"/>
                      <w:color w:val="000000" w:themeColor="text1"/>
                      <w:szCs w:val="21"/>
                    </w:rPr>
                    <w:t>厨房油烟</w:t>
                  </w:r>
                </w:p>
              </w:tc>
              <w:tc>
                <w:tcPr>
                  <w:tcW w:w="3245" w:type="dxa"/>
                  <w:vAlign w:val="center"/>
                </w:tcPr>
                <w:p>
                  <w:pPr>
                    <w:pStyle w:val="32"/>
                    <w:spacing w:line="360" w:lineRule="exact"/>
                    <w:ind w:firstLine="210" w:firstLineChars="100"/>
                    <w:jc w:val="both"/>
                    <w:rPr>
                      <w:color w:val="000000" w:themeColor="text1"/>
                      <w:szCs w:val="21"/>
                    </w:rPr>
                  </w:pPr>
                  <w:r>
                    <w:rPr>
                      <w:color w:val="000000" w:themeColor="text1"/>
                      <w:szCs w:val="21"/>
                    </w:rPr>
                    <w:t>项目区厨房安装一个最低去除率60%的油烟净化器</w:t>
                  </w:r>
                  <w:r>
                    <w:rPr>
                      <w:rFonts w:hint="eastAsia"/>
                      <w:color w:val="000000" w:themeColor="text1"/>
                      <w:szCs w:val="21"/>
                    </w:rPr>
                    <w:t>。</w:t>
                  </w:r>
                </w:p>
              </w:tc>
              <w:tc>
                <w:tcPr>
                  <w:tcW w:w="709" w:type="dxa"/>
                  <w:vAlign w:val="center"/>
                </w:tcPr>
                <w:p>
                  <w:pPr>
                    <w:pStyle w:val="32"/>
                    <w:spacing w:line="360" w:lineRule="exact"/>
                    <w:rPr>
                      <w:color w:val="000000" w:themeColor="text1"/>
                      <w:szCs w:val="21"/>
                    </w:rPr>
                  </w:pPr>
                  <w:r>
                    <w:rPr>
                      <w:rFonts w:hint="eastAsia"/>
                      <w:color w:val="000000" w:themeColor="text1"/>
                      <w:szCs w:val="21"/>
                    </w:rPr>
                    <w:t>--</w:t>
                  </w:r>
                </w:p>
              </w:tc>
              <w:tc>
                <w:tcPr>
                  <w:tcW w:w="2200" w:type="dxa"/>
                  <w:gridSpan w:val="2"/>
                  <w:vAlign w:val="center"/>
                </w:tcPr>
                <w:p>
                  <w:pPr>
                    <w:pStyle w:val="32"/>
                    <w:spacing w:line="360" w:lineRule="exact"/>
                    <w:ind w:firstLine="210" w:firstLineChars="100"/>
                    <w:jc w:val="both"/>
                    <w:rPr>
                      <w:color w:val="000000" w:themeColor="text1"/>
                      <w:szCs w:val="21"/>
                      <w:highlight w:val="yellow"/>
                    </w:rPr>
                  </w:pPr>
                  <w:r>
                    <w:rPr>
                      <w:color w:val="000000" w:themeColor="text1"/>
                      <w:szCs w:val="21"/>
                    </w:rPr>
                    <w:t>高于房顶1.5m的烟道外排</w:t>
                  </w:r>
                </w:p>
              </w:tc>
            </w:tr>
          </w:tbl>
          <w:p>
            <w:pPr>
              <w:spacing w:beforeLines="50"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5</w:t>
            </w:r>
            <w:r>
              <w:rPr>
                <w:rFonts w:ascii="Times New Roman" w:hAnsi="Times New Roman" w:cs="Times New Roman"/>
                <w:b/>
                <w:color w:val="000000" w:themeColor="text1"/>
                <w:szCs w:val="24"/>
              </w:rPr>
              <w:t xml:space="preserve">  废气污染物排放源产排量及达标情况一览表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7"/>
              <w:gridCol w:w="877"/>
              <w:gridCol w:w="1208"/>
              <w:gridCol w:w="810"/>
              <w:gridCol w:w="811"/>
              <w:gridCol w:w="1161"/>
              <w:gridCol w:w="851"/>
              <w:gridCol w:w="709"/>
              <w:gridCol w:w="846"/>
              <w:gridCol w:w="6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4" w:type="dxa"/>
                  <w:gridSpan w:val="2"/>
                  <w:vMerge w:val="restart"/>
                  <w:vAlign w:val="center"/>
                </w:tcPr>
                <w:p>
                  <w:pPr>
                    <w:pStyle w:val="32"/>
                    <w:spacing w:line="360" w:lineRule="exact"/>
                    <w:rPr>
                      <w:color w:val="000000" w:themeColor="text1"/>
                      <w:szCs w:val="21"/>
                    </w:rPr>
                  </w:pPr>
                  <w:r>
                    <w:rPr>
                      <w:color w:val="000000" w:themeColor="text1"/>
                      <w:szCs w:val="21"/>
                    </w:rPr>
                    <w:t>产排污环节</w:t>
                  </w:r>
                </w:p>
              </w:tc>
              <w:tc>
                <w:tcPr>
                  <w:tcW w:w="1208" w:type="dxa"/>
                  <w:vMerge w:val="restart"/>
                  <w:vAlign w:val="center"/>
                </w:tcPr>
                <w:p>
                  <w:pPr>
                    <w:pStyle w:val="32"/>
                    <w:spacing w:line="360" w:lineRule="exact"/>
                    <w:rPr>
                      <w:color w:val="000000" w:themeColor="text1"/>
                      <w:szCs w:val="21"/>
                    </w:rPr>
                  </w:pPr>
                  <w:r>
                    <w:rPr>
                      <w:color w:val="000000" w:themeColor="text1"/>
                      <w:szCs w:val="21"/>
                    </w:rPr>
                    <w:t>污染物种类</w:t>
                  </w:r>
                </w:p>
              </w:tc>
              <w:tc>
                <w:tcPr>
                  <w:tcW w:w="1621" w:type="dxa"/>
                  <w:gridSpan w:val="2"/>
                  <w:vAlign w:val="center"/>
                </w:tcPr>
                <w:p>
                  <w:pPr>
                    <w:pStyle w:val="32"/>
                    <w:spacing w:line="360" w:lineRule="exact"/>
                    <w:rPr>
                      <w:color w:val="000000" w:themeColor="text1"/>
                      <w:szCs w:val="21"/>
                    </w:rPr>
                  </w:pPr>
                  <w:r>
                    <w:rPr>
                      <w:color w:val="000000" w:themeColor="text1"/>
                      <w:szCs w:val="21"/>
                    </w:rPr>
                    <w:t>污染物产生情况</w:t>
                  </w:r>
                </w:p>
              </w:tc>
              <w:tc>
                <w:tcPr>
                  <w:tcW w:w="2721"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846"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排放标准mg/m³</w:t>
                  </w:r>
                </w:p>
              </w:tc>
              <w:tc>
                <w:tcPr>
                  <w:tcW w:w="645"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4" w:type="dxa"/>
                  <w:gridSpan w:val="2"/>
                  <w:vMerge w:val="continue"/>
                  <w:vAlign w:val="center"/>
                </w:tcPr>
                <w:p>
                  <w:pPr>
                    <w:pStyle w:val="32"/>
                    <w:spacing w:line="360" w:lineRule="exact"/>
                    <w:rPr>
                      <w:color w:val="000000" w:themeColor="text1"/>
                      <w:szCs w:val="21"/>
                    </w:rPr>
                  </w:pPr>
                </w:p>
              </w:tc>
              <w:tc>
                <w:tcPr>
                  <w:tcW w:w="1208" w:type="dxa"/>
                  <w:vMerge w:val="continue"/>
                  <w:vAlign w:val="center"/>
                </w:tcPr>
                <w:p>
                  <w:pPr>
                    <w:pStyle w:val="32"/>
                    <w:spacing w:line="360" w:lineRule="exact"/>
                    <w:rPr>
                      <w:color w:val="000000" w:themeColor="text1"/>
                      <w:szCs w:val="21"/>
                    </w:rPr>
                  </w:pPr>
                </w:p>
              </w:tc>
              <w:tc>
                <w:tcPr>
                  <w:tcW w:w="810" w:type="dxa"/>
                  <w:vAlign w:val="center"/>
                </w:tcPr>
                <w:p>
                  <w:pPr>
                    <w:pStyle w:val="32"/>
                    <w:spacing w:line="360" w:lineRule="exact"/>
                    <w:rPr>
                      <w:color w:val="000000" w:themeColor="text1"/>
                      <w:szCs w:val="21"/>
                    </w:rPr>
                  </w:pPr>
                  <w:r>
                    <w:rPr>
                      <w:color w:val="000000" w:themeColor="text1"/>
                      <w:szCs w:val="21"/>
                    </w:rPr>
                    <w:t>产生浓度mg/m³</w:t>
                  </w:r>
                </w:p>
              </w:tc>
              <w:tc>
                <w:tcPr>
                  <w:tcW w:w="811" w:type="dxa"/>
                  <w:vAlign w:val="center"/>
                </w:tcPr>
                <w:p>
                  <w:pPr>
                    <w:pStyle w:val="32"/>
                    <w:spacing w:line="360" w:lineRule="exact"/>
                    <w:rPr>
                      <w:color w:val="000000" w:themeColor="text1"/>
                      <w:szCs w:val="21"/>
                    </w:rPr>
                  </w:pPr>
                  <w:r>
                    <w:rPr>
                      <w:color w:val="000000" w:themeColor="text1"/>
                      <w:szCs w:val="21"/>
                    </w:rPr>
                    <w:t>产生量t/a</w:t>
                  </w:r>
                </w:p>
              </w:tc>
              <w:tc>
                <w:tcPr>
                  <w:tcW w:w="1161" w:type="dxa"/>
                  <w:vAlign w:val="center"/>
                </w:tcPr>
                <w:p>
                  <w:pPr>
                    <w:pStyle w:val="32"/>
                    <w:spacing w:line="360" w:lineRule="exact"/>
                    <w:rPr>
                      <w:color w:val="000000" w:themeColor="text1"/>
                      <w:szCs w:val="21"/>
                    </w:rPr>
                  </w:pPr>
                  <w:r>
                    <w:rPr>
                      <w:color w:val="000000" w:themeColor="text1"/>
                      <w:szCs w:val="21"/>
                    </w:rPr>
                    <w:t>排放浓度mg/m³</w:t>
                  </w: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排放量t/a</w:t>
                  </w:r>
                </w:p>
              </w:tc>
              <w:tc>
                <w:tcPr>
                  <w:tcW w:w="709" w:type="dxa"/>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排放速率kg/h</w:t>
                  </w:r>
                </w:p>
              </w:tc>
              <w:tc>
                <w:tcPr>
                  <w:tcW w:w="846" w:type="dxa"/>
                  <w:vMerge w:val="continue"/>
                  <w:vAlign w:val="center"/>
                </w:tcPr>
                <w:p>
                  <w:pPr>
                    <w:pStyle w:val="32"/>
                    <w:spacing w:line="360" w:lineRule="exact"/>
                    <w:rPr>
                      <w:color w:val="000000" w:themeColor="text1"/>
                      <w:szCs w:val="21"/>
                    </w:rPr>
                  </w:pPr>
                </w:p>
              </w:tc>
              <w:tc>
                <w:tcPr>
                  <w:tcW w:w="64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4" w:type="dxa"/>
                  <w:gridSpan w:val="2"/>
                  <w:vAlign w:val="center"/>
                </w:tcPr>
                <w:p>
                  <w:pPr>
                    <w:pStyle w:val="32"/>
                    <w:spacing w:line="360" w:lineRule="exact"/>
                    <w:rPr>
                      <w:color w:val="000000" w:themeColor="text1"/>
                      <w:szCs w:val="21"/>
                    </w:rPr>
                  </w:pPr>
                  <w:r>
                    <w:rPr>
                      <w:rFonts w:hint="eastAsia"/>
                      <w:color w:val="000000" w:themeColor="text1"/>
                      <w:szCs w:val="21"/>
                    </w:rPr>
                    <w:t>页岩采装</w:t>
                  </w:r>
                </w:p>
              </w:tc>
              <w:tc>
                <w:tcPr>
                  <w:tcW w:w="1208" w:type="dxa"/>
                  <w:vMerge w:val="restart"/>
                  <w:vAlign w:val="center"/>
                </w:tcPr>
                <w:p>
                  <w:pPr>
                    <w:pStyle w:val="32"/>
                    <w:spacing w:line="360" w:lineRule="exact"/>
                    <w:rPr>
                      <w:color w:val="000000" w:themeColor="text1"/>
                      <w:szCs w:val="21"/>
                    </w:rPr>
                  </w:pPr>
                  <w:r>
                    <w:rPr>
                      <w:rFonts w:hint="eastAsia"/>
                      <w:color w:val="000000" w:themeColor="text1"/>
                      <w:szCs w:val="21"/>
                    </w:rPr>
                    <w:t>颗粒物（无组织）</w:t>
                  </w:r>
                </w:p>
              </w:tc>
              <w:tc>
                <w:tcPr>
                  <w:tcW w:w="810" w:type="dxa"/>
                  <w:vAlign w:val="center"/>
                </w:tcPr>
                <w:p>
                  <w:pPr>
                    <w:pStyle w:val="32"/>
                    <w:spacing w:line="360" w:lineRule="exact"/>
                    <w:rPr>
                      <w:color w:val="000000" w:themeColor="text1"/>
                      <w:szCs w:val="21"/>
                    </w:rPr>
                  </w:pPr>
                  <w:r>
                    <w:rPr>
                      <w:rFonts w:hint="eastAsia"/>
                      <w:color w:val="000000" w:themeColor="text1"/>
                      <w:szCs w:val="21"/>
                    </w:rPr>
                    <w:t>--</w:t>
                  </w:r>
                </w:p>
              </w:tc>
              <w:tc>
                <w:tcPr>
                  <w:tcW w:w="811" w:type="dxa"/>
                  <w:vAlign w:val="center"/>
                </w:tcPr>
                <w:p>
                  <w:pPr>
                    <w:pStyle w:val="32"/>
                    <w:spacing w:line="360" w:lineRule="exact"/>
                    <w:rPr>
                      <w:color w:val="000000" w:themeColor="text1"/>
                      <w:szCs w:val="21"/>
                    </w:rPr>
                  </w:pPr>
                  <w:r>
                    <w:rPr>
                      <w:rFonts w:hint="eastAsia"/>
                      <w:color w:val="000000" w:themeColor="text1"/>
                      <w:szCs w:val="21"/>
                    </w:rPr>
                    <w:t>3.94</w:t>
                  </w:r>
                </w:p>
              </w:tc>
              <w:tc>
                <w:tcPr>
                  <w:tcW w:w="1161" w:type="dxa"/>
                  <w:vMerge w:val="restart"/>
                  <w:vAlign w:val="center"/>
                </w:tcPr>
                <w:p>
                  <w:pPr>
                    <w:pStyle w:val="32"/>
                    <w:spacing w:line="360" w:lineRule="exact"/>
                    <w:rPr>
                      <w:color w:val="000000" w:themeColor="text1"/>
                      <w:szCs w:val="21"/>
                    </w:rPr>
                  </w:pPr>
                  <w:r>
                    <w:rPr>
                      <w:rFonts w:hint="eastAsia"/>
                      <w:color w:val="000000" w:themeColor="text1"/>
                      <w:szCs w:val="21"/>
                    </w:rPr>
                    <w:t>--</w:t>
                  </w: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1.97</w:t>
                  </w:r>
                </w:p>
              </w:tc>
              <w:tc>
                <w:tcPr>
                  <w:tcW w:w="709" w:type="dxa"/>
                  <w:tcBorders>
                    <w:top w:val="single" w:color="auto" w:sz="4" w:space="0"/>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0.41</w:t>
                  </w:r>
                </w:p>
              </w:tc>
              <w:tc>
                <w:tcPr>
                  <w:tcW w:w="846" w:type="dxa"/>
                  <w:vMerge w:val="restart"/>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645"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4" w:type="dxa"/>
                  <w:gridSpan w:val="2"/>
                  <w:vAlign w:val="center"/>
                </w:tcPr>
                <w:p>
                  <w:pPr>
                    <w:pStyle w:val="32"/>
                    <w:spacing w:line="360" w:lineRule="exact"/>
                    <w:rPr>
                      <w:color w:val="000000" w:themeColor="text1"/>
                      <w:szCs w:val="21"/>
                    </w:rPr>
                  </w:pPr>
                  <w:r>
                    <w:rPr>
                      <w:rFonts w:hint="eastAsia"/>
                      <w:color w:val="000000" w:themeColor="text1"/>
                      <w:szCs w:val="21"/>
                    </w:rPr>
                    <w:t>原料卸料</w:t>
                  </w:r>
                </w:p>
              </w:tc>
              <w:tc>
                <w:tcPr>
                  <w:tcW w:w="1208" w:type="dxa"/>
                  <w:vMerge w:val="continue"/>
                  <w:vAlign w:val="center"/>
                </w:tcPr>
                <w:p>
                  <w:pPr>
                    <w:pStyle w:val="32"/>
                    <w:spacing w:line="360" w:lineRule="exact"/>
                    <w:rPr>
                      <w:color w:val="000000" w:themeColor="text1"/>
                      <w:szCs w:val="21"/>
                    </w:rPr>
                  </w:pPr>
                </w:p>
              </w:tc>
              <w:tc>
                <w:tcPr>
                  <w:tcW w:w="810" w:type="dxa"/>
                  <w:vAlign w:val="center"/>
                </w:tcPr>
                <w:p>
                  <w:pPr>
                    <w:pStyle w:val="32"/>
                    <w:spacing w:line="360" w:lineRule="exact"/>
                    <w:rPr>
                      <w:color w:val="000000" w:themeColor="text1"/>
                      <w:szCs w:val="21"/>
                    </w:rPr>
                  </w:pPr>
                  <w:r>
                    <w:rPr>
                      <w:rFonts w:hint="eastAsia"/>
                      <w:color w:val="000000" w:themeColor="text1"/>
                      <w:szCs w:val="21"/>
                    </w:rPr>
                    <w:t>--</w:t>
                  </w:r>
                </w:p>
              </w:tc>
              <w:tc>
                <w:tcPr>
                  <w:tcW w:w="811" w:type="dxa"/>
                  <w:vAlign w:val="center"/>
                </w:tcPr>
                <w:p>
                  <w:pPr>
                    <w:pStyle w:val="32"/>
                    <w:spacing w:line="360" w:lineRule="exact"/>
                    <w:rPr>
                      <w:color w:val="000000" w:themeColor="text1"/>
                      <w:szCs w:val="21"/>
                    </w:rPr>
                  </w:pPr>
                  <w:r>
                    <w:rPr>
                      <w:rFonts w:hint="eastAsia"/>
                      <w:color w:val="000000" w:themeColor="text1"/>
                      <w:szCs w:val="21"/>
                    </w:rPr>
                    <w:t>3.78</w:t>
                  </w:r>
                </w:p>
              </w:tc>
              <w:tc>
                <w:tcPr>
                  <w:tcW w:w="1161" w:type="dxa"/>
                  <w:vMerge w:val="continue"/>
                  <w:vAlign w:val="center"/>
                </w:tcPr>
                <w:p>
                  <w:pPr>
                    <w:pStyle w:val="32"/>
                    <w:spacing w:line="360" w:lineRule="exact"/>
                    <w:rPr>
                      <w:color w:val="000000" w:themeColor="text1"/>
                      <w:szCs w:val="21"/>
                    </w:rPr>
                  </w:pP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1.89</w:t>
                  </w:r>
                </w:p>
              </w:tc>
              <w:tc>
                <w:tcPr>
                  <w:tcW w:w="709" w:type="dxa"/>
                  <w:tcBorders>
                    <w:top w:val="single" w:color="auto" w:sz="4" w:space="0"/>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0.39</w:t>
                  </w:r>
                </w:p>
              </w:tc>
              <w:tc>
                <w:tcPr>
                  <w:tcW w:w="846" w:type="dxa"/>
                  <w:vMerge w:val="continue"/>
                  <w:vAlign w:val="center"/>
                </w:tcPr>
                <w:p>
                  <w:pPr>
                    <w:pStyle w:val="32"/>
                    <w:spacing w:line="360" w:lineRule="exact"/>
                    <w:rPr>
                      <w:color w:val="000000" w:themeColor="text1"/>
                      <w:szCs w:val="21"/>
                    </w:rPr>
                  </w:pPr>
                </w:p>
              </w:tc>
              <w:tc>
                <w:tcPr>
                  <w:tcW w:w="64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4" w:type="dxa"/>
                  <w:gridSpan w:val="2"/>
                  <w:vAlign w:val="center"/>
                </w:tcPr>
                <w:p>
                  <w:pPr>
                    <w:pStyle w:val="32"/>
                    <w:spacing w:line="360" w:lineRule="exact"/>
                    <w:rPr>
                      <w:color w:val="000000" w:themeColor="text1"/>
                      <w:szCs w:val="21"/>
                    </w:rPr>
                  </w:pPr>
                  <w:r>
                    <w:rPr>
                      <w:rFonts w:hint="eastAsia"/>
                      <w:color w:val="000000" w:themeColor="text1"/>
                      <w:szCs w:val="21"/>
                    </w:rPr>
                    <w:t>堆场</w:t>
                  </w:r>
                </w:p>
              </w:tc>
              <w:tc>
                <w:tcPr>
                  <w:tcW w:w="1208" w:type="dxa"/>
                  <w:vMerge w:val="continue"/>
                  <w:vAlign w:val="center"/>
                </w:tcPr>
                <w:p>
                  <w:pPr>
                    <w:pStyle w:val="32"/>
                    <w:spacing w:line="360" w:lineRule="exact"/>
                    <w:rPr>
                      <w:color w:val="000000" w:themeColor="text1"/>
                      <w:szCs w:val="21"/>
                    </w:rPr>
                  </w:pPr>
                </w:p>
              </w:tc>
              <w:tc>
                <w:tcPr>
                  <w:tcW w:w="810" w:type="dxa"/>
                  <w:vAlign w:val="center"/>
                </w:tcPr>
                <w:p>
                  <w:pPr>
                    <w:pStyle w:val="32"/>
                    <w:spacing w:line="360" w:lineRule="exact"/>
                    <w:rPr>
                      <w:color w:val="000000" w:themeColor="text1"/>
                      <w:szCs w:val="21"/>
                    </w:rPr>
                  </w:pPr>
                  <w:r>
                    <w:rPr>
                      <w:rFonts w:hint="eastAsia"/>
                      <w:color w:val="000000" w:themeColor="text1"/>
                      <w:szCs w:val="21"/>
                    </w:rPr>
                    <w:t>--</w:t>
                  </w:r>
                </w:p>
              </w:tc>
              <w:tc>
                <w:tcPr>
                  <w:tcW w:w="811" w:type="dxa"/>
                  <w:vAlign w:val="center"/>
                </w:tcPr>
                <w:p>
                  <w:pPr>
                    <w:pStyle w:val="32"/>
                    <w:spacing w:line="360" w:lineRule="exact"/>
                    <w:rPr>
                      <w:color w:val="000000" w:themeColor="text1"/>
                      <w:szCs w:val="21"/>
                    </w:rPr>
                  </w:pPr>
                  <w:r>
                    <w:rPr>
                      <w:rFonts w:hint="eastAsia"/>
                      <w:color w:val="000000" w:themeColor="text1"/>
                      <w:szCs w:val="21"/>
                    </w:rPr>
                    <w:t>10.47</w:t>
                  </w:r>
                </w:p>
              </w:tc>
              <w:tc>
                <w:tcPr>
                  <w:tcW w:w="1161" w:type="dxa"/>
                  <w:vMerge w:val="continue"/>
                  <w:vAlign w:val="center"/>
                </w:tcPr>
                <w:p>
                  <w:pPr>
                    <w:pStyle w:val="32"/>
                    <w:spacing w:line="360" w:lineRule="exact"/>
                    <w:rPr>
                      <w:color w:val="000000" w:themeColor="text1"/>
                      <w:szCs w:val="21"/>
                    </w:rPr>
                  </w:pP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2.09</w:t>
                  </w:r>
                </w:p>
              </w:tc>
              <w:tc>
                <w:tcPr>
                  <w:tcW w:w="709" w:type="dxa"/>
                  <w:tcBorders>
                    <w:top w:val="single" w:color="auto" w:sz="4" w:space="0"/>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0.44</w:t>
                  </w:r>
                </w:p>
              </w:tc>
              <w:tc>
                <w:tcPr>
                  <w:tcW w:w="846" w:type="dxa"/>
                  <w:vMerge w:val="continue"/>
                  <w:vAlign w:val="center"/>
                </w:tcPr>
                <w:p>
                  <w:pPr>
                    <w:pStyle w:val="32"/>
                    <w:spacing w:line="360" w:lineRule="exact"/>
                    <w:rPr>
                      <w:color w:val="000000" w:themeColor="text1"/>
                      <w:szCs w:val="21"/>
                    </w:rPr>
                  </w:pPr>
                </w:p>
              </w:tc>
              <w:tc>
                <w:tcPr>
                  <w:tcW w:w="64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4" w:type="dxa"/>
                  <w:gridSpan w:val="2"/>
                  <w:vAlign w:val="center"/>
                </w:tcPr>
                <w:p>
                  <w:pPr>
                    <w:pStyle w:val="32"/>
                    <w:spacing w:line="360" w:lineRule="exact"/>
                    <w:rPr>
                      <w:color w:val="000000" w:themeColor="text1"/>
                      <w:szCs w:val="21"/>
                    </w:rPr>
                  </w:pPr>
                  <w:r>
                    <w:rPr>
                      <w:rFonts w:hint="eastAsia"/>
                      <w:color w:val="000000" w:themeColor="text1"/>
                      <w:szCs w:val="21"/>
                    </w:rPr>
                    <w:t>原料输送过程</w:t>
                  </w:r>
                </w:p>
              </w:tc>
              <w:tc>
                <w:tcPr>
                  <w:tcW w:w="1208" w:type="dxa"/>
                  <w:vMerge w:val="continue"/>
                  <w:vAlign w:val="center"/>
                </w:tcPr>
                <w:p>
                  <w:pPr>
                    <w:pStyle w:val="32"/>
                    <w:spacing w:line="360" w:lineRule="exact"/>
                    <w:rPr>
                      <w:color w:val="000000" w:themeColor="text1"/>
                      <w:szCs w:val="21"/>
                    </w:rPr>
                  </w:pPr>
                </w:p>
              </w:tc>
              <w:tc>
                <w:tcPr>
                  <w:tcW w:w="810" w:type="dxa"/>
                  <w:vAlign w:val="center"/>
                </w:tcPr>
                <w:p>
                  <w:pPr>
                    <w:pStyle w:val="32"/>
                    <w:spacing w:line="360" w:lineRule="exact"/>
                    <w:rPr>
                      <w:color w:val="000000" w:themeColor="text1"/>
                      <w:szCs w:val="21"/>
                    </w:rPr>
                  </w:pPr>
                  <w:r>
                    <w:rPr>
                      <w:rFonts w:hint="eastAsia"/>
                      <w:color w:val="000000" w:themeColor="text1"/>
                      <w:szCs w:val="21"/>
                    </w:rPr>
                    <w:t>--</w:t>
                  </w:r>
                </w:p>
              </w:tc>
              <w:tc>
                <w:tcPr>
                  <w:tcW w:w="811" w:type="dxa"/>
                  <w:vAlign w:val="center"/>
                </w:tcPr>
                <w:p>
                  <w:pPr>
                    <w:pStyle w:val="32"/>
                    <w:spacing w:line="360" w:lineRule="exact"/>
                    <w:rPr>
                      <w:color w:val="000000" w:themeColor="text1"/>
                      <w:szCs w:val="21"/>
                    </w:rPr>
                  </w:pPr>
                  <w:r>
                    <w:rPr>
                      <w:rFonts w:hint="eastAsia"/>
                      <w:color w:val="000000" w:themeColor="text1"/>
                      <w:szCs w:val="21"/>
                    </w:rPr>
                    <w:t>31.52</w:t>
                  </w:r>
                </w:p>
              </w:tc>
              <w:tc>
                <w:tcPr>
                  <w:tcW w:w="1161" w:type="dxa"/>
                  <w:vMerge w:val="continue"/>
                  <w:vAlign w:val="center"/>
                </w:tcPr>
                <w:p>
                  <w:pPr>
                    <w:pStyle w:val="32"/>
                    <w:spacing w:line="360" w:lineRule="exact"/>
                    <w:rPr>
                      <w:color w:val="000000" w:themeColor="text1"/>
                      <w:szCs w:val="21"/>
                    </w:rPr>
                  </w:pP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6.30</w:t>
                  </w:r>
                </w:p>
              </w:tc>
              <w:tc>
                <w:tcPr>
                  <w:tcW w:w="709" w:type="dxa"/>
                  <w:tcBorders>
                    <w:top w:val="single" w:color="auto" w:sz="4" w:space="0"/>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1.33</w:t>
                  </w:r>
                </w:p>
              </w:tc>
              <w:tc>
                <w:tcPr>
                  <w:tcW w:w="846" w:type="dxa"/>
                  <w:vMerge w:val="continue"/>
                  <w:vAlign w:val="center"/>
                </w:tcPr>
                <w:p>
                  <w:pPr>
                    <w:pStyle w:val="32"/>
                    <w:spacing w:line="360" w:lineRule="exact"/>
                    <w:rPr>
                      <w:color w:val="000000" w:themeColor="text1"/>
                      <w:szCs w:val="21"/>
                    </w:rPr>
                  </w:pPr>
                </w:p>
              </w:tc>
              <w:tc>
                <w:tcPr>
                  <w:tcW w:w="64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0" w:hRule="atLeast"/>
              </w:trPr>
              <w:tc>
                <w:tcPr>
                  <w:tcW w:w="687" w:type="dxa"/>
                  <w:vMerge w:val="restart"/>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破碎车间</w:t>
                  </w:r>
                </w:p>
              </w:tc>
              <w:tc>
                <w:tcPr>
                  <w:tcW w:w="877" w:type="dxa"/>
                  <w:vMerge w:val="restart"/>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颚破、混合、粉碎和筛分</w:t>
                  </w:r>
                </w:p>
              </w:tc>
              <w:tc>
                <w:tcPr>
                  <w:tcW w:w="1208" w:type="dxa"/>
                  <w:vAlign w:val="center"/>
                </w:tcPr>
                <w:p>
                  <w:pPr>
                    <w:pStyle w:val="32"/>
                    <w:spacing w:line="360" w:lineRule="exact"/>
                    <w:rPr>
                      <w:color w:val="000000" w:themeColor="text1"/>
                      <w:szCs w:val="21"/>
                    </w:rPr>
                  </w:pPr>
                  <w:r>
                    <w:rPr>
                      <w:color w:val="000000" w:themeColor="text1"/>
                      <w:szCs w:val="21"/>
                    </w:rPr>
                    <w:t>颗粒物</w:t>
                  </w:r>
                  <w:r>
                    <w:rPr>
                      <w:rFonts w:hint="eastAsia"/>
                      <w:color w:val="000000" w:themeColor="text1"/>
                      <w:szCs w:val="21"/>
                    </w:rPr>
                    <w:t>（有组织）</w:t>
                  </w:r>
                </w:p>
              </w:tc>
              <w:tc>
                <w:tcPr>
                  <w:tcW w:w="810" w:type="dxa"/>
                  <w:vAlign w:val="center"/>
                </w:tcPr>
                <w:p>
                  <w:pPr>
                    <w:pStyle w:val="32"/>
                    <w:spacing w:line="360" w:lineRule="exact"/>
                    <w:rPr>
                      <w:color w:val="000000" w:themeColor="text1"/>
                      <w:szCs w:val="21"/>
                    </w:rPr>
                  </w:pPr>
                  <w:r>
                    <w:rPr>
                      <w:rFonts w:hint="eastAsia"/>
                      <w:color w:val="000000" w:themeColor="text1"/>
                      <w:szCs w:val="21"/>
                    </w:rPr>
                    <w:t>89.69</w:t>
                  </w:r>
                </w:p>
              </w:tc>
              <w:tc>
                <w:tcPr>
                  <w:tcW w:w="811" w:type="dxa"/>
                  <w:vAlign w:val="center"/>
                </w:tcPr>
                <w:p>
                  <w:pPr>
                    <w:pStyle w:val="32"/>
                    <w:spacing w:line="360" w:lineRule="exact"/>
                    <w:rPr>
                      <w:color w:val="000000" w:themeColor="text1"/>
                      <w:szCs w:val="21"/>
                    </w:rPr>
                  </w:pPr>
                  <w:r>
                    <w:rPr>
                      <w:rFonts w:hint="eastAsia"/>
                      <w:color w:val="000000" w:themeColor="text1"/>
                      <w:szCs w:val="21"/>
                    </w:rPr>
                    <w:t>7.75</w:t>
                  </w:r>
                </w:p>
              </w:tc>
              <w:tc>
                <w:tcPr>
                  <w:tcW w:w="1161" w:type="dxa"/>
                  <w:vAlign w:val="center"/>
                </w:tcPr>
                <w:p>
                  <w:pPr>
                    <w:pStyle w:val="32"/>
                    <w:spacing w:line="360" w:lineRule="exact"/>
                    <w:rPr>
                      <w:color w:val="000000" w:themeColor="text1"/>
                      <w:szCs w:val="21"/>
                    </w:rPr>
                  </w:pPr>
                  <w:r>
                    <w:rPr>
                      <w:rFonts w:hint="eastAsia"/>
                      <w:color w:val="000000" w:themeColor="text1"/>
                      <w:szCs w:val="21"/>
                    </w:rPr>
                    <w:t>1.56</w:t>
                  </w:r>
                </w:p>
              </w:tc>
              <w:tc>
                <w:tcPr>
                  <w:tcW w:w="85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0.15</w:t>
                  </w:r>
                </w:p>
              </w:tc>
              <w:tc>
                <w:tcPr>
                  <w:tcW w:w="70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0.03</w:t>
                  </w:r>
                </w:p>
              </w:tc>
              <w:tc>
                <w:tcPr>
                  <w:tcW w:w="846" w:type="dxa"/>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30</w:t>
                  </w:r>
                </w:p>
              </w:tc>
              <w:tc>
                <w:tcPr>
                  <w:tcW w:w="645" w:type="dxa"/>
                  <w:vAlign w:val="center"/>
                </w:tcPr>
                <w:p>
                  <w:pPr>
                    <w:pStyle w:val="32"/>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7" w:type="dxa"/>
                  <w:vMerge w:val="continue"/>
                  <w:vAlign w:val="center"/>
                </w:tcPr>
                <w:p>
                  <w:pPr>
                    <w:pStyle w:val="32"/>
                    <w:spacing w:line="360" w:lineRule="exact"/>
                    <w:rPr>
                      <w:color w:val="000000" w:themeColor="text1"/>
                      <w:szCs w:val="21"/>
                    </w:rPr>
                  </w:pPr>
                </w:p>
              </w:tc>
              <w:tc>
                <w:tcPr>
                  <w:tcW w:w="877" w:type="dxa"/>
                  <w:vMerge w:val="continue"/>
                  <w:vAlign w:val="center"/>
                </w:tcPr>
                <w:p>
                  <w:pPr>
                    <w:pStyle w:val="32"/>
                    <w:spacing w:line="360" w:lineRule="exact"/>
                    <w:rPr>
                      <w:color w:val="000000" w:themeColor="text1"/>
                      <w:szCs w:val="21"/>
                    </w:rPr>
                  </w:pPr>
                </w:p>
              </w:tc>
              <w:tc>
                <w:tcPr>
                  <w:tcW w:w="1208" w:type="dxa"/>
                  <w:vAlign w:val="center"/>
                </w:tcPr>
                <w:p>
                  <w:pPr>
                    <w:pStyle w:val="32"/>
                    <w:spacing w:line="360" w:lineRule="exact"/>
                    <w:rPr>
                      <w:color w:val="000000" w:themeColor="text1"/>
                      <w:szCs w:val="21"/>
                    </w:rPr>
                  </w:pPr>
                  <w:r>
                    <w:rPr>
                      <w:color w:val="000000" w:themeColor="text1"/>
                      <w:szCs w:val="21"/>
                    </w:rPr>
                    <w:t>颗粒物</w:t>
                  </w:r>
                  <w:r>
                    <w:rPr>
                      <w:rFonts w:hint="eastAsia"/>
                      <w:color w:val="000000" w:themeColor="text1"/>
                      <w:szCs w:val="21"/>
                    </w:rPr>
                    <w:t>（无组织）</w:t>
                  </w:r>
                </w:p>
              </w:tc>
              <w:tc>
                <w:tcPr>
                  <w:tcW w:w="810" w:type="dxa"/>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811"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0.86</w:t>
                  </w:r>
                </w:p>
              </w:tc>
              <w:tc>
                <w:tcPr>
                  <w:tcW w:w="1161" w:type="dxa"/>
                  <w:vAlign w:val="center"/>
                </w:tcPr>
                <w:p>
                  <w:pPr>
                    <w:pStyle w:val="32"/>
                    <w:spacing w:line="360" w:lineRule="exact"/>
                    <w:rPr>
                      <w:color w:val="000000" w:themeColor="text1"/>
                      <w:szCs w:val="21"/>
                    </w:rPr>
                  </w:pPr>
                  <w:r>
                    <w:rPr>
                      <w:rFonts w:hint="eastAsia"/>
                      <w:color w:val="000000" w:themeColor="text1"/>
                      <w:szCs w:val="21"/>
                    </w:rPr>
                    <w:t>--</w:t>
                  </w:r>
                </w:p>
              </w:tc>
              <w:tc>
                <w:tcPr>
                  <w:tcW w:w="85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0.86</w:t>
                  </w:r>
                </w:p>
              </w:tc>
              <w:tc>
                <w:tcPr>
                  <w:tcW w:w="70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0.18</w:t>
                  </w:r>
                </w:p>
              </w:tc>
              <w:tc>
                <w:tcPr>
                  <w:tcW w:w="846" w:type="dxa"/>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645" w:type="dxa"/>
                  <w:vAlign w:val="center"/>
                </w:tcPr>
                <w:p>
                  <w:pPr>
                    <w:pStyle w:val="32"/>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7" w:type="dxa"/>
                  <w:vMerge w:val="restart"/>
                  <w:vAlign w:val="center"/>
                </w:tcPr>
                <w:p>
                  <w:pPr>
                    <w:pStyle w:val="32"/>
                    <w:spacing w:line="360" w:lineRule="exact"/>
                    <w:rPr>
                      <w:color w:val="000000" w:themeColor="text1"/>
                      <w:szCs w:val="21"/>
                      <w:lang w:val="en-US"/>
                    </w:rPr>
                  </w:pPr>
                  <w:r>
                    <w:rPr>
                      <w:rFonts w:hint="eastAsia"/>
                      <w:color w:val="000000" w:themeColor="text1"/>
                      <w:szCs w:val="21"/>
                    </w:rPr>
                    <w:t>焙烧车间</w:t>
                  </w:r>
                </w:p>
              </w:tc>
              <w:tc>
                <w:tcPr>
                  <w:tcW w:w="877" w:type="dxa"/>
                  <w:vMerge w:val="restart"/>
                  <w:vAlign w:val="center"/>
                </w:tcPr>
                <w:p>
                  <w:pPr>
                    <w:pStyle w:val="32"/>
                    <w:spacing w:line="360" w:lineRule="exact"/>
                    <w:rPr>
                      <w:color w:val="000000" w:themeColor="text1"/>
                      <w:szCs w:val="21"/>
                      <w:lang w:val="en-US"/>
                    </w:rPr>
                  </w:pPr>
                  <w:r>
                    <w:rPr>
                      <w:rFonts w:hint="eastAsia"/>
                      <w:color w:val="000000" w:themeColor="text1"/>
                      <w:szCs w:val="21"/>
                    </w:rPr>
                    <w:t>焙烧</w:t>
                  </w:r>
                </w:p>
              </w:tc>
              <w:tc>
                <w:tcPr>
                  <w:tcW w:w="1208" w:type="dxa"/>
                  <w:vAlign w:val="center"/>
                </w:tcPr>
                <w:p>
                  <w:pPr>
                    <w:pStyle w:val="32"/>
                    <w:spacing w:line="360" w:lineRule="exact"/>
                    <w:rPr>
                      <w:color w:val="000000" w:themeColor="text1"/>
                      <w:szCs w:val="21"/>
                      <w:lang w:val="en-US"/>
                    </w:rPr>
                  </w:pPr>
                  <w:r>
                    <w:rPr>
                      <w:rFonts w:hint="eastAsia"/>
                      <w:color w:val="000000" w:themeColor="text1"/>
                      <w:szCs w:val="21"/>
                    </w:rPr>
                    <w:t>烟气量</w:t>
                  </w:r>
                </w:p>
              </w:tc>
              <w:tc>
                <w:tcPr>
                  <w:tcW w:w="1621" w:type="dxa"/>
                  <w:gridSpan w:val="2"/>
                  <w:tcBorders>
                    <w:top w:val="single" w:color="auto" w:sz="4" w:space="0"/>
                    <w:bottom w:val="single" w:color="auto" w:sz="4" w:space="0"/>
                  </w:tcBorders>
                  <w:vAlign w:val="center"/>
                </w:tcPr>
                <w:p>
                  <w:pPr>
                    <w:pStyle w:val="32"/>
                    <w:spacing w:line="360" w:lineRule="exact"/>
                    <w:rPr>
                      <w:color w:val="000000" w:themeColor="text1"/>
                      <w:szCs w:val="21"/>
                      <w:lang w:val="en-US"/>
                    </w:rPr>
                  </w:pPr>
                  <w:r>
                    <w:rPr>
                      <w:rFonts w:hint="eastAsia"/>
                      <w:color w:val="000000" w:themeColor="text1"/>
                      <w:szCs w:val="21"/>
                    </w:rPr>
                    <w:t>144000万</w:t>
                  </w:r>
                  <w:r>
                    <w:rPr>
                      <w:color w:val="000000" w:themeColor="text1"/>
                      <w:szCs w:val="21"/>
                    </w:rPr>
                    <w:t>m³/a</w:t>
                  </w:r>
                </w:p>
              </w:tc>
              <w:tc>
                <w:tcPr>
                  <w:tcW w:w="2721" w:type="dxa"/>
                  <w:gridSpan w:val="3"/>
                  <w:vAlign w:val="center"/>
                </w:tcPr>
                <w:p>
                  <w:pPr>
                    <w:pStyle w:val="32"/>
                    <w:spacing w:line="360" w:lineRule="exact"/>
                    <w:rPr>
                      <w:color w:val="000000" w:themeColor="text1"/>
                      <w:szCs w:val="21"/>
                      <w:lang w:val="en-US"/>
                    </w:rPr>
                  </w:pPr>
                  <w:r>
                    <w:rPr>
                      <w:rFonts w:hint="eastAsia"/>
                      <w:color w:val="000000" w:themeColor="text1"/>
                      <w:szCs w:val="21"/>
                    </w:rPr>
                    <w:t>144000万</w:t>
                  </w:r>
                  <w:r>
                    <w:rPr>
                      <w:color w:val="000000" w:themeColor="text1"/>
                      <w:szCs w:val="21"/>
                    </w:rPr>
                    <w:t>m³/a</w:t>
                  </w:r>
                </w:p>
              </w:tc>
              <w:tc>
                <w:tcPr>
                  <w:tcW w:w="846" w:type="dxa"/>
                  <w:vAlign w:val="center"/>
                </w:tcPr>
                <w:p>
                  <w:pPr>
                    <w:pStyle w:val="32"/>
                    <w:spacing w:line="360" w:lineRule="exact"/>
                    <w:rPr>
                      <w:color w:val="000000" w:themeColor="text1"/>
                      <w:szCs w:val="21"/>
                      <w:lang w:val="en-US"/>
                    </w:rPr>
                  </w:pPr>
                  <w:r>
                    <w:rPr>
                      <w:rFonts w:hint="eastAsia"/>
                      <w:color w:val="000000" w:themeColor="text1"/>
                      <w:szCs w:val="21"/>
                      <w:lang w:val="en-US"/>
                    </w:rPr>
                    <w:t>--</w:t>
                  </w:r>
                </w:p>
              </w:tc>
              <w:tc>
                <w:tcPr>
                  <w:tcW w:w="645" w:type="dxa"/>
                  <w:vAlign w:val="center"/>
                </w:tcPr>
                <w:p>
                  <w:pPr>
                    <w:pStyle w:val="32"/>
                    <w:spacing w:line="360" w:lineRule="exact"/>
                    <w:rPr>
                      <w:color w:val="000000" w:themeColor="text1"/>
                      <w:szCs w:val="21"/>
                      <w:lang w:val="en-US"/>
                    </w:rPr>
                  </w:pPr>
                  <w:r>
                    <w:rPr>
                      <w:rFonts w:hint="eastAsia"/>
                      <w:color w:val="000000" w:themeColor="text1"/>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7" w:type="dxa"/>
                  <w:vMerge w:val="continue"/>
                  <w:vAlign w:val="center"/>
                </w:tcPr>
                <w:p>
                  <w:pPr>
                    <w:pStyle w:val="32"/>
                    <w:spacing w:line="360" w:lineRule="exact"/>
                    <w:rPr>
                      <w:color w:val="000000" w:themeColor="text1"/>
                      <w:szCs w:val="21"/>
                      <w:lang w:val="en-US"/>
                    </w:rPr>
                  </w:pPr>
                </w:p>
              </w:tc>
              <w:tc>
                <w:tcPr>
                  <w:tcW w:w="877" w:type="dxa"/>
                  <w:vMerge w:val="continue"/>
                  <w:vAlign w:val="center"/>
                </w:tcPr>
                <w:p>
                  <w:pPr>
                    <w:pStyle w:val="32"/>
                    <w:spacing w:line="360" w:lineRule="exact"/>
                    <w:rPr>
                      <w:color w:val="000000" w:themeColor="text1"/>
                      <w:szCs w:val="21"/>
                      <w:lang w:val="en-US"/>
                    </w:rPr>
                  </w:pPr>
                </w:p>
              </w:tc>
              <w:tc>
                <w:tcPr>
                  <w:tcW w:w="1208" w:type="dxa"/>
                  <w:vAlign w:val="center"/>
                </w:tcPr>
                <w:p>
                  <w:pPr>
                    <w:pStyle w:val="32"/>
                    <w:spacing w:line="360" w:lineRule="exact"/>
                    <w:rPr>
                      <w:color w:val="000000" w:themeColor="text1"/>
                      <w:szCs w:val="21"/>
                      <w:lang w:val="en-US"/>
                    </w:rPr>
                  </w:pPr>
                  <w:r>
                    <w:rPr>
                      <w:rFonts w:hint="eastAsia"/>
                      <w:color w:val="000000" w:themeColor="text1"/>
                      <w:szCs w:val="21"/>
                    </w:rPr>
                    <w:t>烟尘</w:t>
                  </w:r>
                </w:p>
              </w:tc>
              <w:tc>
                <w:tcPr>
                  <w:tcW w:w="810"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23</w:t>
                  </w:r>
                </w:p>
              </w:tc>
              <w:tc>
                <w:tcPr>
                  <w:tcW w:w="811"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33.11</w:t>
                  </w:r>
                </w:p>
              </w:tc>
              <w:tc>
                <w:tcPr>
                  <w:tcW w:w="1161" w:type="dxa"/>
                  <w:vAlign w:val="center"/>
                </w:tcPr>
                <w:p>
                  <w:pPr>
                    <w:pStyle w:val="32"/>
                    <w:spacing w:line="360" w:lineRule="exact"/>
                    <w:rPr>
                      <w:color w:val="000000" w:themeColor="text1"/>
                      <w:szCs w:val="21"/>
                    </w:rPr>
                  </w:pPr>
                  <w:r>
                    <w:rPr>
                      <w:color w:val="000000" w:themeColor="text1"/>
                      <w:szCs w:val="21"/>
                    </w:rPr>
                    <w:t>3.45</w:t>
                  </w:r>
                </w:p>
              </w:tc>
              <w:tc>
                <w:tcPr>
                  <w:tcW w:w="85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4.97</w:t>
                  </w:r>
                </w:p>
              </w:tc>
              <w:tc>
                <w:tcPr>
                  <w:tcW w:w="70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0.69</w:t>
                  </w:r>
                </w:p>
              </w:tc>
              <w:tc>
                <w:tcPr>
                  <w:tcW w:w="846" w:type="dxa"/>
                  <w:vAlign w:val="center"/>
                </w:tcPr>
                <w:p>
                  <w:pPr>
                    <w:pStyle w:val="32"/>
                    <w:spacing w:line="360" w:lineRule="exact"/>
                    <w:rPr>
                      <w:color w:val="000000" w:themeColor="text1"/>
                      <w:szCs w:val="21"/>
                    </w:rPr>
                  </w:pPr>
                  <w:r>
                    <w:rPr>
                      <w:color w:val="000000" w:themeColor="text1"/>
                      <w:szCs w:val="21"/>
                    </w:rPr>
                    <w:t>≤30</w:t>
                  </w:r>
                </w:p>
              </w:tc>
              <w:tc>
                <w:tcPr>
                  <w:tcW w:w="645" w:type="dxa"/>
                  <w:vAlign w:val="center"/>
                </w:tcPr>
                <w:p>
                  <w:pPr>
                    <w:pStyle w:val="32"/>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7" w:type="dxa"/>
                  <w:vMerge w:val="continue"/>
                  <w:vAlign w:val="center"/>
                </w:tcPr>
                <w:p>
                  <w:pPr>
                    <w:pStyle w:val="32"/>
                    <w:spacing w:line="360" w:lineRule="exact"/>
                    <w:rPr>
                      <w:color w:val="000000" w:themeColor="text1"/>
                      <w:szCs w:val="21"/>
                      <w:lang w:val="en-US"/>
                    </w:rPr>
                  </w:pPr>
                </w:p>
              </w:tc>
              <w:tc>
                <w:tcPr>
                  <w:tcW w:w="877" w:type="dxa"/>
                  <w:vMerge w:val="continue"/>
                  <w:vAlign w:val="center"/>
                </w:tcPr>
                <w:p>
                  <w:pPr>
                    <w:pStyle w:val="32"/>
                    <w:spacing w:line="360" w:lineRule="exact"/>
                    <w:rPr>
                      <w:color w:val="000000" w:themeColor="text1"/>
                      <w:szCs w:val="21"/>
                      <w:lang w:val="en-US"/>
                    </w:rPr>
                  </w:pPr>
                </w:p>
              </w:tc>
              <w:tc>
                <w:tcPr>
                  <w:tcW w:w="1208" w:type="dxa"/>
                  <w:vAlign w:val="center"/>
                </w:tcPr>
                <w:p>
                  <w:pPr>
                    <w:pStyle w:val="32"/>
                    <w:spacing w:line="360" w:lineRule="exact"/>
                    <w:rPr>
                      <w:color w:val="000000" w:themeColor="text1"/>
                      <w:szCs w:val="21"/>
                      <w:lang w:val="en-US"/>
                    </w:rPr>
                  </w:pPr>
                  <w:r>
                    <w:rPr>
                      <w:rFonts w:hint="eastAsia"/>
                      <w:color w:val="000000" w:themeColor="text1"/>
                      <w:szCs w:val="21"/>
                      <w:lang w:val="en-US"/>
                    </w:rPr>
                    <w:t>SO</w:t>
                  </w:r>
                  <w:r>
                    <w:rPr>
                      <w:rFonts w:hint="eastAsia"/>
                      <w:color w:val="000000" w:themeColor="text1"/>
                      <w:szCs w:val="21"/>
                      <w:vertAlign w:val="subscript"/>
                      <w:lang w:val="en-US"/>
                    </w:rPr>
                    <w:t>2</w:t>
                  </w:r>
                </w:p>
              </w:tc>
              <w:tc>
                <w:tcPr>
                  <w:tcW w:w="810"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71.95</w:t>
                  </w:r>
                </w:p>
              </w:tc>
              <w:tc>
                <w:tcPr>
                  <w:tcW w:w="811"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103.6</w:t>
                  </w:r>
                </w:p>
              </w:tc>
              <w:tc>
                <w:tcPr>
                  <w:tcW w:w="1161" w:type="dxa"/>
                  <w:vAlign w:val="center"/>
                </w:tcPr>
                <w:p>
                  <w:pPr>
                    <w:pStyle w:val="32"/>
                    <w:spacing w:line="360" w:lineRule="exact"/>
                    <w:rPr>
                      <w:color w:val="000000" w:themeColor="text1"/>
                      <w:szCs w:val="21"/>
                    </w:rPr>
                  </w:pPr>
                  <w:r>
                    <w:rPr>
                      <w:color w:val="000000" w:themeColor="text1"/>
                      <w:szCs w:val="21"/>
                    </w:rPr>
                    <w:t>7.2</w:t>
                  </w:r>
                </w:p>
              </w:tc>
              <w:tc>
                <w:tcPr>
                  <w:tcW w:w="85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10.36</w:t>
                  </w:r>
                </w:p>
              </w:tc>
              <w:tc>
                <w:tcPr>
                  <w:tcW w:w="70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1.44</w:t>
                  </w:r>
                </w:p>
              </w:tc>
              <w:tc>
                <w:tcPr>
                  <w:tcW w:w="846" w:type="dxa"/>
                  <w:vAlign w:val="center"/>
                </w:tcPr>
                <w:p>
                  <w:pPr>
                    <w:pStyle w:val="32"/>
                    <w:spacing w:line="360" w:lineRule="exact"/>
                    <w:rPr>
                      <w:color w:val="000000" w:themeColor="text1"/>
                      <w:szCs w:val="21"/>
                    </w:rPr>
                  </w:pPr>
                  <w:r>
                    <w:rPr>
                      <w:color w:val="000000" w:themeColor="text1"/>
                      <w:szCs w:val="21"/>
                    </w:rPr>
                    <w:t>≤150</w:t>
                  </w:r>
                </w:p>
              </w:tc>
              <w:tc>
                <w:tcPr>
                  <w:tcW w:w="645" w:type="dxa"/>
                  <w:vAlign w:val="center"/>
                </w:tcPr>
                <w:p>
                  <w:pPr>
                    <w:pStyle w:val="32"/>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7" w:type="dxa"/>
                  <w:vMerge w:val="continue"/>
                  <w:vAlign w:val="center"/>
                </w:tcPr>
                <w:p>
                  <w:pPr>
                    <w:pStyle w:val="32"/>
                    <w:spacing w:line="360" w:lineRule="exact"/>
                    <w:rPr>
                      <w:color w:val="000000" w:themeColor="text1"/>
                      <w:szCs w:val="21"/>
                      <w:lang w:val="en-US"/>
                    </w:rPr>
                  </w:pPr>
                </w:p>
              </w:tc>
              <w:tc>
                <w:tcPr>
                  <w:tcW w:w="877" w:type="dxa"/>
                  <w:vMerge w:val="continue"/>
                  <w:vAlign w:val="center"/>
                </w:tcPr>
                <w:p>
                  <w:pPr>
                    <w:pStyle w:val="32"/>
                    <w:spacing w:line="360" w:lineRule="exact"/>
                    <w:rPr>
                      <w:color w:val="000000" w:themeColor="text1"/>
                      <w:szCs w:val="21"/>
                      <w:lang w:val="en-US"/>
                    </w:rPr>
                  </w:pPr>
                </w:p>
              </w:tc>
              <w:tc>
                <w:tcPr>
                  <w:tcW w:w="1208" w:type="dxa"/>
                  <w:vAlign w:val="center"/>
                </w:tcPr>
                <w:p>
                  <w:pPr>
                    <w:pStyle w:val="32"/>
                    <w:spacing w:line="360" w:lineRule="exact"/>
                    <w:rPr>
                      <w:color w:val="000000" w:themeColor="text1"/>
                      <w:szCs w:val="21"/>
                      <w:lang w:val="en-US"/>
                    </w:rPr>
                  </w:pPr>
                  <w:r>
                    <w:rPr>
                      <w:rFonts w:hint="eastAsia"/>
                      <w:color w:val="000000" w:themeColor="text1"/>
                      <w:szCs w:val="21"/>
                      <w:lang w:val="en-US"/>
                    </w:rPr>
                    <w:t>NOx</w:t>
                  </w:r>
                </w:p>
              </w:tc>
              <w:tc>
                <w:tcPr>
                  <w:tcW w:w="810"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8.05</w:t>
                  </w:r>
                </w:p>
              </w:tc>
              <w:tc>
                <w:tcPr>
                  <w:tcW w:w="811"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11.6</w:t>
                  </w:r>
                  <w:r>
                    <w:rPr>
                      <w:rFonts w:hint="eastAsia"/>
                      <w:color w:val="000000" w:themeColor="text1"/>
                      <w:szCs w:val="21"/>
                    </w:rPr>
                    <w:t>2</w:t>
                  </w:r>
                </w:p>
              </w:tc>
              <w:tc>
                <w:tcPr>
                  <w:tcW w:w="1161" w:type="dxa"/>
                  <w:vAlign w:val="center"/>
                </w:tcPr>
                <w:p>
                  <w:pPr>
                    <w:pStyle w:val="32"/>
                    <w:spacing w:line="360" w:lineRule="exact"/>
                    <w:rPr>
                      <w:color w:val="000000" w:themeColor="text1"/>
                      <w:szCs w:val="21"/>
                    </w:rPr>
                  </w:pPr>
                  <w:r>
                    <w:rPr>
                      <w:color w:val="000000" w:themeColor="text1"/>
                      <w:szCs w:val="21"/>
                    </w:rPr>
                    <w:t>8.05</w:t>
                  </w:r>
                </w:p>
              </w:tc>
              <w:tc>
                <w:tcPr>
                  <w:tcW w:w="85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11.6</w:t>
                  </w:r>
                  <w:r>
                    <w:rPr>
                      <w:rFonts w:hint="eastAsia"/>
                      <w:color w:val="000000" w:themeColor="text1"/>
                      <w:szCs w:val="21"/>
                    </w:rPr>
                    <w:t>2</w:t>
                  </w:r>
                </w:p>
              </w:tc>
              <w:tc>
                <w:tcPr>
                  <w:tcW w:w="70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1.61</w:t>
                  </w:r>
                </w:p>
              </w:tc>
              <w:tc>
                <w:tcPr>
                  <w:tcW w:w="846" w:type="dxa"/>
                  <w:vAlign w:val="center"/>
                </w:tcPr>
                <w:p>
                  <w:pPr>
                    <w:pStyle w:val="32"/>
                    <w:spacing w:line="360" w:lineRule="exact"/>
                    <w:rPr>
                      <w:color w:val="000000" w:themeColor="text1"/>
                      <w:szCs w:val="21"/>
                    </w:rPr>
                  </w:pPr>
                  <w:r>
                    <w:rPr>
                      <w:color w:val="000000" w:themeColor="text1"/>
                      <w:szCs w:val="21"/>
                    </w:rPr>
                    <w:t>≤200</w:t>
                  </w:r>
                </w:p>
              </w:tc>
              <w:tc>
                <w:tcPr>
                  <w:tcW w:w="645" w:type="dxa"/>
                  <w:vAlign w:val="center"/>
                </w:tcPr>
                <w:p>
                  <w:pPr>
                    <w:pStyle w:val="32"/>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7" w:type="dxa"/>
                  <w:vMerge w:val="continue"/>
                  <w:vAlign w:val="center"/>
                </w:tcPr>
                <w:p>
                  <w:pPr>
                    <w:pStyle w:val="32"/>
                    <w:spacing w:line="360" w:lineRule="exact"/>
                    <w:rPr>
                      <w:color w:val="000000" w:themeColor="text1"/>
                      <w:szCs w:val="21"/>
                      <w:lang w:val="en-US"/>
                    </w:rPr>
                  </w:pPr>
                </w:p>
              </w:tc>
              <w:tc>
                <w:tcPr>
                  <w:tcW w:w="877" w:type="dxa"/>
                  <w:vMerge w:val="continue"/>
                  <w:vAlign w:val="center"/>
                </w:tcPr>
                <w:p>
                  <w:pPr>
                    <w:pStyle w:val="32"/>
                    <w:spacing w:line="360" w:lineRule="exact"/>
                    <w:rPr>
                      <w:color w:val="000000" w:themeColor="text1"/>
                      <w:szCs w:val="21"/>
                      <w:lang w:val="en-US"/>
                    </w:rPr>
                  </w:pPr>
                </w:p>
              </w:tc>
              <w:tc>
                <w:tcPr>
                  <w:tcW w:w="1208" w:type="dxa"/>
                  <w:vAlign w:val="center"/>
                </w:tcPr>
                <w:p>
                  <w:pPr>
                    <w:pStyle w:val="32"/>
                    <w:spacing w:line="360" w:lineRule="exact"/>
                    <w:rPr>
                      <w:color w:val="000000" w:themeColor="text1"/>
                      <w:szCs w:val="21"/>
                      <w:lang w:val="en-US"/>
                    </w:rPr>
                  </w:pPr>
                  <w:r>
                    <w:rPr>
                      <w:rFonts w:hint="eastAsia"/>
                      <w:color w:val="000000" w:themeColor="text1"/>
                      <w:szCs w:val="21"/>
                    </w:rPr>
                    <w:t>氟化物</w:t>
                  </w:r>
                </w:p>
              </w:tc>
              <w:tc>
                <w:tcPr>
                  <w:tcW w:w="810"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1.2</w:t>
                  </w:r>
                </w:p>
              </w:tc>
              <w:tc>
                <w:tcPr>
                  <w:tcW w:w="811"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1.71</w:t>
                  </w:r>
                </w:p>
              </w:tc>
              <w:tc>
                <w:tcPr>
                  <w:tcW w:w="1161" w:type="dxa"/>
                  <w:vAlign w:val="center"/>
                </w:tcPr>
                <w:p>
                  <w:pPr>
                    <w:pStyle w:val="32"/>
                    <w:spacing w:line="360" w:lineRule="exact"/>
                    <w:rPr>
                      <w:color w:val="000000" w:themeColor="text1"/>
                      <w:szCs w:val="21"/>
                    </w:rPr>
                  </w:pPr>
                  <w:r>
                    <w:rPr>
                      <w:color w:val="000000" w:themeColor="text1"/>
                      <w:szCs w:val="21"/>
                    </w:rPr>
                    <w:t>0.35</w:t>
                  </w:r>
                </w:p>
              </w:tc>
              <w:tc>
                <w:tcPr>
                  <w:tcW w:w="85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0.51</w:t>
                  </w:r>
                </w:p>
              </w:tc>
              <w:tc>
                <w:tcPr>
                  <w:tcW w:w="70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0.07</w:t>
                  </w:r>
                </w:p>
              </w:tc>
              <w:tc>
                <w:tcPr>
                  <w:tcW w:w="846" w:type="dxa"/>
                  <w:vAlign w:val="center"/>
                </w:tcPr>
                <w:p>
                  <w:pPr>
                    <w:pStyle w:val="32"/>
                    <w:spacing w:line="360" w:lineRule="exact"/>
                    <w:rPr>
                      <w:color w:val="000000" w:themeColor="text1"/>
                      <w:szCs w:val="21"/>
                    </w:rPr>
                  </w:pPr>
                  <w:r>
                    <w:rPr>
                      <w:color w:val="000000" w:themeColor="text1"/>
                      <w:szCs w:val="21"/>
                    </w:rPr>
                    <w:t>≤3</w:t>
                  </w:r>
                </w:p>
              </w:tc>
              <w:tc>
                <w:tcPr>
                  <w:tcW w:w="645" w:type="dxa"/>
                  <w:vAlign w:val="center"/>
                </w:tcPr>
                <w:p>
                  <w:pPr>
                    <w:pStyle w:val="32"/>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7" w:type="dxa"/>
                  <w:vAlign w:val="center"/>
                </w:tcPr>
                <w:p>
                  <w:pPr>
                    <w:pStyle w:val="32"/>
                    <w:spacing w:line="360" w:lineRule="exact"/>
                    <w:rPr>
                      <w:color w:val="000000" w:themeColor="text1"/>
                      <w:szCs w:val="21"/>
                    </w:rPr>
                  </w:pPr>
                  <w:r>
                    <w:rPr>
                      <w:rFonts w:hint="eastAsia"/>
                      <w:color w:val="000000" w:themeColor="text1"/>
                      <w:szCs w:val="21"/>
                    </w:rPr>
                    <w:t>厨房</w:t>
                  </w:r>
                </w:p>
              </w:tc>
              <w:tc>
                <w:tcPr>
                  <w:tcW w:w="877" w:type="dxa"/>
                  <w:vAlign w:val="center"/>
                </w:tcPr>
                <w:p>
                  <w:pPr>
                    <w:pStyle w:val="32"/>
                    <w:spacing w:line="360" w:lineRule="exact"/>
                    <w:rPr>
                      <w:color w:val="000000" w:themeColor="text1"/>
                      <w:szCs w:val="21"/>
                    </w:rPr>
                  </w:pPr>
                  <w:r>
                    <w:rPr>
                      <w:rFonts w:hint="eastAsia"/>
                      <w:color w:val="000000" w:themeColor="text1"/>
                      <w:szCs w:val="21"/>
                    </w:rPr>
                    <w:t>--</w:t>
                  </w:r>
                </w:p>
              </w:tc>
              <w:tc>
                <w:tcPr>
                  <w:tcW w:w="1208" w:type="dxa"/>
                  <w:vAlign w:val="center"/>
                </w:tcPr>
                <w:p>
                  <w:pPr>
                    <w:pStyle w:val="32"/>
                    <w:spacing w:line="360" w:lineRule="exact"/>
                    <w:rPr>
                      <w:color w:val="000000" w:themeColor="text1"/>
                      <w:szCs w:val="21"/>
                    </w:rPr>
                  </w:pPr>
                  <w:r>
                    <w:rPr>
                      <w:rFonts w:hint="eastAsia"/>
                      <w:color w:val="000000" w:themeColor="text1"/>
                      <w:szCs w:val="21"/>
                    </w:rPr>
                    <w:t>厨房油烟</w:t>
                  </w:r>
                </w:p>
              </w:tc>
              <w:tc>
                <w:tcPr>
                  <w:tcW w:w="810" w:type="dxa"/>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2.0</w:t>
                  </w:r>
                </w:p>
              </w:tc>
              <w:tc>
                <w:tcPr>
                  <w:tcW w:w="811" w:type="dxa"/>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12</w:t>
                  </w:r>
                  <w:r>
                    <w:rPr>
                      <w:color w:val="000000" w:themeColor="text1"/>
                      <w:szCs w:val="21"/>
                    </w:rPr>
                    <w:t>g/d</w:t>
                  </w:r>
                </w:p>
              </w:tc>
              <w:tc>
                <w:tcPr>
                  <w:tcW w:w="1161" w:type="dxa"/>
                  <w:vAlign w:val="center"/>
                </w:tcPr>
                <w:p>
                  <w:pPr>
                    <w:pStyle w:val="32"/>
                    <w:spacing w:line="360" w:lineRule="exact"/>
                    <w:rPr>
                      <w:color w:val="000000" w:themeColor="text1"/>
                      <w:szCs w:val="21"/>
                    </w:rPr>
                  </w:pPr>
                  <w:r>
                    <w:rPr>
                      <w:rFonts w:hint="eastAsia"/>
                      <w:color w:val="000000" w:themeColor="text1"/>
                      <w:szCs w:val="21"/>
                    </w:rPr>
                    <w:t>0.8</w:t>
                  </w:r>
                </w:p>
              </w:tc>
              <w:tc>
                <w:tcPr>
                  <w:tcW w:w="85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4.8</w:t>
                  </w:r>
                  <w:r>
                    <w:rPr>
                      <w:color w:val="000000" w:themeColor="text1"/>
                      <w:szCs w:val="21"/>
                    </w:rPr>
                    <w:t>g/d</w:t>
                  </w:r>
                </w:p>
              </w:tc>
              <w:tc>
                <w:tcPr>
                  <w:tcW w:w="70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846" w:type="dxa"/>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645" w:type="dxa"/>
                  <w:vAlign w:val="center"/>
                </w:tcPr>
                <w:p>
                  <w:pPr>
                    <w:pStyle w:val="32"/>
                    <w:spacing w:line="360" w:lineRule="exact"/>
                    <w:rPr>
                      <w:color w:val="000000" w:themeColor="text1"/>
                      <w:szCs w:val="21"/>
                    </w:rPr>
                  </w:pPr>
                  <w:r>
                    <w:rPr>
                      <w:color w:val="000000" w:themeColor="text1"/>
                      <w:szCs w:val="21"/>
                    </w:rPr>
                    <w:t>达标</w:t>
                  </w:r>
                </w:p>
              </w:tc>
            </w:tr>
          </w:tbl>
          <w:p>
            <w:pPr>
              <w:pStyle w:val="40"/>
              <w:spacing w:beforeLines="50"/>
              <w:ind w:firstLine="480"/>
              <w:rPr>
                <w:color w:val="000000" w:themeColor="text1"/>
                <w:szCs w:val="24"/>
              </w:rPr>
            </w:pPr>
            <w:r>
              <w:rPr>
                <w:rFonts w:hint="eastAsia"/>
                <w:color w:val="000000" w:themeColor="text1"/>
                <w:szCs w:val="24"/>
              </w:rPr>
              <w:t>由上表可知，项目废气主要包括页岩采装过程扬尘、原料卸料扬尘、堆场扬尘、原料输送过程扬尘、破碎车间粉尘、焙烧烟气；其达标性结论如下：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1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项目无组织排放的颗粒物，</w:t>
            </w:r>
            <w:r>
              <w:rPr>
                <w:rFonts w:ascii="Times New Roman" w:hAnsi="Times New Roman" w:cs="Times New Roman"/>
                <w:color w:val="000000" w:themeColor="text1"/>
                <w:sz w:val="24"/>
                <w:szCs w:val="24"/>
              </w:rPr>
              <w:t>《环境影响评价技术导则-大气环境》（HJ2.2-2018）附录A推荐模型中的AERSCREEN模式</w:t>
            </w:r>
            <w:r>
              <w:rPr>
                <w:rFonts w:hint="eastAsia" w:ascii="Times New Roman" w:hAnsi="Times New Roman" w:cs="Times New Roman"/>
                <w:color w:val="000000" w:themeColor="text1"/>
                <w:sz w:val="24"/>
                <w:szCs w:val="24"/>
              </w:rPr>
              <w:t>进行预测，最大落地浓度为0.84</w:t>
            </w:r>
            <w:r>
              <w:rPr>
                <w:rFonts w:ascii="Times New Roman" w:hAnsi="Times New Roman" w:cs="Times New Roman"/>
                <w:color w:val="000000" w:themeColor="text1"/>
                <w:sz w:val="24"/>
                <w:szCs w:val="24"/>
              </w:rPr>
              <w:t>mg/m³</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《砖瓦工业大气污染物排放标准》（GB29620-2013）</w:t>
            </w:r>
            <w:r>
              <w:rPr>
                <w:rFonts w:hint="eastAsia" w:ascii="Times New Roman" w:hAnsi="Times New Roman" w:cs="Times New Roman"/>
                <w:color w:val="000000" w:themeColor="text1"/>
                <w:sz w:val="24"/>
                <w:szCs w:val="24"/>
              </w:rPr>
              <w:t>及其修改单要求。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2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项目破碎车间颚破、混合、粉碎和筛分四个环节均进行密闭，并设置集气罩，将粉尘进行有效收集，收集后统一通过1台脉冲布袋除尘器进行处理，处理后可达到</w:t>
            </w:r>
            <w:r>
              <w:rPr>
                <w:rFonts w:ascii="Times New Roman" w:hAnsi="Times New Roman" w:cs="Times New Roman"/>
                <w:color w:val="000000" w:themeColor="text1"/>
                <w:sz w:val="24"/>
                <w:szCs w:val="24"/>
              </w:rPr>
              <w:t>《砖瓦工业大气污染物排放标准》（GB29620-2013）</w:t>
            </w:r>
            <w:r>
              <w:rPr>
                <w:rFonts w:hint="eastAsia" w:ascii="Times New Roman" w:hAnsi="Times New Roman" w:cs="Times New Roman"/>
                <w:color w:val="000000" w:themeColor="text1"/>
                <w:sz w:val="24"/>
                <w:szCs w:val="24"/>
              </w:rPr>
              <w:t>及其修改单要求通过</w:t>
            </w:r>
            <w:r>
              <w:rPr>
                <w:rFonts w:ascii="Times New Roman" w:hAnsi="Times New Roman" w:cs="Times New Roman"/>
                <w:color w:val="000000" w:themeColor="text1"/>
                <w:sz w:val="24"/>
                <w:szCs w:val="24"/>
              </w:rPr>
              <w:t>1根</w:t>
            </w:r>
            <w:r>
              <w:rPr>
                <w:rFonts w:hint="eastAsia" w:ascii="Times New Roman" w:hAnsi="Times New Roman" w:cs="Times New Roman"/>
                <w:color w:val="000000" w:themeColor="text1"/>
                <w:sz w:val="24"/>
                <w:szCs w:val="24"/>
              </w:rPr>
              <w:t>15m高</w:t>
            </w:r>
            <w:r>
              <w:rPr>
                <w:rFonts w:ascii="Times New Roman" w:hAnsi="Times New Roman" w:cs="Times New Roman"/>
                <w:color w:val="000000" w:themeColor="text1"/>
                <w:sz w:val="24"/>
                <w:szCs w:val="24"/>
              </w:rPr>
              <w:t>排气筒（DA001）外排</w:t>
            </w:r>
            <w:r>
              <w:rPr>
                <w:rFonts w:hint="eastAsia" w:ascii="Times New Roman" w:hAnsi="Times New Roman" w:cs="Times New Roman"/>
                <w:color w:val="000000" w:themeColor="text1"/>
                <w:sz w:val="24"/>
                <w:szCs w:val="24"/>
              </w:rPr>
              <w:t>，无法收集部分，无组织排放。</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3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⑶</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项目拟设置1套脱硫除尘系统对焙烧工序产生的废气进行处理，该脱硫除尘系统采用钠碱双碱还原法脱硫除尘工艺，烟尘去除率85%、二氧化硫去除率为90%、氟化物去除率为70%，处理后的烟气</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《砖瓦工业大气污染物排放标准》（GB29620-2013）</w:t>
            </w:r>
            <w:r>
              <w:rPr>
                <w:rFonts w:hint="eastAsia" w:ascii="Times New Roman" w:hAnsi="Times New Roman" w:cs="Times New Roman"/>
                <w:color w:val="000000" w:themeColor="text1"/>
                <w:sz w:val="24"/>
                <w:szCs w:val="24"/>
              </w:rPr>
              <w:t>及其修改单要求</w:t>
            </w:r>
            <w:r>
              <w:rPr>
                <w:rFonts w:ascii="Times New Roman" w:hAnsi="Times New Roman" w:cs="Times New Roman"/>
                <w:color w:val="000000" w:themeColor="text1"/>
                <w:sz w:val="24"/>
                <w:szCs w:val="24"/>
              </w:rPr>
              <w:t>通过18m高（DA002）的排气筒外排。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4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⑷</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项目区厨房安装一个最低去除率60%的油烟净化器，经油烟净化器处理后的厨房油烟可达到《饮食业油烟排放标准》（GB18483-2001）（试行）小型标准</w:t>
            </w:r>
            <w:r>
              <w:rPr>
                <w:rFonts w:hint="eastAsia" w:ascii="Times New Roman" w:hAnsi="Times New Roman" w:cs="Times New Roman"/>
                <w:color w:val="000000" w:themeColor="text1"/>
                <w:sz w:val="24"/>
                <w:szCs w:val="24"/>
              </w:rPr>
              <w:t>，通过</w:t>
            </w:r>
            <w:r>
              <w:rPr>
                <w:rFonts w:ascii="Times New Roman" w:hAnsi="Times New Roman" w:cs="Times New Roman"/>
                <w:color w:val="000000" w:themeColor="text1"/>
                <w:sz w:val="24"/>
                <w:szCs w:val="24"/>
              </w:rPr>
              <w:t>高于房顶1.5m的烟道外排。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项目设计提出</w:t>
            </w:r>
            <w:r>
              <w:rPr>
                <w:rFonts w:hint="eastAsia" w:ascii="Times New Roman" w:hAnsi="Times New Roman" w:cs="Times New Roman"/>
                <w:color w:val="000000" w:themeColor="text1"/>
                <w:sz w:val="24"/>
                <w:szCs w:val="24"/>
              </w:rPr>
              <w:t>的脉冲布袋除尘器属于袋式除尘器，</w:t>
            </w:r>
            <w:r>
              <w:rPr>
                <w:rFonts w:ascii="Times New Roman" w:hAnsi="Times New Roman" w:cs="Times New Roman"/>
                <w:color w:val="000000" w:themeColor="text1"/>
                <w:sz w:val="24"/>
                <w:szCs w:val="24"/>
              </w:rPr>
              <w:t>采用钠碱双碱还原法脱硫除尘工艺</w:t>
            </w:r>
            <w:r>
              <w:rPr>
                <w:rFonts w:hint="eastAsia" w:ascii="Times New Roman" w:hAnsi="Times New Roman" w:cs="Times New Roman"/>
                <w:color w:val="000000" w:themeColor="text1"/>
                <w:sz w:val="24"/>
                <w:szCs w:val="24"/>
              </w:rPr>
              <w:t>的脱硫除尘系统属于湿法脱硫技术，均为《排污许可证申请与核发技术规范 陶瓷砖瓦工业》（</w:t>
            </w:r>
            <w:r>
              <w:rPr>
                <w:rFonts w:ascii="Times New Roman" w:hAnsi="Times New Roman" w:cs="Times New Roman"/>
                <w:color w:val="000000" w:themeColor="text1"/>
                <w:sz w:val="24"/>
                <w:szCs w:val="24"/>
              </w:rPr>
              <w:t>HJ95</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2018</w:t>
            </w:r>
            <w:r>
              <w:rPr>
                <w:rFonts w:hint="eastAsia" w:ascii="Times New Roman" w:hAnsi="Times New Roman" w:cs="Times New Roman"/>
                <w:color w:val="000000" w:themeColor="text1"/>
                <w:sz w:val="24"/>
                <w:szCs w:val="24"/>
              </w:rPr>
              <w:t>）明确的可行技术；而设计提出的洒水抑尘设施、雾炮机、堆场的围挡和顶棚皮带密闭运输等环保措施，均</w:t>
            </w:r>
            <w:r>
              <w:rPr>
                <w:rFonts w:ascii="Times New Roman" w:hAnsi="Times New Roman" w:cs="Times New Roman"/>
                <w:color w:val="000000" w:themeColor="text1"/>
                <w:sz w:val="24"/>
                <w:szCs w:val="24"/>
              </w:rPr>
              <w:t>为常见可行的废气污染防治措施，属于可行技术，措施可行。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w:t>
            </w:r>
            <w:r>
              <w:rPr>
                <w:rFonts w:hint="eastAsia" w:ascii="Times New Roman" w:hAnsi="Times New Roman" w:cs="Times New Roman"/>
                <w:color w:val="000000" w:themeColor="text1"/>
                <w:sz w:val="24"/>
                <w:szCs w:val="24"/>
              </w:rPr>
              <w:t>和《排污许可证申请与核发技术规范 陶瓷砖瓦工业》（</w:t>
            </w:r>
            <w:r>
              <w:rPr>
                <w:rFonts w:ascii="Times New Roman" w:hAnsi="Times New Roman" w:cs="Times New Roman"/>
                <w:color w:val="000000" w:themeColor="text1"/>
                <w:sz w:val="24"/>
                <w:szCs w:val="24"/>
              </w:rPr>
              <w:t>HJ95</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2018</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6</w:t>
            </w:r>
            <w:r>
              <w:rPr>
                <w:rFonts w:ascii="Times New Roman" w:hAnsi="Times New Roman" w:cs="Times New Roman"/>
                <w:b/>
                <w:color w:val="000000" w:themeColor="text1"/>
                <w:szCs w:val="24"/>
              </w:rPr>
              <w:t xml:space="preserve">  项目运营期废气自行监测计划一览表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19"/>
              <w:gridCol w:w="2155"/>
              <w:gridCol w:w="148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226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72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2"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DA001排气筒</w:t>
                  </w:r>
                </w:p>
              </w:tc>
              <w:tc>
                <w:tcPr>
                  <w:tcW w:w="2268" w:type="dxa"/>
                  <w:vAlign w:val="center"/>
                </w:tcPr>
                <w:p>
                  <w:pPr>
                    <w:pStyle w:val="32"/>
                    <w:spacing w:line="360" w:lineRule="exact"/>
                    <w:rPr>
                      <w:rFonts w:eastAsiaTheme="minorEastAsia"/>
                      <w:color w:val="000000" w:themeColor="text1"/>
                      <w:szCs w:val="21"/>
                    </w:rPr>
                  </w:pPr>
                  <w:r>
                    <w:rPr>
                      <w:color w:val="000000" w:themeColor="text1"/>
                      <w:szCs w:val="21"/>
                    </w:rPr>
                    <w:t>颗粒物</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2724" w:type="dxa"/>
                  <w:vMerge w:val="restart"/>
                  <w:vAlign w:val="center"/>
                </w:tcPr>
                <w:p>
                  <w:pPr>
                    <w:pStyle w:val="32"/>
                    <w:spacing w:line="360" w:lineRule="exact"/>
                    <w:ind w:firstLine="210" w:firstLineChars="100"/>
                    <w:jc w:val="left"/>
                    <w:rPr>
                      <w:rFonts w:eastAsiaTheme="minorEastAsia"/>
                      <w:color w:val="000000" w:themeColor="text1"/>
                      <w:szCs w:val="21"/>
                    </w:rPr>
                  </w:pPr>
                  <w:r>
                    <w:rPr>
                      <w:color w:val="000000" w:themeColor="text1"/>
                      <w:szCs w:val="21"/>
                    </w:rPr>
                    <w:t>《砖瓦工业大气污染物排放标准》（GB29620-2013）</w:t>
                  </w:r>
                  <w:r>
                    <w:rPr>
                      <w:rFonts w:hint="eastAsia"/>
                      <w:color w:val="000000" w:themeColor="text1"/>
                      <w:szCs w:val="21"/>
                    </w:rPr>
                    <w:t>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2" w:type="dxa"/>
                  <w:vMerge w:val="continue"/>
                  <w:vAlign w:val="center"/>
                </w:tcPr>
                <w:p>
                  <w:pPr>
                    <w:pStyle w:val="32"/>
                    <w:spacing w:line="360" w:lineRule="exact"/>
                    <w:rPr>
                      <w:rFonts w:eastAsiaTheme="minorEastAsia"/>
                      <w:color w:val="000000" w:themeColor="text1"/>
                      <w:szCs w:val="21"/>
                    </w:rPr>
                  </w:pP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DA00</w:t>
                  </w:r>
                  <w:r>
                    <w:rPr>
                      <w:rFonts w:hint="eastAsia" w:eastAsiaTheme="minorEastAsia"/>
                      <w:color w:val="000000" w:themeColor="text1"/>
                      <w:szCs w:val="21"/>
                    </w:rPr>
                    <w:t>2</w:t>
                  </w:r>
                  <w:r>
                    <w:rPr>
                      <w:rFonts w:eastAsiaTheme="minorEastAsia"/>
                      <w:color w:val="000000" w:themeColor="text1"/>
                      <w:szCs w:val="21"/>
                    </w:rPr>
                    <w:t>排气筒</w:t>
                  </w:r>
                </w:p>
              </w:tc>
              <w:tc>
                <w:tcPr>
                  <w:tcW w:w="2268" w:type="dxa"/>
                  <w:vAlign w:val="center"/>
                </w:tcPr>
                <w:p>
                  <w:pPr>
                    <w:pStyle w:val="32"/>
                    <w:spacing w:line="360" w:lineRule="exact"/>
                    <w:rPr>
                      <w:rFonts w:eastAsiaTheme="minorEastAsia"/>
                      <w:color w:val="000000" w:themeColor="text1"/>
                      <w:szCs w:val="21"/>
                    </w:rPr>
                  </w:pPr>
                  <w:r>
                    <w:rPr>
                      <w:color w:val="000000" w:themeColor="text1"/>
                      <w:szCs w:val="21"/>
                    </w:rPr>
                    <w:t>颗粒物</w:t>
                  </w:r>
                  <w:r>
                    <w:rPr>
                      <w:rFonts w:hint="eastAsia"/>
                      <w:color w:val="000000" w:themeColor="text1"/>
                      <w:szCs w:val="21"/>
                    </w:rPr>
                    <w:t>、SO</w:t>
                  </w:r>
                  <w:r>
                    <w:rPr>
                      <w:rFonts w:hint="eastAsia"/>
                      <w:color w:val="000000" w:themeColor="text1"/>
                      <w:szCs w:val="21"/>
                      <w:vertAlign w:val="subscript"/>
                    </w:rPr>
                    <w:t>2</w:t>
                  </w:r>
                  <w:r>
                    <w:rPr>
                      <w:rFonts w:hint="eastAsia"/>
                      <w:color w:val="000000" w:themeColor="text1"/>
                      <w:szCs w:val="21"/>
                    </w:rPr>
                    <w:t>、NOx、氟化物</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w:t>
                  </w:r>
                  <w:r>
                    <w:rPr>
                      <w:rFonts w:hint="eastAsia" w:eastAsiaTheme="minorEastAsia"/>
                      <w:color w:val="000000" w:themeColor="text1"/>
                      <w:szCs w:val="21"/>
                    </w:rPr>
                    <w:t>半</w:t>
                  </w:r>
                  <w:r>
                    <w:rPr>
                      <w:rFonts w:eastAsiaTheme="minorEastAsia"/>
                      <w:color w:val="000000" w:themeColor="text1"/>
                      <w:szCs w:val="21"/>
                    </w:rPr>
                    <w:t>年</w:t>
                  </w:r>
                </w:p>
              </w:tc>
              <w:tc>
                <w:tcPr>
                  <w:tcW w:w="2724"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92" w:type="dxa"/>
                  <w:vMerge w:val="continue"/>
                  <w:vAlign w:val="center"/>
                </w:tcPr>
                <w:p>
                  <w:pPr>
                    <w:pStyle w:val="32"/>
                    <w:spacing w:line="360" w:lineRule="exact"/>
                    <w:rPr>
                      <w:rFonts w:eastAsiaTheme="minorEastAsia"/>
                      <w:color w:val="000000" w:themeColor="text1"/>
                      <w:szCs w:val="21"/>
                    </w:rPr>
                  </w:pP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企业边界</w:t>
                  </w:r>
                </w:p>
              </w:tc>
              <w:tc>
                <w:tcPr>
                  <w:tcW w:w="2268" w:type="dxa"/>
                  <w:vAlign w:val="center"/>
                </w:tcPr>
                <w:p>
                  <w:pPr>
                    <w:pStyle w:val="32"/>
                    <w:spacing w:line="360" w:lineRule="exact"/>
                    <w:rPr>
                      <w:rFonts w:eastAsiaTheme="minorEastAsia"/>
                      <w:color w:val="000000" w:themeColor="text1"/>
                      <w:szCs w:val="21"/>
                    </w:rPr>
                  </w:pPr>
                  <w:r>
                    <w:rPr>
                      <w:color w:val="000000" w:themeColor="text1"/>
                      <w:szCs w:val="21"/>
                    </w:rPr>
                    <w:t>颗粒物</w:t>
                  </w:r>
                  <w:r>
                    <w:rPr>
                      <w:rFonts w:hint="eastAsia"/>
                      <w:color w:val="000000" w:themeColor="text1"/>
                      <w:szCs w:val="21"/>
                    </w:rPr>
                    <w:t>、SO</w:t>
                  </w:r>
                  <w:r>
                    <w:rPr>
                      <w:rFonts w:hint="eastAsia"/>
                      <w:color w:val="000000" w:themeColor="text1"/>
                      <w:szCs w:val="21"/>
                      <w:vertAlign w:val="subscript"/>
                    </w:rPr>
                    <w:t>2</w:t>
                  </w:r>
                  <w:r>
                    <w:rPr>
                      <w:rFonts w:hint="eastAsia"/>
                      <w:color w:val="000000" w:themeColor="text1"/>
                      <w:szCs w:val="21"/>
                    </w:rPr>
                    <w:t>、氟化物</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2724" w:type="dxa"/>
                  <w:vMerge w:val="continue"/>
                  <w:vAlign w:val="center"/>
                </w:tcPr>
                <w:p>
                  <w:pPr>
                    <w:pStyle w:val="32"/>
                    <w:spacing w:line="360" w:lineRule="exact"/>
                    <w:ind w:firstLine="210" w:firstLineChars="100"/>
                    <w:jc w:val="both"/>
                    <w:rPr>
                      <w:rFonts w:eastAsiaTheme="minorEastAsia"/>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根据项目特点，本项目</w:t>
            </w:r>
            <w:r>
              <w:rPr>
                <w:rFonts w:ascii="Times New Roman" w:hAnsi="Times New Roman" w:cs="Times New Roman"/>
                <w:color w:val="000000" w:themeColor="text1"/>
                <w:sz w:val="24"/>
                <w:szCs w:val="24"/>
              </w:rPr>
              <w:t>非正常排放情形</w:t>
            </w:r>
            <w:r>
              <w:rPr>
                <w:rFonts w:hint="eastAsia" w:ascii="Times New Roman" w:hAnsi="Times New Roman" w:cs="Times New Roman"/>
                <w:color w:val="000000" w:themeColor="text1"/>
                <w:sz w:val="24"/>
                <w:szCs w:val="24"/>
              </w:rPr>
              <w:t>主要包括三类，第一类为项目开机</w:t>
            </w:r>
            <w:r>
              <w:rPr>
                <w:rFonts w:ascii="Times New Roman" w:hAnsi="Times New Roman" w:cs="Times New Roman"/>
                <w:color w:val="000000" w:themeColor="text1"/>
                <w:sz w:val="24"/>
                <w:szCs w:val="24"/>
              </w:rPr>
              <w:t>点火</w:t>
            </w:r>
            <w:r>
              <w:rPr>
                <w:rFonts w:hint="eastAsia" w:ascii="Times New Roman" w:hAnsi="Times New Roman" w:cs="Times New Roman"/>
                <w:color w:val="000000" w:themeColor="text1"/>
                <w:sz w:val="24"/>
                <w:szCs w:val="24"/>
              </w:rPr>
              <w:t>时，第二类为脱硫除尘系统</w:t>
            </w:r>
            <w:r>
              <w:rPr>
                <w:rFonts w:ascii="Times New Roman" w:hAnsi="Times New Roman" w:cs="Times New Roman"/>
                <w:color w:val="000000" w:themeColor="text1"/>
                <w:sz w:val="24"/>
                <w:szCs w:val="24"/>
              </w:rPr>
              <w:t>失效</w:t>
            </w:r>
            <w:r>
              <w:rPr>
                <w:rFonts w:hint="eastAsia" w:ascii="Times New Roman" w:hAnsi="Times New Roman" w:cs="Times New Roman"/>
                <w:color w:val="000000" w:themeColor="text1"/>
                <w:sz w:val="24"/>
                <w:szCs w:val="24"/>
              </w:rPr>
              <w:t>，第三类为布袋失效情形，具体如下：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①开机点火非正常情形</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项目生产的烧结砖属于内燃砖，正常情况下保持隧道窑常年不熄火，若因放假等原因熄火后，将采用</w:t>
            </w:r>
            <w:r>
              <w:rPr>
                <w:rFonts w:ascii="Times New Roman" w:hAnsi="Times New Roman" w:cs="Times New Roman"/>
                <w:color w:val="000000" w:themeColor="text1"/>
                <w:sz w:val="24"/>
                <w:szCs w:val="24"/>
              </w:rPr>
              <w:t>燃煤（</w:t>
            </w:r>
            <w:r>
              <w:rPr>
                <w:rFonts w:hint="eastAsia" w:ascii="Times New Roman" w:hAnsi="Times New Roman" w:cs="Times New Roman"/>
                <w:color w:val="000000" w:themeColor="text1"/>
                <w:sz w:val="24"/>
                <w:szCs w:val="24"/>
              </w:rPr>
              <w:t>400</w:t>
            </w:r>
            <w:r>
              <w:rPr>
                <w:rFonts w:ascii="Times New Roman" w:hAnsi="Times New Roman" w:cs="Times New Roman"/>
                <w:color w:val="000000" w:themeColor="text1"/>
                <w:sz w:val="24"/>
                <w:szCs w:val="24"/>
              </w:rPr>
              <w:t>kg</w:t>
            </w:r>
            <w:r>
              <w:rPr>
                <w:rFonts w:hint="eastAsia" w:ascii="Times New Roman" w:hAnsi="Times New Roman" w:cs="Times New Roman"/>
                <w:color w:val="000000" w:themeColor="text1"/>
                <w:sz w:val="24"/>
                <w:szCs w:val="24"/>
              </w:rPr>
              <w:t>/次</w:t>
            </w:r>
            <w:r>
              <w:rPr>
                <w:rFonts w:ascii="Times New Roman" w:hAnsi="Times New Roman" w:cs="Times New Roman"/>
                <w:color w:val="000000" w:themeColor="text1"/>
                <w:sz w:val="24"/>
                <w:szCs w:val="24"/>
              </w:rPr>
              <w:t>）进行点火</w:t>
            </w:r>
            <w:r>
              <w:rPr>
                <w:rFonts w:hint="eastAsia" w:ascii="Times New Roman" w:hAnsi="Times New Roman" w:cs="Times New Roman"/>
                <w:color w:val="000000" w:themeColor="text1"/>
                <w:sz w:val="24"/>
                <w:szCs w:val="24"/>
              </w:rPr>
              <w:t>，预计每年最多点火次数为3次。该种情形下的项目的废气新增了点火燃煤产生的废气污染物。新增污染物的产生量核算如下。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1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烟尘</w:t>
            </w:r>
            <w:r>
              <w:rPr>
                <w:rFonts w:hint="eastAsia" w:ascii="Times New Roman" w:hAnsi="Times New Roman" w:cs="Times New Roman"/>
                <w:color w:val="000000" w:themeColor="text1"/>
                <w:sz w:val="24"/>
                <w:szCs w:val="24"/>
              </w:rPr>
              <w:t>新增产生</w:t>
            </w:r>
            <w:r>
              <w:rPr>
                <w:rFonts w:ascii="Times New Roman" w:hAnsi="Times New Roman" w:cs="Times New Roman"/>
                <w:color w:val="000000" w:themeColor="text1"/>
                <w:sz w:val="24"/>
                <w:szCs w:val="24"/>
              </w:rPr>
              <w:t>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点火</w:t>
            </w:r>
            <w:r>
              <w:rPr>
                <w:rFonts w:hint="eastAsia" w:ascii="Times New Roman" w:hAnsi="Times New Roman" w:cs="Times New Roman"/>
                <w:color w:val="000000" w:themeColor="text1"/>
                <w:sz w:val="24"/>
                <w:szCs w:val="24"/>
              </w:rPr>
              <w:t>过程中，</w:t>
            </w:r>
            <w:r>
              <w:rPr>
                <w:rFonts w:ascii="Times New Roman" w:hAnsi="Times New Roman" w:cs="Times New Roman"/>
                <w:color w:val="000000" w:themeColor="text1"/>
                <w:sz w:val="24"/>
                <w:szCs w:val="24"/>
              </w:rPr>
              <w:t>燃煤烟尘产生量和产生浓度计算如下：燃煤</w:t>
            </w:r>
            <w:r>
              <w:rPr>
                <w:rFonts w:hint="eastAsia" w:ascii="Times New Roman" w:hAnsi="Times New Roman" w:cs="Times New Roman"/>
                <w:color w:val="000000" w:themeColor="text1"/>
                <w:sz w:val="24"/>
                <w:szCs w:val="24"/>
              </w:rPr>
              <w:t>新增</w:t>
            </w:r>
            <w:r>
              <w:rPr>
                <w:rFonts w:ascii="Times New Roman" w:hAnsi="Times New Roman" w:cs="Times New Roman"/>
                <w:color w:val="000000" w:themeColor="text1"/>
                <w:sz w:val="24"/>
                <w:szCs w:val="24"/>
              </w:rPr>
              <w:t>烟尘产生量= B×A×D=</w:t>
            </w:r>
            <w:r>
              <w:rPr>
                <w:rFonts w:hint="eastAsia" w:ascii="Times New Roman" w:hAnsi="Times New Roman" w:cs="Times New Roman"/>
                <w:color w:val="000000" w:themeColor="text1"/>
                <w:sz w:val="24"/>
                <w:szCs w:val="24"/>
              </w:rPr>
              <w:t>400</w:t>
            </w: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8.88</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3.78</w:t>
            </w:r>
            <w:r>
              <w:rPr>
                <w:rFonts w:ascii="Times New Roman" w:hAnsi="Times New Roman" w:cs="Times New Roman"/>
                <w:color w:val="000000" w:themeColor="text1"/>
                <w:sz w:val="24"/>
                <w:szCs w:val="24"/>
              </w:rPr>
              <w:t>kg</w:t>
            </w:r>
            <w:r>
              <w:rPr>
                <w:rFonts w:hint="eastAsia" w:ascii="Times New Roman" w:hAnsi="Times New Roman" w:cs="Times New Roman"/>
                <w:color w:val="000000" w:themeColor="text1"/>
                <w:sz w:val="24"/>
                <w:szCs w:val="24"/>
              </w:rPr>
              <w:t>/次（</w:t>
            </w:r>
            <w:r>
              <w:rPr>
                <w:rFonts w:ascii="Times New Roman" w:hAnsi="Times New Roman" w:cs="Times New Roman"/>
                <w:color w:val="000000" w:themeColor="text1"/>
                <w:sz w:val="24"/>
                <w:szCs w:val="24"/>
              </w:rPr>
              <w:t>式中：B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燃煤量</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所燃煤灰分含量</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D</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烟气中烟尘占灰分量的百分数，取</w:t>
            </w: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），合计新增</w:t>
            </w:r>
            <w:r>
              <w:rPr>
                <w:rFonts w:ascii="Times New Roman" w:hAnsi="Times New Roman" w:cs="Times New Roman"/>
                <w:color w:val="000000" w:themeColor="text1"/>
                <w:sz w:val="24"/>
                <w:szCs w:val="24"/>
              </w:rPr>
              <w:t>烟尘</w:t>
            </w:r>
            <w:r>
              <w:rPr>
                <w:rFonts w:hint="eastAsia" w:ascii="Times New Roman" w:hAnsi="Times New Roman" w:cs="Times New Roman"/>
                <w:color w:val="000000" w:themeColor="text1"/>
                <w:sz w:val="24"/>
                <w:szCs w:val="24"/>
              </w:rPr>
              <w:t>：11.34</w:t>
            </w:r>
            <w:r>
              <w:rPr>
                <w:rFonts w:ascii="Times New Roman" w:hAnsi="Times New Roman" w:cs="Times New Roman"/>
                <w:color w:val="000000" w:themeColor="text1"/>
                <w:sz w:val="24"/>
                <w:szCs w:val="24"/>
              </w:rPr>
              <w:t>kg</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2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新增产生</w:t>
            </w:r>
            <w:r>
              <w:rPr>
                <w:rFonts w:ascii="Times New Roman" w:hAnsi="Times New Roman" w:cs="Times New Roman"/>
                <w:color w:val="000000" w:themeColor="text1"/>
                <w:sz w:val="24"/>
                <w:szCs w:val="24"/>
              </w:rPr>
              <w:t>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点火</w:t>
            </w:r>
            <w:r>
              <w:rPr>
                <w:rFonts w:hint="eastAsia" w:ascii="Times New Roman" w:hAnsi="Times New Roman" w:cs="Times New Roman"/>
                <w:color w:val="000000" w:themeColor="text1"/>
                <w:sz w:val="24"/>
                <w:szCs w:val="24"/>
              </w:rPr>
              <w:t>过程中，</w:t>
            </w:r>
            <w:r>
              <w:rPr>
                <w:rFonts w:ascii="Times New Roman" w:hAnsi="Times New Roman" w:cs="Times New Roman"/>
                <w:color w:val="000000" w:themeColor="text1"/>
                <w:sz w:val="24"/>
                <w:szCs w:val="24"/>
              </w:rPr>
              <w:t>燃煤</w:t>
            </w:r>
            <w:r>
              <w:rPr>
                <w:rFonts w:hint="eastAsia" w:ascii="Times New Roman" w:hAnsi="Times New Roman" w:cs="Times New Roman"/>
                <w:color w:val="000000" w:themeColor="text1"/>
                <w:sz w:val="24"/>
                <w:szCs w:val="24"/>
              </w:rPr>
              <w:t>新增</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产生量和产生浓度计算如下：燃煤</w:t>
            </w:r>
            <w:r>
              <w:rPr>
                <w:rFonts w:hint="eastAsia" w:ascii="Times New Roman" w:hAnsi="Times New Roman" w:cs="Times New Roman"/>
                <w:color w:val="000000" w:themeColor="text1"/>
                <w:sz w:val="24"/>
                <w:szCs w:val="24"/>
              </w:rPr>
              <w:t>新增</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产生量=B×S×D×2=</w:t>
            </w:r>
            <w:r>
              <w:rPr>
                <w:rFonts w:hint="eastAsia" w:ascii="Times New Roman" w:hAnsi="Times New Roman" w:cs="Times New Roman"/>
                <w:color w:val="000000" w:themeColor="text1"/>
                <w:sz w:val="24"/>
                <w:szCs w:val="24"/>
              </w:rPr>
              <w:t>400</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1.07</w:t>
            </w:r>
            <w:r>
              <w:rPr>
                <w:rFonts w:ascii="Times New Roman" w:hAnsi="Times New Roman" w:cs="Times New Roman"/>
                <w:color w:val="000000" w:themeColor="text1"/>
                <w:sz w:val="24"/>
                <w:szCs w:val="24"/>
              </w:rPr>
              <w:t>%×70%×2=</w:t>
            </w:r>
            <w:r>
              <w:rPr>
                <w:rFonts w:hint="eastAsia" w:ascii="Times New Roman" w:hAnsi="Times New Roman" w:cs="Times New Roman"/>
                <w:color w:val="000000" w:themeColor="text1"/>
                <w:sz w:val="24"/>
                <w:szCs w:val="24"/>
              </w:rPr>
              <w:t>5.99</w:t>
            </w:r>
            <w:r>
              <w:rPr>
                <w:rFonts w:ascii="Times New Roman" w:hAnsi="Times New Roman" w:cs="Times New Roman"/>
                <w:color w:val="000000" w:themeColor="text1"/>
                <w:sz w:val="24"/>
                <w:szCs w:val="24"/>
              </w:rPr>
              <w:t>kg</w:t>
            </w:r>
            <w:r>
              <w:rPr>
                <w:rFonts w:hint="eastAsia" w:ascii="Times New Roman" w:hAnsi="Times New Roman" w:cs="Times New Roman"/>
                <w:color w:val="000000" w:themeColor="text1"/>
                <w:sz w:val="24"/>
                <w:szCs w:val="24"/>
              </w:rPr>
              <w:t>/次（</w:t>
            </w:r>
            <w:r>
              <w:rPr>
                <w:rFonts w:ascii="Times New Roman" w:hAnsi="Times New Roman" w:cs="Times New Roman"/>
                <w:color w:val="000000" w:themeColor="text1"/>
                <w:sz w:val="24"/>
                <w:szCs w:val="24"/>
              </w:rPr>
              <w:t>式中：B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燃煤量，kg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含硫量，为</w:t>
            </w:r>
            <w:r>
              <w:rPr>
                <w:rFonts w:hint="eastAsia" w:ascii="Times New Roman" w:hAnsi="Times New Roman" w:cs="Times New Roman"/>
                <w:color w:val="000000" w:themeColor="text1"/>
                <w:sz w:val="24"/>
                <w:szCs w:val="24"/>
              </w:rPr>
              <w:t>1.07</w:t>
            </w:r>
            <w:r>
              <w:rPr>
                <w:rFonts w:ascii="Times New Roman" w:hAnsi="Times New Roman" w:cs="Times New Roman"/>
                <w:color w:val="000000" w:themeColor="text1"/>
                <w:sz w:val="24"/>
                <w:szCs w:val="24"/>
              </w:rPr>
              <w:t>%；D</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可燃硫占全硫量的百分比，取70%</w:t>
            </w:r>
            <w:r>
              <w:rPr>
                <w:rFonts w:hint="eastAsia" w:ascii="Times New Roman" w:hAnsi="Times New Roman" w:cs="Times New Roman"/>
                <w:color w:val="000000" w:themeColor="text1"/>
                <w:sz w:val="24"/>
                <w:szCs w:val="24"/>
              </w:rPr>
              <w:t>），合计新增</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：17.97</w:t>
            </w:r>
            <w:r>
              <w:rPr>
                <w:rFonts w:ascii="Times New Roman" w:hAnsi="Times New Roman" w:cs="Times New Roman"/>
                <w:color w:val="000000" w:themeColor="text1"/>
                <w:sz w:val="24"/>
                <w:szCs w:val="24"/>
              </w:rPr>
              <w:t xml:space="preserve"> kg</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3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⑶</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NOx</w:t>
            </w:r>
            <w:r>
              <w:rPr>
                <w:rFonts w:hint="eastAsia" w:ascii="Times New Roman" w:hAnsi="Times New Roman" w:cs="Times New Roman"/>
                <w:color w:val="000000" w:themeColor="text1"/>
                <w:sz w:val="24"/>
                <w:szCs w:val="24"/>
              </w:rPr>
              <w:t>新增产生</w:t>
            </w:r>
            <w:r>
              <w:rPr>
                <w:rFonts w:ascii="Times New Roman" w:hAnsi="Times New Roman" w:cs="Times New Roman"/>
                <w:color w:val="000000" w:themeColor="text1"/>
                <w:sz w:val="24"/>
                <w:szCs w:val="24"/>
              </w:rPr>
              <w:t>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点火</w:t>
            </w:r>
            <w:r>
              <w:rPr>
                <w:rFonts w:hint="eastAsia" w:ascii="Times New Roman" w:hAnsi="Times New Roman" w:cs="Times New Roman"/>
                <w:color w:val="000000" w:themeColor="text1"/>
                <w:sz w:val="24"/>
                <w:szCs w:val="24"/>
              </w:rPr>
              <w:t>过程中，</w:t>
            </w:r>
            <w:r>
              <w:rPr>
                <w:rFonts w:ascii="Times New Roman" w:hAnsi="Times New Roman" w:cs="Times New Roman"/>
                <w:color w:val="000000" w:themeColor="text1"/>
                <w:sz w:val="24"/>
                <w:szCs w:val="24"/>
              </w:rPr>
              <w:t>燃煤</w:t>
            </w:r>
            <w:r>
              <w:rPr>
                <w:rFonts w:hint="eastAsia" w:ascii="Times New Roman" w:hAnsi="Times New Roman" w:cs="Times New Roman"/>
                <w:color w:val="000000" w:themeColor="text1"/>
                <w:sz w:val="24"/>
                <w:szCs w:val="24"/>
              </w:rPr>
              <w:t>新增</w:t>
            </w:r>
            <w:r>
              <w:rPr>
                <w:rFonts w:ascii="Times New Roman" w:hAnsi="Times New Roman" w:cs="Times New Roman"/>
                <w:color w:val="000000" w:themeColor="text1"/>
                <w:sz w:val="24"/>
                <w:szCs w:val="24"/>
              </w:rPr>
              <w:t>氮氧化物产生量</w:t>
            </w:r>
            <w:r>
              <w:rPr>
                <w:rFonts w:hint="eastAsia" w:ascii="Times New Roman" w:hAnsi="Times New Roman" w:cs="Times New Roman"/>
                <w:color w:val="000000" w:themeColor="text1"/>
                <w:sz w:val="24"/>
                <w:szCs w:val="24"/>
              </w:rPr>
              <w:t>参考</w:t>
            </w:r>
            <w:r>
              <w:rPr>
                <w:rFonts w:ascii="Times New Roman" w:hAnsi="Times New Roman" w:cs="Times New Roman"/>
                <w:color w:val="000000" w:themeColor="text1"/>
                <w:sz w:val="24"/>
                <w:szCs w:val="24"/>
              </w:rPr>
              <w:t>《第一次全国污染源普查工业污染源产排污系数手册》</w:t>
            </w:r>
            <w:r>
              <w:rPr>
                <w:rFonts w:hint="eastAsia" w:ascii="Times New Roman" w:hAnsi="Times New Roman" w:cs="Times New Roman"/>
                <w:color w:val="000000" w:themeColor="text1"/>
                <w:sz w:val="24"/>
                <w:szCs w:val="24"/>
              </w:rPr>
              <w:t>中燃煤锅炉的产污系数，</w:t>
            </w:r>
            <w:r>
              <w:rPr>
                <w:rFonts w:ascii="Times New Roman" w:hAnsi="Times New Roman" w:cs="Times New Roman"/>
                <w:color w:val="000000" w:themeColor="text1"/>
                <w:sz w:val="24"/>
                <w:szCs w:val="24"/>
              </w:rPr>
              <w:t>氮氧化物的产生系数为2.94kg/t原料</w:t>
            </w:r>
            <w:r>
              <w:rPr>
                <w:rFonts w:hint="eastAsia" w:ascii="Times New Roman" w:hAnsi="Times New Roman" w:cs="Times New Roman"/>
                <w:color w:val="000000" w:themeColor="text1"/>
                <w:sz w:val="24"/>
                <w:szCs w:val="24"/>
              </w:rPr>
              <w:t>，经计算，则</w:t>
            </w:r>
            <w:r>
              <w:rPr>
                <w:rFonts w:ascii="Times New Roman" w:hAnsi="Times New Roman" w:cs="Times New Roman"/>
                <w:color w:val="000000" w:themeColor="text1"/>
                <w:sz w:val="24"/>
                <w:szCs w:val="24"/>
              </w:rPr>
              <w:t>燃煤</w:t>
            </w:r>
            <w:r>
              <w:rPr>
                <w:rFonts w:hint="eastAsia" w:ascii="Times New Roman" w:hAnsi="Times New Roman" w:cs="Times New Roman"/>
                <w:color w:val="000000" w:themeColor="text1"/>
                <w:sz w:val="24"/>
                <w:szCs w:val="24"/>
              </w:rPr>
              <w:t>新增</w:t>
            </w:r>
            <w:r>
              <w:rPr>
                <w:rFonts w:ascii="Times New Roman" w:hAnsi="Times New Roman" w:cs="Times New Roman"/>
                <w:color w:val="000000" w:themeColor="text1"/>
                <w:sz w:val="24"/>
                <w:szCs w:val="24"/>
              </w:rPr>
              <w:t>NOx</w:t>
            </w:r>
            <w:r>
              <w:rPr>
                <w:rFonts w:hint="eastAsia" w:ascii="Times New Roman" w:hAnsi="Times New Roman" w:cs="Times New Roman"/>
                <w:color w:val="000000" w:themeColor="text1"/>
                <w:sz w:val="24"/>
                <w:szCs w:val="24"/>
              </w:rPr>
              <w:t>产生量为1.18</w:t>
            </w:r>
            <w:r>
              <w:rPr>
                <w:rFonts w:ascii="Times New Roman" w:hAnsi="Times New Roman" w:cs="Times New Roman"/>
                <w:color w:val="000000" w:themeColor="text1"/>
                <w:sz w:val="24"/>
                <w:szCs w:val="24"/>
              </w:rPr>
              <w:t>kg</w:t>
            </w:r>
            <w:r>
              <w:rPr>
                <w:rFonts w:hint="eastAsia" w:ascii="Times New Roman" w:hAnsi="Times New Roman" w:cs="Times New Roman"/>
                <w:color w:val="000000" w:themeColor="text1"/>
                <w:sz w:val="24"/>
                <w:szCs w:val="24"/>
              </w:rPr>
              <w:t>/次，合计新增</w:t>
            </w:r>
            <w:r>
              <w:rPr>
                <w:rFonts w:ascii="Times New Roman" w:hAnsi="Times New Roman" w:cs="Times New Roman"/>
                <w:color w:val="000000" w:themeColor="text1"/>
                <w:sz w:val="24"/>
                <w:szCs w:val="24"/>
              </w:rPr>
              <w:t>NOx</w:t>
            </w:r>
            <w:r>
              <w:rPr>
                <w:rFonts w:hint="eastAsia" w:ascii="Times New Roman" w:hAnsi="Times New Roman" w:cs="Times New Roman"/>
                <w:color w:val="000000" w:themeColor="text1"/>
                <w:sz w:val="24"/>
                <w:szCs w:val="24"/>
              </w:rPr>
              <w:t>：3.54</w:t>
            </w:r>
            <w:r>
              <w:rPr>
                <w:rFonts w:ascii="Times New Roman" w:hAnsi="Times New Roman" w:cs="Times New Roman"/>
                <w:color w:val="000000" w:themeColor="text1"/>
                <w:sz w:val="24"/>
                <w:szCs w:val="24"/>
              </w:rPr>
              <w:t xml:space="preserve"> kg</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开机点火非正常情形下的废气污染物产排量为污染物新增量和正常情况产排量之和，经核算，开机点火非正常情形下</w:t>
            </w:r>
            <w:r>
              <w:rPr>
                <w:rFonts w:ascii="Times New Roman" w:hAnsi="Times New Roman" w:cs="Times New Roman"/>
                <w:color w:val="000000" w:themeColor="text1"/>
                <w:sz w:val="24"/>
                <w:szCs w:val="24"/>
              </w:rPr>
              <w:t>废气污染物排放源产排</w:t>
            </w:r>
            <w:r>
              <w:rPr>
                <w:rFonts w:hint="eastAsia" w:ascii="Times New Roman" w:hAnsi="Times New Roman" w:cs="Times New Roman"/>
                <w:color w:val="000000" w:themeColor="text1"/>
                <w:sz w:val="24"/>
                <w:szCs w:val="24"/>
              </w:rPr>
              <w:t>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7</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开机点火非正常情形下</w:t>
            </w:r>
            <w:r>
              <w:rPr>
                <w:rFonts w:ascii="Times New Roman" w:hAnsi="Times New Roman" w:cs="Times New Roman"/>
                <w:b/>
                <w:color w:val="000000" w:themeColor="text1"/>
                <w:szCs w:val="24"/>
              </w:rPr>
              <w:t>废气污染物排放源产排量及达标情况一览表</w:t>
            </w:r>
          </w:p>
          <w:tbl>
            <w:tblPr>
              <w:tblStyle w:val="20"/>
              <w:tblW w:w="5000" w:type="pct"/>
              <w:tblInd w:w="0" w:type="dxa"/>
              <w:tblLayout w:type="fixed"/>
              <w:tblCellMar>
                <w:top w:w="0" w:type="dxa"/>
                <w:left w:w="108" w:type="dxa"/>
                <w:bottom w:w="0" w:type="dxa"/>
                <w:right w:w="108" w:type="dxa"/>
              </w:tblCellMar>
            </w:tblPr>
            <w:tblGrid>
              <w:gridCol w:w="622"/>
              <w:gridCol w:w="682"/>
              <w:gridCol w:w="1214"/>
              <w:gridCol w:w="1215"/>
              <w:gridCol w:w="1215"/>
              <w:gridCol w:w="814"/>
              <w:gridCol w:w="815"/>
              <w:gridCol w:w="2039"/>
            </w:tblGrid>
            <w:tr>
              <w:tblPrEx>
                <w:tblCellMar>
                  <w:top w:w="0" w:type="dxa"/>
                  <w:left w:w="108" w:type="dxa"/>
                  <w:bottom w:w="0" w:type="dxa"/>
                  <w:right w:w="108" w:type="dxa"/>
                </w:tblCellMar>
              </w:tblPrEx>
              <w:trPr>
                <w:trHeight w:val="576" w:hRule="atLeast"/>
              </w:trPr>
              <w:tc>
                <w:tcPr>
                  <w:tcW w:w="130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产排污环节</w:t>
                  </w:r>
                </w:p>
              </w:tc>
              <w:tc>
                <w:tcPr>
                  <w:tcW w:w="12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污染物种类</w:t>
                  </w:r>
                </w:p>
              </w:tc>
              <w:tc>
                <w:tcPr>
                  <w:tcW w:w="2424"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污染物排放量和浓度</w:t>
                  </w:r>
                </w:p>
              </w:tc>
              <w:tc>
                <w:tcPr>
                  <w:tcW w:w="812"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频次</w:t>
                  </w:r>
                </w:p>
              </w:tc>
              <w:tc>
                <w:tcPr>
                  <w:tcW w:w="813"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持续时间</w:t>
                  </w:r>
                </w:p>
              </w:tc>
              <w:tc>
                <w:tcPr>
                  <w:tcW w:w="20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措施</w:t>
                  </w:r>
                </w:p>
              </w:tc>
            </w:tr>
            <w:tr>
              <w:tblPrEx>
                <w:tblCellMar>
                  <w:top w:w="0" w:type="dxa"/>
                  <w:left w:w="108" w:type="dxa"/>
                  <w:bottom w:w="0" w:type="dxa"/>
                  <w:right w:w="108" w:type="dxa"/>
                </w:tblCellMar>
              </w:tblPrEx>
              <w:trPr>
                <w:trHeight w:val="588" w:hRule="atLeast"/>
              </w:trPr>
              <w:tc>
                <w:tcPr>
                  <w:tcW w:w="1301"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p>
              </w:tc>
              <w:tc>
                <w:tcPr>
                  <w:tcW w:w="1211"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21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排放浓度</w:t>
                  </w:r>
                  <w:r>
                    <w:rPr>
                      <w:rFonts w:ascii="Times New Roman" w:hAnsi="Times New Roman" w:eastAsia="宋体" w:cs="Times New Roman"/>
                      <w:color w:val="000000" w:themeColor="text1"/>
                      <w:kern w:val="0"/>
                    </w:rPr>
                    <w:t>mg/m³</w:t>
                  </w:r>
                </w:p>
              </w:tc>
              <w:tc>
                <w:tcPr>
                  <w:tcW w:w="121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排放量</w:t>
                  </w:r>
                  <w:r>
                    <w:rPr>
                      <w:rFonts w:ascii="Times New Roman" w:hAnsi="Times New Roman" w:eastAsia="宋体" w:cs="Times New Roman"/>
                      <w:color w:val="000000" w:themeColor="text1"/>
                      <w:kern w:val="0"/>
                    </w:rPr>
                    <w:t>kg/</w:t>
                  </w:r>
                  <w:r>
                    <w:rPr>
                      <w:rFonts w:ascii="Times New Roman" w:hAnsi="宋体" w:eastAsia="宋体" w:cs="Times New Roman"/>
                      <w:color w:val="000000" w:themeColor="text1"/>
                      <w:kern w:val="0"/>
                    </w:rPr>
                    <w:t>次</w:t>
                  </w:r>
                </w:p>
              </w:tc>
              <w:tc>
                <w:tcPr>
                  <w:tcW w:w="812" w:type="dxa"/>
                  <w:vMerge w:val="continue"/>
                  <w:tcBorders>
                    <w:top w:val="single" w:color="000000" w:sz="8" w:space="0"/>
                    <w:left w:val="single" w:color="000000" w:sz="8" w:space="0"/>
                    <w:bottom w:val="single" w:color="000000" w:sz="8"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813"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203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00" w:hRule="atLeast"/>
              </w:trPr>
              <w:tc>
                <w:tcPr>
                  <w:tcW w:w="62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焙烧车间</w:t>
                  </w:r>
                </w:p>
              </w:tc>
              <w:tc>
                <w:tcPr>
                  <w:tcW w:w="6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焙烧</w:t>
                  </w:r>
                </w:p>
              </w:tc>
              <w:tc>
                <w:tcPr>
                  <w:tcW w:w="121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烟气量</w:t>
                  </w:r>
                </w:p>
              </w:tc>
              <w:tc>
                <w:tcPr>
                  <w:tcW w:w="2424"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16.67</w:t>
                  </w:r>
                  <w:r>
                    <w:rPr>
                      <w:rFonts w:hint="eastAsia" w:ascii="宋体" w:hAnsi="宋体" w:eastAsia="宋体" w:cs="Times New Roman"/>
                      <w:color w:val="000000" w:themeColor="text1"/>
                      <w:kern w:val="0"/>
                    </w:rPr>
                    <w:t>万</w:t>
                  </w:r>
                  <w:r>
                    <w:rPr>
                      <w:rFonts w:ascii="Times New Roman" w:hAnsi="Times New Roman" w:eastAsia="宋体" w:cs="Times New Roman"/>
                      <w:color w:val="000000" w:themeColor="text1"/>
                      <w:kern w:val="0"/>
                    </w:rPr>
                    <w:t>m³/a</w:t>
                  </w:r>
                </w:p>
              </w:tc>
              <w:tc>
                <w:tcPr>
                  <w:tcW w:w="812" w:type="dxa"/>
                  <w:vMerge w:val="restart"/>
                  <w:tcBorders>
                    <w:top w:val="nil"/>
                    <w:left w:val="nil"/>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w:t>
                  </w:r>
                  <w:r>
                    <w:rPr>
                      <w:rFonts w:ascii="Times New Roman" w:hAnsi="宋体" w:eastAsia="宋体" w:cs="Times New Roman"/>
                      <w:color w:val="000000" w:themeColor="text1"/>
                      <w:kern w:val="0"/>
                    </w:rPr>
                    <w:t>次</w:t>
                  </w:r>
                  <w:r>
                    <w:rPr>
                      <w:rFonts w:ascii="Times New Roman" w:hAnsi="Times New Roman" w:eastAsia="宋体" w:cs="Times New Roman"/>
                      <w:color w:val="000000" w:themeColor="text1"/>
                      <w:kern w:val="0"/>
                    </w:rPr>
                    <w:t>/a</w:t>
                  </w:r>
                </w:p>
              </w:tc>
              <w:tc>
                <w:tcPr>
                  <w:tcW w:w="813" w:type="dxa"/>
                  <w:vMerge w:val="restart"/>
                  <w:tcBorders>
                    <w:top w:val="nil"/>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50min/</w:t>
                  </w:r>
                  <w:r>
                    <w:rPr>
                      <w:rFonts w:ascii="Times New Roman" w:hAnsi="宋体" w:eastAsia="宋体" w:cs="Times New Roman"/>
                      <w:color w:val="000000" w:themeColor="text1"/>
                      <w:kern w:val="0"/>
                    </w:rPr>
                    <w:t>次</w:t>
                  </w:r>
                </w:p>
              </w:tc>
              <w:tc>
                <w:tcPr>
                  <w:tcW w:w="2034" w:type="dxa"/>
                  <w:vMerge w:val="restart"/>
                  <w:tcBorders>
                    <w:top w:val="nil"/>
                    <w:left w:val="nil"/>
                    <w:right w:val="single" w:color="000000" w:sz="8" w:space="0"/>
                  </w:tcBorders>
                  <w:shd w:val="clear" w:color="auto" w:fill="auto"/>
                  <w:vAlign w:val="center"/>
                </w:tcPr>
                <w:p>
                  <w:pPr>
                    <w:pStyle w:val="32"/>
                    <w:spacing w:line="360" w:lineRule="exact"/>
                    <w:ind w:firstLine="210" w:firstLineChars="100"/>
                    <w:jc w:val="left"/>
                    <w:rPr>
                      <w:color w:val="000000" w:themeColor="text1"/>
                      <w:kern w:val="0"/>
                      <w:szCs w:val="21"/>
                    </w:rPr>
                  </w:pPr>
                  <w:r>
                    <w:rPr>
                      <w:rFonts w:hint="eastAsia"/>
                      <w:color w:val="000000" w:themeColor="text1"/>
                      <w:szCs w:val="21"/>
                    </w:rPr>
                    <w:t>加强脱硫除尘系统开机点火时候的管理，提供喷淋效率，确保污染物达标排放。</w:t>
                  </w:r>
                </w:p>
              </w:tc>
            </w:tr>
            <w:tr>
              <w:tblPrEx>
                <w:tblCellMar>
                  <w:top w:w="0" w:type="dxa"/>
                  <w:left w:w="108" w:type="dxa"/>
                  <w:bottom w:w="0" w:type="dxa"/>
                  <w:right w:w="108" w:type="dxa"/>
                </w:tblCellMar>
              </w:tblPrEx>
              <w:trPr>
                <w:trHeight w:val="300" w:hRule="atLeast"/>
              </w:trPr>
              <w:tc>
                <w:tcPr>
                  <w:tcW w:w="621"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680"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21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烟尘</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22.68</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3.78</w:t>
                  </w:r>
                </w:p>
              </w:tc>
              <w:tc>
                <w:tcPr>
                  <w:tcW w:w="812"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813"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2034" w:type="dxa"/>
                  <w:vMerge w:val="continue"/>
                  <w:tcBorders>
                    <w:left w:val="nil"/>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36" w:hRule="atLeast"/>
              </w:trPr>
              <w:tc>
                <w:tcPr>
                  <w:tcW w:w="621"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680"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21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SO</w:t>
                  </w:r>
                  <w:r>
                    <w:rPr>
                      <w:rFonts w:ascii="Times New Roman" w:hAnsi="Times New Roman" w:eastAsia="宋体" w:cs="Times New Roman"/>
                      <w:color w:val="000000" w:themeColor="text1"/>
                      <w:kern w:val="0"/>
                      <w:vertAlign w:val="subscript"/>
                    </w:rPr>
                    <w:t>2</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35.94</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5.99</w:t>
                  </w:r>
                </w:p>
              </w:tc>
              <w:tc>
                <w:tcPr>
                  <w:tcW w:w="812"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813"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2034" w:type="dxa"/>
                  <w:vMerge w:val="continue"/>
                  <w:tcBorders>
                    <w:left w:val="nil"/>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00" w:hRule="atLeast"/>
              </w:trPr>
              <w:tc>
                <w:tcPr>
                  <w:tcW w:w="621"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680"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21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NOx</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7.08</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1.18</w:t>
                  </w:r>
                </w:p>
              </w:tc>
              <w:tc>
                <w:tcPr>
                  <w:tcW w:w="812" w:type="dxa"/>
                  <w:vMerge w:val="continue"/>
                  <w:tcBorders>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813" w:type="dxa"/>
                  <w:vMerge w:val="continue"/>
                  <w:tcBorders>
                    <w:left w:val="single" w:color="auto" w:sz="4" w:space="0"/>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2034" w:type="dxa"/>
                  <w:vMerge w:val="continue"/>
                  <w:tcBorders>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②脱硫除尘系统</w:t>
            </w:r>
            <w:r>
              <w:rPr>
                <w:rFonts w:ascii="Times New Roman" w:hAnsi="Times New Roman" w:cs="Times New Roman"/>
                <w:b/>
                <w:color w:val="000000" w:themeColor="text1"/>
                <w:sz w:val="24"/>
                <w:szCs w:val="24"/>
              </w:rPr>
              <w:t>失效</w:t>
            </w:r>
            <w:r>
              <w:rPr>
                <w:rFonts w:hint="eastAsia" w:ascii="Times New Roman" w:hAnsi="Times New Roman" w:cs="Times New Roman"/>
                <w:b/>
                <w:color w:val="000000" w:themeColor="text1"/>
                <w:sz w:val="24"/>
                <w:szCs w:val="24"/>
              </w:rPr>
              <w:t>非正常情形</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脱硫除尘系统</w:t>
            </w:r>
            <w:r>
              <w:rPr>
                <w:rFonts w:ascii="Times New Roman" w:hAnsi="Times New Roman" w:cs="Times New Roman"/>
                <w:color w:val="000000" w:themeColor="text1"/>
                <w:sz w:val="24"/>
                <w:szCs w:val="24"/>
              </w:rPr>
              <w:t>失效</w:t>
            </w:r>
            <w:r>
              <w:rPr>
                <w:rFonts w:hint="eastAsia" w:ascii="Times New Roman" w:hAnsi="Times New Roman" w:cs="Times New Roman"/>
                <w:color w:val="000000" w:themeColor="text1"/>
                <w:sz w:val="24"/>
                <w:szCs w:val="24"/>
              </w:rPr>
              <w:t>非正常情形为脱硫除尘系统</w:t>
            </w:r>
            <w:r>
              <w:rPr>
                <w:rFonts w:ascii="Times New Roman" w:hAnsi="Times New Roman" w:cs="Times New Roman"/>
                <w:color w:val="000000" w:themeColor="text1"/>
                <w:sz w:val="24"/>
                <w:szCs w:val="24"/>
              </w:rPr>
              <w:t>全部失效，项目产生的焙烧废气全部外排。</w:t>
            </w:r>
            <w:r>
              <w:rPr>
                <w:rFonts w:hint="eastAsia" w:ascii="Times New Roman" w:hAnsi="Times New Roman" w:cs="Times New Roman"/>
                <w:color w:val="000000" w:themeColor="text1"/>
                <w:sz w:val="24"/>
                <w:szCs w:val="24"/>
              </w:rPr>
              <w:t>脱硫除尘系统失效非正常情形下</w:t>
            </w:r>
            <w:r>
              <w:rPr>
                <w:rFonts w:ascii="Times New Roman" w:hAnsi="Times New Roman" w:cs="Times New Roman"/>
                <w:color w:val="000000" w:themeColor="text1"/>
                <w:sz w:val="24"/>
                <w:szCs w:val="24"/>
              </w:rPr>
              <w:t>废气污染物排放源产排</w:t>
            </w:r>
            <w:r>
              <w:rPr>
                <w:rFonts w:hint="eastAsia" w:ascii="Times New Roman" w:hAnsi="Times New Roman" w:cs="Times New Roman"/>
                <w:color w:val="000000" w:themeColor="text1"/>
                <w:sz w:val="24"/>
                <w:szCs w:val="24"/>
              </w:rPr>
              <w:t>情况如下表所示。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8</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脱硫除尘系统失效非正常情形下</w:t>
            </w:r>
            <w:r>
              <w:rPr>
                <w:rFonts w:ascii="Times New Roman" w:hAnsi="Times New Roman" w:cs="Times New Roman"/>
                <w:b/>
                <w:color w:val="000000" w:themeColor="text1"/>
                <w:szCs w:val="24"/>
              </w:rPr>
              <w:t>废气污染物排放源产排量及达标情况一览表</w:t>
            </w:r>
          </w:p>
          <w:tbl>
            <w:tblPr>
              <w:tblStyle w:val="20"/>
              <w:tblW w:w="5000" w:type="pct"/>
              <w:tblInd w:w="0" w:type="dxa"/>
              <w:tblLayout w:type="fixed"/>
              <w:tblCellMar>
                <w:top w:w="0" w:type="dxa"/>
                <w:left w:w="108" w:type="dxa"/>
                <w:bottom w:w="0" w:type="dxa"/>
                <w:right w:w="108" w:type="dxa"/>
              </w:tblCellMar>
            </w:tblPr>
            <w:tblGrid>
              <w:gridCol w:w="623"/>
              <w:gridCol w:w="683"/>
              <w:gridCol w:w="1214"/>
              <w:gridCol w:w="1215"/>
              <w:gridCol w:w="1215"/>
              <w:gridCol w:w="815"/>
              <w:gridCol w:w="816"/>
              <w:gridCol w:w="2035"/>
            </w:tblGrid>
            <w:tr>
              <w:tblPrEx>
                <w:tblCellMar>
                  <w:top w:w="0" w:type="dxa"/>
                  <w:left w:w="108" w:type="dxa"/>
                  <w:bottom w:w="0" w:type="dxa"/>
                  <w:right w:w="108" w:type="dxa"/>
                </w:tblCellMar>
              </w:tblPrEx>
              <w:trPr>
                <w:trHeight w:val="576" w:hRule="atLeast"/>
              </w:trPr>
              <w:tc>
                <w:tcPr>
                  <w:tcW w:w="130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产排污环节</w:t>
                  </w:r>
                </w:p>
              </w:tc>
              <w:tc>
                <w:tcPr>
                  <w:tcW w:w="121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污染物种类</w:t>
                  </w:r>
                </w:p>
              </w:tc>
              <w:tc>
                <w:tcPr>
                  <w:tcW w:w="2424"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污染物排放量和浓度</w:t>
                  </w:r>
                </w:p>
              </w:tc>
              <w:tc>
                <w:tcPr>
                  <w:tcW w:w="813"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频次</w:t>
                  </w:r>
                </w:p>
              </w:tc>
              <w:tc>
                <w:tcPr>
                  <w:tcW w:w="814"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持续时间</w:t>
                  </w:r>
                </w:p>
              </w:tc>
              <w:tc>
                <w:tcPr>
                  <w:tcW w:w="20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措施</w:t>
                  </w:r>
                </w:p>
              </w:tc>
            </w:tr>
            <w:tr>
              <w:tblPrEx>
                <w:tblCellMar>
                  <w:top w:w="0" w:type="dxa"/>
                  <w:left w:w="108" w:type="dxa"/>
                  <w:bottom w:w="0" w:type="dxa"/>
                  <w:right w:w="108" w:type="dxa"/>
                </w:tblCellMar>
              </w:tblPrEx>
              <w:trPr>
                <w:trHeight w:val="588" w:hRule="atLeast"/>
              </w:trPr>
              <w:tc>
                <w:tcPr>
                  <w:tcW w:w="1303"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p>
              </w:tc>
              <w:tc>
                <w:tcPr>
                  <w:tcW w:w="1211"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21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排放浓度</w:t>
                  </w:r>
                  <w:r>
                    <w:rPr>
                      <w:rFonts w:ascii="Times New Roman" w:hAnsi="Times New Roman" w:eastAsia="宋体" w:cs="Times New Roman"/>
                      <w:color w:val="000000" w:themeColor="text1"/>
                      <w:kern w:val="0"/>
                    </w:rPr>
                    <w:t>mg/m³</w:t>
                  </w:r>
                </w:p>
              </w:tc>
              <w:tc>
                <w:tcPr>
                  <w:tcW w:w="121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排放量</w:t>
                  </w:r>
                  <w:r>
                    <w:rPr>
                      <w:rFonts w:ascii="Times New Roman" w:hAnsi="Times New Roman" w:eastAsia="宋体" w:cs="Times New Roman"/>
                      <w:color w:val="000000" w:themeColor="text1"/>
                      <w:kern w:val="0"/>
                    </w:rPr>
                    <w:t>kg/</w:t>
                  </w:r>
                  <w:r>
                    <w:rPr>
                      <w:rFonts w:ascii="Times New Roman" w:hAnsi="宋体" w:eastAsia="宋体" w:cs="Times New Roman"/>
                      <w:color w:val="000000" w:themeColor="text1"/>
                      <w:kern w:val="0"/>
                    </w:rPr>
                    <w:t>次</w:t>
                  </w:r>
                </w:p>
              </w:tc>
              <w:tc>
                <w:tcPr>
                  <w:tcW w:w="813" w:type="dxa"/>
                  <w:vMerge w:val="continue"/>
                  <w:tcBorders>
                    <w:top w:val="single" w:color="000000" w:sz="8" w:space="0"/>
                    <w:left w:val="single" w:color="000000" w:sz="8" w:space="0"/>
                    <w:bottom w:val="single" w:color="000000" w:sz="8"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814"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203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00" w:hRule="atLeast"/>
              </w:trPr>
              <w:tc>
                <w:tcPr>
                  <w:tcW w:w="62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焙烧车间</w:t>
                  </w:r>
                </w:p>
              </w:tc>
              <w:tc>
                <w:tcPr>
                  <w:tcW w:w="68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焙烧</w:t>
                  </w:r>
                </w:p>
              </w:tc>
              <w:tc>
                <w:tcPr>
                  <w:tcW w:w="121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烟气量</w:t>
                  </w:r>
                </w:p>
              </w:tc>
              <w:tc>
                <w:tcPr>
                  <w:tcW w:w="2424"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16.67</w:t>
                  </w:r>
                  <w:r>
                    <w:rPr>
                      <w:rFonts w:hint="eastAsia" w:ascii="宋体" w:hAnsi="宋体" w:eastAsia="宋体" w:cs="Times New Roman"/>
                      <w:color w:val="000000" w:themeColor="text1"/>
                      <w:kern w:val="0"/>
                    </w:rPr>
                    <w:t>万</w:t>
                  </w:r>
                  <w:r>
                    <w:rPr>
                      <w:rFonts w:ascii="Times New Roman" w:hAnsi="Times New Roman" w:eastAsia="宋体" w:cs="Times New Roman"/>
                      <w:color w:val="000000" w:themeColor="text1"/>
                      <w:kern w:val="0"/>
                    </w:rPr>
                    <w:t>m³/a</w:t>
                  </w:r>
                </w:p>
              </w:tc>
              <w:tc>
                <w:tcPr>
                  <w:tcW w:w="813" w:type="dxa"/>
                  <w:vMerge w:val="restart"/>
                  <w:tcBorders>
                    <w:top w:val="nil"/>
                    <w:left w:val="nil"/>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1次</w:t>
                  </w:r>
                  <w:r>
                    <w:rPr>
                      <w:rFonts w:ascii="Times New Roman" w:hAnsi="Times New Roman" w:eastAsia="宋体" w:cs="Times New Roman"/>
                      <w:color w:val="000000" w:themeColor="text1"/>
                      <w:kern w:val="0"/>
                    </w:rPr>
                    <w:t>/a</w:t>
                  </w:r>
                </w:p>
              </w:tc>
              <w:tc>
                <w:tcPr>
                  <w:tcW w:w="814" w:type="dxa"/>
                  <w:vMerge w:val="restart"/>
                  <w:tcBorders>
                    <w:top w:val="nil"/>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50min/</w:t>
                  </w:r>
                  <w:r>
                    <w:rPr>
                      <w:rFonts w:ascii="Times New Roman" w:hAnsi="宋体" w:eastAsia="宋体" w:cs="Times New Roman"/>
                      <w:color w:val="000000" w:themeColor="text1"/>
                      <w:kern w:val="0"/>
                    </w:rPr>
                    <w:t>次</w:t>
                  </w:r>
                </w:p>
              </w:tc>
              <w:tc>
                <w:tcPr>
                  <w:tcW w:w="2030" w:type="dxa"/>
                  <w:vMerge w:val="restart"/>
                  <w:tcBorders>
                    <w:top w:val="nil"/>
                    <w:left w:val="nil"/>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出砖后立即</w:t>
                  </w:r>
                  <w:r>
                    <w:rPr>
                      <w:rFonts w:ascii="Times New Roman" w:hAnsi="Times New Roman" w:eastAsia="宋体" w:cs="Times New Roman"/>
                      <w:color w:val="000000" w:themeColor="text1"/>
                      <w:kern w:val="0"/>
                    </w:rPr>
                    <w:t>停机检修</w:t>
                  </w:r>
                </w:p>
              </w:tc>
            </w:tr>
            <w:tr>
              <w:tblPrEx>
                <w:tblCellMar>
                  <w:top w:w="0" w:type="dxa"/>
                  <w:left w:w="108" w:type="dxa"/>
                  <w:bottom w:w="0" w:type="dxa"/>
                  <w:right w:w="108" w:type="dxa"/>
                </w:tblCellMar>
              </w:tblPrEx>
              <w:trPr>
                <w:trHeight w:val="300" w:hRule="atLeast"/>
              </w:trPr>
              <w:tc>
                <w:tcPr>
                  <w:tcW w:w="62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681"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21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烟尘</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23</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3.83</w:t>
                  </w:r>
                </w:p>
              </w:tc>
              <w:tc>
                <w:tcPr>
                  <w:tcW w:w="813"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814"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2030" w:type="dxa"/>
                  <w:vMerge w:val="continue"/>
                  <w:tcBorders>
                    <w:left w:val="nil"/>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36" w:hRule="atLeast"/>
              </w:trPr>
              <w:tc>
                <w:tcPr>
                  <w:tcW w:w="62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681"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21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SO</w:t>
                  </w:r>
                  <w:r>
                    <w:rPr>
                      <w:rFonts w:ascii="Times New Roman" w:hAnsi="Times New Roman" w:eastAsia="宋体" w:cs="Times New Roman"/>
                      <w:color w:val="000000" w:themeColor="text1"/>
                      <w:kern w:val="0"/>
                      <w:vertAlign w:val="subscript"/>
                    </w:rPr>
                    <w:t>2</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71.95</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11.99</w:t>
                  </w:r>
                </w:p>
              </w:tc>
              <w:tc>
                <w:tcPr>
                  <w:tcW w:w="813"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814"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2030" w:type="dxa"/>
                  <w:vMerge w:val="continue"/>
                  <w:tcBorders>
                    <w:left w:val="nil"/>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r>
            <w:tr>
              <w:trPr>
                <w:trHeight w:val="300" w:hRule="atLeast"/>
              </w:trPr>
              <w:tc>
                <w:tcPr>
                  <w:tcW w:w="62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681"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21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NOx</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8.05</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1.34</w:t>
                  </w:r>
                </w:p>
              </w:tc>
              <w:tc>
                <w:tcPr>
                  <w:tcW w:w="813"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814"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2030" w:type="dxa"/>
                  <w:vMerge w:val="continue"/>
                  <w:tcBorders>
                    <w:left w:val="nil"/>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00" w:hRule="atLeast"/>
              </w:trPr>
              <w:tc>
                <w:tcPr>
                  <w:tcW w:w="62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681"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21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氟化物</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1.2</w:t>
                  </w:r>
                </w:p>
              </w:tc>
              <w:tc>
                <w:tcPr>
                  <w:tcW w:w="121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0.20</w:t>
                  </w:r>
                </w:p>
              </w:tc>
              <w:tc>
                <w:tcPr>
                  <w:tcW w:w="813" w:type="dxa"/>
                  <w:vMerge w:val="continue"/>
                  <w:tcBorders>
                    <w:left w:val="nil"/>
                    <w:bottom w:val="single" w:color="000000" w:sz="8"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814" w:type="dxa"/>
                  <w:vMerge w:val="continue"/>
                  <w:tcBorders>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2030" w:type="dxa"/>
                  <w:vMerge w:val="continue"/>
                  <w:tcBorders>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③脉冲布袋除尘器</w:t>
            </w:r>
            <w:r>
              <w:rPr>
                <w:rFonts w:ascii="Times New Roman" w:hAnsi="Times New Roman" w:cs="Times New Roman"/>
                <w:b/>
                <w:color w:val="000000" w:themeColor="text1"/>
                <w:sz w:val="24"/>
                <w:szCs w:val="24"/>
              </w:rPr>
              <w:t>失效</w:t>
            </w:r>
            <w:r>
              <w:rPr>
                <w:rFonts w:hint="eastAsia" w:ascii="Times New Roman" w:hAnsi="Times New Roman" w:cs="Times New Roman"/>
                <w:b/>
                <w:color w:val="000000" w:themeColor="text1"/>
                <w:sz w:val="24"/>
                <w:szCs w:val="24"/>
              </w:rPr>
              <w:t>非正常情形</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脉冲布袋除尘器</w:t>
            </w:r>
            <w:r>
              <w:rPr>
                <w:rFonts w:ascii="Times New Roman" w:hAnsi="Times New Roman" w:cs="Times New Roman"/>
                <w:color w:val="000000" w:themeColor="text1"/>
                <w:sz w:val="24"/>
                <w:szCs w:val="24"/>
              </w:rPr>
              <w:t>失效</w:t>
            </w:r>
            <w:r>
              <w:rPr>
                <w:rFonts w:hint="eastAsia" w:ascii="Times New Roman" w:hAnsi="Times New Roman" w:cs="Times New Roman"/>
                <w:color w:val="000000" w:themeColor="text1"/>
                <w:sz w:val="24"/>
                <w:szCs w:val="24"/>
              </w:rPr>
              <w:t>非正常情形为脉冲布袋除尘器</w:t>
            </w:r>
            <w:r>
              <w:rPr>
                <w:rFonts w:ascii="Times New Roman" w:hAnsi="Times New Roman" w:cs="Times New Roman"/>
                <w:color w:val="000000" w:themeColor="text1"/>
                <w:sz w:val="24"/>
                <w:szCs w:val="24"/>
              </w:rPr>
              <w:t>全部失效，</w:t>
            </w:r>
            <w:r>
              <w:rPr>
                <w:rFonts w:hint="eastAsia" w:ascii="Times New Roman" w:hAnsi="Times New Roman" w:cs="Times New Roman"/>
                <w:color w:val="000000" w:themeColor="text1"/>
                <w:sz w:val="24"/>
                <w:szCs w:val="24"/>
              </w:rPr>
              <w:t>破碎车间产生的经收集后的粉尘未经处理通过排气筒有组织排放</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脉冲布袋除尘器失效非正常情形下</w:t>
            </w:r>
            <w:r>
              <w:rPr>
                <w:rFonts w:ascii="Times New Roman" w:hAnsi="Times New Roman" w:cs="Times New Roman"/>
                <w:color w:val="000000" w:themeColor="text1"/>
                <w:sz w:val="24"/>
                <w:szCs w:val="24"/>
              </w:rPr>
              <w:t>废气污染物排放源产排</w:t>
            </w:r>
            <w:r>
              <w:rPr>
                <w:rFonts w:hint="eastAsia" w:ascii="Times New Roman" w:hAnsi="Times New Roman" w:cs="Times New Roman"/>
                <w:color w:val="000000" w:themeColor="text1"/>
                <w:sz w:val="24"/>
                <w:szCs w:val="24"/>
              </w:rPr>
              <w:t>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9</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脉冲布袋除尘器失效非正常情形下</w:t>
            </w:r>
            <w:r>
              <w:rPr>
                <w:rFonts w:ascii="Times New Roman" w:hAnsi="Times New Roman" w:cs="Times New Roman"/>
                <w:b/>
                <w:color w:val="000000" w:themeColor="text1"/>
                <w:szCs w:val="24"/>
              </w:rPr>
              <w:t>废气污染物排放源产排量及达标情况一览表</w:t>
            </w:r>
          </w:p>
          <w:tbl>
            <w:tblPr>
              <w:tblStyle w:val="20"/>
              <w:tblW w:w="5000" w:type="pct"/>
              <w:tblInd w:w="0" w:type="dxa"/>
              <w:tblLayout w:type="fixed"/>
              <w:tblCellMar>
                <w:top w:w="0" w:type="dxa"/>
                <w:left w:w="108" w:type="dxa"/>
                <w:bottom w:w="0" w:type="dxa"/>
                <w:right w:w="108" w:type="dxa"/>
              </w:tblCellMar>
            </w:tblPr>
            <w:tblGrid>
              <w:gridCol w:w="683"/>
              <w:gridCol w:w="1004"/>
              <w:gridCol w:w="1002"/>
              <w:gridCol w:w="1290"/>
              <w:gridCol w:w="970"/>
              <w:gridCol w:w="816"/>
              <w:gridCol w:w="817"/>
              <w:gridCol w:w="2033"/>
            </w:tblGrid>
            <w:tr>
              <w:tblPrEx>
                <w:tblCellMar>
                  <w:top w:w="0" w:type="dxa"/>
                  <w:left w:w="108" w:type="dxa"/>
                  <w:bottom w:w="0" w:type="dxa"/>
                  <w:right w:w="108" w:type="dxa"/>
                </w:tblCellMar>
              </w:tblPrEx>
              <w:trPr>
                <w:trHeight w:val="576" w:hRule="atLeast"/>
              </w:trPr>
              <w:tc>
                <w:tcPr>
                  <w:tcW w:w="168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产排污环节</w:t>
                  </w:r>
                </w:p>
              </w:tc>
              <w:tc>
                <w:tcPr>
                  <w:tcW w:w="10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污染物种类</w:t>
                  </w:r>
                </w:p>
              </w:tc>
              <w:tc>
                <w:tcPr>
                  <w:tcW w:w="2255"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污染物排放量和浓度</w:t>
                  </w:r>
                </w:p>
              </w:tc>
              <w:tc>
                <w:tcPr>
                  <w:tcW w:w="814"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频次</w:t>
                  </w:r>
                </w:p>
              </w:tc>
              <w:tc>
                <w:tcPr>
                  <w:tcW w:w="815"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持续时间</w:t>
                  </w:r>
                </w:p>
              </w:tc>
              <w:tc>
                <w:tcPr>
                  <w:tcW w:w="20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措施</w:t>
                  </w:r>
                </w:p>
              </w:tc>
            </w:tr>
            <w:tr>
              <w:tblPrEx>
                <w:tblCellMar>
                  <w:top w:w="0" w:type="dxa"/>
                  <w:left w:w="108" w:type="dxa"/>
                  <w:bottom w:w="0" w:type="dxa"/>
                  <w:right w:w="108" w:type="dxa"/>
                </w:tblCellMar>
              </w:tblPrEx>
              <w:trPr>
                <w:trHeight w:val="588" w:hRule="atLeast"/>
              </w:trPr>
              <w:tc>
                <w:tcPr>
                  <w:tcW w:w="1683"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0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28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排放浓度mg/m³</w:t>
                  </w:r>
                </w:p>
              </w:tc>
              <w:tc>
                <w:tcPr>
                  <w:tcW w:w="968"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排放量kg/次</w:t>
                  </w:r>
                </w:p>
              </w:tc>
              <w:tc>
                <w:tcPr>
                  <w:tcW w:w="814" w:type="dxa"/>
                  <w:vMerge w:val="continue"/>
                  <w:tcBorders>
                    <w:top w:val="single" w:color="000000" w:sz="8" w:space="0"/>
                    <w:left w:val="single" w:color="000000" w:sz="8" w:space="0"/>
                    <w:bottom w:val="single" w:color="000000" w:sz="8" w:space="0"/>
                    <w:right w:val="single" w:color="auto" w:sz="4" w:space="0"/>
                  </w:tcBorders>
                  <w:vAlign w:val="center"/>
                </w:tcPr>
                <w:p>
                  <w:pPr>
                    <w:widowControl/>
                    <w:jc w:val="center"/>
                    <w:rPr>
                      <w:rFonts w:ascii="Times New Roman" w:hAnsi="Times New Roman" w:eastAsia="宋体" w:cs="Times New Roman"/>
                      <w:color w:val="000000" w:themeColor="text1"/>
                      <w:kern w:val="0"/>
                    </w:rPr>
                  </w:pPr>
                </w:p>
              </w:tc>
              <w:tc>
                <w:tcPr>
                  <w:tcW w:w="815" w:type="dxa"/>
                  <w:vMerge w:val="continue"/>
                  <w:tcBorders>
                    <w:top w:val="single" w:color="000000" w:sz="8" w:space="0"/>
                    <w:left w:val="single" w:color="auto" w:sz="4"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202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00" w:hRule="atLeast"/>
              </w:trPr>
              <w:tc>
                <w:tcPr>
                  <w:tcW w:w="681" w:type="dxa"/>
                  <w:vMerge w:val="restart"/>
                  <w:tcBorders>
                    <w:top w:val="nil"/>
                    <w:left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破碎车间</w:t>
                  </w:r>
                </w:p>
              </w:tc>
              <w:tc>
                <w:tcPr>
                  <w:tcW w:w="1002" w:type="dxa"/>
                  <w:vMerge w:val="restart"/>
                  <w:tcBorders>
                    <w:top w:val="nil"/>
                    <w:left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颚破、混合、粉碎和筛分</w:t>
                  </w:r>
                </w:p>
              </w:tc>
              <w:tc>
                <w:tcPr>
                  <w:tcW w:w="1000" w:type="dxa"/>
                  <w:tcBorders>
                    <w:top w:val="nil"/>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粉尘（有组织）</w:t>
                  </w:r>
                </w:p>
              </w:tc>
              <w:tc>
                <w:tcPr>
                  <w:tcW w:w="1287" w:type="dxa"/>
                  <w:tcBorders>
                    <w:top w:val="single" w:color="000000" w:sz="8" w:space="0"/>
                    <w:left w:val="nil"/>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89.69</w:t>
                  </w:r>
                </w:p>
              </w:tc>
              <w:tc>
                <w:tcPr>
                  <w:tcW w:w="968"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0.27</w:t>
                  </w:r>
                </w:p>
              </w:tc>
              <w:tc>
                <w:tcPr>
                  <w:tcW w:w="814"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1次</w:t>
                  </w:r>
                  <w:r>
                    <w:rPr>
                      <w:rFonts w:ascii="Times New Roman" w:hAnsi="Times New Roman" w:eastAsia="宋体" w:cs="Times New Roman"/>
                      <w:color w:val="000000" w:themeColor="text1"/>
                      <w:kern w:val="0"/>
                    </w:rPr>
                    <w:t>/a</w:t>
                  </w:r>
                </w:p>
              </w:tc>
              <w:tc>
                <w:tcPr>
                  <w:tcW w:w="815" w:type="dxa"/>
                  <w:vMerge w:val="restart"/>
                  <w:tcBorders>
                    <w:top w:val="nil"/>
                    <w:left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w:t>
                  </w:r>
                  <w:r>
                    <w:rPr>
                      <w:rFonts w:ascii="Times New Roman" w:hAnsi="Times New Roman" w:eastAsia="宋体" w:cs="Times New Roman"/>
                      <w:color w:val="000000" w:themeColor="text1"/>
                      <w:kern w:val="0"/>
                    </w:rPr>
                    <w:t>min/次</w:t>
                  </w:r>
                </w:p>
              </w:tc>
              <w:tc>
                <w:tcPr>
                  <w:tcW w:w="2028" w:type="dxa"/>
                  <w:vMerge w:val="restart"/>
                  <w:tcBorders>
                    <w:top w:val="nil"/>
                    <w:left w:val="nil"/>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立即</w:t>
                  </w:r>
                  <w:r>
                    <w:rPr>
                      <w:rFonts w:ascii="Times New Roman" w:hAnsi="Times New Roman" w:eastAsia="宋体" w:cs="Times New Roman"/>
                      <w:color w:val="000000" w:themeColor="text1"/>
                      <w:kern w:val="0"/>
                    </w:rPr>
                    <w:t>停机检修</w:t>
                  </w:r>
                </w:p>
              </w:tc>
            </w:tr>
            <w:tr>
              <w:tblPrEx>
                <w:tblCellMar>
                  <w:top w:w="0" w:type="dxa"/>
                  <w:left w:w="108" w:type="dxa"/>
                  <w:bottom w:w="0" w:type="dxa"/>
                  <w:right w:w="108" w:type="dxa"/>
                </w:tblCellMar>
              </w:tblPrEx>
              <w:trPr>
                <w:trHeight w:val="300" w:hRule="atLeast"/>
              </w:trPr>
              <w:tc>
                <w:tcPr>
                  <w:tcW w:w="681"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1002"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1000"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粉尘（无组织）</w:t>
                  </w:r>
                </w:p>
              </w:tc>
              <w:tc>
                <w:tcPr>
                  <w:tcW w:w="1287" w:type="dxa"/>
                  <w:tcBorders>
                    <w:top w:val="single" w:color="000000" w:sz="8" w:space="0"/>
                    <w:left w:val="nil"/>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w:t>
                  </w:r>
                </w:p>
              </w:tc>
              <w:tc>
                <w:tcPr>
                  <w:tcW w:w="968"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0.03</w:t>
                  </w:r>
                </w:p>
              </w:tc>
              <w:tc>
                <w:tcPr>
                  <w:tcW w:w="814"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815" w:type="dxa"/>
                  <w:vMerge w:val="continue"/>
                  <w:tcBorders>
                    <w:left w:val="single" w:color="auto" w:sz="4" w:space="0"/>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2028" w:type="dxa"/>
                  <w:vMerge w:val="continue"/>
                  <w:tcBorders>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w:t>
            </w:r>
            <w:r>
              <w:rPr>
                <w:rFonts w:hint="eastAsia" w:ascii="Times New Roman" w:hAnsi="Times New Roman" w:cs="Times New Roman"/>
                <w:color w:val="000000" w:themeColor="text1"/>
                <w:sz w:val="24"/>
                <w:szCs w:val="24"/>
              </w:rPr>
              <w:t>项目废气主要包括页岩采装过程扬尘、原料卸料扬尘、堆场扬尘、原料输送过程扬尘、破碎车间粉尘、焙烧烟气；页岩采装过程扬尘、原料卸料扬尘、堆场扬尘、原料输送过程扬尘经各自配套的环保措施处置后无组织排放；项目破碎车间颚破、混合、粉碎和筛分四个环节均进行密闭，并设置集气罩，将粉尘进行有效收集，收集后统一通过1台脉冲布袋除尘器进行处理，处理后通过</w:t>
            </w:r>
            <w:r>
              <w:rPr>
                <w:rFonts w:ascii="Times New Roman" w:hAnsi="Times New Roman" w:cs="Times New Roman"/>
                <w:color w:val="000000" w:themeColor="text1"/>
                <w:sz w:val="24"/>
                <w:szCs w:val="24"/>
              </w:rPr>
              <w:t>1根</w:t>
            </w:r>
            <w:r>
              <w:rPr>
                <w:rFonts w:hint="eastAsia" w:ascii="Times New Roman" w:hAnsi="Times New Roman" w:cs="Times New Roman"/>
                <w:color w:val="000000" w:themeColor="text1"/>
                <w:sz w:val="24"/>
                <w:szCs w:val="24"/>
              </w:rPr>
              <w:t>15m高</w:t>
            </w:r>
            <w:r>
              <w:rPr>
                <w:rFonts w:ascii="Times New Roman" w:hAnsi="Times New Roman" w:cs="Times New Roman"/>
                <w:color w:val="000000" w:themeColor="text1"/>
                <w:sz w:val="24"/>
                <w:szCs w:val="24"/>
              </w:rPr>
              <w:t>排气筒（DA001）外排</w:t>
            </w:r>
            <w:r>
              <w:rPr>
                <w:rFonts w:hint="eastAsia" w:ascii="Times New Roman" w:hAnsi="Times New Roman" w:cs="Times New Roman"/>
                <w:color w:val="000000" w:themeColor="text1"/>
                <w:sz w:val="24"/>
                <w:szCs w:val="24"/>
              </w:rPr>
              <w:t>，无法收集部分，无组织排放；</w:t>
            </w:r>
            <w:r>
              <w:rPr>
                <w:rFonts w:ascii="Times New Roman" w:hAnsi="Times New Roman" w:cs="Times New Roman"/>
                <w:color w:val="000000" w:themeColor="text1"/>
                <w:sz w:val="24"/>
                <w:szCs w:val="24"/>
              </w:rPr>
              <w:t>项目拟设置1套脱硫除尘系统对焙烧工序产生的废气进行处理，该脱硫除尘系统采用钠碱双碱还原法脱硫除尘工艺，烟尘去除率85%、二氧化硫去除率为90%、氟化物去除率为70%，处理后的烟气通过18m高（DA002）的排气筒外排</w:t>
            </w:r>
            <w:r>
              <w:rPr>
                <w:rFonts w:hint="eastAsia" w:ascii="Times New Roman" w:hAnsi="Times New Roman" w:cs="Times New Roman"/>
                <w:color w:val="000000" w:themeColor="text1"/>
                <w:sz w:val="24"/>
                <w:szCs w:val="24"/>
              </w:rPr>
              <w:t>；项目有组织和无组织废气均可达到</w:t>
            </w:r>
            <w:r>
              <w:rPr>
                <w:rFonts w:ascii="Times New Roman" w:hAnsi="Times New Roman" w:cs="Times New Roman"/>
                <w:color w:val="000000" w:themeColor="text1"/>
                <w:sz w:val="24"/>
                <w:szCs w:val="24"/>
              </w:rPr>
              <w:t>《砖瓦工业大气污染物排放标准》（GB29620-2013）</w:t>
            </w:r>
            <w:r>
              <w:rPr>
                <w:rFonts w:hint="eastAsia" w:ascii="Times New Roman" w:hAnsi="Times New Roman" w:cs="Times New Roman"/>
                <w:color w:val="000000" w:themeColor="text1"/>
                <w:sz w:val="24"/>
                <w:szCs w:val="24"/>
              </w:rPr>
              <w:t>及其修改单要求；</w:t>
            </w:r>
            <w:r>
              <w:rPr>
                <w:rFonts w:ascii="Times New Roman" w:hAnsi="Times New Roman" w:cs="Times New Roman"/>
                <w:color w:val="000000" w:themeColor="text1"/>
                <w:sz w:val="24"/>
                <w:szCs w:val="24"/>
              </w:rPr>
              <w:t>项目区厨房安装一个最低去除率60%的油烟净化器，经油烟净化器处理后的厨房油烟可达到《饮食业油烟排放标准》（GB18483-2001）（试行）小型标准</w:t>
            </w:r>
            <w:r>
              <w:rPr>
                <w:rFonts w:hint="eastAsia" w:ascii="Times New Roman" w:hAnsi="Times New Roman" w:cs="Times New Roman"/>
                <w:color w:val="000000" w:themeColor="text1"/>
                <w:sz w:val="24"/>
                <w:szCs w:val="24"/>
              </w:rPr>
              <w:t>，通过</w:t>
            </w:r>
            <w:r>
              <w:rPr>
                <w:rFonts w:ascii="Times New Roman" w:hAnsi="Times New Roman" w:cs="Times New Roman"/>
                <w:color w:val="000000" w:themeColor="text1"/>
                <w:sz w:val="24"/>
                <w:szCs w:val="24"/>
              </w:rPr>
              <w:t>高于房顶1.5m的烟道外排。</w:t>
            </w:r>
            <w:r>
              <w:rPr>
                <w:rFonts w:hint="eastAsia" w:ascii="Times New Roman" w:hAnsi="Times New Roman" w:cs="Times New Roman"/>
                <w:color w:val="000000" w:themeColor="text1"/>
                <w:sz w:val="24"/>
                <w:szCs w:val="24"/>
              </w:rPr>
              <w:t>且</w:t>
            </w:r>
            <w:r>
              <w:rPr>
                <w:rFonts w:ascii="Times New Roman" w:hAnsi="Times New Roman" w:cs="Times New Roman"/>
                <w:color w:val="000000" w:themeColor="text1"/>
                <w:sz w:val="24"/>
                <w:szCs w:val="24"/>
              </w:rPr>
              <w:t>项目位于环境空气质量达标区，</w:t>
            </w:r>
            <w:r>
              <w:rPr>
                <w:rFonts w:hint="eastAsia" w:ascii="Times New Roman" w:hAnsi="Times New Roman" w:cs="Times New Roman"/>
                <w:color w:val="000000" w:themeColor="text1"/>
                <w:sz w:val="24"/>
                <w:szCs w:val="24"/>
              </w:rPr>
              <w:t>项目所在区域基本污染因子和特征污染因子环境质量现状均可达到</w:t>
            </w:r>
            <w:r>
              <w:rPr>
                <w:rFonts w:ascii="Times New Roman" w:hAnsi="Times New Roman" w:cs="Times New Roman"/>
                <w:color w:val="000000" w:themeColor="text1"/>
                <w:sz w:val="24"/>
                <w:szCs w:val="24"/>
              </w:rPr>
              <w:t>《环境空气质量标准》（GB3095-2012）二级标准</w:t>
            </w:r>
            <w:r>
              <w:rPr>
                <w:rFonts w:hint="eastAsia" w:ascii="Times New Roman" w:hAnsi="Times New Roman" w:cs="Times New Roman"/>
                <w:color w:val="000000" w:themeColor="text1"/>
                <w:sz w:val="24"/>
                <w:szCs w:val="24"/>
              </w:rPr>
              <w:t>；而距离项目较近的环境保护目标西南</w:t>
            </w:r>
            <w:r>
              <w:rPr>
                <w:rFonts w:ascii="Times New Roman" w:hAnsi="Times New Roman" w:cs="Times New Roman"/>
                <w:color w:val="000000" w:themeColor="text1"/>
                <w:sz w:val="24"/>
                <w:szCs w:val="24"/>
              </w:rPr>
              <w:t>侧</w:t>
            </w:r>
            <w:r>
              <w:rPr>
                <w:rFonts w:hint="eastAsia" w:ascii="Times New Roman" w:hAnsi="Times New Roman" w:cs="Times New Roman"/>
                <w:color w:val="000000" w:themeColor="text1"/>
                <w:sz w:val="24"/>
                <w:szCs w:val="24"/>
              </w:rPr>
              <w:t>78</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新民村位于项目区上风向，而下风向和侧风向的西北侧379m的</w:t>
            </w:r>
            <w:r>
              <w:rPr>
                <w:rFonts w:ascii="Times New Roman" w:hAnsi="Times New Roman" w:cs="Times New Roman"/>
                <w:color w:val="000000" w:themeColor="text1"/>
                <w:sz w:val="24"/>
                <w:szCs w:val="24"/>
              </w:rPr>
              <w:t>下村</w:t>
            </w:r>
            <w:r>
              <w:rPr>
                <w:rFonts w:hint="eastAsia" w:ascii="Times New Roman" w:hAnsi="Times New Roman" w:cs="Times New Roman"/>
                <w:color w:val="000000" w:themeColor="text1"/>
                <w:sz w:val="24"/>
                <w:szCs w:val="24"/>
              </w:rPr>
              <w:t>、西北侧492</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干沟边</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北侧</w:t>
            </w:r>
            <w:r>
              <w:rPr>
                <w:rFonts w:hint="eastAsia" w:ascii="Times New Roman" w:hAnsi="Times New Roman" w:cs="Times New Roman"/>
                <w:color w:val="000000" w:themeColor="text1"/>
                <w:sz w:val="24"/>
                <w:szCs w:val="24"/>
              </w:rPr>
              <w:t>238</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老村子</w:t>
            </w:r>
            <w:r>
              <w:rPr>
                <w:rFonts w:hint="eastAsia" w:ascii="Times New Roman" w:hAnsi="Times New Roman" w:cs="Times New Roman"/>
                <w:color w:val="000000" w:themeColor="text1"/>
                <w:sz w:val="24"/>
                <w:szCs w:val="24"/>
              </w:rPr>
              <w:t>均距离本项目较远，因此项目废气对环境保护目标影响较小。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根据项目水平衡计算可知，</w:t>
            </w:r>
            <w:r>
              <w:rPr>
                <w:rFonts w:ascii="Times New Roman" w:hAnsi="Times New Roman" w:cs="Times New Roman"/>
                <w:color w:val="000000" w:themeColor="text1"/>
                <w:sz w:val="24"/>
              </w:rPr>
              <w:t>项目供排水统计情况详见下表。</w:t>
            </w:r>
          </w:p>
          <w:p>
            <w:pPr>
              <w:jc w:val="center"/>
              <w:rPr>
                <w:rFonts w:ascii="Times New Roman" w:cs="Times New Roman"/>
                <w:b/>
                <w:color w:val="000000" w:themeColor="text1"/>
                <w:szCs w:val="24"/>
              </w:rPr>
            </w:pPr>
            <w:r>
              <w:rPr>
                <w:rFonts w:ascii="Times New Roman" w:cs="Times New Roman"/>
                <w:b/>
                <w:color w:val="000000" w:themeColor="text1"/>
                <w:szCs w:val="24"/>
              </w:rPr>
              <w:t>表</w:t>
            </w:r>
            <w:r>
              <w:rPr>
                <w:rFonts w:hint="eastAsia" w:ascii="Times New Roman" w:cs="Times New Roman"/>
                <w:b/>
                <w:color w:val="000000" w:themeColor="text1"/>
                <w:szCs w:val="24"/>
              </w:rPr>
              <w:t>4.2.2-1</w:t>
            </w:r>
            <w:r>
              <w:rPr>
                <w:rFonts w:ascii="Times New Roman" w:cs="Times New Roman"/>
                <w:b/>
                <w:color w:val="000000" w:themeColor="text1"/>
                <w:szCs w:val="24"/>
              </w:rPr>
              <w:t xml:space="preserve"> 项目废水总产排情况一览表（单位：m³/d）</w:t>
            </w:r>
          </w:p>
          <w:tbl>
            <w:tblPr>
              <w:tblStyle w:val="20"/>
              <w:tblW w:w="5000" w:type="pct"/>
              <w:tblInd w:w="0" w:type="dxa"/>
              <w:tblLayout w:type="fixed"/>
              <w:tblCellMar>
                <w:top w:w="0" w:type="dxa"/>
                <w:left w:w="108" w:type="dxa"/>
                <w:bottom w:w="0" w:type="dxa"/>
                <w:right w:w="108" w:type="dxa"/>
              </w:tblCellMar>
            </w:tblPr>
            <w:tblGrid>
              <w:gridCol w:w="1291"/>
              <w:gridCol w:w="1714"/>
              <w:gridCol w:w="1420"/>
              <w:gridCol w:w="995"/>
              <w:gridCol w:w="994"/>
              <w:gridCol w:w="1287"/>
              <w:gridCol w:w="913"/>
            </w:tblGrid>
            <w:tr>
              <w:tblPrEx>
                <w:tblCellMar>
                  <w:top w:w="0" w:type="dxa"/>
                  <w:left w:w="108" w:type="dxa"/>
                  <w:bottom w:w="0" w:type="dxa"/>
                  <w:right w:w="108" w:type="dxa"/>
                </w:tblCellMar>
              </w:tblPrEx>
              <w:trPr>
                <w:trHeight w:val="125" w:hRule="atLeast"/>
              </w:trPr>
              <w:tc>
                <w:tcPr>
                  <w:tcW w:w="128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用水单元</w:t>
                  </w:r>
                </w:p>
              </w:tc>
              <w:tc>
                <w:tcPr>
                  <w:tcW w:w="171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规模</w:t>
                  </w:r>
                </w:p>
              </w:tc>
              <w:tc>
                <w:tcPr>
                  <w:tcW w:w="141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用水定额</w:t>
                  </w:r>
                </w:p>
              </w:tc>
              <w:tc>
                <w:tcPr>
                  <w:tcW w:w="1985"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kern w:val="0"/>
                    </w:rPr>
                  </w:pPr>
                  <w:r>
                    <w:rPr>
                      <w:color w:val="000000" w:themeColor="text1"/>
                      <w:kern w:val="0"/>
                    </w:rPr>
                    <w:t>总用水量</w:t>
                  </w:r>
                </w:p>
              </w:tc>
              <w:tc>
                <w:tcPr>
                  <w:tcW w:w="2195"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kern w:val="0"/>
                    </w:rPr>
                  </w:pPr>
                  <w:r>
                    <w:rPr>
                      <w:color w:val="000000" w:themeColor="text1"/>
                      <w:kern w:val="0"/>
                    </w:rPr>
                    <w:t>废水量</w:t>
                  </w:r>
                </w:p>
              </w:tc>
            </w:tr>
            <w:tr>
              <w:tblPrEx>
                <w:tblCellMar>
                  <w:top w:w="0" w:type="dxa"/>
                  <w:left w:w="108" w:type="dxa"/>
                  <w:bottom w:w="0" w:type="dxa"/>
                  <w:right w:w="108" w:type="dxa"/>
                </w:tblCellMar>
              </w:tblPrEx>
              <w:trPr>
                <w:trHeight w:val="201" w:hRule="atLeast"/>
              </w:trPr>
              <w:tc>
                <w:tcPr>
                  <w:tcW w:w="1288"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p>
              </w:tc>
              <w:tc>
                <w:tcPr>
                  <w:tcW w:w="1710"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p>
              </w:tc>
              <w:tc>
                <w:tcPr>
                  <w:tcW w:w="1417"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m³/d</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m³/a</w:t>
                  </w:r>
                </w:p>
              </w:tc>
              <w:tc>
                <w:tcPr>
                  <w:tcW w:w="128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m³/d</w:t>
                  </w:r>
                </w:p>
              </w:tc>
              <w:tc>
                <w:tcPr>
                  <w:tcW w:w="91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m³/a</w:t>
                  </w:r>
                </w:p>
              </w:tc>
            </w:tr>
            <w:tr>
              <w:tblPrEx>
                <w:tblCellMar>
                  <w:top w:w="0" w:type="dxa"/>
                  <w:left w:w="108" w:type="dxa"/>
                  <w:bottom w:w="0" w:type="dxa"/>
                  <w:right w:w="108" w:type="dxa"/>
                </w:tblCellMar>
              </w:tblPrEx>
              <w:trPr>
                <w:trHeight w:val="201" w:hRule="atLeast"/>
              </w:trPr>
              <w:tc>
                <w:tcPr>
                  <w:tcW w:w="1288"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洒水抑尘</w:t>
                  </w:r>
                </w:p>
              </w:tc>
              <w:tc>
                <w:tcPr>
                  <w:tcW w:w="171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1417"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3</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900</w:t>
                  </w:r>
                </w:p>
              </w:tc>
              <w:tc>
                <w:tcPr>
                  <w:tcW w:w="128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c>
                <w:tcPr>
                  <w:tcW w:w="91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r>
            <w:tr>
              <w:tblPrEx>
                <w:tblCellMar>
                  <w:top w:w="0" w:type="dxa"/>
                  <w:left w:w="108" w:type="dxa"/>
                  <w:bottom w:w="0" w:type="dxa"/>
                  <w:right w:w="108" w:type="dxa"/>
                </w:tblCellMar>
              </w:tblPrEx>
              <w:trPr>
                <w:trHeight w:val="127" w:hRule="atLeast"/>
              </w:trPr>
              <w:tc>
                <w:tcPr>
                  <w:tcW w:w="128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生产用水</w:t>
                  </w:r>
                </w:p>
              </w:tc>
              <w:tc>
                <w:tcPr>
                  <w:tcW w:w="171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1417"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66.54</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19960</w:t>
                  </w:r>
                </w:p>
              </w:tc>
              <w:tc>
                <w:tcPr>
                  <w:tcW w:w="128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c>
                <w:tcPr>
                  <w:tcW w:w="91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r>
            <w:tr>
              <w:tblPrEx>
                <w:tblCellMar>
                  <w:top w:w="0" w:type="dxa"/>
                  <w:left w:w="108" w:type="dxa"/>
                  <w:bottom w:w="0" w:type="dxa"/>
                  <w:right w:w="108" w:type="dxa"/>
                </w:tblCellMar>
              </w:tblPrEx>
              <w:trPr>
                <w:trHeight w:val="137" w:hRule="atLeast"/>
              </w:trPr>
              <w:tc>
                <w:tcPr>
                  <w:tcW w:w="1288" w:type="dxa"/>
                  <w:tcBorders>
                    <w:top w:val="single" w:color="auto" w:sz="4" w:space="0"/>
                    <w:left w:val="single" w:color="auto" w:sz="8" w:space="0"/>
                    <w:bottom w:val="single" w:color="auto" w:sz="4" w:space="0"/>
                    <w:right w:val="single" w:color="auto" w:sz="8" w:space="0"/>
                  </w:tcBorders>
                  <w:vAlign w:val="center"/>
                </w:tcPr>
                <w:p>
                  <w:pPr>
                    <w:pStyle w:val="32"/>
                    <w:spacing w:line="360" w:lineRule="exact"/>
                    <w:rPr>
                      <w:color w:val="000000" w:themeColor="text1"/>
                      <w:kern w:val="0"/>
                    </w:rPr>
                  </w:pPr>
                  <w:r>
                    <w:rPr>
                      <w:color w:val="000000" w:themeColor="text1"/>
                      <w:kern w:val="0"/>
                    </w:rPr>
                    <w:t>绿化用水</w:t>
                  </w:r>
                </w:p>
              </w:tc>
              <w:tc>
                <w:tcPr>
                  <w:tcW w:w="171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1</w:t>
                  </w:r>
                  <w:r>
                    <w:rPr>
                      <w:rFonts w:hint="eastAsia"/>
                      <w:color w:val="000000" w:themeColor="text1"/>
                      <w:kern w:val="0"/>
                    </w:rPr>
                    <w:t>500</w:t>
                  </w:r>
                  <w:r>
                    <w:rPr>
                      <w:color w:val="000000" w:themeColor="text1"/>
                      <w:kern w:val="0"/>
                    </w:rPr>
                    <w:t>m²</w:t>
                  </w:r>
                </w:p>
              </w:tc>
              <w:tc>
                <w:tcPr>
                  <w:tcW w:w="1417"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3L/（m²·次）</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4.5</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1147.5</w:t>
                  </w:r>
                </w:p>
              </w:tc>
              <w:tc>
                <w:tcPr>
                  <w:tcW w:w="128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0</w:t>
                  </w:r>
                </w:p>
              </w:tc>
              <w:tc>
                <w:tcPr>
                  <w:tcW w:w="91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0</w:t>
                  </w:r>
                </w:p>
              </w:tc>
            </w:tr>
            <w:tr>
              <w:tblPrEx>
                <w:tblCellMar>
                  <w:top w:w="0" w:type="dxa"/>
                  <w:left w:w="108" w:type="dxa"/>
                  <w:bottom w:w="0" w:type="dxa"/>
                  <w:right w:w="108" w:type="dxa"/>
                </w:tblCellMar>
              </w:tblPrEx>
              <w:trPr>
                <w:trHeight w:val="285" w:hRule="atLeast"/>
              </w:trPr>
              <w:tc>
                <w:tcPr>
                  <w:tcW w:w="1288" w:type="dxa"/>
                  <w:tcBorders>
                    <w:top w:val="single" w:color="auto" w:sz="4"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脱硫用水</w:t>
                  </w:r>
                </w:p>
              </w:tc>
              <w:tc>
                <w:tcPr>
                  <w:tcW w:w="171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1417"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9</w:t>
                  </w:r>
                  <w:r>
                    <w:rPr>
                      <w:color w:val="000000" w:themeColor="text1"/>
                      <w:kern w:val="0"/>
                    </w:rPr>
                    <w:t>0</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27000</w:t>
                  </w:r>
                </w:p>
              </w:tc>
              <w:tc>
                <w:tcPr>
                  <w:tcW w:w="128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20</w:t>
                  </w:r>
                </w:p>
              </w:tc>
              <w:tc>
                <w:tcPr>
                  <w:tcW w:w="91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6000</w:t>
                  </w:r>
                </w:p>
              </w:tc>
            </w:tr>
            <w:tr>
              <w:tblPrEx>
                <w:tblCellMar>
                  <w:top w:w="0" w:type="dxa"/>
                  <w:left w:w="108" w:type="dxa"/>
                  <w:bottom w:w="0" w:type="dxa"/>
                  <w:right w:w="108" w:type="dxa"/>
                </w:tblCellMar>
              </w:tblPrEx>
              <w:trPr>
                <w:trHeight w:val="67" w:hRule="atLeast"/>
              </w:trPr>
              <w:tc>
                <w:tcPr>
                  <w:tcW w:w="1288" w:type="dxa"/>
                  <w:vMerge w:val="restart"/>
                  <w:tcBorders>
                    <w:top w:val="single" w:color="auto" w:sz="4" w:space="0"/>
                    <w:left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 xml:space="preserve"> 生活用水</w:t>
                  </w:r>
                </w:p>
              </w:tc>
              <w:tc>
                <w:tcPr>
                  <w:tcW w:w="171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10</w:t>
                  </w:r>
                  <w:r>
                    <w:rPr>
                      <w:color w:val="000000" w:themeColor="text1"/>
                      <w:kern w:val="0"/>
                    </w:rPr>
                    <w:t>人</w:t>
                  </w:r>
                  <w:r>
                    <w:rPr>
                      <w:rFonts w:hint="eastAsia"/>
                      <w:color w:val="000000" w:themeColor="text1"/>
                      <w:kern w:val="0"/>
                    </w:rPr>
                    <w:t>（食宿）</w:t>
                  </w: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100L/d·人</w:t>
                  </w:r>
                </w:p>
              </w:tc>
              <w:tc>
                <w:tcPr>
                  <w:tcW w:w="993" w:type="dxa"/>
                  <w:vMerge w:val="restart"/>
                  <w:tcBorders>
                    <w:top w:val="nil"/>
                    <w:left w:val="nil"/>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1.6</w:t>
                  </w:r>
                </w:p>
              </w:tc>
              <w:tc>
                <w:tcPr>
                  <w:tcW w:w="992" w:type="dxa"/>
                  <w:vMerge w:val="restart"/>
                  <w:tcBorders>
                    <w:top w:val="nil"/>
                    <w:left w:val="nil"/>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480</w:t>
                  </w:r>
                </w:p>
              </w:tc>
              <w:tc>
                <w:tcPr>
                  <w:tcW w:w="1284" w:type="dxa"/>
                  <w:vMerge w:val="restart"/>
                  <w:tcBorders>
                    <w:top w:val="nil"/>
                    <w:left w:val="nil"/>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1.28</w:t>
                  </w:r>
                </w:p>
              </w:tc>
              <w:tc>
                <w:tcPr>
                  <w:tcW w:w="911" w:type="dxa"/>
                  <w:vMerge w:val="restart"/>
                  <w:tcBorders>
                    <w:top w:val="nil"/>
                    <w:left w:val="nil"/>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384</w:t>
                  </w:r>
                </w:p>
              </w:tc>
            </w:tr>
            <w:tr>
              <w:tblPrEx>
                <w:tblCellMar>
                  <w:top w:w="0" w:type="dxa"/>
                  <w:left w:w="108" w:type="dxa"/>
                  <w:bottom w:w="0" w:type="dxa"/>
                  <w:right w:w="108" w:type="dxa"/>
                </w:tblCellMar>
              </w:tblPrEx>
              <w:trPr>
                <w:trHeight w:val="67" w:hRule="atLeast"/>
              </w:trPr>
              <w:tc>
                <w:tcPr>
                  <w:tcW w:w="1288" w:type="dxa"/>
                  <w:vMerge w:val="continue"/>
                  <w:tcBorders>
                    <w:left w:val="single" w:color="auto" w:sz="8" w:space="0"/>
                    <w:bottom w:val="single" w:color="auto" w:sz="8" w:space="0"/>
                    <w:right w:val="single" w:color="auto" w:sz="8" w:space="0"/>
                  </w:tcBorders>
                  <w:shd w:val="clear" w:color="auto" w:fill="auto"/>
                  <w:vAlign w:val="center"/>
                </w:tcPr>
                <w:p>
                  <w:pPr>
                    <w:pStyle w:val="32"/>
                    <w:spacing w:line="360" w:lineRule="exact"/>
                    <w:rPr>
                      <w:color w:val="000000" w:themeColor="text1"/>
                      <w:kern w:val="0"/>
                    </w:rPr>
                  </w:pPr>
                </w:p>
              </w:tc>
              <w:tc>
                <w:tcPr>
                  <w:tcW w:w="171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10</w:t>
                  </w:r>
                  <w:r>
                    <w:rPr>
                      <w:color w:val="000000" w:themeColor="text1"/>
                      <w:kern w:val="0"/>
                    </w:rPr>
                    <w:t>人</w:t>
                  </w:r>
                  <w:r>
                    <w:rPr>
                      <w:rFonts w:hint="eastAsia"/>
                      <w:color w:val="000000" w:themeColor="text1"/>
                      <w:kern w:val="0"/>
                    </w:rPr>
                    <w:t>（不住宿）</w:t>
                  </w: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60L/d·人</w:t>
                  </w:r>
                </w:p>
              </w:tc>
              <w:tc>
                <w:tcPr>
                  <w:tcW w:w="993" w:type="dxa"/>
                  <w:vMerge w:val="continue"/>
                  <w:tcBorders>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p>
              </w:tc>
              <w:tc>
                <w:tcPr>
                  <w:tcW w:w="992" w:type="dxa"/>
                  <w:vMerge w:val="continue"/>
                  <w:tcBorders>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p>
              </w:tc>
              <w:tc>
                <w:tcPr>
                  <w:tcW w:w="1284" w:type="dxa"/>
                  <w:vMerge w:val="continue"/>
                  <w:tcBorders>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p>
              </w:tc>
              <w:tc>
                <w:tcPr>
                  <w:tcW w:w="911" w:type="dxa"/>
                  <w:vMerge w:val="continue"/>
                  <w:tcBorders>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p>
              </w:tc>
            </w:tr>
            <w:tr>
              <w:tblPrEx>
                <w:tblCellMar>
                  <w:top w:w="0" w:type="dxa"/>
                  <w:left w:w="108" w:type="dxa"/>
                  <w:bottom w:w="0" w:type="dxa"/>
                  <w:right w:w="108" w:type="dxa"/>
                </w:tblCellMar>
              </w:tblPrEx>
              <w:trPr>
                <w:trHeight w:val="67" w:hRule="atLeast"/>
              </w:trPr>
              <w:tc>
                <w:tcPr>
                  <w:tcW w:w="1288" w:type="dxa"/>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初期雨水</w:t>
                  </w:r>
                </w:p>
              </w:tc>
              <w:tc>
                <w:tcPr>
                  <w:tcW w:w="171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w:t>
                  </w: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c>
                <w:tcPr>
                  <w:tcW w:w="128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45.99</w:t>
                  </w:r>
                  <w:r>
                    <w:rPr>
                      <w:color w:val="000000" w:themeColor="text1"/>
                      <w:kern w:val="0"/>
                    </w:rPr>
                    <w:t>m³/次</w:t>
                  </w:r>
                </w:p>
              </w:tc>
              <w:tc>
                <w:tcPr>
                  <w:tcW w:w="91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w:t>
                  </w:r>
                </w:p>
              </w:tc>
            </w:tr>
            <w:tr>
              <w:tblPrEx>
                <w:tblCellMar>
                  <w:top w:w="0" w:type="dxa"/>
                  <w:left w:w="108" w:type="dxa"/>
                  <w:bottom w:w="0" w:type="dxa"/>
                  <w:right w:w="108" w:type="dxa"/>
                </w:tblCellMar>
              </w:tblPrEx>
              <w:trPr>
                <w:trHeight w:val="285" w:hRule="atLeast"/>
              </w:trPr>
              <w:tc>
                <w:tcPr>
                  <w:tcW w:w="4415"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合计</w:t>
                  </w:r>
                </w:p>
              </w:tc>
              <w:tc>
                <w:tcPr>
                  <w:tcW w:w="993"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000000" w:themeColor="text1"/>
                      <w:kern w:val="0"/>
                    </w:rPr>
                  </w:pPr>
                  <w:r>
                    <w:rPr>
                      <w:color w:val="000000" w:themeColor="text1"/>
                      <w:kern w:val="0"/>
                    </w:rPr>
                    <w:t>165.6</w:t>
                  </w:r>
                  <w:r>
                    <w:rPr>
                      <w:rFonts w:hint="eastAsia"/>
                      <w:color w:val="000000" w:themeColor="text1"/>
                      <w:kern w:val="0"/>
                    </w:rPr>
                    <w:t>4</w:t>
                  </w:r>
                </w:p>
              </w:tc>
              <w:tc>
                <w:tcPr>
                  <w:tcW w:w="992"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000000" w:themeColor="text1"/>
                      <w:kern w:val="0"/>
                    </w:rPr>
                  </w:pPr>
                  <w:r>
                    <w:rPr>
                      <w:color w:val="000000" w:themeColor="text1"/>
                      <w:kern w:val="0"/>
                    </w:rPr>
                    <w:t>49487.5</w:t>
                  </w:r>
                </w:p>
              </w:tc>
              <w:tc>
                <w:tcPr>
                  <w:tcW w:w="1284"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000000" w:themeColor="text1"/>
                      <w:kern w:val="0"/>
                    </w:rPr>
                  </w:pPr>
                  <w:r>
                    <w:rPr>
                      <w:color w:val="000000" w:themeColor="text1"/>
                      <w:kern w:val="0"/>
                    </w:rPr>
                    <w:t>21.28</w:t>
                  </w:r>
                </w:p>
              </w:tc>
              <w:tc>
                <w:tcPr>
                  <w:tcW w:w="911"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000000" w:themeColor="text1"/>
                      <w:kern w:val="0"/>
                    </w:rPr>
                  </w:pPr>
                  <w:r>
                    <w:rPr>
                      <w:color w:val="000000" w:themeColor="text1"/>
                      <w:kern w:val="0"/>
                    </w:rPr>
                    <w:t>6384</w:t>
                  </w:r>
                </w:p>
              </w:tc>
            </w:tr>
            <w:tr>
              <w:tblPrEx>
                <w:tblCellMar>
                  <w:top w:w="0" w:type="dxa"/>
                  <w:left w:w="108" w:type="dxa"/>
                  <w:bottom w:w="0" w:type="dxa"/>
                  <w:right w:w="108" w:type="dxa"/>
                </w:tblCellMar>
              </w:tblPrEx>
              <w:trPr>
                <w:trHeight w:val="285" w:hRule="atLeast"/>
              </w:trPr>
              <w:tc>
                <w:tcPr>
                  <w:tcW w:w="8595" w:type="dxa"/>
                  <w:gridSpan w:val="7"/>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ind w:firstLine="210" w:firstLineChars="100"/>
                    <w:jc w:val="left"/>
                    <w:rPr>
                      <w:color w:val="000000" w:themeColor="text1"/>
                      <w:kern w:val="0"/>
                    </w:rPr>
                  </w:pPr>
                  <w:r>
                    <w:rPr>
                      <w:rFonts w:hint="eastAsia"/>
                      <w:color w:val="000000" w:themeColor="text1"/>
                      <w:kern w:val="0"/>
                    </w:rPr>
                    <w:t>备注：初期雨水具有偶然性，不纳入总量统计。</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1"/>
              <w:gridCol w:w="719"/>
              <w:gridCol w:w="1189"/>
              <w:gridCol w:w="3896"/>
              <w:gridCol w:w="948"/>
              <w:gridCol w:w="11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产排污环节</w:t>
                  </w:r>
                </w:p>
              </w:tc>
              <w:tc>
                <w:tcPr>
                  <w:tcW w:w="74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类别</w:t>
                  </w:r>
                </w:p>
              </w:tc>
              <w:tc>
                <w:tcPr>
                  <w:tcW w:w="12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污染物种类</w:t>
                  </w:r>
                </w:p>
              </w:tc>
              <w:tc>
                <w:tcPr>
                  <w:tcW w:w="412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992"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11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772"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脱硫系统</w:t>
                  </w:r>
                </w:p>
              </w:tc>
              <w:tc>
                <w:tcPr>
                  <w:tcW w:w="748"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脱硫废水</w:t>
                  </w:r>
                </w:p>
              </w:tc>
              <w:tc>
                <w:tcPr>
                  <w:tcW w:w="12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4120" w:type="dxa"/>
                  <w:vMerge w:val="restart"/>
                  <w:vAlign w:val="center"/>
                </w:tcPr>
                <w:p>
                  <w:pPr>
                    <w:pStyle w:val="32"/>
                    <w:spacing w:line="360" w:lineRule="exact"/>
                    <w:ind w:firstLine="210" w:firstLineChars="100"/>
                    <w:jc w:val="both"/>
                    <w:rPr>
                      <w:rFonts w:eastAsiaTheme="minorEastAsia"/>
                      <w:color w:val="000000" w:themeColor="text1"/>
                      <w:szCs w:val="21"/>
                    </w:rPr>
                  </w:pPr>
                  <w:r>
                    <w:rPr>
                      <w:rFonts w:hint="eastAsia"/>
                      <w:color w:val="000000" w:themeColor="text1"/>
                      <w:szCs w:val="21"/>
                    </w:rPr>
                    <w:t>项目拟单独配套设置1个30</w:t>
                  </w:r>
                  <w:r>
                    <w:rPr>
                      <w:color w:val="000000" w:themeColor="text1"/>
                      <w:szCs w:val="21"/>
                    </w:rPr>
                    <w:t>m³</w:t>
                  </w:r>
                  <w:r>
                    <w:rPr>
                      <w:rFonts w:hint="eastAsia"/>
                      <w:color w:val="000000" w:themeColor="text1"/>
                      <w:szCs w:val="21"/>
                    </w:rPr>
                    <w:t>的脱硫废水沉淀池对脱硫废水进行收集沉淀处理，并调节其pH值后，用于生产，不外排。</w:t>
                  </w:r>
                </w:p>
              </w:tc>
              <w:tc>
                <w:tcPr>
                  <w:tcW w:w="992"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不外排</w:t>
                  </w:r>
                </w:p>
              </w:tc>
              <w:tc>
                <w:tcPr>
                  <w:tcW w:w="1165"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2" w:type="dxa"/>
                  <w:vMerge w:val="continue"/>
                  <w:vAlign w:val="center"/>
                </w:tcPr>
                <w:p>
                  <w:pPr>
                    <w:pStyle w:val="32"/>
                    <w:spacing w:line="360" w:lineRule="exact"/>
                    <w:rPr>
                      <w:rFonts w:eastAsiaTheme="minorEastAsia"/>
                      <w:color w:val="000000" w:themeColor="text1"/>
                      <w:szCs w:val="21"/>
                    </w:rPr>
                  </w:pPr>
                </w:p>
              </w:tc>
              <w:tc>
                <w:tcPr>
                  <w:tcW w:w="748" w:type="dxa"/>
                  <w:vMerge w:val="continue"/>
                  <w:vAlign w:val="center"/>
                </w:tcPr>
                <w:p>
                  <w:pPr>
                    <w:pStyle w:val="32"/>
                    <w:spacing w:line="360" w:lineRule="exact"/>
                    <w:rPr>
                      <w:rFonts w:eastAsiaTheme="minorEastAsia"/>
                      <w:color w:val="000000" w:themeColor="text1"/>
                      <w:szCs w:val="21"/>
                    </w:rPr>
                  </w:pPr>
                </w:p>
              </w:tc>
              <w:tc>
                <w:tcPr>
                  <w:tcW w:w="12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4120"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992"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165"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2"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748"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生活污水</w:t>
                  </w:r>
                </w:p>
              </w:tc>
              <w:tc>
                <w:tcPr>
                  <w:tcW w:w="12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4120"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厨房</w:t>
                  </w:r>
                  <w:r>
                    <w:rPr>
                      <w:rFonts w:hint="eastAsia"/>
                      <w:color w:val="000000" w:themeColor="text1"/>
                      <w:szCs w:val="21"/>
                    </w:rPr>
                    <w:t>废水先进入</w:t>
                  </w:r>
                  <w:r>
                    <w:rPr>
                      <w:color w:val="000000" w:themeColor="text1"/>
                      <w:szCs w:val="21"/>
                    </w:rPr>
                    <w:t>1个1m³的隔油池进行预处理，</w:t>
                  </w:r>
                  <w:r>
                    <w:rPr>
                      <w:rFonts w:hint="eastAsia"/>
                      <w:color w:val="000000" w:themeColor="text1"/>
                      <w:szCs w:val="21"/>
                    </w:rPr>
                    <w:t>再和其他生活污水一起进入</w:t>
                  </w:r>
                  <w:r>
                    <w:rPr>
                      <w:color w:val="000000" w:themeColor="text1"/>
                      <w:szCs w:val="21"/>
                    </w:rPr>
                    <w:t>1个有效容积为10m³的化粪池处理</w:t>
                  </w:r>
                  <w:r>
                    <w:rPr>
                      <w:rFonts w:hint="eastAsia"/>
                      <w:color w:val="000000" w:themeColor="text1"/>
                      <w:szCs w:val="21"/>
                    </w:rPr>
                    <w:t>，处理后统一进入</w:t>
                  </w:r>
                  <w:r>
                    <w:rPr>
                      <w:color w:val="000000" w:themeColor="text1"/>
                      <w:szCs w:val="21"/>
                    </w:rPr>
                    <w:t>1套处理能力为5m³/d的一体化污水处理设施</w:t>
                  </w:r>
                  <w:r>
                    <w:rPr>
                      <w:rFonts w:hint="eastAsia"/>
                      <w:color w:val="000000" w:themeColor="text1"/>
                      <w:szCs w:val="21"/>
                    </w:rPr>
                    <w:t>处理，处理达到</w:t>
                  </w:r>
                  <w:r>
                    <w:rPr>
                      <w:color w:val="000000" w:themeColor="text1"/>
                      <w:szCs w:val="21"/>
                    </w:rPr>
                    <w:t>《城市污水再生利用 城市杂用水水质》（GB/T18920-2020）城市绿化标准后，回用于项目区绿化，不外排。</w:t>
                  </w:r>
                </w:p>
              </w:tc>
              <w:tc>
                <w:tcPr>
                  <w:tcW w:w="992" w:type="dxa"/>
                  <w:vMerge w:val="restart"/>
                  <w:vAlign w:val="center"/>
                </w:tcPr>
                <w:p>
                  <w:pPr>
                    <w:pStyle w:val="32"/>
                    <w:spacing w:line="360" w:lineRule="exact"/>
                    <w:rPr>
                      <w:rFonts w:eastAsiaTheme="minorEastAsia"/>
                      <w:color w:val="000000" w:themeColor="text1"/>
                      <w:szCs w:val="21"/>
                    </w:rPr>
                  </w:pPr>
                  <w:r>
                    <w:rPr>
                      <w:rFonts w:hint="eastAsia"/>
                      <w:bCs w:val="0"/>
                      <w:color w:val="000000" w:themeColor="text1"/>
                    </w:rPr>
                    <w:t>不外排</w:t>
                  </w:r>
                </w:p>
              </w:tc>
              <w:tc>
                <w:tcPr>
                  <w:tcW w:w="1165" w:type="dxa"/>
                  <w:vMerge w:val="restart"/>
                  <w:vAlign w:val="center"/>
                </w:tcPr>
                <w:p>
                  <w:pPr>
                    <w:pStyle w:val="32"/>
                    <w:spacing w:line="360" w:lineRule="exact"/>
                    <w:ind w:firstLine="210" w:firstLineChars="100"/>
                    <w:jc w:val="left"/>
                    <w:rPr>
                      <w:rFonts w:eastAsiaTheme="minorEastAsia"/>
                      <w:color w:val="000000" w:themeColor="text1"/>
                      <w:szCs w:val="21"/>
                    </w:rPr>
                  </w:pP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2" w:type="dxa"/>
                  <w:vMerge w:val="continue"/>
                  <w:vAlign w:val="center"/>
                </w:tcPr>
                <w:p>
                  <w:pPr>
                    <w:pStyle w:val="32"/>
                    <w:spacing w:line="360" w:lineRule="exact"/>
                    <w:rPr>
                      <w:rFonts w:eastAsiaTheme="minorEastAsia"/>
                      <w:color w:val="000000" w:themeColor="text1"/>
                      <w:szCs w:val="21"/>
                    </w:rPr>
                  </w:pPr>
                </w:p>
              </w:tc>
              <w:tc>
                <w:tcPr>
                  <w:tcW w:w="748" w:type="dxa"/>
                  <w:vMerge w:val="continue"/>
                  <w:vAlign w:val="center"/>
                </w:tcPr>
                <w:p>
                  <w:pPr>
                    <w:pStyle w:val="32"/>
                    <w:spacing w:line="360" w:lineRule="exact"/>
                    <w:rPr>
                      <w:rFonts w:eastAsiaTheme="minorEastAsia"/>
                      <w:color w:val="000000" w:themeColor="text1"/>
                      <w:szCs w:val="21"/>
                    </w:rPr>
                  </w:pPr>
                </w:p>
              </w:tc>
              <w:tc>
                <w:tcPr>
                  <w:tcW w:w="12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4120" w:type="dxa"/>
                  <w:vMerge w:val="continue"/>
                  <w:vAlign w:val="center"/>
                </w:tcPr>
                <w:p>
                  <w:pPr>
                    <w:pStyle w:val="32"/>
                    <w:spacing w:line="360" w:lineRule="exact"/>
                    <w:ind w:firstLine="210" w:firstLineChars="100"/>
                    <w:jc w:val="both"/>
                    <w:rPr>
                      <w:color w:val="000000" w:themeColor="text1"/>
                      <w:szCs w:val="21"/>
                    </w:rPr>
                  </w:pPr>
                </w:p>
              </w:tc>
              <w:tc>
                <w:tcPr>
                  <w:tcW w:w="992" w:type="dxa"/>
                  <w:vMerge w:val="continue"/>
                  <w:vAlign w:val="center"/>
                </w:tcPr>
                <w:p>
                  <w:pPr>
                    <w:pStyle w:val="32"/>
                    <w:spacing w:line="360" w:lineRule="exact"/>
                    <w:rPr>
                      <w:rFonts w:eastAsiaTheme="minorEastAsia"/>
                      <w:color w:val="000000" w:themeColor="text1"/>
                      <w:szCs w:val="21"/>
                    </w:rPr>
                  </w:pPr>
                </w:p>
              </w:tc>
              <w:tc>
                <w:tcPr>
                  <w:tcW w:w="1165"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2" w:type="dxa"/>
                  <w:vMerge w:val="continue"/>
                  <w:vAlign w:val="center"/>
                </w:tcPr>
                <w:p>
                  <w:pPr>
                    <w:pStyle w:val="32"/>
                    <w:spacing w:line="360" w:lineRule="exact"/>
                    <w:rPr>
                      <w:rFonts w:eastAsiaTheme="minorEastAsia"/>
                      <w:color w:val="000000" w:themeColor="text1"/>
                      <w:szCs w:val="21"/>
                    </w:rPr>
                  </w:pPr>
                </w:p>
              </w:tc>
              <w:tc>
                <w:tcPr>
                  <w:tcW w:w="748" w:type="dxa"/>
                  <w:vMerge w:val="continue"/>
                  <w:vAlign w:val="center"/>
                </w:tcPr>
                <w:p>
                  <w:pPr>
                    <w:pStyle w:val="32"/>
                    <w:spacing w:line="360" w:lineRule="exact"/>
                    <w:rPr>
                      <w:rFonts w:eastAsiaTheme="minorEastAsia"/>
                      <w:color w:val="000000" w:themeColor="text1"/>
                      <w:szCs w:val="21"/>
                    </w:rPr>
                  </w:pPr>
                </w:p>
              </w:tc>
              <w:tc>
                <w:tcPr>
                  <w:tcW w:w="12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4120" w:type="dxa"/>
                  <w:vMerge w:val="continue"/>
                  <w:vAlign w:val="center"/>
                </w:tcPr>
                <w:p>
                  <w:pPr>
                    <w:pStyle w:val="32"/>
                    <w:spacing w:line="360" w:lineRule="exact"/>
                    <w:ind w:firstLine="210" w:firstLineChars="100"/>
                    <w:jc w:val="both"/>
                    <w:rPr>
                      <w:color w:val="000000" w:themeColor="text1"/>
                      <w:szCs w:val="21"/>
                    </w:rPr>
                  </w:pPr>
                </w:p>
              </w:tc>
              <w:tc>
                <w:tcPr>
                  <w:tcW w:w="992" w:type="dxa"/>
                  <w:vMerge w:val="continue"/>
                  <w:vAlign w:val="center"/>
                </w:tcPr>
                <w:p>
                  <w:pPr>
                    <w:pStyle w:val="32"/>
                    <w:spacing w:line="360" w:lineRule="exact"/>
                    <w:rPr>
                      <w:rFonts w:eastAsiaTheme="minorEastAsia"/>
                      <w:color w:val="000000" w:themeColor="text1"/>
                      <w:szCs w:val="21"/>
                    </w:rPr>
                  </w:pPr>
                </w:p>
              </w:tc>
              <w:tc>
                <w:tcPr>
                  <w:tcW w:w="1165"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2" w:type="dxa"/>
                  <w:vMerge w:val="continue"/>
                  <w:vAlign w:val="center"/>
                </w:tcPr>
                <w:p>
                  <w:pPr>
                    <w:pStyle w:val="32"/>
                    <w:spacing w:line="360" w:lineRule="exact"/>
                    <w:rPr>
                      <w:rFonts w:eastAsiaTheme="minorEastAsia"/>
                      <w:color w:val="000000" w:themeColor="text1"/>
                      <w:szCs w:val="21"/>
                    </w:rPr>
                  </w:pPr>
                </w:p>
              </w:tc>
              <w:tc>
                <w:tcPr>
                  <w:tcW w:w="748" w:type="dxa"/>
                  <w:vMerge w:val="continue"/>
                  <w:vAlign w:val="center"/>
                </w:tcPr>
                <w:p>
                  <w:pPr>
                    <w:pStyle w:val="32"/>
                    <w:spacing w:line="360" w:lineRule="exact"/>
                    <w:rPr>
                      <w:rFonts w:eastAsiaTheme="minorEastAsia"/>
                      <w:color w:val="000000" w:themeColor="text1"/>
                      <w:szCs w:val="21"/>
                    </w:rPr>
                  </w:pPr>
                </w:p>
              </w:tc>
              <w:tc>
                <w:tcPr>
                  <w:tcW w:w="12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4120" w:type="dxa"/>
                  <w:vMerge w:val="continue"/>
                  <w:vAlign w:val="center"/>
                </w:tcPr>
                <w:p>
                  <w:pPr>
                    <w:pStyle w:val="32"/>
                    <w:spacing w:line="360" w:lineRule="exact"/>
                    <w:ind w:firstLine="210" w:firstLineChars="100"/>
                    <w:jc w:val="both"/>
                    <w:rPr>
                      <w:color w:val="000000" w:themeColor="text1"/>
                      <w:szCs w:val="21"/>
                    </w:rPr>
                  </w:pPr>
                </w:p>
              </w:tc>
              <w:tc>
                <w:tcPr>
                  <w:tcW w:w="992" w:type="dxa"/>
                  <w:vMerge w:val="continue"/>
                  <w:vAlign w:val="center"/>
                </w:tcPr>
                <w:p>
                  <w:pPr>
                    <w:pStyle w:val="32"/>
                    <w:spacing w:line="360" w:lineRule="exact"/>
                    <w:rPr>
                      <w:rFonts w:eastAsiaTheme="minorEastAsia"/>
                      <w:color w:val="000000" w:themeColor="text1"/>
                      <w:szCs w:val="21"/>
                    </w:rPr>
                  </w:pPr>
                </w:p>
              </w:tc>
              <w:tc>
                <w:tcPr>
                  <w:tcW w:w="1165"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2" w:type="dxa"/>
                  <w:vMerge w:val="continue"/>
                  <w:vAlign w:val="center"/>
                </w:tcPr>
                <w:p>
                  <w:pPr>
                    <w:pStyle w:val="32"/>
                    <w:spacing w:line="360" w:lineRule="exact"/>
                    <w:rPr>
                      <w:rFonts w:eastAsiaTheme="minorEastAsia"/>
                      <w:color w:val="000000" w:themeColor="text1"/>
                      <w:szCs w:val="21"/>
                    </w:rPr>
                  </w:pPr>
                </w:p>
              </w:tc>
              <w:tc>
                <w:tcPr>
                  <w:tcW w:w="748" w:type="dxa"/>
                  <w:vMerge w:val="continue"/>
                  <w:vAlign w:val="center"/>
                </w:tcPr>
                <w:p>
                  <w:pPr>
                    <w:pStyle w:val="32"/>
                    <w:spacing w:line="360" w:lineRule="exact"/>
                    <w:rPr>
                      <w:rFonts w:eastAsiaTheme="minorEastAsia"/>
                      <w:color w:val="000000" w:themeColor="text1"/>
                      <w:szCs w:val="21"/>
                    </w:rPr>
                  </w:pPr>
                </w:p>
              </w:tc>
              <w:tc>
                <w:tcPr>
                  <w:tcW w:w="12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4120" w:type="dxa"/>
                  <w:vMerge w:val="continue"/>
                  <w:vAlign w:val="center"/>
                </w:tcPr>
                <w:p>
                  <w:pPr>
                    <w:pStyle w:val="32"/>
                    <w:spacing w:line="360" w:lineRule="exact"/>
                    <w:ind w:firstLine="210" w:firstLineChars="100"/>
                    <w:jc w:val="both"/>
                    <w:rPr>
                      <w:color w:val="000000" w:themeColor="text1"/>
                      <w:szCs w:val="21"/>
                    </w:rPr>
                  </w:pPr>
                </w:p>
              </w:tc>
              <w:tc>
                <w:tcPr>
                  <w:tcW w:w="992" w:type="dxa"/>
                  <w:vMerge w:val="continue"/>
                  <w:vAlign w:val="center"/>
                </w:tcPr>
                <w:p>
                  <w:pPr>
                    <w:pStyle w:val="32"/>
                    <w:spacing w:line="360" w:lineRule="exact"/>
                    <w:rPr>
                      <w:rFonts w:eastAsiaTheme="minorEastAsia"/>
                      <w:color w:val="000000" w:themeColor="text1"/>
                      <w:szCs w:val="21"/>
                    </w:rPr>
                  </w:pPr>
                </w:p>
              </w:tc>
              <w:tc>
                <w:tcPr>
                  <w:tcW w:w="1165"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2" w:type="dxa"/>
                  <w:vMerge w:val="continue"/>
                  <w:vAlign w:val="center"/>
                </w:tcPr>
                <w:p>
                  <w:pPr>
                    <w:pStyle w:val="32"/>
                    <w:spacing w:line="360" w:lineRule="exact"/>
                    <w:rPr>
                      <w:rFonts w:eastAsiaTheme="minorEastAsia"/>
                      <w:color w:val="000000" w:themeColor="text1"/>
                      <w:szCs w:val="21"/>
                    </w:rPr>
                  </w:pPr>
                </w:p>
              </w:tc>
              <w:tc>
                <w:tcPr>
                  <w:tcW w:w="748" w:type="dxa"/>
                  <w:vMerge w:val="continue"/>
                  <w:vAlign w:val="center"/>
                </w:tcPr>
                <w:p>
                  <w:pPr>
                    <w:pStyle w:val="32"/>
                    <w:spacing w:line="360" w:lineRule="exact"/>
                    <w:rPr>
                      <w:rFonts w:eastAsiaTheme="minorEastAsia"/>
                      <w:color w:val="000000" w:themeColor="text1"/>
                      <w:szCs w:val="21"/>
                    </w:rPr>
                  </w:pPr>
                </w:p>
              </w:tc>
              <w:tc>
                <w:tcPr>
                  <w:tcW w:w="12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4120" w:type="dxa"/>
                  <w:vMerge w:val="continue"/>
                  <w:vAlign w:val="center"/>
                </w:tcPr>
                <w:p>
                  <w:pPr>
                    <w:pStyle w:val="32"/>
                    <w:spacing w:line="360" w:lineRule="exact"/>
                    <w:ind w:firstLine="210" w:firstLineChars="100"/>
                    <w:jc w:val="both"/>
                    <w:rPr>
                      <w:color w:val="000000" w:themeColor="text1"/>
                      <w:szCs w:val="21"/>
                    </w:rPr>
                  </w:pPr>
                </w:p>
              </w:tc>
              <w:tc>
                <w:tcPr>
                  <w:tcW w:w="992" w:type="dxa"/>
                  <w:vMerge w:val="continue"/>
                  <w:vAlign w:val="center"/>
                </w:tcPr>
                <w:p>
                  <w:pPr>
                    <w:pStyle w:val="32"/>
                    <w:spacing w:line="360" w:lineRule="exact"/>
                    <w:rPr>
                      <w:rFonts w:eastAsiaTheme="minorEastAsia"/>
                      <w:color w:val="000000" w:themeColor="text1"/>
                      <w:szCs w:val="21"/>
                    </w:rPr>
                  </w:pPr>
                </w:p>
              </w:tc>
              <w:tc>
                <w:tcPr>
                  <w:tcW w:w="1165"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2" w:type="dxa"/>
                  <w:vMerge w:val="continue"/>
                  <w:vAlign w:val="center"/>
                </w:tcPr>
                <w:p>
                  <w:pPr>
                    <w:pStyle w:val="32"/>
                    <w:spacing w:line="360" w:lineRule="exact"/>
                    <w:rPr>
                      <w:rFonts w:eastAsiaTheme="minorEastAsia"/>
                      <w:color w:val="000000" w:themeColor="text1"/>
                      <w:szCs w:val="21"/>
                    </w:rPr>
                  </w:pPr>
                </w:p>
              </w:tc>
              <w:tc>
                <w:tcPr>
                  <w:tcW w:w="748" w:type="dxa"/>
                  <w:vMerge w:val="continue"/>
                  <w:vAlign w:val="center"/>
                </w:tcPr>
                <w:p>
                  <w:pPr>
                    <w:pStyle w:val="32"/>
                    <w:spacing w:line="360" w:lineRule="exact"/>
                    <w:rPr>
                      <w:rFonts w:eastAsiaTheme="minorEastAsia"/>
                      <w:color w:val="000000" w:themeColor="text1"/>
                      <w:szCs w:val="21"/>
                    </w:rPr>
                  </w:pPr>
                </w:p>
              </w:tc>
              <w:tc>
                <w:tcPr>
                  <w:tcW w:w="12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总氮</w:t>
                  </w:r>
                </w:p>
              </w:tc>
              <w:tc>
                <w:tcPr>
                  <w:tcW w:w="4120" w:type="dxa"/>
                  <w:vMerge w:val="continue"/>
                  <w:vAlign w:val="center"/>
                </w:tcPr>
                <w:p>
                  <w:pPr>
                    <w:pStyle w:val="32"/>
                    <w:spacing w:line="360" w:lineRule="exact"/>
                    <w:ind w:firstLine="210" w:firstLineChars="100"/>
                    <w:jc w:val="both"/>
                    <w:rPr>
                      <w:color w:val="000000" w:themeColor="text1"/>
                      <w:szCs w:val="21"/>
                    </w:rPr>
                  </w:pPr>
                </w:p>
              </w:tc>
              <w:tc>
                <w:tcPr>
                  <w:tcW w:w="992" w:type="dxa"/>
                  <w:vMerge w:val="continue"/>
                  <w:vAlign w:val="center"/>
                </w:tcPr>
                <w:p>
                  <w:pPr>
                    <w:pStyle w:val="32"/>
                    <w:spacing w:line="360" w:lineRule="exact"/>
                    <w:rPr>
                      <w:rFonts w:eastAsiaTheme="minorEastAsia"/>
                      <w:color w:val="000000" w:themeColor="text1"/>
                      <w:szCs w:val="21"/>
                    </w:rPr>
                  </w:pPr>
                </w:p>
              </w:tc>
              <w:tc>
                <w:tcPr>
                  <w:tcW w:w="1165"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2" w:type="dxa"/>
                  <w:vMerge w:val="continue"/>
                  <w:vAlign w:val="center"/>
                </w:tcPr>
                <w:p>
                  <w:pPr>
                    <w:pStyle w:val="32"/>
                    <w:spacing w:line="360" w:lineRule="exact"/>
                    <w:rPr>
                      <w:rFonts w:eastAsiaTheme="minorEastAsia"/>
                      <w:color w:val="000000" w:themeColor="text1"/>
                      <w:szCs w:val="21"/>
                    </w:rPr>
                  </w:pPr>
                </w:p>
              </w:tc>
              <w:tc>
                <w:tcPr>
                  <w:tcW w:w="748" w:type="dxa"/>
                  <w:vMerge w:val="continue"/>
                  <w:vAlign w:val="center"/>
                </w:tcPr>
                <w:p>
                  <w:pPr>
                    <w:pStyle w:val="32"/>
                    <w:spacing w:line="360" w:lineRule="exact"/>
                    <w:rPr>
                      <w:rFonts w:eastAsiaTheme="minorEastAsia"/>
                      <w:color w:val="000000" w:themeColor="text1"/>
                      <w:szCs w:val="21"/>
                    </w:rPr>
                  </w:pPr>
                </w:p>
              </w:tc>
              <w:tc>
                <w:tcPr>
                  <w:tcW w:w="1247" w:type="dxa"/>
                  <w:vAlign w:val="center"/>
                </w:tcPr>
                <w:p>
                  <w:pPr>
                    <w:pStyle w:val="32"/>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4120" w:type="dxa"/>
                  <w:vMerge w:val="continue"/>
                  <w:vAlign w:val="center"/>
                </w:tcPr>
                <w:p>
                  <w:pPr>
                    <w:pStyle w:val="32"/>
                    <w:spacing w:line="360" w:lineRule="exact"/>
                    <w:ind w:firstLine="210" w:firstLineChars="100"/>
                    <w:jc w:val="both"/>
                    <w:rPr>
                      <w:color w:val="000000" w:themeColor="text1"/>
                      <w:szCs w:val="21"/>
                    </w:rPr>
                  </w:pPr>
                </w:p>
              </w:tc>
              <w:tc>
                <w:tcPr>
                  <w:tcW w:w="992" w:type="dxa"/>
                  <w:vMerge w:val="continue"/>
                  <w:vAlign w:val="center"/>
                </w:tcPr>
                <w:p>
                  <w:pPr>
                    <w:pStyle w:val="32"/>
                    <w:spacing w:line="360" w:lineRule="exact"/>
                    <w:rPr>
                      <w:rFonts w:eastAsiaTheme="minorEastAsia"/>
                      <w:color w:val="000000" w:themeColor="text1"/>
                      <w:szCs w:val="21"/>
                    </w:rPr>
                  </w:pPr>
                </w:p>
              </w:tc>
              <w:tc>
                <w:tcPr>
                  <w:tcW w:w="1165"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2" w:type="dxa"/>
                  <w:vMerge w:val="continue"/>
                  <w:vAlign w:val="center"/>
                </w:tcPr>
                <w:p>
                  <w:pPr>
                    <w:pStyle w:val="32"/>
                    <w:spacing w:line="360" w:lineRule="exact"/>
                    <w:rPr>
                      <w:rFonts w:eastAsiaTheme="minorEastAsia"/>
                      <w:color w:val="000000" w:themeColor="text1"/>
                      <w:szCs w:val="21"/>
                    </w:rPr>
                  </w:pPr>
                </w:p>
              </w:tc>
              <w:tc>
                <w:tcPr>
                  <w:tcW w:w="748" w:type="dxa"/>
                  <w:vMerge w:val="continue"/>
                  <w:vAlign w:val="center"/>
                </w:tcPr>
                <w:p>
                  <w:pPr>
                    <w:pStyle w:val="32"/>
                    <w:spacing w:line="360" w:lineRule="exact"/>
                    <w:rPr>
                      <w:rFonts w:eastAsiaTheme="minorEastAsia"/>
                      <w:color w:val="000000" w:themeColor="text1"/>
                      <w:szCs w:val="21"/>
                    </w:rPr>
                  </w:pPr>
                </w:p>
              </w:tc>
              <w:tc>
                <w:tcPr>
                  <w:tcW w:w="12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4120" w:type="dxa"/>
                  <w:vMerge w:val="continue"/>
                  <w:vAlign w:val="center"/>
                </w:tcPr>
                <w:p>
                  <w:pPr>
                    <w:pStyle w:val="32"/>
                    <w:spacing w:line="360" w:lineRule="exact"/>
                    <w:ind w:firstLine="210" w:firstLineChars="100"/>
                    <w:jc w:val="both"/>
                    <w:rPr>
                      <w:color w:val="000000" w:themeColor="text1"/>
                      <w:szCs w:val="21"/>
                    </w:rPr>
                  </w:pPr>
                </w:p>
              </w:tc>
              <w:tc>
                <w:tcPr>
                  <w:tcW w:w="992" w:type="dxa"/>
                  <w:vMerge w:val="continue"/>
                  <w:vAlign w:val="center"/>
                </w:tcPr>
                <w:p>
                  <w:pPr>
                    <w:pStyle w:val="32"/>
                    <w:spacing w:line="360" w:lineRule="exact"/>
                    <w:rPr>
                      <w:rFonts w:eastAsiaTheme="minorEastAsia"/>
                      <w:color w:val="000000" w:themeColor="text1"/>
                      <w:szCs w:val="21"/>
                    </w:rPr>
                  </w:pPr>
                </w:p>
              </w:tc>
              <w:tc>
                <w:tcPr>
                  <w:tcW w:w="1165"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厂区范围</w:t>
                  </w:r>
                </w:p>
              </w:tc>
              <w:tc>
                <w:tcPr>
                  <w:tcW w:w="74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初期雨水</w:t>
                  </w:r>
                </w:p>
              </w:tc>
              <w:tc>
                <w:tcPr>
                  <w:tcW w:w="1247" w:type="dxa"/>
                  <w:vAlign w:val="center"/>
                </w:tcPr>
                <w:p>
                  <w:pPr>
                    <w:pStyle w:val="32"/>
                    <w:spacing w:line="360" w:lineRule="exact"/>
                    <w:rPr>
                      <w:rFonts w:eastAsiaTheme="minorEastAsia"/>
                      <w:color w:val="000000" w:themeColor="text1"/>
                      <w:szCs w:val="21"/>
                      <w:highlight w:val="yellow"/>
                    </w:rPr>
                  </w:pPr>
                  <w:r>
                    <w:rPr>
                      <w:rFonts w:hint="eastAsia" w:eastAsiaTheme="minorEastAsia"/>
                      <w:color w:val="000000" w:themeColor="text1"/>
                      <w:szCs w:val="21"/>
                    </w:rPr>
                    <w:t>SS</w:t>
                  </w:r>
                </w:p>
              </w:tc>
              <w:tc>
                <w:tcPr>
                  <w:tcW w:w="4120"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本项目拟配套设置了1个60m³的初期雨水收集池</w:t>
                  </w:r>
                  <w:r>
                    <w:rPr>
                      <w:color w:val="000000" w:themeColor="text1"/>
                      <w:szCs w:val="21"/>
                    </w:rPr>
                    <w:t>，对厂区的初期雨水进行收集；收集后</w:t>
                  </w:r>
                  <w:r>
                    <w:rPr>
                      <w:rFonts w:hint="eastAsia"/>
                      <w:color w:val="000000" w:themeColor="text1"/>
                      <w:szCs w:val="21"/>
                    </w:rPr>
                    <w:t>用于本项目生产用水，</w:t>
                  </w:r>
                  <w:r>
                    <w:rPr>
                      <w:color w:val="000000" w:themeColor="text1"/>
                      <w:szCs w:val="21"/>
                    </w:rPr>
                    <w:t>不外排</w:t>
                  </w:r>
                  <w:r>
                    <w:rPr>
                      <w:rFonts w:hint="eastAsia"/>
                      <w:color w:val="000000" w:themeColor="text1"/>
                      <w:szCs w:val="21"/>
                    </w:rPr>
                    <w:t>。</w:t>
                  </w:r>
                </w:p>
              </w:tc>
              <w:tc>
                <w:tcPr>
                  <w:tcW w:w="992"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不外排</w:t>
                  </w:r>
                </w:p>
              </w:tc>
              <w:tc>
                <w:tcPr>
                  <w:tcW w:w="116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r>
          </w:tbl>
          <w:p>
            <w:pPr>
              <w:spacing w:beforeLines="50"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脱硫废水污染源产排情况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根据项目产污环节和废水污染物治理措施可知，</w:t>
            </w:r>
            <w:r>
              <w:rPr>
                <w:rFonts w:hint="eastAsia" w:ascii="Times New Roman" w:hAnsi="Times New Roman" w:cs="Times New Roman"/>
                <w:color w:val="000000" w:themeColor="text1"/>
                <w:sz w:val="24"/>
              </w:rPr>
              <w:t>项目脱硫系统内的循环水量为9</w:t>
            </w:r>
            <w:r>
              <w:rPr>
                <w:rFonts w:hint="eastAsia"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/d，项目需定期排出脱硫系统内的水量为20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/d，为保证排出系统的脱硫废水回用暂存要求，项目</w:t>
            </w:r>
            <w:r>
              <w:rPr>
                <w:rFonts w:hint="eastAsia" w:ascii="Times New Roman" w:hAnsi="Times New Roman" w:cs="Times New Roman"/>
                <w:color w:val="000000" w:themeColor="text1"/>
                <w:sz w:val="24"/>
              </w:rPr>
              <w:t>拟单独配套设置1个30</w:t>
            </w:r>
            <w:r>
              <w:rPr>
                <w:rFonts w:ascii="Times New Roman" w:hAnsi="Times New Roman" w:cs="Times New Roman"/>
                <w:color w:val="000000" w:themeColor="text1"/>
                <w:sz w:val="24"/>
              </w:rPr>
              <w:t>m³</w:t>
            </w:r>
            <w:r>
              <w:rPr>
                <w:rFonts w:hint="eastAsia" w:ascii="Times New Roman" w:hAnsi="Times New Roman" w:cs="Times New Roman"/>
                <w:color w:val="000000" w:themeColor="text1"/>
                <w:sz w:val="24"/>
              </w:rPr>
              <w:t>的脱硫废水沉淀池对脱硫废水进行收集沉淀处理，并调节其pH值后，用于生产，不外排。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生活污水产排量及达标情况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根据项目产污环节和废水污染物治理措施可知，厨房</w:t>
            </w:r>
            <w:r>
              <w:rPr>
                <w:rFonts w:hint="eastAsia" w:ascii="Times New Roman" w:hAnsi="Times New Roman" w:cs="Times New Roman"/>
                <w:color w:val="000000" w:themeColor="text1"/>
                <w:sz w:val="24"/>
                <w:szCs w:val="24"/>
              </w:rPr>
              <w:t>废水先进入</w:t>
            </w:r>
            <w:r>
              <w:rPr>
                <w:rFonts w:ascii="Times New Roman" w:hAnsi="Times New Roman" w:cs="Times New Roman"/>
                <w:color w:val="000000" w:themeColor="text1"/>
                <w:sz w:val="24"/>
                <w:szCs w:val="24"/>
              </w:rPr>
              <w:t>1个1m³的隔油池进行预处理，</w:t>
            </w:r>
            <w:r>
              <w:rPr>
                <w:rFonts w:hint="eastAsia" w:ascii="Times New Roman" w:hAnsi="Times New Roman" w:cs="Times New Roman"/>
                <w:color w:val="000000" w:themeColor="text1"/>
                <w:sz w:val="24"/>
                <w:szCs w:val="24"/>
              </w:rPr>
              <w:t>再和其他生活污水一起进入</w:t>
            </w:r>
            <w:r>
              <w:rPr>
                <w:rFonts w:ascii="Times New Roman" w:hAnsi="Times New Roman" w:cs="Times New Roman"/>
                <w:color w:val="000000" w:themeColor="text1"/>
                <w:sz w:val="24"/>
                <w:szCs w:val="24"/>
              </w:rPr>
              <w:t>1个有效容积为10m³的化粪池处理</w:t>
            </w:r>
            <w:r>
              <w:rPr>
                <w:rFonts w:hint="eastAsia" w:ascii="Times New Roman" w:hAnsi="Times New Roman" w:cs="Times New Roman"/>
                <w:color w:val="000000" w:themeColor="text1"/>
                <w:sz w:val="24"/>
                <w:szCs w:val="24"/>
              </w:rPr>
              <w:t>，处理后统一进入</w:t>
            </w:r>
            <w:r>
              <w:rPr>
                <w:rFonts w:ascii="Times New Roman" w:hAnsi="Times New Roman" w:cs="Times New Roman"/>
                <w:color w:val="000000" w:themeColor="text1"/>
                <w:sz w:val="24"/>
                <w:szCs w:val="24"/>
              </w:rPr>
              <w:t>1套处理能力为5m³/d的一体化污水处理设施</w:t>
            </w:r>
            <w:r>
              <w:rPr>
                <w:rFonts w:hint="eastAsia" w:ascii="Times New Roman" w:hAnsi="Times New Roman" w:cs="Times New Roman"/>
                <w:color w:val="000000" w:themeColor="text1"/>
                <w:sz w:val="24"/>
                <w:szCs w:val="24"/>
              </w:rPr>
              <w:t>处理</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根据一体化污水处理设施的设计参数，项目</w:t>
            </w:r>
            <w:r>
              <w:rPr>
                <w:rFonts w:ascii="Times New Roman" w:hAnsi="Times New Roman" w:cs="Times New Roman"/>
                <w:color w:val="000000" w:themeColor="text1"/>
                <w:sz w:val="24"/>
                <w:szCs w:val="24"/>
              </w:rPr>
              <w:t>生活污水经处理后其污染产排及达标情况如下表所示。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rPr>
              <w:t>生活污水</w:t>
            </w:r>
            <w:r>
              <w:rPr>
                <w:rFonts w:ascii="Times New Roman" w:hAnsi="Times New Roman" w:cs="Times New Roman"/>
                <w:b/>
                <w:color w:val="000000" w:themeColor="text1"/>
                <w:szCs w:val="24"/>
              </w:rPr>
              <w:t>污染物排放源产排量及达标情况一览表</w:t>
            </w:r>
          </w:p>
          <w:tbl>
            <w:tblPr>
              <w:tblStyle w:val="20"/>
              <w:tblW w:w="5000" w:type="pct"/>
              <w:jc w:val="center"/>
              <w:tblLayout w:type="fixed"/>
              <w:tblCellMar>
                <w:top w:w="0" w:type="dxa"/>
                <w:left w:w="108" w:type="dxa"/>
                <w:bottom w:w="0" w:type="dxa"/>
                <w:right w:w="108" w:type="dxa"/>
              </w:tblCellMar>
            </w:tblPr>
            <w:tblGrid>
              <w:gridCol w:w="740"/>
              <w:gridCol w:w="741"/>
              <w:gridCol w:w="1243"/>
              <w:gridCol w:w="1134"/>
              <w:gridCol w:w="948"/>
              <w:gridCol w:w="1080"/>
              <w:gridCol w:w="1095"/>
              <w:gridCol w:w="799"/>
              <w:gridCol w:w="837"/>
            </w:tblGrid>
            <w:tr>
              <w:tblPrEx>
                <w:tblCellMar>
                  <w:top w:w="0" w:type="dxa"/>
                  <w:left w:w="108" w:type="dxa"/>
                  <w:bottom w:w="0" w:type="dxa"/>
                  <w:right w:w="108" w:type="dxa"/>
                </w:tblCellMar>
              </w:tblPrEx>
              <w:trPr>
                <w:jc w:val="center"/>
              </w:trPr>
              <w:tc>
                <w:tcPr>
                  <w:tcW w:w="7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产排污环节</w:t>
                  </w:r>
                </w:p>
              </w:tc>
              <w:tc>
                <w:tcPr>
                  <w:tcW w:w="73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类别</w:t>
                  </w:r>
                </w:p>
              </w:tc>
              <w:tc>
                <w:tcPr>
                  <w:tcW w:w="12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污染物种类</w:t>
                  </w:r>
                </w:p>
              </w:tc>
              <w:tc>
                <w:tcPr>
                  <w:tcW w:w="2077" w:type="dxa"/>
                  <w:gridSpan w:val="2"/>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污染物产生情况</w:t>
                  </w:r>
                </w:p>
              </w:tc>
              <w:tc>
                <w:tcPr>
                  <w:tcW w:w="2169" w:type="dxa"/>
                  <w:gridSpan w:val="2"/>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污染物排放量和浓度</w:t>
                  </w:r>
                </w:p>
              </w:tc>
              <w:tc>
                <w:tcPr>
                  <w:tcW w:w="797" w:type="dxa"/>
                  <w:vMerge w:val="restart"/>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回用标准</w:t>
                  </w:r>
                </w:p>
              </w:tc>
              <w:tc>
                <w:tcPr>
                  <w:tcW w:w="8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达标情况</w:t>
                  </w:r>
                </w:p>
              </w:tc>
            </w:tr>
            <w:tr>
              <w:tblPrEx>
                <w:tblCellMar>
                  <w:top w:w="0" w:type="dxa"/>
                  <w:left w:w="108" w:type="dxa"/>
                  <w:bottom w:w="0" w:type="dxa"/>
                  <w:right w:w="108" w:type="dxa"/>
                </w:tblCellMar>
              </w:tblPrEx>
              <w:trPr>
                <w:jc w:val="center"/>
              </w:trPr>
              <w:tc>
                <w:tcPr>
                  <w:tcW w:w="738"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131"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产生浓度</w:t>
                  </w:r>
                  <w:r>
                    <w:rPr>
                      <w:rFonts w:eastAsiaTheme="minorEastAsia"/>
                      <w:color w:val="000000" w:themeColor="text1"/>
                      <w:szCs w:val="21"/>
                    </w:rPr>
                    <w:t>mg/m³</w:t>
                  </w:r>
                </w:p>
              </w:tc>
              <w:tc>
                <w:tcPr>
                  <w:tcW w:w="94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产生量t</w:t>
                  </w:r>
                  <w:r>
                    <w:rPr>
                      <w:rFonts w:eastAsiaTheme="minorEastAsia"/>
                      <w:color w:val="000000" w:themeColor="text1"/>
                      <w:szCs w:val="21"/>
                    </w:rPr>
                    <w:t>/a</w:t>
                  </w:r>
                </w:p>
              </w:tc>
              <w:tc>
                <w:tcPr>
                  <w:tcW w:w="107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回用浓度</w:t>
                  </w:r>
                  <w:r>
                    <w:rPr>
                      <w:rFonts w:eastAsiaTheme="minorEastAsia"/>
                      <w:color w:val="000000" w:themeColor="text1"/>
                      <w:szCs w:val="21"/>
                    </w:rPr>
                    <w:t>mg/m³</w:t>
                  </w:r>
                </w:p>
              </w:tc>
              <w:tc>
                <w:tcPr>
                  <w:tcW w:w="1092" w:type="dxa"/>
                  <w:tcBorders>
                    <w:top w:val="single" w:color="000000"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回用量t</w:t>
                  </w:r>
                  <w:r>
                    <w:rPr>
                      <w:rFonts w:eastAsiaTheme="minorEastAsia"/>
                      <w:color w:val="000000" w:themeColor="text1"/>
                      <w:szCs w:val="21"/>
                    </w:rPr>
                    <w:t>/a</w:t>
                  </w:r>
                </w:p>
              </w:tc>
              <w:tc>
                <w:tcPr>
                  <w:tcW w:w="797" w:type="dxa"/>
                  <w:vMerge w:val="continue"/>
                  <w:tcBorders>
                    <w:top w:val="single" w:color="000000" w:sz="8" w:space="0"/>
                    <w:left w:val="nil"/>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835"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738" w:type="dxa"/>
                  <w:vMerge w:val="restart"/>
                  <w:tcBorders>
                    <w:top w:val="nil"/>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员工生活</w:t>
                  </w:r>
                </w:p>
              </w:tc>
              <w:tc>
                <w:tcPr>
                  <w:tcW w:w="739" w:type="dxa"/>
                  <w:vMerge w:val="restart"/>
                  <w:tcBorders>
                    <w:top w:val="nil"/>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生活污水</w:t>
                  </w: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废水量</w:t>
                  </w:r>
                </w:p>
              </w:tc>
              <w:tc>
                <w:tcPr>
                  <w:tcW w:w="2077" w:type="dxa"/>
                  <w:gridSpan w:val="2"/>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384</w:t>
                  </w:r>
                  <w:r>
                    <w:rPr>
                      <w:rFonts w:eastAsiaTheme="minorEastAsia"/>
                      <w:color w:val="000000" w:themeColor="text1"/>
                      <w:szCs w:val="21"/>
                    </w:rPr>
                    <w:t>m³/a</w:t>
                  </w:r>
                </w:p>
              </w:tc>
              <w:tc>
                <w:tcPr>
                  <w:tcW w:w="2169"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384</w:t>
                  </w:r>
                  <w:r>
                    <w:rPr>
                      <w:rFonts w:eastAsiaTheme="minorEastAsia"/>
                      <w:color w:val="000000" w:themeColor="text1"/>
                      <w:szCs w:val="21"/>
                    </w:rPr>
                    <w:t>m³/a</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109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6.0-9.0</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350</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0.13</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26</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0.01</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220</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0.08</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0.003</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≤10</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38</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0.01</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0.003</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≤8</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w:t>
                  </w:r>
                </w:p>
              </w:tc>
            </w:tr>
            <w:tr>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300</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0.12</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0.01</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0.003</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0.001</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45</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0.02</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0.006</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100</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0.04</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20</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0.008</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阴离子表面活性剂</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 xml:space="preserve">0.01 </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0.00008</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≤0.5</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16000</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8000</w:t>
                  </w:r>
                </w:p>
              </w:tc>
              <w:tc>
                <w:tcPr>
                  <w:tcW w:w="1092" w:type="dxa"/>
                  <w:tcBorders>
                    <w:top w:val="nil"/>
                    <w:left w:val="nil"/>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bl>
          <w:p>
            <w:pPr>
              <w:pStyle w:val="40"/>
              <w:spacing w:beforeLines="50"/>
              <w:ind w:firstLine="480"/>
              <w:rPr>
                <w:rFonts w:eastAsiaTheme="minorEastAsia"/>
                <w:color w:val="000000" w:themeColor="text1"/>
              </w:rPr>
            </w:pPr>
            <w:r>
              <w:rPr>
                <w:rFonts w:eastAsiaTheme="minorEastAsia"/>
                <w:color w:val="000000" w:themeColor="text1"/>
              </w:rPr>
              <w:t>由上表可知，项目生活污水经隔油池、化粪池</w:t>
            </w:r>
            <w:r>
              <w:rPr>
                <w:rFonts w:hint="eastAsia" w:eastAsiaTheme="minorEastAsia"/>
                <w:color w:val="000000" w:themeColor="text1"/>
              </w:rPr>
              <w:t>和</w:t>
            </w:r>
            <w:r>
              <w:rPr>
                <w:color w:val="000000" w:themeColor="text1"/>
                <w:szCs w:val="24"/>
              </w:rPr>
              <w:t>一体化污水处理设施</w:t>
            </w:r>
            <w:r>
              <w:rPr>
                <w:rFonts w:hint="eastAsia"/>
                <w:color w:val="000000" w:themeColor="text1"/>
                <w:szCs w:val="24"/>
              </w:rPr>
              <w:t>处理后可达到</w:t>
            </w:r>
            <w:r>
              <w:rPr>
                <w:color w:val="000000" w:themeColor="text1"/>
                <w:szCs w:val="24"/>
              </w:rPr>
              <w:t>《城市污水再生利用 城市杂用水水质》（GB/T18920-2020）城市绿化标准后，回用于项目区绿化，不外排。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3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初期雨水产排量情况</w:t>
            </w:r>
          </w:p>
          <w:p>
            <w:pPr>
              <w:spacing w:line="360" w:lineRule="auto"/>
              <w:ind w:firstLine="480" w:firstLineChars="200"/>
              <w:rPr>
                <w:color w:val="000000" w:themeColor="text1"/>
              </w:rPr>
            </w:pPr>
            <w:r>
              <w:rPr>
                <w:rFonts w:ascii="Times New Roman" w:hAnsi="Times New Roman" w:cs="Times New Roman"/>
                <w:color w:val="000000" w:themeColor="text1"/>
                <w:sz w:val="24"/>
              </w:rPr>
              <w:t>根据项目产污环节和废水污染物治理措施可知，</w:t>
            </w:r>
            <w:r>
              <w:rPr>
                <w:rFonts w:hint="eastAsia" w:ascii="Times New Roman" w:hAnsi="Times New Roman" w:cs="Times New Roman"/>
                <w:color w:val="000000" w:themeColor="text1"/>
                <w:sz w:val="24"/>
              </w:rPr>
              <w:t>本项目拟配套设置了1个60m³的初期雨水收集池</w:t>
            </w:r>
            <w:r>
              <w:rPr>
                <w:rFonts w:ascii="Times New Roman" w:hAnsi="Times New Roman" w:cs="Times New Roman"/>
                <w:color w:val="000000" w:themeColor="text1"/>
                <w:sz w:val="24"/>
              </w:rPr>
              <w:t>，对厂区的初期雨水进行收集；收集后</w:t>
            </w:r>
            <w:r>
              <w:rPr>
                <w:rFonts w:hint="eastAsia" w:ascii="Times New Roman" w:hAnsi="Times New Roman" w:cs="Times New Roman"/>
                <w:color w:val="000000" w:themeColor="text1"/>
                <w:sz w:val="24"/>
              </w:rPr>
              <w:t>用于本项目生产用水，</w:t>
            </w:r>
            <w:r>
              <w:rPr>
                <w:rFonts w:ascii="Times New Roman" w:hAnsi="Times New Roman" w:cs="Times New Roman"/>
                <w:color w:val="000000" w:themeColor="text1"/>
                <w:sz w:val="24"/>
              </w:rPr>
              <w:t>不外排</w:t>
            </w:r>
            <w:r>
              <w:rPr>
                <w:rFonts w:hint="eastAsia" w:ascii="Times New Roman" w:hAnsi="Times New Roman" w:cs="Times New Roman"/>
                <w:color w:val="000000" w:themeColor="text1"/>
                <w:sz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①脱硫废水沉淀池</w:t>
            </w:r>
            <w:r>
              <w:rPr>
                <w:rFonts w:ascii="Times New Roman" w:hAnsi="Times New Roman" w:cs="Times New Roman"/>
                <w:b/>
                <w:color w:val="000000" w:themeColor="text1"/>
                <w:sz w:val="24"/>
                <w:szCs w:val="24"/>
              </w:rPr>
              <w:t>环境影响减缓措施有效性分析</w:t>
            </w:r>
          </w:p>
          <w:p>
            <w:pPr>
              <w:pStyle w:val="40"/>
              <w:ind w:firstLine="480"/>
              <w:rPr>
                <w:rFonts w:eastAsiaTheme="minorEastAsia"/>
                <w:color w:val="000000" w:themeColor="text1"/>
                <w:szCs w:val="24"/>
              </w:rPr>
            </w:pPr>
            <w:r>
              <w:rPr>
                <w:rFonts w:eastAsiaTheme="minorEastAsia"/>
                <w:color w:val="000000" w:themeColor="text1"/>
                <w:szCs w:val="24"/>
              </w:rPr>
              <w:t>根据项目特点可知，脱硫废水</w:t>
            </w:r>
            <w:r>
              <w:rPr>
                <w:rFonts w:hint="eastAsia" w:eastAsiaTheme="minorEastAsia"/>
                <w:color w:val="000000" w:themeColor="text1"/>
                <w:szCs w:val="24"/>
              </w:rPr>
              <w:t>排出量约为20</w:t>
            </w:r>
            <w:r>
              <w:rPr>
                <w:rFonts w:eastAsiaTheme="minorEastAsia"/>
                <w:color w:val="000000" w:themeColor="text1"/>
                <w:szCs w:val="24"/>
              </w:rPr>
              <w:t>m³</w:t>
            </w:r>
            <w:r>
              <w:rPr>
                <w:rFonts w:hint="eastAsia" w:eastAsiaTheme="minorEastAsia"/>
                <w:color w:val="000000" w:themeColor="text1"/>
                <w:szCs w:val="24"/>
              </w:rPr>
              <w:t>/d（6000</w:t>
            </w:r>
            <w:r>
              <w:rPr>
                <w:rFonts w:eastAsiaTheme="minorEastAsia"/>
                <w:color w:val="000000" w:themeColor="text1"/>
                <w:szCs w:val="24"/>
              </w:rPr>
              <w:t>m³</w:t>
            </w:r>
            <w:r>
              <w:rPr>
                <w:rFonts w:hint="eastAsia" w:eastAsiaTheme="minorEastAsia"/>
                <w:color w:val="000000" w:themeColor="text1"/>
                <w:szCs w:val="24"/>
              </w:rPr>
              <w:t>/a）；</w:t>
            </w:r>
            <w:r>
              <w:rPr>
                <w:rFonts w:eastAsiaTheme="minorEastAsia"/>
                <w:color w:val="000000" w:themeColor="text1"/>
                <w:szCs w:val="24"/>
              </w:rPr>
              <w:t>，其污染因子包括腐蚀性和SS（包括可溶性硫酸盐</w:t>
            </w:r>
            <w:r>
              <w:rPr>
                <w:rFonts w:hint="eastAsia" w:eastAsiaTheme="minorEastAsia"/>
                <w:color w:val="000000" w:themeColor="text1"/>
                <w:szCs w:val="24"/>
              </w:rPr>
              <w:t>等</w:t>
            </w:r>
            <w:r>
              <w:rPr>
                <w:rFonts w:eastAsiaTheme="minorEastAsia"/>
                <w:color w:val="000000" w:themeColor="text1"/>
                <w:szCs w:val="24"/>
              </w:rPr>
              <w:t>）；项目拟设置</w:t>
            </w:r>
            <w:r>
              <w:rPr>
                <w:rFonts w:hint="eastAsia" w:eastAsiaTheme="minorEastAsia"/>
                <w:color w:val="000000" w:themeColor="text1"/>
                <w:szCs w:val="24"/>
              </w:rPr>
              <w:t>1个30</w:t>
            </w:r>
            <w:r>
              <w:rPr>
                <w:rFonts w:eastAsiaTheme="minorEastAsia"/>
                <w:color w:val="000000" w:themeColor="text1"/>
                <w:szCs w:val="24"/>
              </w:rPr>
              <w:t>m³</w:t>
            </w:r>
            <w:r>
              <w:rPr>
                <w:rFonts w:hint="eastAsia" w:eastAsiaTheme="minorEastAsia"/>
                <w:color w:val="000000" w:themeColor="text1"/>
                <w:szCs w:val="24"/>
              </w:rPr>
              <w:t>的脱硫废水沉淀池对脱硫废水进行收集沉淀处理，并调节</w:t>
            </w:r>
            <w:r>
              <w:rPr>
                <w:rFonts w:eastAsiaTheme="minorEastAsia"/>
                <w:color w:val="000000" w:themeColor="text1"/>
                <w:szCs w:val="24"/>
              </w:rPr>
              <w:t>pH值，脱硫废水沉淀池的容积可满足项目区废水处理要求。</w:t>
            </w:r>
            <w:r>
              <w:rPr>
                <w:rFonts w:hint="eastAsia" w:eastAsiaTheme="minorEastAsia"/>
                <w:color w:val="000000" w:themeColor="text1"/>
                <w:szCs w:val="24"/>
              </w:rPr>
              <w:t>因此</w:t>
            </w:r>
            <w:r>
              <w:rPr>
                <w:rFonts w:eastAsiaTheme="minorEastAsia"/>
                <w:color w:val="000000" w:themeColor="text1"/>
                <w:szCs w:val="24"/>
              </w:rPr>
              <w:t>脱硫废水沉淀池设置合理。</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②隔油池</w:t>
            </w:r>
            <w:r>
              <w:rPr>
                <w:rFonts w:ascii="Times New Roman" w:hAnsi="Times New Roman" w:cs="Times New Roman"/>
                <w:b/>
                <w:color w:val="000000" w:themeColor="text1"/>
                <w:sz w:val="24"/>
                <w:szCs w:val="24"/>
              </w:rPr>
              <w:t>环境影响减缓措施有效性分析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根据工程分析可知，本项目设置食堂，食堂废水量约为</w:t>
            </w:r>
            <w:r>
              <w:rPr>
                <w:rFonts w:hint="eastAsia" w:eastAsiaTheme="minorEastAsia"/>
                <w:color w:val="000000" w:themeColor="text1"/>
                <w:szCs w:val="24"/>
              </w:rPr>
              <w:t>0.64</w:t>
            </w:r>
            <w:r>
              <w:rPr>
                <w:rFonts w:eastAsiaTheme="minorEastAsia"/>
                <w:color w:val="000000" w:themeColor="text1"/>
                <w:szCs w:val="24"/>
              </w:rPr>
              <w:t>m³/d，根据《建筑给排水设计规范》（（GB50015-2019），污水在隔油池内停留时间宜为30min，则本项目设置的1m³的隔油池可满足停留要求，隔油池设置合理。</w:t>
            </w:r>
          </w:p>
          <w:p>
            <w:pPr>
              <w:spacing w:line="360" w:lineRule="auto"/>
              <w:ind w:firstLine="482" w:firstLineChars="200"/>
              <w:rPr>
                <w:rFonts w:ascii="Times New Roman" w:hAnsi="Times New Roman" w:cs="Times New Roman"/>
                <w:color w:val="000000" w:themeColor="text1"/>
                <w:szCs w:val="24"/>
              </w:rPr>
            </w:pPr>
            <w:r>
              <w:rPr>
                <w:rFonts w:ascii="Times New Roman" w:cs="Times New Roman" w:hAnsiTheme="minorEastAsia"/>
                <w:b/>
                <w:color w:val="000000" w:themeColor="text1"/>
                <w:sz w:val="24"/>
              </w:rPr>
              <w:t>③</w:t>
            </w:r>
            <w:r>
              <w:rPr>
                <w:rFonts w:ascii="Times New Roman" w:hAnsi="Times New Roman" w:cs="Times New Roman"/>
                <w:b/>
                <w:color w:val="000000" w:themeColor="text1"/>
                <w:sz w:val="24"/>
              </w:rPr>
              <w:t>化粪池</w:t>
            </w:r>
            <w:r>
              <w:rPr>
                <w:rFonts w:ascii="Times New Roman" w:hAnsi="Times New Roman" w:cs="Times New Roman"/>
                <w:b/>
                <w:color w:val="000000" w:themeColor="text1"/>
                <w:sz w:val="24"/>
                <w:szCs w:val="24"/>
              </w:rPr>
              <w:t>环境影响减缓措施有效性分析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根据工程分析可知，项目生活污水产生量约为</w:t>
            </w:r>
            <w:r>
              <w:rPr>
                <w:rFonts w:hint="eastAsia" w:eastAsiaTheme="minorEastAsia"/>
                <w:color w:val="000000" w:themeColor="text1"/>
                <w:szCs w:val="24"/>
              </w:rPr>
              <w:t>1.28</w:t>
            </w:r>
            <w:r>
              <w:rPr>
                <w:rFonts w:eastAsiaTheme="minorEastAsia"/>
                <w:color w:val="000000" w:themeColor="text1"/>
                <w:szCs w:val="24"/>
              </w:rPr>
              <w:t>m³/d，变化系数按照1.2计，则最大生活污水量约为</w:t>
            </w:r>
            <w:r>
              <w:rPr>
                <w:rFonts w:hint="eastAsia" w:eastAsiaTheme="minorEastAsia"/>
                <w:color w:val="000000" w:themeColor="text1"/>
                <w:szCs w:val="24"/>
              </w:rPr>
              <w:t>1.54</w:t>
            </w:r>
            <w:r>
              <w:rPr>
                <w:rFonts w:eastAsiaTheme="minorEastAsia"/>
                <w:color w:val="000000" w:themeColor="text1"/>
                <w:szCs w:val="24"/>
              </w:rPr>
              <w:t>m³/d，根据《建筑给排水设计规范》（（GB50015-2019），化粪池总容积应满足废水停留时间12-24h的要求，并做好防渗处理，化粪池宜建在便于机动车清掏的位置；</w:t>
            </w:r>
            <w:r>
              <w:rPr>
                <w:rFonts w:hint="eastAsia" w:eastAsiaTheme="minorEastAsia"/>
                <w:color w:val="000000" w:themeColor="text1"/>
                <w:szCs w:val="24"/>
              </w:rPr>
              <w:t>项目拟在</w:t>
            </w:r>
            <w:r>
              <w:rPr>
                <w:rFonts w:eastAsiaTheme="minorEastAsia"/>
                <w:color w:val="000000" w:themeColor="text1"/>
                <w:szCs w:val="24"/>
              </w:rPr>
              <w:t>生活区旁建设1个有效容积为10m³的化粪池对生活污水进行预处理</w:t>
            </w:r>
            <w:r>
              <w:rPr>
                <w:rFonts w:hint="eastAsia" w:eastAsiaTheme="minorEastAsia"/>
                <w:color w:val="000000" w:themeColor="text1"/>
                <w:szCs w:val="24"/>
              </w:rPr>
              <w:t>，</w:t>
            </w:r>
            <w:r>
              <w:rPr>
                <w:rFonts w:eastAsiaTheme="minorEastAsia"/>
                <w:color w:val="000000" w:themeColor="text1"/>
                <w:szCs w:val="24"/>
              </w:rPr>
              <w:t>可满足24h停留时间要求，又该化粪池位于项目生活区旁，清掏车辆可进入进行清掏，且化粪池将严格按照规范要求进行防渗处置，因此化粪池设置合理。</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④一体化污水处理设施</w:t>
            </w:r>
            <w:r>
              <w:rPr>
                <w:rFonts w:ascii="Times New Roman" w:hAnsi="Times New Roman" w:cs="Times New Roman"/>
                <w:b/>
                <w:color w:val="000000" w:themeColor="text1"/>
                <w:sz w:val="24"/>
                <w:szCs w:val="24"/>
              </w:rPr>
              <w:t>有效性分析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一体化污水处理设施规模设置合理性分析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根据工程分析可知，本项目</w:t>
            </w:r>
            <w:r>
              <w:rPr>
                <w:rFonts w:hint="eastAsia" w:eastAsiaTheme="minorEastAsia"/>
                <w:color w:val="000000" w:themeColor="text1"/>
                <w:szCs w:val="24"/>
              </w:rPr>
              <w:t>生活污水</w:t>
            </w:r>
            <w:r>
              <w:rPr>
                <w:rFonts w:eastAsiaTheme="minorEastAsia"/>
                <w:color w:val="000000" w:themeColor="text1"/>
                <w:szCs w:val="24"/>
              </w:rPr>
              <w:t>产生量为</w:t>
            </w:r>
            <w:r>
              <w:rPr>
                <w:rFonts w:hint="eastAsia" w:eastAsiaTheme="minorEastAsia"/>
                <w:color w:val="000000" w:themeColor="text1"/>
                <w:szCs w:val="24"/>
              </w:rPr>
              <w:t>1.28</w:t>
            </w:r>
            <w:r>
              <w:rPr>
                <w:rFonts w:eastAsiaTheme="minorEastAsia"/>
                <w:color w:val="000000" w:themeColor="text1"/>
                <w:szCs w:val="24"/>
              </w:rPr>
              <w:t>m³/d，变化系数按照1.2计，则最大</w:t>
            </w:r>
            <w:r>
              <w:rPr>
                <w:rFonts w:hint="eastAsia" w:eastAsiaTheme="minorEastAsia"/>
                <w:color w:val="000000" w:themeColor="text1"/>
                <w:szCs w:val="24"/>
              </w:rPr>
              <w:t>废水</w:t>
            </w:r>
            <w:r>
              <w:rPr>
                <w:rFonts w:eastAsiaTheme="minorEastAsia"/>
                <w:color w:val="000000" w:themeColor="text1"/>
                <w:szCs w:val="24"/>
              </w:rPr>
              <w:t>量约为</w:t>
            </w:r>
            <w:r>
              <w:rPr>
                <w:rFonts w:hint="eastAsia" w:eastAsiaTheme="minorEastAsia"/>
                <w:color w:val="000000" w:themeColor="text1"/>
                <w:szCs w:val="24"/>
              </w:rPr>
              <w:t>1.54</w:t>
            </w:r>
            <w:r>
              <w:rPr>
                <w:rFonts w:eastAsiaTheme="minorEastAsia"/>
                <w:color w:val="000000" w:themeColor="text1"/>
                <w:szCs w:val="24"/>
              </w:rPr>
              <w:t>m³/d，而项目拟设置1套处理能力为</w:t>
            </w:r>
            <w:r>
              <w:rPr>
                <w:rFonts w:hint="eastAsia" w:eastAsiaTheme="minorEastAsia"/>
                <w:color w:val="000000" w:themeColor="text1"/>
                <w:szCs w:val="24"/>
              </w:rPr>
              <w:t>5m³/d</w:t>
            </w:r>
            <w:r>
              <w:rPr>
                <w:rFonts w:eastAsiaTheme="minorEastAsia"/>
                <w:color w:val="000000" w:themeColor="text1"/>
                <w:szCs w:val="24"/>
              </w:rPr>
              <w:t>的一体化污水处理设施其规模可满足要求。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一体化污水处理设施工艺设置合理性分析</w:t>
            </w:r>
          </w:p>
          <w:p>
            <w:pPr>
              <w:pStyle w:val="40"/>
              <w:ind w:firstLine="480"/>
              <w:rPr>
                <w:rFonts w:eastAsiaTheme="minorEastAsia"/>
                <w:color w:val="000000" w:themeColor="text1"/>
                <w:szCs w:val="24"/>
              </w:rPr>
            </w:pPr>
            <w:r>
              <w:rPr>
                <w:rFonts w:eastAsiaTheme="minorEastAsia"/>
                <w:color w:val="000000" w:themeColor="text1"/>
                <w:szCs w:val="24"/>
              </w:rPr>
              <w:t>本项目设置的一体化污水处理设施购买成品进行安装，根据该一体化设施的设计资料，该设施拟采用生化处理工艺对生活污水进行处理，设计工艺如下图所示。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object>
                <v:shape id="_x0000_i1033" o:spt="75" type="#_x0000_t75" style="height:136.2pt;width:392.4pt;" o:ole="t" filled="f" o:preferrelative="t" stroked="f" coordsize="21600,21600">
                  <v:path/>
                  <v:fill on="f" focussize="0,0"/>
                  <v:stroke on="f" joinstyle="miter"/>
                  <v:imagedata r:id="rId22" o:title=""/>
                  <o:lock v:ext="edit" aspectratio="t"/>
                  <w10:wrap type="none"/>
                  <w10:anchorlock/>
                </v:shape>
                <o:OLEObject Type="Embed" ProgID="Visio.Drawing.11" ShapeID="_x0000_i1033" DrawAspect="Content" ObjectID="_1468075733" r:id="rId21">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.2.2-</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污水处理工艺</w:t>
            </w:r>
            <w:r>
              <w:rPr>
                <w:rFonts w:hint="eastAsia" w:ascii="Times New Roman" w:hAnsi="Times New Roman" w:cs="Times New Roman"/>
                <w:b/>
                <w:color w:val="000000" w:themeColor="text1"/>
                <w:szCs w:val="24"/>
              </w:rPr>
              <w:t>流程图</w:t>
            </w:r>
          </w:p>
          <w:p>
            <w:pPr>
              <w:pStyle w:val="40"/>
              <w:ind w:firstLine="480"/>
              <w:rPr>
                <w:rFonts w:eastAsiaTheme="minorEastAsia"/>
                <w:color w:val="000000" w:themeColor="text1"/>
                <w:szCs w:val="24"/>
              </w:rPr>
            </w:pPr>
            <w:r>
              <w:rPr>
                <w:rFonts w:eastAsiaTheme="minorEastAsia"/>
                <w:color w:val="000000" w:themeColor="text1"/>
                <w:szCs w:val="24"/>
              </w:rPr>
              <w:t>污水处理工艺流程简述：</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w:instrText>
            </w:r>
            <w:r>
              <w:rPr>
                <w:rFonts w:hint="eastAsia" w:eastAsiaTheme="minorEastAsia"/>
                <w:color w:val="000000" w:themeColor="text1"/>
                <w:szCs w:val="24"/>
              </w:rPr>
              <w:instrText xml:space="preserve">= 1 \* GB4</w:instrText>
            </w:r>
            <w:r>
              <w:rPr>
                <w:rFonts w:eastAsiaTheme="minorEastAsia"/>
                <w:color w:val="000000" w:themeColor="text1"/>
                <w:szCs w:val="24"/>
              </w:rPr>
              <w:instrText xml:space="preserve"> </w:instrText>
            </w:r>
            <w:r>
              <w:rPr>
                <w:rFonts w:eastAsiaTheme="minorEastAsia"/>
                <w:color w:val="000000" w:themeColor="text1"/>
                <w:szCs w:val="24"/>
              </w:rPr>
              <w:fldChar w:fldCharType="separate"/>
            </w:r>
            <w:r>
              <w:rPr>
                <w:rFonts w:hint="eastAsia" w:eastAsiaTheme="minorEastAsia"/>
                <w:color w:val="000000" w:themeColor="text1"/>
                <w:szCs w:val="24"/>
              </w:rPr>
              <w:t>㈠</w:t>
            </w:r>
            <w:r>
              <w:rPr>
                <w:rFonts w:eastAsiaTheme="minorEastAsia"/>
                <w:color w:val="000000" w:themeColor="text1"/>
                <w:szCs w:val="24"/>
              </w:rPr>
              <w:fldChar w:fldCharType="end"/>
            </w:r>
            <w:r>
              <w:rPr>
                <w:rFonts w:eastAsiaTheme="minorEastAsia"/>
                <w:color w:val="000000" w:themeColor="text1"/>
                <w:szCs w:val="24"/>
              </w:rPr>
              <w:t xml:space="preserve"> 调节池</w:t>
            </w:r>
          </w:p>
          <w:p>
            <w:pPr>
              <w:pStyle w:val="40"/>
              <w:ind w:firstLine="480"/>
              <w:rPr>
                <w:rFonts w:eastAsiaTheme="minorEastAsia"/>
                <w:color w:val="000000" w:themeColor="text1"/>
                <w:szCs w:val="24"/>
              </w:rPr>
            </w:pPr>
            <w:r>
              <w:rPr>
                <w:rFonts w:eastAsiaTheme="minorEastAsia"/>
                <w:color w:val="000000" w:themeColor="text1"/>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w:instrText>
            </w:r>
            <w:r>
              <w:rPr>
                <w:rFonts w:hint="eastAsia" w:eastAsiaTheme="minorEastAsia"/>
                <w:color w:val="000000" w:themeColor="text1"/>
                <w:szCs w:val="24"/>
              </w:rPr>
              <w:instrText xml:space="preserve">= 2 \* GB4</w:instrText>
            </w:r>
            <w:r>
              <w:rPr>
                <w:rFonts w:eastAsiaTheme="minorEastAsia"/>
                <w:color w:val="000000" w:themeColor="text1"/>
                <w:szCs w:val="24"/>
              </w:rPr>
              <w:instrText xml:space="preserve"> </w:instrText>
            </w:r>
            <w:r>
              <w:rPr>
                <w:rFonts w:eastAsiaTheme="minorEastAsia"/>
                <w:color w:val="000000" w:themeColor="text1"/>
                <w:szCs w:val="24"/>
              </w:rPr>
              <w:fldChar w:fldCharType="separate"/>
            </w:r>
            <w:r>
              <w:rPr>
                <w:rFonts w:hint="eastAsia" w:eastAsiaTheme="minorEastAsia"/>
                <w:color w:val="000000" w:themeColor="text1"/>
                <w:szCs w:val="24"/>
              </w:rPr>
              <w:t>㈡</w:t>
            </w:r>
            <w:r>
              <w:rPr>
                <w:rFonts w:eastAsiaTheme="minorEastAsia"/>
                <w:color w:val="000000" w:themeColor="text1"/>
                <w:szCs w:val="24"/>
              </w:rPr>
              <w:fldChar w:fldCharType="end"/>
            </w:r>
            <w:r>
              <w:rPr>
                <w:rFonts w:eastAsiaTheme="minorEastAsia"/>
                <w:color w:val="000000" w:themeColor="text1"/>
                <w:szCs w:val="24"/>
              </w:rPr>
              <w:t>接触氧化池</w:t>
            </w:r>
          </w:p>
          <w:p>
            <w:pPr>
              <w:pStyle w:val="40"/>
              <w:ind w:firstLine="480"/>
              <w:rPr>
                <w:rFonts w:eastAsiaTheme="minorEastAsia"/>
                <w:color w:val="000000" w:themeColor="text1"/>
                <w:szCs w:val="24"/>
              </w:rPr>
            </w:pPr>
            <w:r>
              <w:rPr>
                <w:rFonts w:eastAsiaTheme="minorEastAsia"/>
                <w:color w:val="000000" w:themeColor="text1"/>
                <w:szCs w:val="24"/>
              </w:rPr>
              <w:t>好氧接触氧化池主要利用好氧菌去除CODcr、BOD</w:t>
            </w:r>
            <w:r>
              <w:rPr>
                <w:rFonts w:eastAsiaTheme="minorEastAsia"/>
                <w:color w:val="000000" w:themeColor="text1"/>
                <w:szCs w:val="24"/>
                <w:vertAlign w:val="subscript"/>
              </w:rPr>
              <w:t>5</w:t>
            </w:r>
            <w:r>
              <w:rPr>
                <w:rFonts w:eastAsiaTheme="minorEastAsia"/>
                <w:color w:val="000000" w:themeColor="text1"/>
                <w:szCs w:val="24"/>
              </w:rPr>
              <w:t>、SS、NH</w:t>
            </w:r>
            <w:r>
              <w:rPr>
                <w:rFonts w:eastAsiaTheme="minorEastAsia"/>
                <w:color w:val="000000" w:themeColor="text1"/>
                <w:szCs w:val="24"/>
                <w:vertAlign w:val="subscript"/>
              </w:rPr>
              <w:t>3</w:t>
            </w:r>
            <w:r>
              <w:rPr>
                <w:rFonts w:eastAsiaTheme="minorEastAsia"/>
                <w:color w:val="000000" w:themeColor="text1"/>
                <w:szCs w:val="24"/>
              </w:rPr>
              <w:t>-N和总磷等污染物。污水</w:t>
            </w:r>
            <w:r>
              <w:rPr>
                <w:rFonts w:hint="eastAsia" w:eastAsiaTheme="minorEastAsia"/>
                <w:color w:val="000000" w:themeColor="text1"/>
                <w:szCs w:val="24"/>
              </w:rPr>
              <w:t>在</w:t>
            </w:r>
            <w:r>
              <w:rPr>
                <w:rFonts w:eastAsiaTheme="minorEastAsia"/>
                <w:color w:val="000000" w:themeColor="text1"/>
                <w:szCs w:val="24"/>
              </w:rPr>
              <w:t>调节</w:t>
            </w:r>
            <w:r>
              <w:rPr>
                <w:rFonts w:hint="eastAsia" w:eastAsiaTheme="minorEastAsia"/>
                <w:color w:val="000000" w:themeColor="text1"/>
                <w:szCs w:val="24"/>
              </w:rPr>
              <w:t>水解</w:t>
            </w:r>
            <w:r>
              <w:rPr>
                <w:rFonts w:eastAsiaTheme="minorEastAsia"/>
                <w:color w:val="000000" w:themeColor="text1"/>
                <w:szCs w:val="24"/>
              </w:rPr>
              <w:t>池中调节</w:t>
            </w:r>
            <w:r>
              <w:rPr>
                <w:rFonts w:hint="eastAsia" w:eastAsiaTheme="minorEastAsia"/>
                <w:color w:val="000000" w:themeColor="text1"/>
                <w:szCs w:val="24"/>
              </w:rPr>
              <w:t>水解后</w:t>
            </w:r>
            <w:r>
              <w:rPr>
                <w:rFonts w:eastAsiaTheme="minorEastAsia"/>
                <w:color w:val="000000" w:themeColor="text1"/>
                <w:szCs w:val="24"/>
              </w:rPr>
              <w:t>由泵提升依次进入接触氧化池，对污水中有机物进行充分的生物降解，在充氧的条件下，利用微生物的生物活动，将废水中大部分的有机物分解去除。</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w:instrText>
            </w:r>
            <w:r>
              <w:rPr>
                <w:rFonts w:hint="eastAsia" w:eastAsiaTheme="minorEastAsia"/>
                <w:color w:val="000000" w:themeColor="text1"/>
                <w:szCs w:val="24"/>
              </w:rPr>
              <w:instrText xml:space="preserve">= 3 \* GB4</w:instrText>
            </w:r>
            <w:r>
              <w:rPr>
                <w:rFonts w:eastAsiaTheme="minorEastAsia"/>
                <w:color w:val="000000" w:themeColor="text1"/>
                <w:szCs w:val="24"/>
              </w:rPr>
              <w:instrText xml:space="preserve"> </w:instrText>
            </w:r>
            <w:r>
              <w:rPr>
                <w:rFonts w:eastAsiaTheme="minorEastAsia"/>
                <w:color w:val="000000" w:themeColor="text1"/>
                <w:szCs w:val="24"/>
              </w:rPr>
              <w:fldChar w:fldCharType="separate"/>
            </w:r>
            <w:r>
              <w:rPr>
                <w:rFonts w:hint="eastAsia" w:eastAsiaTheme="minorEastAsia"/>
                <w:color w:val="000000" w:themeColor="text1"/>
                <w:szCs w:val="24"/>
              </w:rPr>
              <w:t>㈢</w:t>
            </w:r>
            <w:r>
              <w:rPr>
                <w:rFonts w:eastAsiaTheme="minorEastAsia"/>
                <w:color w:val="000000" w:themeColor="text1"/>
                <w:szCs w:val="24"/>
              </w:rPr>
              <w:fldChar w:fldCharType="end"/>
            </w:r>
            <w:r>
              <w:rPr>
                <w:rFonts w:eastAsiaTheme="minorEastAsia"/>
                <w:color w:val="000000" w:themeColor="text1"/>
                <w:szCs w:val="24"/>
              </w:rPr>
              <w:t>二沉池</w:t>
            </w:r>
          </w:p>
          <w:p>
            <w:pPr>
              <w:pStyle w:val="40"/>
              <w:ind w:firstLine="480"/>
              <w:rPr>
                <w:rFonts w:eastAsiaTheme="minorEastAsia"/>
                <w:color w:val="000000" w:themeColor="text1"/>
                <w:szCs w:val="24"/>
              </w:rPr>
            </w:pPr>
            <w:r>
              <w:rPr>
                <w:rFonts w:eastAsiaTheme="minorEastAsia"/>
                <w:color w:val="000000" w:themeColor="text1"/>
                <w:szCs w:val="24"/>
              </w:rPr>
              <w:t>接触氧化池出水进入二沉池，二沉池前设PAC（絮凝剂）投加系统，投加PAC（絮凝剂），去除SS和部分胶体颗粒，二沉池出水经过石英砂过滤后，进一步降低水中SS和胶体颗粒含量。</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w:instrText>
            </w:r>
            <w:r>
              <w:rPr>
                <w:rFonts w:hint="eastAsia" w:eastAsiaTheme="minorEastAsia"/>
                <w:color w:val="000000" w:themeColor="text1"/>
                <w:szCs w:val="24"/>
              </w:rPr>
              <w:instrText xml:space="preserve">= 4 \* GB4</w:instrText>
            </w:r>
            <w:r>
              <w:rPr>
                <w:rFonts w:eastAsiaTheme="minorEastAsia"/>
                <w:color w:val="000000" w:themeColor="text1"/>
                <w:szCs w:val="24"/>
              </w:rPr>
              <w:instrText xml:space="preserve"> </w:instrText>
            </w:r>
            <w:r>
              <w:rPr>
                <w:rFonts w:eastAsiaTheme="minorEastAsia"/>
                <w:color w:val="000000" w:themeColor="text1"/>
                <w:szCs w:val="24"/>
              </w:rPr>
              <w:fldChar w:fldCharType="separate"/>
            </w:r>
            <w:r>
              <w:rPr>
                <w:rFonts w:hint="eastAsia" w:eastAsiaTheme="minorEastAsia"/>
                <w:color w:val="000000" w:themeColor="text1"/>
                <w:szCs w:val="24"/>
              </w:rPr>
              <w:t>㈣</w:t>
            </w:r>
            <w:r>
              <w:rPr>
                <w:rFonts w:eastAsiaTheme="minorEastAsia"/>
                <w:color w:val="000000" w:themeColor="text1"/>
                <w:szCs w:val="24"/>
              </w:rPr>
              <w:fldChar w:fldCharType="end"/>
            </w:r>
            <w:r>
              <w:rPr>
                <w:rFonts w:eastAsiaTheme="minorEastAsia"/>
                <w:color w:val="000000" w:themeColor="text1"/>
                <w:szCs w:val="24"/>
              </w:rPr>
              <w:t>过滤</w:t>
            </w:r>
          </w:p>
          <w:p>
            <w:pPr>
              <w:pStyle w:val="40"/>
              <w:ind w:firstLine="480"/>
              <w:rPr>
                <w:rFonts w:eastAsiaTheme="minorEastAsia"/>
                <w:color w:val="000000" w:themeColor="text1"/>
                <w:szCs w:val="24"/>
              </w:rPr>
            </w:pPr>
            <w:r>
              <w:rPr>
                <w:rFonts w:eastAsiaTheme="minorEastAsia"/>
                <w:color w:val="000000" w:themeColor="text1"/>
                <w:szCs w:val="24"/>
              </w:rPr>
              <w:t>二沉池出水仍含有一定的悬浮物杂质，因此本方案设置深度处理（过滤）处理单元。</w:t>
            </w:r>
            <w:r>
              <w:rPr>
                <w:rFonts w:hint="eastAsia" w:eastAsiaTheme="minorEastAsia"/>
                <w:color w:val="000000" w:themeColor="text1"/>
                <w:szCs w:val="24"/>
              </w:rPr>
              <w:t>二沉池出水进入过滤池进行过滤，</w:t>
            </w:r>
            <w:r>
              <w:rPr>
                <w:rFonts w:eastAsiaTheme="minorEastAsia"/>
                <w:color w:val="000000" w:themeColor="text1"/>
                <w:szCs w:val="24"/>
              </w:rPr>
              <w:t>去除水中残存的有机物、胶体、细菌残留物、微生物等。</w:t>
            </w:r>
            <w:r>
              <w:rPr>
                <w:rFonts w:hint="eastAsia" w:eastAsiaTheme="minorEastAsia"/>
                <w:color w:val="000000" w:themeColor="text1"/>
                <w:szCs w:val="24"/>
              </w:rPr>
              <w:t>根据设计，过滤采用活性砂过滤，长期使用产生的脏砂经反冲洗后，反复使用，无需更换。</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w:instrText>
            </w:r>
            <w:r>
              <w:rPr>
                <w:rFonts w:hint="eastAsia" w:eastAsiaTheme="minorEastAsia"/>
                <w:color w:val="000000" w:themeColor="text1"/>
                <w:szCs w:val="24"/>
              </w:rPr>
              <w:instrText xml:space="preserve">= 5 \* GB4</w:instrText>
            </w:r>
            <w:r>
              <w:rPr>
                <w:rFonts w:eastAsiaTheme="minorEastAsia"/>
                <w:color w:val="000000" w:themeColor="text1"/>
                <w:szCs w:val="24"/>
              </w:rPr>
              <w:instrText xml:space="preserve"> </w:instrText>
            </w:r>
            <w:r>
              <w:rPr>
                <w:rFonts w:eastAsiaTheme="minorEastAsia"/>
                <w:color w:val="000000" w:themeColor="text1"/>
                <w:szCs w:val="24"/>
              </w:rPr>
              <w:fldChar w:fldCharType="separate"/>
            </w:r>
            <w:r>
              <w:rPr>
                <w:rFonts w:hint="eastAsia" w:eastAsiaTheme="minorEastAsia"/>
                <w:color w:val="000000" w:themeColor="text1"/>
                <w:szCs w:val="24"/>
              </w:rPr>
              <w:t>㈤</w:t>
            </w:r>
            <w:r>
              <w:rPr>
                <w:rFonts w:eastAsiaTheme="minorEastAsia"/>
                <w:color w:val="000000" w:themeColor="text1"/>
                <w:szCs w:val="24"/>
              </w:rPr>
              <w:fldChar w:fldCharType="end"/>
            </w:r>
            <w:r>
              <w:rPr>
                <w:rFonts w:eastAsiaTheme="minorEastAsia"/>
                <w:color w:val="000000" w:themeColor="text1"/>
                <w:szCs w:val="24"/>
              </w:rPr>
              <w:t>消毒</w:t>
            </w:r>
          </w:p>
          <w:p>
            <w:pPr>
              <w:pStyle w:val="40"/>
              <w:ind w:firstLine="480"/>
              <w:rPr>
                <w:rFonts w:eastAsiaTheme="minorEastAsia"/>
                <w:color w:val="000000" w:themeColor="text1"/>
                <w:szCs w:val="24"/>
              </w:rPr>
            </w:pPr>
            <w:r>
              <w:rPr>
                <w:rFonts w:eastAsiaTheme="minorEastAsia"/>
                <w:color w:val="000000" w:themeColor="text1"/>
                <w:szCs w:val="24"/>
              </w:rPr>
              <w:t>过滤后的污水经过消毒，即可满足排放要求，消毒采用自动投加方式，定量把次氯酸钠药液投加到消毒池中，可以较彻底的消除细菌、臭味、色度等可能对人群造成的危害。</w:t>
            </w:r>
          </w:p>
          <w:p>
            <w:pPr>
              <w:pStyle w:val="40"/>
              <w:ind w:firstLine="480"/>
              <w:rPr>
                <w:rFonts w:eastAsiaTheme="minorEastAsia"/>
                <w:color w:val="000000" w:themeColor="text1"/>
                <w:szCs w:val="24"/>
              </w:rPr>
            </w:pPr>
            <w:r>
              <w:rPr>
                <w:rFonts w:eastAsiaTheme="minorEastAsia"/>
                <w:color w:val="000000" w:themeColor="text1"/>
                <w:szCs w:val="24"/>
              </w:rPr>
              <w:t>根据工程分析可知，经</w:t>
            </w:r>
            <w:r>
              <w:rPr>
                <w:rFonts w:hint="eastAsia" w:eastAsiaTheme="minorEastAsia"/>
                <w:color w:val="000000" w:themeColor="text1"/>
                <w:szCs w:val="24"/>
              </w:rPr>
              <w:t>调节池调节</w:t>
            </w:r>
            <w:r>
              <w:rPr>
                <w:rFonts w:eastAsiaTheme="minorEastAsia"/>
                <w:color w:val="000000" w:themeColor="text1"/>
                <w:szCs w:val="24"/>
              </w:rPr>
              <w:t>处理后的</w:t>
            </w:r>
            <w:r>
              <w:rPr>
                <w:rFonts w:hint="eastAsia" w:eastAsiaTheme="minorEastAsia"/>
                <w:color w:val="000000" w:themeColor="text1"/>
                <w:szCs w:val="24"/>
              </w:rPr>
              <w:t>生活污水</w:t>
            </w:r>
            <w:r>
              <w:rPr>
                <w:rFonts w:eastAsiaTheme="minorEastAsia"/>
                <w:color w:val="000000" w:themeColor="text1"/>
                <w:szCs w:val="24"/>
              </w:rPr>
              <w:t>BOD/COD约为0.</w:t>
            </w:r>
            <w:r>
              <w:rPr>
                <w:rFonts w:hint="eastAsia" w:eastAsiaTheme="minorEastAsia"/>
                <w:color w:val="000000" w:themeColor="text1"/>
                <w:szCs w:val="24"/>
              </w:rPr>
              <w:t>63</w:t>
            </w:r>
            <w:r>
              <w:rPr>
                <w:rFonts w:eastAsiaTheme="minorEastAsia"/>
                <w:color w:val="000000" w:themeColor="text1"/>
                <w:szCs w:val="24"/>
              </w:rPr>
              <w:t>≥0.3，满足可生化条件，因此项目拟采用废水生化处理工艺技术可行，由根据核算，项目</w:t>
            </w:r>
            <w:r>
              <w:rPr>
                <w:rFonts w:hint="eastAsia" w:eastAsiaTheme="minorEastAsia"/>
                <w:color w:val="000000" w:themeColor="text1"/>
                <w:szCs w:val="24"/>
              </w:rPr>
              <w:t>生活污水</w:t>
            </w:r>
            <w:r>
              <w:rPr>
                <w:rFonts w:eastAsiaTheme="minorEastAsia"/>
                <w:color w:val="000000" w:themeColor="text1"/>
                <w:szCs w:val="24"/>
              </w:rPr>
              <w:t>经一体化污水处理设施处理后可达到《城市污水再生利用 城市杂用水水质》（GB/T18920 -20</w:t>
            </w:r>
            <w:r>
              <w:rPr>
                <w:rFonts w:hint="eastAsia" w:eastAsiaTheme="minorEastAsia"/>
                <w:color w:val="000000" w:themeColor="text1"/>
                <w:szCs w:val="24"/>
              </w:rPr>
              <w:t>20</w:t>
            </w:r>
            <w:r>
              <w:rPr>
                <w:rFonts w:eastAsiaTheme="minorEastAsia"/>
                <w:color w:val="000000" w:themeColor="text1"/>
                <w:szCs w:val="24"/>
              </w:rPr>
              <w:t>）城市绿化标准，因此其技术可行。</w:t>
            </w:r>
          </w:p>
          <w:p>
            <w:pPr>
              <w:pStyle w:val="40"/>
              <w:ind w:firstLine="480"/>
              <w:rPr>
                <w:rFonts w:eastAsiaTheme="minorEastAsia"/>
                <w:color w:val="000000" w:themeColor="text1"/>
                <w:szCs w:val="24"/>
              </w:rPr>
            </w:pPr>
            <w:r>
              <w:rPr>
                <w:rFonts w:eastAsiaTheme="minorEastAsia"/>
                <w:color w:val="000000" w:themeColor="text1"/>
                <w:szCs w:val="24"/>
              </w:rPr>
              <w:t>综上，项目设置1套处理能力为</w:t>
            </w:r>
            <w:r>
              <w:rPr>
                <w:rFonts w:hint="eastAsia" w:eastAsiaTheme="minorEastAsia"/>
                <w:color w:val="000000" w:themeColor="text1"/>
                <w:szCs w:val="24"/>
              </w:rPr>
              <w:t>5m³/d</w:t>
            </w:r>
            <w:r>
              <w:rPr>
                <w:rFonts w:eastAsiaTheme="minorEastAsia"/>
                <w:color w:val="000000" w:themeColor="text1"/>
                <w:szCs w:val="24"/>
              </w:rPr>
              <w:t>的一体化污水处理设施对项目区废水进行处理，处理后回用于回用于项目区绿化，该措施可行。</w:t>
            </w:r>
          </w:p>
          <w:p>
            <w:pPr>
              <w:pStyle w:val="40"/>
              <w:ind w:firstLine="482"/>
              <w:rPr>
                <w:rFonts w:hAnsiTheme="minorEastAsia" w:eastAsiaTheme="minorEastAsia"/>
                <w:b/>
                <w:color w:val="000000" w:themeColor="text1"/>
                <w:szCs w:val="24"/>
              </w:rPr>
            </w:pPr>
            <w:r>
              <w:rPr>
                <w:rFonts w:hint="eastAsia" w:hAnsiTheme="minorEastAsia" w:eastAsiaTheme="minorEastAsia"/>
                <w:b/>
                <w:color w:val="000000" w:themeColor="text1"/>
                <w:szCs w:val="24"/>
              </w:rPr>
              <w:t>⑤清水池</w:t>
            </w:r>
            <w:r>
              <w:rPr>
                <w:rFonts w:hAnsiTheme="minorEastAsia" w:eastAsiaTheme="minorEastAsia"/>
                <w:b/>
                <w:color w:val="000000" w:themeColor="text1"/>
                <w:szCs w:val="24"/>
              </w:rPr>
              <w:t>环境影响减缓措施有效性分析</w:t>
            </w:r>
          </w:p>
          <w:p>
            <w:pPr>
              <w:pStyle w:val="40"/>
              <w:ind w:firstLine="480"/>
              <w:rPr>
                <w:rFonts w:eastAsiaTheme="minorEastAsia"/>
                <w:color w:val="000000" w:themeColor="text1"/>
                <w:szCs w:val="24"/>
              </w:rPr>
            </w:pPr>
            <w:r>
              <w:rPr>
                <w:rFonts w:hint="eastAsia" w:eastAsiaTheme="minorEastAsia"/>
                <w:color w:val="000000" w:themeColor="text1"/>
                <w:szCs w:val="24"/>
              </w:rPr>
              <w:t>为了满足雨天等特殊情况，处理后生活污水的暂存要求，项目拟配套设置1个有效容积为</w:t>
            </w:r>
            <w:r>
              <w:rPr>
                <w:rFonts w:eastAsiaTheme="minorEastAsia"/>
                <w:color w:val="000000" w:themeColor="text1"/>
                <w:szCs w:val="24"/>
              </w:rPr>
              <w:t>10m³</w:t>
            </w:r>
            <w:r>
              <w:rPr>
                <w:rFonts w:hint="eastAsia" w:eastAsiaTheme="minorEastAsia"/>
                <w:color w:val="000000" w:themeColor="text1"/>
                <w:szCs w:val="24"/>
              </w:rPr>
              <w:t>的清水池对处理后的生活污水进行暂存；项目生活污水最大产生量为1.28</w:t>
            </w:r>
            <w:r>
              <w:rPr>
                <w:rFonts w:eastAsiaTheme="minorEastAsia"/>
                <w:color w:val="000000" w:themeColor="text1"/>
                <w:szCs w:val="24"/>
              </w:rPr>
              <w:t>m³/d</w:t>
            </w:r>
            <w:r>
              <w:rPr>
                <w:rFonts w:hint="eastAsia" w:eastAsiaTheme="minorEastAsia"/>
                <w:color w:val="000000" w:themeColor="text1"/>
                <w:szCs w:val="24"/>
              </w:rPr>
              <w:t>，清水池可满足生活污水超过7d的储存量，可满足雨天暂存后用于非雨天绿化的暂存要求，因此其设置可行。</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cs="Times New Roman" w:hAnsiTheme="minorEastAsia"/>
                <w:b/>
                <w:color w:val="000000" w:themeColor="text1"/>
                <w:sz w:val="24"/>
              </w:rPr>
              <w:t>⑥</w:t>
            </w:r>
            <w:r>
              <w:rPr>
                <w:rFonts w:ascii="Times New Roman" w:cs="Times New Roman" w:hAnsiTheme="minorEastAsia"/>
                <w:b/>
                <w:color w:val="000000" w:themeColor="text1"/>
                <w:sz w:val="24"/>
                <w:szCs w:val="24"/>
              </w:rPr>
              <w:t>初期雨水污染治理措施可行性分析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w:t>
            </w:r>
            <w:r>
              <w:rPr>
                <w:rFonts w:hint="eastAsia" w:eastAsiaTheme="minorEastAsia"/>
                <w:color w:val="000000" w:themeColor="text1"/>
                <w:szCs w:val="24"/>
              </w:rPr>
              <w:t>本项目厂区的初期雨水产生量约为45.99</w:t>
            </w:r>
            <w:r>
              <w:rPr>
                <w:rFonts w:eastAsiaTheme="minorEastAsia"/>
                <w:color w:val="000000" w:themeColor="text1"/>
                <w:szCs w:val="24"/>
              </w:rPr>
              <w:t>m³/次，</w:t>
            </w:r>
            <w:r>
              <w:rPr>
                <w:rFonts w:hint="eastAsia" w:eastAsiaTheme="minorEastAsia"/>
                <w:color w:val="000000" w:themeColor="text1"/>
                <w:szCs w:val="24"/>
              </w:rPr>
              <w:t>本项目拟配套设置了1个60m³的初期雨水收集池</w:t>
            </w:r>
            <w:r>
              <w:rPr>
                <w:rFonts w:eastAsiaTheme="minorEastAsia"/>
                <w:color w:val="000000" w:themeColor="text1"/>
                <w:szCs w:val="24"/>
              </w:rPr>
              <w:t>，初期雨水收集池的容积可满足收集要求，同时在初期雨水收集池前端设置阀门，初期雨水收集后，关闭阀门，将中、后期雨水通过雨水管网外排；该措施合理可行。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w:t>
            </w:r>
            <w:r>
              <w:rPr>
                <w:rFonts w:hint="eastAsia" w:ascii="Times New Roman" w:hAnsi="Times New Roman" w:cs="Times New Roman"/>
                <w:color w:val="000000" w:themeColor="text1"/>
                <w:sz w:val="24"/>
                <w:szCs w:val="24"/>
              </w:rPr>
              <w:t>和《排污许可证申请与核发技术规范 陶瓷砖瓦工业》（</w:t>
            </w:r>
            <w:r>
              <w:rPr>
                <w:rFonts w:ascii="Times New Roman" w:hAnsi="Times New Roman" w:cs="Times New Roman"/>
                <w:color w:val="000000" w:themeColor="text1"/>
                <w:sz w:val="24"/>
                <w:szCs w:val="24"/>
              </w:rPr>
              <w:t>HJ95</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2018</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的要求，项目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6</w:t>
            </w:r>
            <w:r>
              <w:rPr>
                <w:rFonts w:ascii="Times New Roman" w:hAnsi="Times New Roman" w:cs="Times New Roman"/>
                <w:b/>
                <w:color w:val="000000" w:themeColor="text1"/>
                <w:szCs w:val="24"/>
              </w:rPr>
              <w:t xml:space="preserve">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78"/>
              <w:gridCol w:w="2545"/>
              <w:gridCol w:w="998"/>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34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268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104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305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w:t>
                  </w:r>
                </w:p>
              </w:tc>
              <w:tc>
                <w:tcPr>
                  <w:tcW w:w="134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一体化污水处理设施出口</w:t>
                  </w:r>
                </w:p>
              </w:tc>
              <w:tc>
                <w:tcPr>
                  <w:tcW w:w="2682" w:type="dxa"/>
                  <w:vAlign w:val="center"/>
                </w:tcPr>
                <w:p>
                  <w:pPr>
                    <w:pStyle w:val="32"/>
                    <w:spacing w:line="360" w:lineRule="exact"/>
                    <w:ind w:firstLine="210" w:firstLineChars="100"/>
                    <w:jc w:val="left"/>
                    <w:rPr>
                      <w:rFonts w:eastAsiaTheme="minorEastAsia"/>
                      <w:color w:val="000000" w:themeColor="text1"/>
                    </w:rPr>
                  </w:pPr>
                  <w:r>
                    <w:rPr>
                      <w:color w:val="000000" w:themeColor="text1"/>
                    </w:rPr>
                    <w:t>pH、CODcr、BOD</w:t>
                  </w:r>
                  <w:r>
                    <w:rPr>
                      <w:color w:val="000000" w:themeColor="text1"/>
                      <w:vertAlign w:val="subscript"/>
                    </w:rPr>
                    <w:t>5</w:t>
                  </w:r>
                  <w:r>
                    <w:rPr>
                      <w:color w:val="000000" w:themeColor="text1"/>
                    </w:rPr>
                    <w:t>、NH</w:t>
                  </w:r>
                  <w:r>
                    <w:rPr>
                      <w:color w:val="000000" w:themeColor="text1"/>
                      <w:vertAlign w:val="subscript"/>
                    </w:rPr>
                    <w:t>3</w:t>
                  </w:r>
                  <w:r>
                    <w:rPr>
                      <w:color w:val="000000" w:themeColor="text1"/>
                    </w:rPr>
                    <w:t>-N、SS、总磷、总氮、动植物油、</w:t>
                  </w:r>
                  <w:r>
                    <w:rPr>
                      <w:bCs w:val="0"/>
                      <w:snapToGrid/>
                      <w:color w:val="000000" w:themeColor="text1"/>
                      <w:kern w:val="0"/>
                      <w:szCs w:val="21"/>
                      <w:lang w:val="en-US"/>
                    </w:rPr>
                    <w:t>阴离子表面活性剂、</w:t>
                  </w:r>
                  <w:r>
                    <w:rPr>
                      <w:color w:val="000000" w:themeColor="text1"/>
                    </w:rPr>
                    <w:t>粪大肠菌群数</w:t>
                  </w:r>
                </w:p>
              </w:tc>
              <w:tc>
                <w:tcPr>
                  <w:tcW w:w="104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仅在自行验收时监测</w:t>
                  </w:r>
                </w:p>
              </w:tc>
              <w:tc>
                <w:tcPr>
                  <w:tcW w:w="3057" w:type="dxa"/>
                  <w:vAlign w:val="center"/>
                </w:tcPr>
                <w:p>
                  <w:pPr>
                    <w:pStyle w:val="32"/>
                    <w:spacing w:line="360" w:lineRule="exact"/>
                    <w:ind w:firstLine="210" w:firstLineChars="100"/>
                    <w:jc w:val="both"/>
                    <w:rPr>
                      <w:rFonts w:eastAsiaTheme="minorEastAsia"/>
                      <w:color w:val="000000" w:themeColor="text1"/>
                      <w:szCs w:val="21"/>
                    </w:rPr>
                  </w:pPr>
                  <w:r>
                    <w:rPr>
                      <w:color w:val="000000" w:themeColor="text1"/>
                    </w:rPr>
                    <w:t>《城市污水再生利用 城市杂用水水质》（GB/T18920-2020）城市绿化标准</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雨水</w:t>
                  </w:r>
                </w:p>
              </w:tc>
              <w:tc>
                <w:tcPr>
                  <w:tcW w:w="134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雨水排放口</w:t>
                  </w:r>
                </w:p>
              </w:tc>
              <w:tc>
                <w:tcPr>
                  <w:tcW w:w="2682" w:type="dxa"/>
                  <w:vAlign w:val="center"/>
                </w:tcPr>
                <w:p>
                  <w:pPr>
                    <w:pStyle w:val="32"/>
                    <w:spacing w:line="360" w:lineRule="exact"/>
                    <w:ind w:firstLine="210" w:firstLineChars="100"/>
                    <w:jc w:val="left"/>
                    <w:rPr>
                      <w:color w:val="000000" w:themeColor="text1"/>
                    </w:rPr>
                  </w:pPr>
                  <w:r>
                    <w:rPr>
                      <w:color w:val="000000" w:themeColor="text1"/>
                    </w:rPr>
                    <w:t>CODcr</w:t>
                  </w:r>
                </w:p>
              </w:tc>
              <w:tc>
                <w:tcPr>
                  <w:tcW w:w="104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1次/日</w:t>
                  </w:r>
                </w:p>
              </w:tc>
              <w:tc>
                <w:tcPr>
                  <w:tcW w:w="3057" w:type="dxa"/>
                  <w:vAlign w:val="center"/>
                </w:tcPr>
                <w:p>
                  <w:pPr>
                    <w:pStyle w:val="32"/>
                    <w:spacing w:line="360" w:lineRule="exact"/>
                    <w:ind w:firstLine="210" w:firstLineChars="100"/>
                    <w:jc w:val="both"/>
                    <w:rPr>
                      <w:color w:val="000000" w:themeColor="text1"/>
                    </w:rPr>
                  </w:pP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4" w:type="dxa"/>
                  <w:gridSpan w:val="5"/>
                  <w:vAlign w:val="center"/>
                </w:tcPr>
                <w:p>
                  <w:pPr>
                    <w:pStyle w:val="32"/>
                    <w:spacing w:line="360" w:lineRule="exact"/>
                    <w:ind w:firstLine="210" w:firstLineChars="100"/>
                    <w:jc w:val="both"/>
                    <w:rPr>
                      <w:color w:val="000000" w:themeColor="text1"/>
                    </w:rPr>
                  </w:pPr>
                  <w:r>
                    <w:rPr>
                      <w:rFonts w:hint="eastAsia"/>
                      <w:color w:val="000000" w:themeColor="text1"/>
                    </w:rPr>
                    <w:t>备注：雨水排放口有流动水排放时开展监测</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2" w:firstLineChars="200"/>
              <w:rPr>
                <w:rFonts w:ascii="Times New Roman" w:cs="Times New Roman" w:hAnsiTheme="minorEastAsia"/>
                <w:b/>
                <w:color w:val="000000" w:themeColor="text1"/>
                <w:sz w:val="24"/>
              </w:rPr>
            </w:pPr>
            <w:r>
              <w:rPr>
                <w:rFonts w:hint="eastAsia" w:ascii="Times New Roman" w:cs="Times New Roman" w:hAnsiTheme="minorEastAsia"/>
                <w:b/>
                <w:color w:val="000000" w:themeColor="text1"/>
                <w:sz w:val="24"/>
              </w:rPr>
              <w:t>①脱硫废水</w:t>
            </w:r>
            <w:r>
              <w:rPr>
                <w:rFonts w:ascii="Times New Roman" w:cs="Times New Roman" w:hAnsiTheme="minorEastAsia"/>
                <w:b/>
                <w:color w:val="000000" w:themeColor="text1"/>
                <w:sz w:val="24"/>
              </w:rPr>
              <w:t>环境影响分析</w:t>
            </w:r>
            <w:r>
              <w:rPr>
                <w:rFonts w:ascii="Times New Roman" w:hAnsi="Times New Roman" w:cs="Times New Roman"/>
                <w:b/>
                <w:color w:val="000000" w:themeColor="text1"/>
                <w:sz w:val="24"/>
                <w:szCs w:val="24"/>
              </w:rPr>
              <w:t>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w:t>
            </w:r>
            <w:r>
              <w:rPr>
                <w:rFonts w:hint="eastAsia" w:ascii="Times New Roman" w:hAnsi="Times New Roman" w:cs="Times New Roman"/>
                <w:color w:val="000000" w:themeColor="text1"/>
                <w:sz w:val="24"/>
              </w:rPr>
              <w:t>项目拟单独配套设置1个30</w:t>
            </w:r>
            <w:r>
              <w:rPr>
                <w:rFonts w:ascii="Times New Roman" w:hAnsi="Times New Roman" w:cs="Times New Roman"/>
                <w:color w:val="000000" w:themeColor="text1"/>
                <w:sz w:val="24"/>
              </w:rPr>
              <w:t>m³</w:t>
            </w:r>
            <w:r>
              <w:rPr>
                <w:rFonts w:hint="eastAsia" w:ascii="Times New Roman" w:hAnsi="Times New Roman" w:cs="Times New Roman"/>
                <w:color w:val="000000" w:themeColor="text1"/>
                <w:sz w:val="24"/>
              </w:rPr>
              <w:t>的脱硫废水沉淀池对脱硫废水进行收集沉淀处理，并调节其pH值后</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rPr>
              <w:t>全部回用于生产，不外排；对环境影响较小。</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生活污水环境影响分析</w:t>
            </w:r>
            <w:r>
              <w:rPr>
                <w:rFonts w:ascii="Times New Roman" w:hAnsi="Times New Roman" w:cs="Times New Roman"/>
                <w:b/>
                <w:color w:val="000000" w:themeColor="text1"/>
                <w:sz w:val="24"/>
                <w:szCs w:val="24"/>
              </w:rPr>
              <w:t>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根据工程分析可知，项目生活污水产生量为</w:t>
            </w:r>
            <w:r>
              <w:rPr>
                <w:rFonts w:hint="eastAsia" w:ascii="Times New Roman" w:hAnsi="Times New Roman" w:cs="Times New Roman"/>
                <w:color w:val="000000" w:themeColor="text1"/>
                <w:sz w:val="24"/>
              </w:rPr>
              <w:t>1.28</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384</w:t>
            </w:r>
            <w:r>
              <w:rPr>
                <w:rFonts w:ascii="Times New Roman" w:hAnsi="Times New Roman" w:cs="Times New Roman"/>
                <w:color w:val="000000" w:themeColor="text1"/>
                <w:sz w:val="24"/>
              </w:rPr>
              <w:t>m³/a；厨房</w:t>
            </w:r>
            <w:r>
              <w:rPr>
                <w:rFonts w:hint="eastAsia" w:ascii="Times New Roman" w:hAnsi="Times New Roman" w:cs="Times New Roman"/>
                <w:color w:val="000000" w:themeColor="text1"/>
                <w:sz w:val="24"/>
              </w:rPr>
              <w:t>废水先进入</w:t>
            </w:r>
            <w:r>
              <w:rPr>
                <w:rFonts w:ascii="Times New Roman" w:hAnsi="Times New Roman" w:cs="Times New Roman"/>
                <w:color w:val="000000" w:themeColor="text1"/>
                <w:sz w:val="24"/>
              </w:rPr>
              <w:t>1个1m³的隔油池进行预处理，</w:t>
            </w:r>
            <w:r>
              <w:rPr>
                <w:rFonts w:hint="eastAsia" w:ascii="Times New Roman" w:hAnsi="Times New Roman" w:cs="Times New Roman"/>
                <w:color w:val="000000" w:themeColor="text1"/>
                <w:sz w:val="24"/>
              </w:rPr>
              <w:t>再和其他生活污水一起进入</w:t>
            </w:r>
            <w:r>
              <w:rPr>
                <w:rFonts w:ascii="Times New Roman" w:hAnsi="Times New Roman" w:cs="Times New Roman"/>
                <w:color w:val="000000" w:themeColor="text1"/>
                <w:sz w:val="24"/>
              </w:rPr>
              <w:t>1个有效容积为10m³的化粪池处理</w:t>
            </w:r>
            <w:r>
              <w:rPr>
                <w:rFonts w:hint="eastAsia" w:ascii="Times New Roman" w:hAnsi="Times New Roman" w:cs="Times New Roman"/>
                <w:color w:val="000000" w:themeColor="text1"/>
                <w:sz w:val="24"/>
              </w:rPr>
              <w:t>，处理后统一进入</w:t>
            </w:r>
            <w:r>
              <w:rPr>
                <w:rFonts w:ascii="Times New Roman" w:hAnsi="Times New Roman" w:cs="Times New Roman"/>
                <w:color w:val="000000" w:themeColor="text1"/>
                <w:sz w:val="24"/>
              </w:rPr>
              <w:t>1套处理能力为5m³/d的一体化污水处理设施</w:t>
            </w:r>
            <w:r>
              <w:rPr>
                <w:rFonts w:hint="eastAsia" w:ascii="Times New Roman" w:hAnsi="Times New Roman" w:cs="Times New Roman"/>
                <w:color w:val="000000" w:themeColor="text1"/>
                <w:sz w:val="24"/>
              </w:rPr>
              <w:t>处理，处理后可达到</w:t>
            </w:r>
            <w:r>
              <w:rPr>
                <w:rFonts w:ascii="Times New Roman" w:hAnsi="Times New Roman" w:cs="Times New Roman"/>
                <w:color w:val="000000" w:themeColor="text1"/>
                <w:sz w:val="24"/>
              </w:rPr>
              <w:t>城市污水再生利用 城市杂用水水质》（GB/T18920-2020）城市绿化标准后，</w:t>
            </w:r>
            <w:r>
              <w:rPr>
                <w:rFonts w:hint="eastAsia" w:ascii="Times New Roman" w:hAnsi="Times New Roman" w:cs="Times New Roman"/>
                <w:color w:val="000000" w:themeColor="text1"/>
                <w:sz w:val="24"/>
              </w:rPr>
              <w:t>非雨天可直接用于项目区绿化，雨天暂存于清水池后用于非雨天绿化，项目区绿化用量为</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rPr>
              <w:t>4.5</w:t>
            </w:r>
            <w:r>
              <w:rPr>
                <w:rFonts w:ascii="Times New Roman" w:hAnsi="Times New Roman" w:cs="Times New Roman"/>
                <w:color w:val="000000" w:themeColor="text1"/>
                <w:sz w:val="24"/>
              </w:rPr>
              <w:t>m³/d）</w:t>
            </w:r>
            <w:r>
              <w:rPr>
                <w:rFonts w:hint="eastAsia" w:ascii="Times New Roman" w:hAnsi="Times New Roman" w:cs="Times New Roman"/>
                <w:color w:val="000000" w:themeColor="text1"/>
                <w:sz w:val="24"/>
              </w:rPr>
              <w:t>1147.5</w:t>
            </w:r>
            <w:r>
              <w:rPr>
                <w:rFonts w:ascii="Times New Roman" w:hAnsi="Times New Roman" w:cs="Times New Roman"/>
                <w:color w:val="000000" w:themeColor="text1"/>
                <w:sz w:val="24"/>
              </w:rPr>
              <w:t>m³/a</w:t>
            </w:r>
            <w:r>
              <w:rPr>
                <w:rFonts w:hint="eastAsia" w:ascii="Times New Roman" w:hAnsi="Times New Roman" w:cs="Times New Roman"/>
                <w:color w:val="000000" w:themeColor="text1"/>
                <w:sz w:val="24"/>
              </w:rPr>
              <w:t>；项目生活污水可完全回用，不外排；对环境影响较小。</w:t>
            </w:r>
          </w:p>
          <w:p>
            <w:pPr>
              <w:spacing w:line="360" w:lineRule="auto"/>
              <w:ind w:firstLine="482" w:firstLineChars="200"/>
              <w:rPr>
                <w:rFonts w:ascii="Times New Roman" w:hAnsi="Times New Roman" w:cs="Times New Roman"/>
                <w:b/>
                <w:color w:val="000000" w:themeColor="text1"/>
                <w:sz w:val="24"/>
              </w:rPr>
            </w:pPr>
            <w:r>
              <w:rPr>
                <w:rFonts w:hint="eastAsia" w:cs="Times New Roman" w:asciiTheme="minorEastAsia" w:hAnsiTheme="minorEastAsia"/>
                <w:b/>
                <w:color w:val="000000" w:themeColor="text1"/>
                <w:sz w:val="24"/>
              </w:rPr>
              <w:t>③</w:t>
            </w:r>
            <w:r>
              <w:rPr>
                <w:rFonts w:ascii="Times New Roman" w:cs="Times New Roman" w:hAnsiTheme="minorEastAsia"/>
                <w:b/>
                <w:color w:val="000000" w:themeColor="text1"/>
                <w:sz w:val="24"/>
              </w:rPr>
              <w:t>初期雨水环境影响分析</w:t>
            </w:r>
            <w:r>
              <w:rPr>
                <w:rFonts w:ascii="Times New Roman" w:hAnsi="Times New Roman" w:cs="Times New Roman"/>
                <w:b/>
                <w:color w:val="000000" w:themeColor="text1"/>
                <w:sz w:val="24"/>
                <w:szCs w:val="24"/>
              </w:rPr>
              <w:t>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根据工程分析可知，本项目</w:t>
            </w:r>
            <w:r>
              <w:rPr>
                <w:rFonts w:hint="eastAsia" w:ascii="Times New Roman" w:hAnsi="Times New Roman" w:cs="Times New Roman"/>
                <w:color w:val="000000" w:themeColor="text1"/>
                <w:sz w:val="24"/>
              </w:rPr>
              <w:t>厂区</w:t>
            </w:r>
            <w:r>
              <w:rPr>
                <w:rFonts w:ascii="Times New Roman" w:hAnsi="Times New Roman" w:cs="Times New Roman"/>
                <w:color w:val="000000" w:themeColor="text1"/>
                <w:sz w:val="24"/>
              </w:rPr>
              <w:t>初期雨水产生量约为</w:t>
            </w:r>
            <w:r>
              <w:rPr>
                <w:rFonts w:hint="eastAsia" w:ascii="Times New Roman" w:hAnsi="Times New Roman" w:cs="Times New Roman"/>
                <w:color w:val="000000" w:themeColor="text1"/>
                <w:sz w:val="24"/>
              </w:rPr>
              <w:t>45.99m³/次</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rPr>
              <w:t>本项目拟配套设置了1个60m³的初期雨水收集池</w:t>
            </w:r>
            <w:r>
              <w:rPr>
                <w:rFonts w:ascii="Times New Roman" w:hAnsi="Times New Roman" w:cs="Times New Roman"/>
                <w:color w:val="000000" w:themeColor="text1"/>
                <w:sz w:val="24"/>
              </w:rPr>
              <w:t>，对厂区的初期雨水进行收集</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初期雨水收集池的容积可满足收集要求，</w:t>
            </w:r>
            <w:r>
              <w:rPr>
                <w:rFonts w:hint="eastAsia" w:ascii="Times New Roman" w:hAnsi="Times New Roman" w:cs="Times New Roman"/>
                <w:color w:val="000000" w:themeColor="text1"/>
                <w:sz w:val="24"/>
              </w:rPr>
              <w:t>初期雨水经收集沉淀处理后，全部回用于生产车间，不外排。</w:t>
            </w:r>
            <w:r>
              <w:rPr>
                <w:rFonts w:ascii="Times New Roman" w:hAnsi="Times New Roman" w:cs="Times New Roman"/>
                <w:color w:val="000000" w:themeColor="text1"/>
                <w:sz w:val="24"/>
              </w:rPr>
              <w:t>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pStyle w:val="40"/>
              <w:ind w:firstLine="480"/>
              <w:rPr>
                <w:color w:val="000000" w:themeColor="text1"/>
                <w:szCs w:val="24"/>
              </w:rPr>
            </w:pPr>
            <w:r>
              <w:rPr>
                <w:color w:val="000000" w:themeColor="text1"/>
                <w:szCs w:val="24"/>
              </w:rPr>
              <w:t>项目噪声污染源主要为设备噪声，其源强如下表所示。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20"/>
              <w:tblW w:w="5000" w:type="pct"/>
              <w:tblInd w:w="0" w:type="dxa"/>
              <w:tblLayout w:type="fixed"/>
              <w:tblCellMar>
                <w:top w:w="0" w:type="dxa"/>
                <w:left w:w="108" w:type="dxa"/>
                <w:bottom w:w="0" w:type="dxa"/>
                <w:right w:w="108" w:type="dxa"/>
              </w:tblCellMar>
            </w:tblPr>
            <w:tblGrid>
              <w:gridCol w:w="755"/>
              <w:gridCol w:w="548"/>
              <w:gridCol w:w="1747"/>
              <w:gridCol w:w="1082"/>
              <w:gridCol w:w="1254"/>
              <w:gridCol w:w="909"/>
              <w:gridCol w:w="1244"/>
              <w:gridCol w:w="1076"/>
            </w:tblGrid>
            <w:tr>
              <w:tblPrEx>
                <w:tblCellMar>
                  <w:top w:w="0" w:type="dxa"/>
                  <w:left w:w="108" w:type="dxa"/>
                  <w:bottom w:w="0" w:type="dxa"/>
                  <w:right w:w="108" w:type="dxa"/>
                </w:tblCellMar>
              </w:tblPrEx>
              <w:tc>
                <w:tcPr>
                  <w:tcW w:w="7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主要生产单元</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主要工艺</w:t>
                  </w:r>
                </w:p>
              </w:tc>
              <w:tc>
                <w:tcPr>
                  <w:tcW w:w="184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生产设施</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设施参数</w:t>
                  </w:r>
                </w:p>
              </w:tc>
              <w:tc>
                <w:tcPr>
                  <w:tcW w:w="1317" w:type="dxa"/>
                  <w:tcBorders>
                    <w:top w:val="single" w:color="000000" w:sz="8" w:space="0"/>
                    <w:left w:val="nil"/>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产生强度〔</w:t>
                  </w:r>
                  <w:r>
                    <w:rPr>
                      <w:rFonts w:ascii="Times New Roman" w:hAnsi="Times New Roman" w:eastAsia="宋体" w:cs="Times New Roman"/>
                      <w:color w:val="000000" w:themeColor="text1"/>
                      <w:kern w:val="0"/>
                    </w:rPr>
                    <w:t>dB</w:t>
                  </w:r>
                  <w:r>
                    <w:rPr>
                      <w:rFonts w:hint="eastAsia" w:ascii="宋体" w:hAnsi="宋体" w:eastAsia="宋体" w:cs="宋体"/>
                      <w:color w:val="000000" w:themeColor="text1"/>
                      <w:kern w:val="0"/>
                    </w:rPr>
                    <w:t>（</w:t>
                  </w:r>
                  <w:r>
                    <w:rPr>
                      <w:rFonts w:ascii="Times New Roman" w:hAnsi="Times New Roman" w:eastAsia="宋体" w:cs="Times New Roman"/>
                      <w:color w:val="000000" w:themeColor="text1"/>
                      <w:kern w:val="0"/>
                    </w:rPr>
                    <w:t>A</w:t>
                  </w:r>
                  <w:r>
                    <w:rPr>
                      <w:rFonts w:hint="eastAsia" w:ascii="宋体" w:hAnsi="宋体" w:eastAsia="宋体" w:cs="宋体"/>
                      <w:color w:val="000000" w:themeColor="text1"/>
                      <w:kern w:val="0"/>
                    </w:rPr>
                    <w:t>）〕</w:t>
                  </w:r>
                </w:p>
              </w:tc>
              <w:tc>
                <w:tcPr>
                  <w:tcW w:w="951" w:type="dxa"/>
                  <w:tcBorders>
                    <w:top w:val="single" w:color="000000" w:sz="8" w:space="0"/>
                    <w:left w:val="nil"/>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降噪措施</w:t>
                  </w:r>
                </w:p>
              </w:tc>
              <w:tc>
                <w:tcPr>
                  <w:tcW w:w="1307" w:type="dxa"/>
                  <w:tcBorders>
                    <w:top w:val="single" w:color="000000" w:sz="8" w:space="0"/>
                    <w:left w:val="nil"/>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排放强度〔</w:t>
                  </w:r>
                  <w:r>
                    <w:rPr>
                      <w:rFonts w:ascii="Times New Roman" w:hAnsi="Times New Roman" w:eastAsia="宋体" w:cs="Times New Roman"/>
                      <w:color w:val="000000" w:themeColor="text1"/>
                      <w:kern w:val="0"/>
                    </w:rPr>
                    <w:t>dB</w:t>
                  </w:r>
                  <w:r>
                    <w:rPr>
                      <w:rFonts w:hint="eastAsia" w:ascii="宋体" w:hAnsi="宋体" w:eastAsia="宋体" w:cs="宋体"/>
                      <w:color w:val="000000" w:themeColor="text1"/>
                      <w:kern w:val="0"/>
                    </w:rPr>
                    <w:t>（</w:t>
                  </w:r>
                  <w:r>
                    <w:rPr>
                      <w:rFonts w:ascii="Times New Roman" w:hAnsi="Times New Roman" w:eastAsia="宋体" w:cs="Times New Roman"/>
                      <w:color w:val="000000" w:themeColor="text1"/>
                      <w:kern w:val="0"/>
                    </w:rPr>
                    <w:t>A</w:t>
                  </w:r>
                  <w:r>
                    <w:rPr>
                      <w:rFonts w:hint="eastAsia" w:ascii="宋体" w:hAnsi="宋体" w:eastAsia="宋体" w:cs="宋体"/>
                      <w:color w:val="000000" w:themeColor="text1"/>
                      <w:kern w:val="0"/>
                    </w:rPr>
                    <w:t>）〕</w:t>
                  </w:r>
                </w:p>
              </w:tc>
              <w:tc>
                <w:tcPr>
                  <w:tcW w:w="112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持续时间</w:t>
                  </w:r>
                </w:p>
              </w:tc>
            </w:tr>
            <w:tr>
              <w:tblPrEx>
                <w:tblCellMar>
                  <w:top w:w="0" w:type="dxa"/>
                  <w:left w:w="108" w:type="dxa"/>
                  <w:bottom w:w="0" w:type="dxa"/>
                  <w:right w:w="108" w:type="dxa"/>
                </w:tblCellMar>
              </w:tblPrEx>
              <w:tc>
                <w:tcPr>
                  <w:tcW w:w="78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主体工程</w:t>
                  </w:r>
                </w:p>
              </w:tc>
              <w:tc>
                <w:tcPr>
                  <w:tcW w:w="56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破碎</w:t>
                  </w: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颚式破碎机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38.4t/h</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93</w:t>
                  </w:r>
                </w:p>
              </w:tc>
              <w:tc>
                <w:tcPr>
                  <w:tcW w:w="9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减震垫、消声器、墙体阻隔等</w:t>
                  </w: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自动配煤机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38.4t/h</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搅拌机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38.4t/h</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88</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粉碎机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38.4t/h</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滚筒筛</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38.4t/h</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皮带机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38.4t/h</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陈化</w:t>
                  </w: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装载机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间歇产生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皮带机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38.4t/h</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成型</w:t>
                  </w: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搅拌机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38.4t/h</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88</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真空挤砖机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38.4t/h</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自动切条机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38.4t/h</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自动切坯机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38.4t/h</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码坯机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38.4t/h</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烘干</w:t>
                  </w: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牵引机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19.2t/h</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窑车</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间歇产生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顶机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间歇产生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风机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88</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焙烧</w:t>
                  </w: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窑车</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间歇产生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顶机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间歇产生</w:t>
                  </w:r>
                </w:p>
              </w:tc>
            </w:tr>
            <w:tr>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风机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88</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连续产生</w:t>
                  </w:r>
                </w:p>
              </w:tc>
            </w:tr>
            <w:tr>
              <w:tblPrEx>
                <w:tblCellMar>
                  <w:top w:w="0" w:type="dxa"/>
                  <w:left w:w="108" w:type="dxa"/>
                  <w:bottom w:w="0" w:type="dxa"/>
                  <w:right w:w="108" w:type="dxa"/>
                </w:tblCellMar>
              </w:tblPrEx>
              <w:tc>
                <w:tcPr>
                  <w:tcW w:w="78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储运工程</w:t>
                  </w:r>
                </w:p>
              </w:tc>
              <w:tc>
                <w:tcPr>
                  <w:tcW w:w="56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装载机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间歇产生</w:t>
                  </w:r>
                </w:p>
              </w:tc>
            </w:tr>
            <w:tr>
              <w:tblPrEx>
                <w:tblCellMar>
                  <w:top w:w="0" w:type="dxa"/>
                  <w:left w:w="108" w:type="dxa"/>
                  <w:bottom w:w="0" w:type="dxa"/>
                  <w:right w:w="108" w:type="dxa"/>
                </w:tblCellMar>
              </w:tblPrEx>
              <w:tc>
                <w:tcPr>
                  <w:tcW w:w="787"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rPr>
                  </w:pPr>
                </w:p>
              </w:tc>
              <w:tc>
                <w:tcPr>
                  <w:tcW w:w="56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184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叉车</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131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83</w:t>
                  </w:r>
                </w:p>
              </w:tc>
              <w:tc>
                <w:tcPr>
                  <w:tcW w:w="95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rPr>
                  </w:pPr>
                </w:p>
              </w:tc>
              <w:tc>
                <w:tcPr>
                  <w:tcW w:w="1307" w:type="dxa"/>
                  <w:tcBorders>
                    <w:top w:val="nil"/>
                    <w:left w:val="nil"/>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68</w:t>
                  </w:r>
                </w:p>
              </w:tc>
              <w:tc>
                <w:tcPr>
                  <w:tcW w:w="112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rPr>
                  </w:pPr>
                  <w:r>
                    <w:rPr>
                      <w:rFonts w:hint="eastAsia" w:ascii="宋体" w:hAnsi="宋体" w:eastAsia="宋体" w:cs="宋体"/>
                      <w:color w:val="000000" w:themeColor="text1"/>
                      <w:kern w:val="0"/>
                    </w:rPr>
                    <w:t>间歇产生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本环评采用环安科技有限公司根据《环境影响评价技术导则 声环境》</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HJ2.4-2009</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开发的“环境噪声影响评价系统Noisesystem1.1”噪声预测软件，对项目设备</w:t>
            </w:r>
            <w:r>
              <w:rPr>
                <w:rFonts w:hint="eastAsia" w:ascii="Times New Roman" w:hAnsi="Times New Roman" w:cs="Times New Roman"/>
                <w:color w:val="000000" w:themeColor="text1"/>
                <w:sz w:val="24"/>
                <w:szCs w:val="24"/>
              </w:rPr>
              <w:t>厂界</w:t>
            </w:r>
            <w:r>
              <w:rPr>
                <w:rFonts w:ascii="Times New Roman" w:hAnsi="Times New Roman" w:cs="Times New Roman"/>
                <w:color w:val="000000" w:themeColor="text1"/>
                <w:sz w:val="24"/>
                <w:szCs w:val="24"/>
              </w:rPr>
              <w:t>噪声</w:t>
            </w:r>
            <w:r>
              <w:rPr>
                <w:rFonts w:hint="eastAsia" w:ascii="Times New Roman" w:hAnsi="Times New Roman" w:cs="Times New Roman"/>
                <w:color w:val="000000" w:themeColor="text1"/>
                <w:sz w:val="24"/>
                <w:szCs w:val="24"/>
              </w:rPr>
              <w:t>进行预测</w:t>
            </w:r>
            <w:r>
              <w:rPr>
                <w:rFonts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bookmarkStart w:id="4" w:name="_Toc13390404"/>
            <w:bookmarkStart w:id="5" w:name="_Toc9337268"/>
            <w:r>
              <w:rPr>
                <w:rFonts w:hint="eastAsia" w:ascii="Times New Roman" w:hAnsi="Times New Roman" w:cs="Times New Roman"/>
                <w:b/>
                <w:color w:val="000000" w:themeColor="text1"/>
                <w:sz w:val="24"/>
                <w:szCs w:val="24"/>
              </w:rPr>
              <w:t>①声级计算</w:t>
            </w:r>
            <w:bookmarkEnd w:id="4"/>
            <w:bookmarkEnd w:id="5"/>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建设项目声源在预测点产生的等效声级贡献值</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Leq 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34" o:spt="75" type="#_x0000_t75" style="height:34.2pt;width:132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3">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式中：Leqg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建设项目声源在预测点的等效声级贡献值，dB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LAi</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i声源在预测点产生的A 声级，dB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预测计算的时间段，s；</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Ti</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 声源在T 时段内的运行时间，s。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预测点的预测等效声级(L eq )计算公式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35" o:spt="75" type="#_x0000_t75" style="height:20.4pt;width:141.6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 eq 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建设项目声源在预测点的等效声级贡献值，dB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 eqb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预测点的背景值，dB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②户外声传播衰减计算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预测模式如下：</w:t>
            </w:r>
          </w:p>
          <w:p>
            <w:pPr>
              <w:spacing w:line="360" w:lineRule="auto"/>
              <w:jc w:val="center"/>
              <w:rPr>
                <w:rFonts w:ascii="Times New Roman" w:hAnsi="Times New Roman" w:cs="Times New Roman"/>
                <w:color w:val="000000" w:themeColor="text1"/>
                <w:sz w:val="24"/>
                <w:szCs w:val="24"/>
              </w:rPr>
            </w:pPr>
            <w:bookmarkStart w:id="6" w:name="_Toc9337269"/>
            <w:bookmarkStart w:id="7" w:name="_Toc13390405"/>
            <w:r>
              <w:rPr>
                <w:rFonts w:ascii="Times New Roman" w:hAnsi="Times New Roman" w:cs="Times New Roman"/>
                <w:color w:val="000000" w:themeColor="text1"/>
                <w:sz w:val="24"/>
                <w:szCs w:val="24"/>
              </w:rPr>
              <w:t>LA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-20g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r/r</w:t>
            </w:r>
            <w:r>
              <w:rPr>
                <w:rFonts w:ascii="Times New Roman" w:hAnsi="Times New Roman" w:cs="Times New Roman"/>
                <w:color w:val="000000" w:themeColor="text1"/>
                <w:sz w:val="24"/>
                <w:szCs w:val="24"/>
                <w:vertAlign w:val="subscript"/>
              </w:rPr>
              <w:t>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w:t>
            </w:r>
            <w:bookmarkEnd w:id="6"/>
            <w:bookmarkEnd w:id="7"/>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距声源r米处受声点的A声级；</w:t>
            </w:r>
          </w:p>
          <w:p>
            <w:pPr>
              <w:spacing w:line="360" w:lineRule="auto"/>
              <w:ind w:firstLine="480" w:firstLineChars="200"/>
              <w:rPr>
                <w:rFonts w:ascii="Times New Roman" w:hAnsi="Times New Roman" w:cs="Times New Roman"/>
                <w:color w:val="000000" w:themeColor="text1"/>
                <w:sz w:val="24"/>
                <w:szCs w:val="24"/>
              </w:rPr>
            </w:pPr>
            <w:bookmarkStart w:id="8" w:name="_Toc9337270"/>
            <w:bookmarkStart w:id="9" w:name="_Toc13390406"/>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Lr</w:t>
            </w:r>
            <w:r>
              <w:rPr>
                <w:rFonts w:ascii="Times New Roman" w:hAnsi="Times New Roman" w:cs="Times New Roman"/>
                <w:color w:val="000000" w:themeColor="text1"/>
                <w:sz w:val="24"/>
                <w:szCs w:val="24"/>
                <w:vertAlign w:val="subscript"/>
              </w:rPr>
              <w:t>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参考点声源强度；</w:t>
            </w:r>
            <w:bookmarkEnd w:id="8"/>
            <w:bookmarkEnd w:id="9"/>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rPr>
              <w:t>预测受声点与源之间的距离（m）；</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vertAlign w:val="subscript"/>
              </w:rPr>
              <w:t>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参考点与源之间的距离（m）。</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其它衰减因素</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影响△L取值的因素很多，因空气吸收、地面、绿化等引起的衰减值相对较小，本次预测拟忽略它们影响的衰减值，即按ΔL=0计；另外运营期各设备噪声源强考虑按采取措施后厂房外1m噪声级。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各受声点的声源叠加按下列公式计算：</w:t>
            </w:r>
          </w:p>
          <w:p>
            <w:pPr>
              <w:spacing w:line="360" w:lineRule="auto"/>
              <w:jc w:val="center"/>
              <w:rPr>
                <w:rFonts w:ascii="Times New Roman" w:hAnsi="Times New Roman" w:cs="Times New Roman"/>
                <w:color w:val="000000" w:themeColor="text1"/>
                <w:sz w:val="24"/>
                <w:szCs w:val="24"/>
              </w:rPr>
            </w:pPr>
            <w:bookmarkStart w:id="10" w:name="_Toc9337271"/>
            <w:bookmarkStart w:id="11" w:name="_Toc13390407"/>
            <w:r>
              <w:rPr>
                <w:rFonts w:ascii="Times New Roman" w:hAnsi="Times New Roman" w:cs="Times New Roman"/>
                <w:color w:val="000000" w:themeColor="text1"/>
                <w:sz w:val="24"/>
                <w:szCs w:val="24"/>
              </w:rPr>
              <w:t>LA=10g［</w:t>
            </w:r>
            <w:r>
              <w:rPr>
                <w:rFonts w:ascii="Times New Roman" w:hAnsi="Times New Roman" w:cs="Times New Roman"/>
                <w:color w:val="000000" w:themeColor="text1"/>
                <w:sz w:val="24"/>
                <w:szCs w:val="24"/>
              </w:rPr>
              <w:object>
                <v:shape id="_x0000_i1036" o:spt="75" type="#_x0000_t75" style="height:41.4pt;width:50.4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rPr>
                <w:rFonts w:ascii="Times New Roman" w:hAnsi="Times New Roman" w:cs="Times New Roman"/>
                <w:color w:val="000000" w:themeColor="text1"/>
                <w:sz w:val="24"/>
                <w:szCs w:val="24"/>
              </w:rPr>
              <w:t>］</w:t>
            </w:r>
            <w:bookmarkEnd w:id="10"/>
            <w:bookmarkEnd w:id="11"/>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式中：Li--第i个声源声值；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LA--某点噪声总叠加值；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n--声源个数。</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w:t>
            </w:r>
            <w:r>
              <w:rPr>
                <w:rFonts w:hint="eastAsia" w:ascii="Times New Roman" w:hAnsi="Times New Roman" w:cs="Times New Roman"/>
                <w:color w:val="000000" w:themeColor="text1"/>
                <w:sz w:val="24"/>
                <w:szCs w:val="24"/>
              </w:rPr>
              <w:t>均</w:t>
            </w:r>
            <w:r>
              <w:rPr>
                <w:rFonts w:ascii="Times New Roman" w:hAnsi="Times New Roman" w:cs="Times New Roman"/>
                <w:color w:val="000000" w:themeColor="text1"/>
                <w:sz w:val="24"/>
                <w:szCs w:val="24"/>
              </w:rPr>
              <w:t>设置为东、南、西、北四个</w:t>
            </w:r>
            <w:r>
              <w:rPr>
                <w:rFonts w:hint="eastAsia" w:ascii="Times New Roman" w:hAnsi="Times New Roman" w:cs="Times New Roman"/>
                <w:color w:val="000000" w:themeColor="text1"/>
                <w:sz w:val="24"/>
                <w:szCs w:val="24"/>
              </w:rPr>
              <w:t>厂界</w:t>
            </w:r>
            <w:r>
              <w:rPr>
                <w:rFonts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④预测结果与评价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w:t>
            </w:r>
            <w:r>
              <w:rPr>
                <w:rFonts w:hint="eastAsia" w:ascii="Times New Roman" w:hAnsi="Times New Roman" w:cs="Times New Roman"/>
                <w:color w:val="000000" w:themeColor="text1"/>
                <w:sz w:val="24"/>
                <w:szCs w:val="24"/>
              </w:rPr>
              <w:t>项目厂界东、南、西、北</w:t>
            </w:r>
            <w:r>
              <w:rPr>
                <w:rFonts w:ascii="Times New Roman" w:hAnsi="Times New Roman" w:cs="Times New Roman"/>
                <w:color w:val="000000" w:themeColor="text1"/>
                <w:sz w:val="24"/>
                <w:szCs w:val="24"/>
              </w:rPr>
              <w:t>预测点的噪声预测结果</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4.2.3-2</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项目建成后</w:t>
            </w:r>
            <w:r>
              <w:rPr>
                <w:rFonts w:ascii="Times New Roman" w:hAnsi="Times New Roman" w:cs="Times New Roman"/>
                <w:b/>
                <w:color w:val="000000" w:themeColor="text1"/>
                <w:szCs w:val="24"/>
              </w:rPr>
              <w:t>预测点的噪声</w:t>
            </w:r>
            <w:r>
              <w:rPr>
                <w:rFonts w:hint="eastAsia" w:ascii="Times New Roman" w:hAnsi="Times New Roman" w:cs="Times New Roman"/>
                <w:b/>
                <w:color w:val="000000" w:themeColor="text1"/>
                <w:szCs w:val="24"/>
              </w:rPr>
              <w:t>贡献</w:t>
            </w:r>
            <w:r>
              <w:rPr>
                <w:rFonts w:ascii="Times New Roman" w:hAnsi="Times New Roman" w:cs="Times New Roman"/>
                <w:b/>
                <w:color w:val="000000" w:themeColor="text1"/>
                <w:szCs w:val="24"/>
              </w:rPr>
              <w:t>值  单位：dB</w:t>
            </w:r>
            <w:r>
              <w:rPr>
                <w:rFonts w:hint="eastAsia" w:ascii="Times New Roman" w:hAnsi="Times New Roman" w:cs="Times New Roman"/>
                <w:b/>
                <w:color w:val="000000" w:themeColor="text1"/>
                <w:szCs w:val="24"/>
              </w:rPr>
              <w:t>（</w:t>
            </w:r>
            <w:r>
              <w:rPr>
                <w:rFonts w:ascii="Times New Roman" w:hAnsi="Times New Roman" w:cs="Times New Roman"/>
                <w:b/>
                <w:color w:val="000000" w:themeColor="text1"/>
                <w:szCs w:val="24"/>
              </w:rPr>
              <w:t>A</w:t>
            </w:r>
            <w:r>
              <w:rPr>
                <w:rFonts w:hint="eastAsia" w:ascii="Times New Roman" w:hAnsi="Times New Roman" w:cs="Times New Roman"/>
                <w:b/>
                <w:color w:val="000000" w:themeColor="text1"/>
                <w:szCs w:val="24"/>
              </w:rPr>
              <w:t>）</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904"/>
              <w:gridCol w:w="1806"/>
              <w:gridCol w:w="1826"/>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111" w:type="dxa"/>
                  <w:vAlign w:val="center"/>
                </w:tcPr>
                <w:p>
                  <w:pPr>
                    <w:pStyle w:val="32"/>
                    <w:spacing w:line="360" w:lineRule="exact"/>
                    <w:rPr>
                      <w:color w:val="000000" w:themeColor="text1"/>
                      <w:szCs w:val="21"/>
                    </w:rPr>
                  </w:pPr>
                  <w:r>
                    <w:rPr>
                      <w:rFonts w:hint="eastAsia"/>
                      <w:color w:val="000000" w:themeColor="text1"/>
                      <w:szCs w:val="21"/>
                    </w:rPr>
                    <w:t>贡献值</w:t>
                  </w:r>
                </w:p>
              </w:tc>
              <w:tc>
                <w:tcPr>
                  <w:tcW w:w="1626" w:type="dxa"/>
                  <w:vAlign w:val="center"/>
                </w:tcPr>
                <w:p>
                  <w:pPr>
                    <w:pStyle w:val="32"/>
                    <w:spacing w:line="360" w:lineRule="exact"/>
                    <w:rPr>
                      <w:color w:val="000000" w:themeColor="text1"/>
                      <w:szCs w:val="21"/>
                    </w:rPr>
                  </w:pPr>
                  <w:r>
                    <w:rPr>
                      <w:rFonts w:hint="eastAsia"/>
                      <w:color w:val="000000" w:themeColor="text1"/>
                      <w:szCs w:val="21"/>
                    </w:rPr>
                    <w:t>厂界东</w:t>
                  </w:r>
                </w:p>
              </w:tc>
              <w:tc>
                <w:tcPr>
                  <w:tcW w:w="1543" w:type="dxa"/>
                  <w:vAlign w:val="center"/>
                </w:tcPr>
                <w:p>
                  <w:pPr>
                    <w:pStyle w:val="32"/>
                    <w:spacing w:line="360" w:lineRule="exact"/>
                    <w:rPr>
                      <w:color w:val="000000" w:themeColor="text1"/>
                      <w:szCs w:val="21"/>
                    </w:rPr>
                  </w:pPr>
                  <w:r>
                    <w:rPr>
                      <w:rFonts w:hint="eastAsia"/>
                      <w:color w:val="000000" w:themeColor="text1"/>
                      <w:szCs w:val="21"/>
                    </w:rPr>
                    <w:t>厂界南</w:t>
                  </w:r>
                </w:p>
              </w:tc>
              <w:tc>
                <w:tcPr>
                  <w:tcW w:w="1560" w:type="dxa"/>
                  <w:vAlign w:val="center"/>
                </w:tcPr>
                <w:p>
                  <w:pPr>
                    <w:pStyle w:val="32"/>
                    <w:spacing w:line="360" w:lineRule="exact"/>
                    <w:rPr>
                      <w:color w:val="000000" w:themeColor="text1"/>
                      <w:szCs w:val="21"/>
                    </w:rPr>
                  </w:pPr>
                  <w:r>
                    <w:rPr>
                      <w:rFonts w:hint="eastAsia"/>
                      <w:color w:val="000000" w:themeColor="text1"/>
                      <w:szCs w:val="21"/>
                    </w:rPr>
                    <w:t>厂界西</w:t>
                  </w:r>
                </w:p>
              </w:tc>
              <w:tc>
                <w:tcPr>
                  <w:tcW w:w="1510" w:type="dxa"/>
                  <w:vAlign w:val="center"/>
                </w:tcPr>
                <w:p>
                  <w:pPr>
                    <w:pStyle w:val="32"/>
                    <w:spacing w:line="360" w:lineRule="exact"/>
                    <w:rPr>
                      <w:color w:val="000000" w:themeColor="text1"/>
                      <w:szCs w:val="21"/>
                    </w:rPr>
                  </w:pPr>
                  <w:r>
                    <w:rPr>
                      <w:rFonts w:hint="eastAsia"/>
                      <w:color w:val="000000" w:themeColor="text1"/>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pStyle w:val="32"/>
                    <w:spacing w:line="360" w:lineRule="exact"/>
                    <w:rPr>
                      <w:color w:val="000000" w:themeColor="text1"/>
                      <w:szCs w:val="21"/>
                    </w:rPr>
                  </w:pPr>
                  <w:r>
                    <w:rPr>
                      <w:color w:val="000000" w:themeColor="text1"/>
                      <w:szCs w:val="21"/>
                    </w:rPr>
                    <w:t>昼</w:t>
                  </w:r>
                </w:p>
              </w:tc>
              <w:tc>
                <w:tcPr>
                  <w:tcW w:w="1626" w:type="dxa"/>
                  <w:vAlign w:val="center"/>
                </w:tcPr>
                <w:p>
                  <w:pPr>
                    <w:pStyle w:val="32"/>
                    <w:spacing w:line="360" w:lineRule="exact"/>
                    <w:rPr>
                      <w:color w:val="000000" w:themeColor="text1"/>
                      <w:szCs w:val="21"/>
                    </w:rPr>
                  </w:pPr>
                  <w:r>
                    <w:rPr>
                      <w:rFonts w:hint="eastAsia"/>
                      <w:color w:val="000000" w:themeColor="text1"/>
                      <w:szCs w:val="21"/>
                    </w:rPr>
                    <w:t>48</w:t>
                  </w:r>
                  <w:r>
                    <w:rPr>
                      <w:color w:val="000000" w:themeColor="text1"/>
                      <w:szCs w:val="21"/>
                    </w:rPr>
                    <w:t>.8</w:t>
                  </w:r>
                </w:p>
              </w:tc>
              <w:tc>
                <w:tcPr>
                  <w:tcW w:w="1543" w:type="dxa"/>
                  <w:vAlign w:val="center"/>
                </w:tcPr>
                <w:p>
                  <w:pPr>
                    <w:pStyle w:val="32"/>
                    <w:spacing w:line="360" w:lineRule="exact"/>
                    <w:rPr>
                      <w:color w:val="000000" w:themeColor="text1"/>
                      <w:szCs w:val="21"/>
                    </w:rPr>
                  </w:pPr>
                  <w:r>
                    <w:rPr>
                      <w:rFonts w:hint="eastAsia"/>
                      <w:color w:val="000000" w:themeColor="text1"/>
                      <w:szCs w:val="21"/>
                    </w:rPr>
                    <w:t>47.3</w:t>
                  </w:r>
                </w:p>
              </w:tc>
              <w:tc>
                <w:tcPr>
                  <w:tcW w:w="1560" w:type="dxa"/>
                  <w:vAlign w:val="center"/>
                </w:tcPr>
                <w:p>
                  <w:pPr>
                    <w:pStyle w:val="32"/>
                    <w:spacing w:line="360" w:lineRule="exact"/>
                    <w:rPr>
                      <w:color w:val="000000" w:themeColor="text1"/>
                      <w:szCs w:val="21"/>
                    </w:rPr>
                  </w:pPr>
                  <w:r>
                    <w:rPr>
                      <w:rFonts w:hint="eastAsia"/>
                      <w:color w:val="000000" w:themeColor="text1"/>
                      <w:szCs w:val="21"/>
                    </w:rPr>
                    <w:t>45.3</w:t>
                  </w:r>
                </w:p>
              </w:tc>
              <w:tc>
                <w:tcPr>
                  <w:tcW w:w="1510" w:type="dxa"/>
                  <w:vAlign w:val="center"/>
                </w:tcPr>
                <w:p>
                  <w:pPr>
                    <w:pStyle w:val="32"/>
                    <w:spacing w:line="360" w:lineRule="exact"/>
                    <w:rPr>
                      <w:color w:val="000000" w:themeColor="text1"/>
                      <w:szCs w:val="21"/>
                    </w:rPr>
                  </w:pPr>
                  <w:r>
                    <w:rPr>
                      <w:rFonts w:hint="eastAsia"/>
                      <w:color w:val="000000" w:themeColor="text1"/>
                      <w:szCs w:val="21"/>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pStyle w:val="32"/>
                    <w:spacing w:line="360" w:lineRule="exact"/>
                    <w:rPr>
                      <w:color w:val="000000" w:themeColor="text1"/>
                      <w:szCs w:val="21"/>
                    </w:rPr>
                  </w:pPr>
                  <w:r>
                    <w:rPr>
                      <w:color w:val="000000" w:themeColor="text1"/>
                      <w:szCs w:val="21"/>
                    </w:rPr>
                    <w:t>夜</w:t>
                  </w:r>
                </w:p>
              </w:tc>
              <w:tc>
                <w:tcPr>
                  <w:tcW w:w="1626" w:type="dxa"/>
                  <w:vAlign w:val="center"/>
                </w:tcPr>
                <w:p>
                  <w:pPr>
                    <w:pStyle w:val="32"/>
                    <w:spacing w:line="360" w:lineRule="exact"/>
                    <w:rPr>
                      <w:color w:val="000000" w:themeColor="text1"/>
                      <w:szCs w:val="21"/>
                    </w:rPr>
                  </w:pPr>
                  <w:r>
                    <w:rPr>
                      <w:rFonts w:hint="eastAsia"/>
                      <w:color w:val="000000" w:themeColor="text1"/>
                      <w:szCs w:val="21"/>
                    </w:rPr>
                    <w:t>48</w:t>
                  </w:r>
                  <w:r>
                    <w:rPr>
                      <w:color w:val="000000" w:themeColor="text1"/>
                      <w:szCs w:val="21"/>
                    </w:rPr>
                    <w:t>.8</w:t>
                  </w:r>
                </w:p>
              </w:tc>
              <w:tc>
                <w:tcPr>
                  <w:tcW w:w="1543" w:type="dxa"/>
                  <w:vAlign w:val="center"/>
                </w:tcPr>
                <w:p>
                  <w:pPr>
                    <w:pStyle w:val="32"/>
                    <w:spacing w:line="360" w:lineRule="exact"/>
                    <w:rPr>
                      <w:color w:val="000000" w:themeColor="text1"/>
                      <w:szCs w:val="21"/>
                    </w:rPr>
                  </w:pPr>
                  <w:r>
                    <w:rPr>
                      <w:rFonts w:hint="eastAsia"/>
                      <w:color w:val="000000" w:themeColor="text1"/>
                      <w:szCs w:val="21"/>
                    </w:rPr>
                    <w:t>47.3</w:t>
                  </w:r>
                </w:p>
              </w:tc>
              <w:tc>
                <w:tcPr>
                  <w:tcW w:w="1560" w:type="dxa"/>
                  <w:vAlign w:val="center"/>
                </w:tcPr>
                <w:p>
                  <w:pPr>
                    <w:pStyle w:val="32"/>
                    <w:spacing w:line="360" w:lineRule="exact"/>
                    <w:rPr>
                      <w:color w:val="000000" w:themeColor="text1"/>
                      <w:szCs w:val="21"/>
                    </w:rPr>
                  </w:pPr>
                  <w:r>
                    <w:rPr>
                      <w:rFonts w:hint="eastAsia"/>
                      <w:color w:val="000000" w:themeColor="text1"/>
                      <w:szCs w:val="21"/>
                    </w:rPr>
                    <w:t>45.3</w:t>
                  </w:r>
                </w:p>
              </w:tc>
              <w:tc>
                <w:tcPr>
                  <w:tcW w:w="1510" w:type="dxa"/>
                  <w:vAlign w:val="center"/>
                </w:tcPr>
                <w:p>
                  <w:pPr>
                    <w:pStyle w:val="32"/>
                    <w:spacing w:line="360" w:lineRule="exact"/>
                    <w:rPr>
                      <w:color w:val="000000" w:themeColor="text1"/>
                      <w:szCs w:val="21"/>
                    </w:rPr>
                  </w:pPr>
                  <w:r>
                    <w:rPr>
                      <w:rFonts w:hint="eastAsia"/>
                      <w:color w:val="000000" w:themeColor="text1"/>
                      <w:szCs w:val="21"/>
                    </w:rPr>
                    <w:t>42.7</w:t>
                  </w:r>
                </w:p>
              </w:tc>
            </w:tr>
          </w:tbl>
          <w:p>
            <w:pPr>
              <w:pStyle w:val="40"/>
              <w:spacing w:beforeLines="50"/>
              <w:ind w:firstLine="480"/>
              <w:rPr>
                <w:color w:val="000000" w:themeColor="text1"/>
              </w:rPr>
            </w:pPr>
            <w:r>
              <w:rPr>
                <w:rFonts w:hint="eastAsia"/>
                <w:color w:val="000000" w:themeColor="text1"/>
              </w:rPr>
              <w:t>根据2020年建设项目年检监测报告，项目背景噪声值具体如下表所示。</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表4.2.3-3 背景噪声监测结果 单位：dB（A）</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111"/>
              <w:gridCol w:w="1626"/>
              <w:gridCol w:w="1543"/>
              <w:gridCol w:w="156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2053" w:type="dxa"/>
                  <w:gridSpan w:val="2"/>
                  <w:vAlign w:val="center"/>
                </w:tcPr>
                <w:p>
                  <w:pPr>
                    <w:pStyle w:val="32"/>
                    <w:spacing w:line="360" w:lineRule="exact"/>
                    <w:rPr>
                      <w:color w:val="000000" w:themeColor="text1"/>
                      <w:szCs w:val="21"/>
                    </w:rPr>
                  </w:pPr>
                  <w:r>
                    <w:rPr>
                      <w:color w:val="000000" w:themeColor="text1"/>
                      <w:szCs w:val="21"/>
                    </w:rPr>
                    <w:t>监测时间</w:t>
                  </w:r>
                </w:p>
              </w:tc>
              <w:tc>
                <w:tcPr>
                  <w:tcW w:w="1410" w:type="dxa"/>
                  <w:vAlign w:val="center"/>
                </w:tcPr>
                <w:p>
                  <w:pPr>
                    <w:pStyle w:val="32"/>
                    <w:spacing w:line="360" w:lineRule="exact"/>
                    <w:rPr>
                      <w:color w:val="000000" w:themeColor="text1"/>
                      <w:szCs w:val="21"/>
                    </w:rPr>
                  </w:pPr>
                  <w:r>
                    <w:rPr>
                      <w:rFonts w:hint="eastAsia"/>
                      <w:color w:val="000000" w:themeColor="text1"/>
                      <w:szCs w:val="21"/>
                    </w:rPr>
                    <w:t>厂界东</w:t>
                  </w:r>
                </w:p>
              </w:tc>
              <w:tc>
                <w:tcPr>
                  <w:tcW w:w="1338" w:type="dxa"/>
                  <w:vAlign w:val="center"/>
                </w:tcPr>
                <w:p>
                  <w:pPr>
                    <w:pStyle w:val="32"/>
                    <w:spacing w:line="360" w:lineRule="exact"/>
                    <w:rPr>
                      <w:color w:val="000000" w:themeColor="text1"/>
                      <w:szCs w:val="21"/>
                    </w:rPr>
                  </w:pPr>
                  <w:r>
                    <w:rPr>
                      <w:rFonts w:hint="eastAsia"/>
                      <w:color w:val="000000" w:themeColor="text1"/>
                      <w:szCs w:val="21"/>
                    </w:rPr>
                    <w:t>厂界南</w:t>
                  </w:r>
                </w:p>
              </w:tc>
              <w:tc>
                <w:tcPr>
                  <w:tcW w:w="1353" w:type="dxa"/>
                  <w:vAlign w:val="center"/>
                </w:tcPr>
                <w:p>
                  <w:pPr>
                    <w:pStyle w:val="32"/>
                    <w:spacing w:line="360" w:lineRule="exact"/>
                    <w:rPr>
                      <w:color w:val="000000" w:themeColor="text1"/>
                      <w:szCs w:val="21"/>
                    </w:rPr>
                  </w:pPr>
                  <w:r>
                    <w:rPr>
                      <w:rFonts w:hint="eastAsia"/>
                      <w:color w:val="000000" w:themeColor="text1"/>
                      <w:szCs w:val="21"/>
                    </w:rPr>
                    <w:t>厂界西</w:t>
                  </w:r>
                </w:p>
              </w:tc>
              <w:tc>
                <w:tcPr>
                  <w:tcW w:w="1310" w:type="dxa"/>
                  <w:vAlign w:val="center"/>
                </w:tcPr>
                <w:p>
                  <w:pPr>
                    <w:pStyle w:val="32"/>
                    <w:spacing w:line="360" w:lineRule="exact"/>
                    <w:rPr>
                      <w:color w:val="000000" w:themeColor="text1"/>
                      <w:szCs w:val="21"/>
                    </w:rPr>
                  </w:pPr>
                  <w:r>
                    <w:rPr>
                      <w:rFonts w:hint="eastAsia"/>
                      <w:color w:val="000000" w:themeColor="text1"/>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restart"/>
                  <w:vAlign w:val="center"/>
                </w:tcPr>
                <w:p>
                  <w:pPr>
                    <w:pStyle w:val="32"/>
                    <w:spacing w:line="360" w:lineRule="exact"/>
                    <w:rPr>
                      <w:color w:val="000000" w:themeColor="text1"/>
                      <w:szCs w:val="21"/>
                    </w:rPr>
                  </w:pPr>
                  <w:r>
                    <w:rPr>
                      <w:rFonts w:hint="eastAsia"/>
                      <w:color w:val="000000" w:themeColor="text1"/>
                      <w:szCs w:val="21"/>
                    </w:rPr>
                    <w:t>2020/5/6</w:t>
                  </w:r>
                </w:p>
              </w:tc>
              <w:tc>
                <w:tcPr>
                  <w:tcW w:w="964" w:type="dxa"/>
                  <w:vAlign w:val="center"/>
                </w:tcPr>
                <w:p>
                  <w:pPr>
                    <w:pStyle w:val="32"/>
                    <w:spacing w:line="360" w:lineRule="exact"/>
                    <w:rPr>
                      <w:color w:val="000000" w:themeColor="text1"/>
                      <w:szCs w:val="21"/>
                    </w:rPr>
                  </w:pPr>
                  <w:r>
                    <w:rPr>
                      <w:color w:val="000000" w:themeColor="text1"/>
                      <w:szCs w:val="21"/>
                    </w:rPr>
                    <w:t>昼</w:t>
                  </w:r>
                </w:p>
              </w:tc>
              <w:tc>
                <w:tcPr>
                  <w:tcW w:w="1410" w:type="dxa"/>
                  <w:vAlign w:val="center"/>
                </w:tcPr>
                <w:p>
                  <w:pPr>
                    <w:pStyle w:val="32"/>
                    <w:spacing w:line="360" w:lineRule="exact"/>
                    <w:rPr>
                      <w:color w:val="000000" w:themeColor="text1"/>
                      <w:szCs w:val="21"/>
                    </w:rPr>
                  </w:pPr>
                  <w:r>
                    <w:rPr>
                      <w:rFonts w:hint="eastAsia"/>
                      <w:color w:val="000000" w:themeColor="text1"/>
                      <w:szCs w:val="21"/>
                    </w:rPr>
                    <w:t>46.5</w:t>
                  </w:r>
                </w:p>
              </w:tc>
              <w:tc>
                <w:tcPr>
                  <w:tcW w:w="1338" w:type="dxa"/>
                  <w:vAlign w:val="center"/>
                </w:tcPr>
                <w:p>
                  <w:pPr>
                    <w:pStyle w:val="32"/>
                    <w:spacing w:line="360" w:lineRule="exact"/>
                    <w:rPr>
                      <w:color w:val="000000" w:themeColor="text1"/>
                      <w:szCs w:val="21"/>
                    </w:rPr>
                  </w:pPr>
                  <w:r>
                    <w:rPr>
                      <w:rFonts w:hint="eastAsia"/>
                      <w:color w:val="000000" w:themeColor="text1"/>
                      <w:szCs w:val="21"/>
                    </w:rPr>
                    <w:t>46.0</w:t>
                  </w:r>
                </w:p>
              </w:tc>
              <w:tc>
                <w:tcPr>
                  <w:tcW w:w="1353" w:type="dxa"/>
                  <w:vAlign w:val="center"/>
                </w:tcPr>
                <w:p>
                  <w:pPr>
                    <w:pStyle w:val="32"/>
                    <w:spacing w:line="360" w:lineRule="exact"/>
                    <w:rPr>
                      <w:color w:val="000000" w:themeColor="text1"/>
                      <w:szCs w:val="21"/>
                    </w:rPr>
                  </w:pPr>
                  <w:r>
                    <w:rPr>
                      <w:rFonts w:hint="eastAsia"/>
                      <w:color w:val="000000" w:themeColor="text1"/>
                      <w:szCs w:val="21"/>
                    </w:rPr>
                    <w:t>44.0</w:t>
                  </w:r>
                </w:p>
              </w:tc>
              <w:tc>
                <w:tcPr>
                  <w:tcW w:w="1310" w:type="dxa"/>
                  <w:vAlign w:val="center"/>
                </w:tcPr>
                <w:p>
                  <w:pPr>
                    <w:pStyle w:val="32"/>
                    <w:spacing w:line="360" w:lineRule="exact"/>
                    <w:rPr>
                      <w:color w:val="000000" w:themeColor="text1"/>
                      <w:szCs w:val="21"/>
                    </w:rPr>
                  </w:pPr>
                  <w:r>
                    <w:rPr>
                      <w:rFonts w:hint="eastAsia"/>
                      <w:color w:val="000000" w:themeColor="text1"/>
                      <w:szCs w:val="21"/>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32"/>
                    <w:spacing w:line="360" w:lineRule="exact"/>
                    <w:rPr>
                      <w:color w:val="000000" w:themeColor="text1"/>
                      <w:szCs w:val="21"/>
                    </w:rPr>
                  </w:pPr>
                </w:p>
              </w:tc>
              <w:tc>
                <w:tcPr>
                  <w:tcW w:w="964" w:type="dxa"/>
                  <w:vAlign w:val="center"/>
                </w:tcPr>
                <w:p>
                  <w:pPr>
                    <w:pStyle w:val="32"/>
                    <w:spacing w:line="360" w:lineRule="exact"/>
                    <w:rPr>
                      <w:color w:val="000000" w:themeColor="text1"/>
                      <w:szCs w:val="21"/>
                    </w:rPr>
                  </w:pPr>
                  <w:r>
                    <w:rPr>
                      <w:color w:val="000000" w:themeColor="text1"/>
                      <w:szCs w:val="21"/>
                    </w:rPr>
                    <w:t>夜</w:t>
                  </w:r>
                </w:p>
              </w:tc>
              <w:tc>
                <w:tcPr>
                  <w:tcW w:w="1410" w:type="dxa"/>
                  <w:vAlign w:val="center"/>
                </w:tcPr>
                <w:p>
                  <w:pPr>
                    <w:pStyle w:val="32"/>
                    <w:spacing w:line="360" w:lineRule="exact"/>
                    <w:rPr>
                      <w:color w:val="000000" w:themeColor="text1"/>
                      <w:szCs w:val="21"/>
                    </w:rPr>
                  </w:pPr>
                  <w:r>
                    <w:rPr>
                      <w:rFonts w:hint="eastAsia"/>
                      <w:color w:val="000000" w:themeColor="text1"/>
                      <w:szCs w:val="21"/>
                    </w:rPr>
                    <w:t>35.7</w:t>
                  </w:r>
                </w:p>
              </w:tc>
              <w:tc>
                <w:tcPr>
                  <w:tcW w:w="1338" w:type="dxa"/>
                  <w:vAlign w:val="center"/>
                </w:tcPr>
                <w:p>
                  <w:pPr>
                    <w:pStyle w:val="32"/>
                    <w:spacing w:line="360" w:lineRule="exact"/>
                    <w:rPr>
                      <w:color w:val="000000" w:themeColor="text1"/>
                      <w:szCs w:val="21"/>
                    </w:rPr>
                  </w:pPr>
                  <w:r>
                    <w:rPr>
                      <w:rFonts w:hint="eastAsia"/>
                      <w:color w:val="000000" w:themeColor="text1"/>
                      <w:szCs w:val="21"/>
                    </w:rPr>
                    <w:t>37.2</w:t>
                  </w:r>
                </w:p>
              </w:tc>
              <w:tc>
                <w:tcPr>
                  <w:tcW w:w="1353" w:type="dxa"/>
                  <w:vAlign w:val="center"/>
                </w:tcPr>
                <w:p>
                  <w:pPr>
                    <w:pStyle w:val="32"/>
                    <w:spacing w:line="360" w:lineRule="exact"/>
                    <w:rPr>
                      <w:color w:val="000000" w:themeColor="text1"/>
                      <w:szCs w:val="21"/>
                    </w:rPr>
                  </w:pPr>
                  <w:r>
                    <w:rPr>
                      <w:rFonts w:hint="eastAsia"/>
                      <w:color w:val="000000" w:themeColor="text1"/>
                      <w:szCs w:val="21"/>
                    </w:rPr>
                    <w:t>36.0</w:t>
                  </w:r>
                </w:p>
              </w:tc>
              <w:tc>
                <w:tcPr>
                  <w:tcW w:w="1310" w:type="dxa"/>
                  <w:vAlign w:val="center"/>
                </w:tcPr>
                <w:p>
                  <w:pPr>
                    <w:pStyle w:val="32"/>
                    <w:spacing w:line="360" w:lineRule="exact"/>
                    <w:rPr>
                      <w:color w:val="000000" w:themeColor="text1"/>
                      <w:szCs w:val="21"/>
                    </w:rPr>
                  </w:pPr>
                  <w:r>
                    <w:rPr>
                      <w:rFonts w:hint="eastAsia"/>
                      <w:color w:val="000000" w:themeColor="text1"/>
                      <w:szCs w:val="21"/>
                    </w:rPr>
                    <w:t>39.5</w:t>
                  </w:r>
                </w:p>
              </w:tc>
            </w:tr>
          </w:tbl>
          <w:p>
            <w:pPr>
              <w:pStyle w:val="40"/>
              <w:spacing w:beforeLines="50"/>
              <w:ind w:firstLine="480"/>
              <w:rPr>
                <w:rFonts w:eastAsiaTheme="minorEastAsia"/>
                <w:color w:val="000000" w:themeColor="text1"/>
                <w:szCs w:val="24"/>
              </w:rPr>
            </w:pPr>
            <w:r>
              <w:rPr>
                <w:rFonts w:hint="eastAsia" w:eastAsiaTheme="minorEastAsia"/>
                <w:color w:val="000000" w:themeColor="text1"/>
                <w:szCs w:val="24"/>
              </w:rPr>
              <w:t>叠加后，项目噪声预测值如下表所示。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4.2.3-4</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项目建成后</w:t>
            </w:r>
            <w:r>
              <w:rPr>
                <w:rFonts w:ascii="Times New Roman" w:hAnsi="Times New Roman" w:cs="Times New Roman"/>
                <w:b/>
                <w:color w:val="000000" w:themeColor="text1"/>
                <w:szCs w:val="24"/>
              </w:rPr>
              <w:t>预测点的噪声</w:t>
            </w:r>
            <w:r>
              <w:rPr>
                <w:rFonts w:hint="eastAsia" w:ascii="Times New Roman" w:hAnsi="Times New Roman" w:cs="Times New Roman"/>
                <w:b/>
                <w:color w:val="000000" w:themeColor="text1"/>
                <w:szCs w:val="24"/>
              </w:rPr>
              <w:t>预测</w:t>
            </w:r>
            <w:r>
              <w:rPr>
                <w:rFonts w:ascii="Times New Roman" w:hAnsi="Times New Roman" w:cs="Times New Roman"/>
                <w:b/>
                <w:color w:val="000000" w:themeColor="text1"/>
                <w:szCs w:val="24"/>
              </w:rPr>
              <w:t>值  单位：dB</w:t>
            </w:r>
            <w:r>
              <w:rPr>
                <w:rFonts w:hint="eastAsia" w:ascii="Times New Roman" w:hAnsi="Times New Roman" w:cs="Times New Roman"/>
                <w:b/>
                <w:color w:val="000000" w:themeColor="text1"/>
                <w:szCs w:val="24"/>
              </w:rPr>
              <w:t>（</w:t>
            </w:r>
            <w:r>
              <w:rPr>
                <w:rFonts w:ascii="Times New Roman" w:hAnsi="Times New Roman" w:cs="Times New Roman"/>
                <w:b/>
                <w:color w:val="000000" w:themeColor="text1"/>
                <w:szCs w:val="24"/>
              </w:rPr>
              <w:t>A</w:t>
            </w:r>
            <w:r>
              <w:rPr>
                <w:rFonts w:hint="eastAsia" w:ascii="Times New Roman" w:hAnsi="Times New Roman" w:cs="Times New Roman"/>
                <w:b/>
                <w:color w:val="000000" w:themeColor="text1"/>
                <w:szCs w:val="24"/>
              </w:rPr>
              <w:t>）</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632"/>
              <w:gridCol w:w="1549"/>
              <w:gridCol w:w="1566"/>
              <w:gridCol w:w="1516"/>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 w:hRule="atLeast"/>
                <w:jc w:val="center"/>
              </w:trPr>
              <w:tc>
                <w:tcPr>
                  <w:tcW w:w="1117" w:type="dxa"/>
                  <w:vAlign w:val="center"/>
                </w:tcPr>
                <w:p>
                  <w:pPr>
                    <w:pStyle w:val="32"/>
                    <w:spacing w:line="360" w:lineRule="exact"/>
                    <w:rPr>
                      <w:color w:val="000000" w:themeColor="text1"/>
                      <w:szCs w:val="21"/>
                    </w:rPr>
                  </w:pPr>
                  <w:r>
                    <w:rPr>
                      <w:rFonts w:hint="eastAsia"/>
                      <w:color w:val="000000" w:themeColor="text1"/>
                      <w:szCs w:val="21"/>
                    </w:rPr>
                    <w:t>预测值</w:t>
                  </w:r>
                </w:p>
              </w:tc>
              <w:tc>
                <w:tcPr>
                  <w:tcW w:w="1632" w:type="dxa"/>
                  <w:vAlign w:val="center"/>
                </w:tcPr>
                <w:p>
                  <w:pPr>
                    <w:pStyle w:val="32"/>
                    <w:spacing w:line="360" w:lineRule="exact"/>
                    <w:rPr>
                      <w:color w:val="000000" w:themeColor="text1"/>
                      <w:szCs w:val="21"/>
                    </w:rPr>
                  </w:pPr>
                  <w:r>
                    <w:rPr>
                      <w:rFonts w:hint="eastAsia"/>
                      <w:color w:val="000000" w:themeColor="text1"/>
                      <w:szCs w:val="21"/>
                    </w:rPr>
                    <w:t>厂界东</w:t>
                  </w:r>
                </w:p>
              </w:tc>
              <w:tc>
                <w:tcPr>
                  <w:tcW w:w="1549" w:type="dxa"/>
                  <w:vAlign w:val="center"/>
                </w:tcPr>
                <w:p>
                  <w:pPr>
                    <w:pStyle w:val="32"/>
                    <w:spacing w:line="360" w:lineRule="exact"/>
                    <w:rPr>
                      <w:color w:val="000000" w:themeColor="text1"/>
                      <w:szCs w:val="21"/>
                    </w:rPr>
                  </w:pPr>
                  <w:r>
                    <w:rPr>
                      <w:rFonts w:hint="eastAsia"/>
                      <w:color w:val="000000" w:themeColor="text1"/>
                      <w:szCs w:val="21"/>
                    </w:rPr>
                    <w:t>厂界南</w:t>
                  </w:r>
                </w:p>
              </w:tc>
              <w:tc>
                <w:tcPr>
                  <w:tcW w:w="1566" w:type="dxa"/>
                  <w:vAlign w:val="center"/>
                </w:tcPr>
                <w:p>
                  <w:pPr>
                    <w:pStyle w:val="32"/>
                    <w:spacing w:line="360" w:lineRule="exact"/>
                    <w:rPr>
                      <w:color w:val="000000" w:themeColor="text1"/>
                      <w:szCs w:val="21"/>
                    </w:rPr>
                  </w:pPr>
                  <w:r>
                    <w:rPr>
                      <w:rFonts w:hint="eastAsia"/>
                      <w:color w:val="000000" w:themeColor="text1"/>
                      <w:szCs w:val="21"/>
                    </w:rPr>
                    <w:t>厂界西</w:t>
                  </w:r>
                </w:p>
              </w:tc>
              <w:tc>
                <w:tcPr>
                  <w:tcW w:w="1516" w:type="dxa"/>
                  <w:vAlign w:val="center"/>
                </w:tcPr>
                <w:p>
                  <w:pPr>
                    <w:pStyle w:val="32"/>
                    <w:spacing w:line="360" w:lineRule="exact"/>
                    <w:rPr>
                      <w:color w:val="000000" w:themeColor="text1"/>
                      <w:szCs w:val="21"/>
                    </w:rPr>
                  </w:pPr>
                  <w:r>
                    <w:rPr>
                      <w:rFonts w:hint="eastAsia"/>
                      <w:color w:val="000000" w:themeColor="text1"/>
                      <w:szCs w:val="21"/>
                    </w:rPr>
                    <w:t>厂界北</w:t>
                  </w:r>
                </w:p>
              </w:tc>
              <w:tc>
                <w:tcPr>
                  <w:tcW w:w="1225" w:type="dxa"/>
                  <w:vAlign w:val="center"/>
                </w:tcPr>
                <w:p>
                  <w:pPr>
                    <w:pStyle w:val="32"/>
                    <w:spacing w:line="360" w:lineRule="exact"/>
                    <w:rPr>
                      <w:color w:val="000000" w:themeColor="text1"/>
                      <w:szCs w:val="21"/>
                    </w:rPr>
                  </w:pPr>
                  <w:r>
                    <w:rPr>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pPr>
                    <w:pStyle w:val="32"/>
                    <w:spacing w:line="360" w:lineRule="exact"/>
                    <w:rPr>
                      <w:color w:val="000000" w:themeColor="text1"/>
                      <w:szCs w:val="21"/>
                    </w:rPr>
                  </w:pPr>
                  <w:r>
                    <w:rPr>
                      <w:color w:val="000000" w:themeColor="text1"/>
                      <w:szCs w:val="21"/>
                    </w:rPr>
                    <w:t>昼</w:t>
                  </w:r>
                </w:p>
              </w:tc>
              <w:tc>
                <w:tcPr>
                  <w:tcW w:w="1632" w:type="dxa"/>
                  <w:vAlign w:val="center"/>
                </w:tcPr>
                <w:p>
                  <w:pPr>
                    <w:pStyle w:val="32"/>
                    <w:spacing w:line="360" w:lineRule="exact"/>
                    <w:rPr>
                      <w:color w:val="000000" w:themeColor="text1"/>
                      <w:szCs w:val="21"/>
                    </w:rPr>
                  </w:pPr>
                  <w:r>
                    <w:rPr>
                      <w:rFonts w:hint="eastAsia"/>
                      <w:color w:val="000000" w:themeColor="text1"/>
                      <w:szCs w:val="21"/>
                    </w:rPr>
                    <w:t>50.8</w:t>
                  </w:r>
                </w:p>
              </w:tc>
              <w:tc>
                <w:tcPr>
                  <w:tcW w:w="1549" w:type="dxa"/>
                  <w:vAlign w:val="center"/>
                </w:tcPr>
                <w:p>
                  <w:pPr>
                    <w:pStyle w:val="32"/>
                    <w:spacing w:line="360" w:lineRule="exact"/>
                    <w:rPr>
                      <w:color w:val="000000" w:themeColor="text1"/>
                      <w:szCs w:val="21"/>
                    </w:rPr>
                  </w:pPr>
                  <w:r>
                    <w:rPr>
                      <w:rFonts w:hint="eastAsia"/>
                      <w:color w:val="000000" w:themeColor="text1"/>
                      <w:szCs w:val="21"/>
                    </w:rPr>
                    <w:t>49.7</w:t>
                  </w:r>
                </w:p>
              </w:tc>
              <w:tc>
                <w:tcPr>
                  <w:tcW w:w="1566" w:type="dxa"/>
                  <w:vAlign w:val="center"/>
                </w:tcPr>
                <w:p>
                  <w:pPr>
                    <w:pStyle w:val="32"/>
                    <w:spacing w:line="360" w:lineRule="exact"/>
                    <w:rPr>
                      <w:color w:val="000000" w:themeColor="text1"/>
                      <w:szCs w:val="21"/>
                    </w:rPr>
                  </w:pPr>
                  <w:r>
                    <w:rPr>
                      <w:rFonts w:hint="eastAsia"/>
                      <w:color w:val="000000" w:themeColor="text1"/>
                      <w:szCs w:val="21"/>
                    </w:rPr>
                    <w:t>47.7</w:t>
                  </w:r>
                </w:p>
              </w:tc>
              <w:tc>
                <w:tcPr>
                  <w:tcW w:w="1516" w:type="dxa"/>
                  <w:vAlign w:val="center"/>
                </w:tcPr>
                <w:p>
                  <w:pPr>
                    <w:pStyle w:val="32"/>
                    <w:spacing w:line="360" w:lineRule="exact"/>
                    <w:rPr>
                      <w:color w:val="000000" w:themeColor="text1"/>
                      <w:szCs w:val="21"/>
                    </w:rPr>
                  </w:pPr>
                  <w:r>
                    <w:rPr>
                      <w:rFonts w:hint="eastAsia"/>
                      <w:color w:val="000000" w:themeColor="text1"/>
                      <w:szCs w:val="21"/>
                    </w:rPr>
                    <w:t>47.6</w:t>
                  </w:r>
                </w:p>
              </w:tc>
              <w:tc>
                <w:tcPr>
                  <w:tcW w:w="1225" w:type="dxa"/>
                  <w:vAlign w:val="center"/>
                </w:tcPr>
                <w:p>
                  <w:pPr>
                    <w:pStyle w:val="32"/>
                    <w:spacing w:line="360" w:lineRule="exact"/>
                    <w:rPr>
                      <w:color w:val="000000" w:themeColor="text1"/>
                      <w:szCs w:val="21"/>
                    </w:rPr>
                  </w:pPr>
                  <w:r>
                    <w:rPr>
                      <w:color w:val="000000" w:themeColor="text1"/>
                      <w:szCs w:val="21"/>
                    </w:rPr>
                    <w:t>6</w:t>
                  </w:r>
                  <w:r>
                    <w:rPr>
                      <w:rFonts w:hint="eastAsia"/>
                      <w:color w:val="000000" w:themeColor="text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pPr>
                    <w:pStyle w:val="32"/>
                    <w:spacing w:line="360" w:lineRule="exact"/>
                    <w:rPr>
                      <w:color w:val="000000" w:themeColor="text1"/>
                      <w:szCs w:val="21"/>
                    </w:rPr>
                  </w:pPr>
                  <w:r>
                    <w:rPr>
                      <w:color w:val="000000" w:themeColor="text1"/>
                      <w:szCs w:val="21"/>
                    </w:rPr>
                    <w:t>夜</w:t>
                  </w:r>
                </w:p>
              </w:tc>
              <w:tc>
                <w:tcPr>
                  <w:tcW w:w="1632" w:type="dxa"/>
                  <w:vAlign w:val="center"/>
                </w:tcPr>
                <w:p>
                  <w:pPr>
                    <w:pStyle w:val="32"/>
                    <w:spacing w:line="360" w:lineRule="exact"/>
                    <w:rPr>
                      <w:color w:val="000000" w:themeColor="text1"/>
                      <w:szCs w:val="21"/>
                    </w:rPr>
                  </w:pPr>
                  <w:r>
                    <w:rPr>
                      <w:rFonts w:hint="eastAsia"/>
                      <w:color w:val="000000" w:themeColor="text1"/>
                      <w:szCs w:val="21"/>
                    </w:rPr>
                    <w:t>49.0</w:t>
                  </w:r>
                </w:p>
              </w:tc>
              <w:tc>
                <w:tcPr>
                  <w:tcW w:w="1549" w:type="dxa"/>
                  <w:vAlign w:val="center"/>
                </w:tcPr>
                <w:p>
                  <w:pPr>
                    <w:pStyle w:val="32"/>
                    <w:spacing w:line="360" w:lineRule="exact"/>
                    <w:rPr>
                      <w:color w:val="000000" w:themeColor="text1"/>
                      <w:szCs w:val="21"/>
                    </w:rPr>
                  </w:pPr>
                  <w:r>
                    <w:rPr>
                      <w:rFonts w:hint="eastAsia"/>
                      <w:color w:val="000000" w:themeColor="text1"/>
                      <w:szCs w:val="21"/>
                    </w:rPr>
                    <w:t>47.7</w:t>
                  </w:r>
                </w:p>
              </w:tc>
              <w:tc>
                <w:tcPr>
                  <w:tcW w:w="1566" w:type="dxa"/>
                  <w:vAlign w:val="center"/>
                </w:tcPr>
                <w:p>
                  <w:pPr>
                    <w:pStyle w:val="32"/>
                    <w:spacing w:line="360" w:lineRule="exact"/>
                    <w:rPr>
                      <w:color w:val="000000" w:themeColor="text1"/>
                      <w:szCs w:val="21"/>
                    </w:rPr>
                  </w:pPr>
                  <w:r>
                    <w:rPr>
                      <w:rFonts w:hint="eastAsia"/>
                      <w:color w:val="000000" w:themeColor="text1"/>
                      <w:szCs w:val="21"/>
                    </w:rPr>
                    <w:t>45.8</w:t>
                  </w:r>
                </w:p>
              </w:tc>
              <w:tc>
                <w:tcPr>
                  <w:tcW w:w="1516" w:type="dxa"/>
                  <w:vAlign w:val="center"/>
                </w:tcPr>
                <w:p>
                  <w:pPr>
                    <w:pStyle w:val="32"/>
                    <w:spacing w:line="360" w:lineRule="exact"/>
                    <w:rPr>
                      <w:color w:val="000000" w:themeColor="text1"/>
                      <w:szCs w:val="21"/>
                    </w:rPr>
                  </w:pPr>
                  <w:r>
                    <w:rPr>
                      <w:rFonts w:hint="eastAsia"/>
                      <w:color w:val="000000" w:themeColor="text1"/>
                      <w:szCs w:val="21"/>
                    </w:rPr>
                    <w:t>44.4</w:t>
                  </w:r>
                </w:p>
              </w:tc>
              <w:tc>
                <w:tcPr>
                  <w:tcW w:w="1225" w:type="dxa"/>
                  <w:vAlign w:val="center"/>
                </w:tcPr>
                <w:p>
                  <w:pPr>
                    <w:pStyle w:val="32"/>
                    <w:spacing w:line="360" w:lineRule="exact"/>
                    <w:rPr>
                      <w:color w:val="000000" w:themeColor="text1"/>
                      <w:szCs w:val="21"/>
                    </w:rPr>
                  </w:pPr>
                  <w:r>
                    <w:rPr>
                      <w:color w:val="000000" w:themeColor="text1"/>
                      <w:szCs w:val="21"/>
                    </w:rPr>
                    <w:t>5</w:t>
                  </w:r>
                  <w:r>
                    <w:rPr>
                      <w:rFonts w:hint="eastAsia"/>
                      <w:color w:val="000000" w:themeColor="text1"/>
                      <w:szCs w:val="21"/>
                    </w:rPr>
                    <w:t>0</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从上表可知，项目运营期</w:t>
            </w:r>
            <w:r>
              <w:rPr>
                <w:rFonts w:hint="eastAsia" w:eastAsiaTheme="minorEastAsia"/>
                <w:color w:val="000000" w:themeColor="text1"/>
                <w:szCs w:val="24"/>
              </w:rPr>
              <w:t>选用低噪声设备，产噪设备设置于厂房中，设备基础减震，风机出风口安装消声器，加强设备维护检修及运输车辆管理等。</w:t>
            </w:r>
            <w:r>
              <w:rPr>
                <w:rFonts w:eastAsiaTheme="minorEastAsia"/>
                <w:color w:val="000000" w:themeColor="text1"/>
                <w:szCs w:val="24"/>
              </w:rPr>
              <w:t>厂界噪声可达到《工业企业厂界环境噪声排放标准》（GB12348-2008）</w:t>
            </w:r>
            <w:r>
              <w:rPr>
                <w:rFonts w:hint="eastAsia" w:eastAsiaTheme="minorEastAsia"/>
                <w:color w:val="000000" w:themeColor="text1"/>
                <w:szCs w:val="24"/>
              </w:rPr>
              <w:t>2</w:t>
            </w:r>
            <w:r>
              <w:rPr>
                <w:rFonts w:eastAsiaTheme="minorEastAsia"/>
                <w:color w:val="000000" w:themeColor="text1"/>
                <w:szCs w:val="24"/>
              </w:rPr>
              <w:t>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40"/>
              <w:ind w:firstLine="480"/>
              <w:rPr>
                <w:rFonts w:eastAsiaTheme="minorEastAsia"/>
                <w:color w:val="000000" w:themeColor="text1"/>
                <w:szCs w:val="24"/>
              </w:rPr>
            </w:pPr>
            <w:r>
              <w:rPr>
                <w:rFonts w:eastAsiaTheme="minorEastAsia"/>
                <w:color w:val="000000" w:themeColor="text1"/>
                <w:szCs w:val="24"/>
              </w:rPr>
              <w:t>根据项目环境保护目标分布，项目区声环境评价范围内无声环境保护目标，因此项目噪声对环境影响较小。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40"/>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厂界噪声自行监测计划一览表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1417"/>
              <w:gridCol w:w="1701"/>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最低监测频率</w:t>
                  </w:r>
                </w:p>
              </w:tc>
              <w:tc>
                <w:tcPr>
                  <w:tcW w:w="3476" w:type="dxa"/>
                  <w:vAlign w:val="center"/>
                </w:tcPr>
                <w:p>
                  <w:pPr>
                    <w:pStyle w:val="32"/>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32"/>
                    <w:widowControl w:val="0"/>
                    <w:spacing w:line="360" w:lineRule="exact"/>
                    <w:rPr>
                      <w:rFonts w:eastAsiaTheme="minorEastAsia"/>
                      <w:color w:val="000000" w:themeColor="text1"/>
                    </w:rPr>
                  </w:pPr>
                  <w:r>
                    <w:rPr>
                      <w:rFonts w:hint="eastAsia" w:eastAsiaTheme="minorEastAsia"/>
                      <w:color w:val="000000" w:themeColor="text1"/>
                    </w:rPr>
                    <w:t>1</w:t>
                  </w:r>
                  <w:r>
                    <w:rPr>
                      <w:rFonts w:eastAsiaTheme="minorEastAsia"/>
                      <w:color w:val="000000" w:themeColor="text1"/>
                    </w:rPr>
                    <w:t>次/季</w:t>
                  </w:r>
                </w:p>
              </w:tc>
              <w:tc>
                <w:tcPr>
                  <w:tcW w:w="3476" w:type="dxa"/>
                  <w:vAlign w:val="center"/>
                </w:tcPr>
                <w:p>
                  <w:pPr>
                    <w:pStyle w:val="32"/>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w:t>
                  </w:r>
                  <w:r>
                    <w:rPr>
                      <w:rFonts w:hint="eastAsia"/>
                      <w:color w:val="000000" w:themeColor="text1"/>
                      <w:szCs w:val="21"/>
                    </w:rPr>
                    <w:t>2</w:t>
                  </w:r>
                  <w:r>
                    <w:rPr>
                      <w:color w:val="000000" w:themeColor="text1"/>
                      <w:szCs w:val="21"/>
                    </w:rPr>
                    <w:t>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40"/>
              <w:ind w:firstLine="480"/>
              <w:rPr>
                <w:rFonts w:eastAsiaTheme="minorEastAsia"/>
                <w:color w:val="000000" w:themeColor="text1"/>
                <w:szCs w:val="24"/>
              </w:rPr>
            </w:pPr>
            <w:r>
              <w:rPr>
                <w:rFonts w:eastAsiaTheme="minorEastAsia"/>
                <w:color w:val="000000" w:themeColor="text1"/>
                <w:szCs w:val="24"/>
              </w:rPr>
              <w:t>根据项目工程内容及生产工艺，本项目产生的固体废物包括：废砖坯及边角料</w:t>
            </w:r>
            <w:r>
              <w:rPr>
                <w:rFonts w:hint="eastAsia" w:eastAsiaTheme="minorEastAsia"/>
                <w:color w:val="000000" w:themeColor="text1"/>
                <w:szCs w:val="24"/>
              </w:rPr>
              <w:t>、</w:t>
            </w:r>
            <w:r>
              <w:rPr>
                <w:rFonts w:eastAsiaTheme="minorEastAsia"/>
                <w:color w:val="000000" w:themeColor="text1"/>
                <w:szCs w:val="24"/>
              </w:rPr>
              <w:t>不合格的烧结砖</w:t>
            </w:r>
            <w:r>
              <w:rPr>
                <w:rFonts w:hint="eastAsia" w:eastAsiaTheme="minorEastAsia"/>
                <w:color w:val="000000" w:themeColor="text1"/>
                <w:szCs w:val="24"/>
              </w:rPr>
              <w:t>、点火时产生的炉渣、脉冲布袋除尘器收集粉尘、</w:t>
            </w:r>
            <w:r>
              <w:rPr>
                <w:rFonts w:eastAsiaTheme="minorEastAsia"/>
                <w:color w:val="000000" w:themeColor="text1"/>
                <w:szCs w:val="24"/>
              </w:rPr>
              <w:t>脱硫除尘固废</w:t>
            </w:r>
            <w:r>
              <w:rPr>
                <w:rFonts w:hint="eastAsia" w:eastAsiaTheme="minorEastAsia"/>
                <w:color w:val="000000" w:themeColor="text1"/>
                <w:szCs w:val="24"/>
              </w:rPr>
              <w:t>、</w:t>
            </w:r>
            <w:r>
              <w:rPr>
                <w:rFonts w:eastAsiaTheme="minorEastAsia"/>
                <w:color w:val="000000" w:themeColor="text1"/>
                <w:szCs w:val="24"/>
              </w:rPr>
              <w:t>设备维修产生的废机油及废弃沾油抹布</w:t>
            </w:r>
            <w:r>
              <w:rPr>
                <w:rFonts w:hint="eastAsia" w:eastAsiaTheme="minorEastAsia"/>
                <w:color w:val="000000" w:themeColor="text1"/>
                <w:szCs w:val="24"/>
              </w:rPr>
              <w:t>、</w:t>
            </w:r>
            <w:r>
              <w:rPr>
                <w:rFonts w:eastAsiaTheme="minorEastAsia"/>
                <w:color w:val="000000" w:themeColor="text1"/>
                <w:szCs w:val="24"/>
              </w:rPr>
              <w:t>生活垃圾</w:t>
            </w:r>
            <w:r>
              <w:rPr>
                <w:rFonts w:hint="eastAsia" w:eastAsiaTheme="minorEastAsia"/>
                <w:color w:val="000000" w:themeColor="text1"/>
                <w:szCs w:val="24"/>
              </w:rPr>
              <w:t>、餐厨废物、隔油池浮油和污水处理设施污泥。具体如下：</w:t>
            </w:r>
          </w:p>
          <w:p>
            <w:pPr>
              <w:pStyle w:val="40"/>
              <w:ind w:firstLine="482"/>
              <w:rPr>
                <w:b/>
                <w:color w:val="000000" w:themeColor="text1"/>
              </w:rPr>
            </w:pPr>
            <w:r>
              <w:rPr>
                <w:rFonts w:hint="eastAsia"/>
                <w:b/>
                <w:color w:val="000000" w:themeColor="text1"/>
              </w:rPr>
              <w:t>①</w:t>
            </w:r>
            <w:r>
              <w:rPr>
                <w:b/>
                <w:color w:val="000000" w:themeColor="text1"/>
              </w:rPr>
              <w:t>废砖坯及边角料</w:t>
            </w:r>
          </w:p>
          <w:p>
            <w:pPr>
              <w:pStyle w:val="40"/>
              <w:ind w:firstLine="480"/>
              <w:rPr>
                <w:rFonts w:eastAsiaTheme="minorEastAsia"/>
                <w:color w:val="000000" w:themeColor="text1"/>
                <w:szCs w:val="24"/>
              </w:rPr>
            </w:pPr>
            <w:r>
              <w:rPr>
                <w:rFonts w:hint="eastAsia" w:eastAsiaTheme="minorEastAsia"/>
                <w:color w:val="000000" w:themeColor="text1"/>
                <w:szCs w:val="24"/>
              </w:rPr>
              <w:t>根据项目生产工艺，项目在</w:t>
            </w:r>
            <w:r>
              <w:rPr>
                <w:rFonts w:eastAsiaTheme="minorEastAsia"/>
                <w:color w:val="000000" w:themeColor="text1"/>
                <w:szCs w:val="24"/>
              </w:rPr>
              <w:t>切坯和切条过程中</w:t>
            </w:r>
            <w:r>
              <w:rPr>
                <w:rFonts w:hint="eastAsia" w:eastAsiaTheme="minorEastAsia"/>
                <w:color w:val="000000" w:themeColor="text1"/>
                <w:szCs w:val="24"/>
              </w:rPr>
              <w:t>会</w:t>
            </w:r>
            <w:r>
              <w:rPr>
                <w:rFonts w:eastAsiaTheme="minorEastAsia"/>
                <w:color w:val="000000" w:themeColor="text1"/>
                <w:szCs w:val="24"/>
              </w:rPr>
              <w:t>产生的废砖坯及边角料</w:t>
            </w:r>
            <w:r>
              <w:rPr>
                <w:rFonts w:hint="eastAsia" w:eastAsiaTheme="minorEastAsia"/>
                <w:color w:val="000000" w:themeColor="text1"/>
                <w:szCs w:val="24"/>
              </w:rPr>
              <w:t>，根据原有项目的生产经验，项目</w:t>
            </w:r>
            <w:r>
              <w:rPr>
                <w:rFonts w:eastAsiaTheme="minorEastAsia"/>
                <w:color w:val="000000" w:themeColor="text1"/>
                <w:szCs w:val="24"/>
              </w:rPr>
              <w:t>废砖坯及边角料</w:t>
            </w:r>
            <w:r>
              <w:rPr>
                <w:rFonts w:hint="eastAsia" w:eastAsiaTheme="minorEastAsia"/>
                <w:color w:val="000000" w:themeColor="text1"/>
                <w:szCs w:val="24"/>
              </w:rPr>
              <w:t>产生量约为13.5</w:t>
            </w:r>
            <w:r>
              <w:rPr>
                <w:rFonts w:eastAsiaTheme="minorEastAsia"/>
                <w:color w:val="000000" w:themeColor="text1"/>
                <w:szCs w:val="24"/>
              </w:rPr>
              <w:t>t/a，该固废为一般工业固体废物，直接作为项目制砖生产原料利用</w:t>
            </w:r>
            <w:r>
              <w:rPr>
                <w:rFonts w:hint="eastAsia" w:eastAsiaTheme="minorEastAsia"/>
                <w:color w:val="000000" w:themeColor="text1"/>
                <w:szCs w:val="24"/>
              </w:rPr>
              <w:t>，</w:t>
            </w:r>
            <w:r>
              <w:rPr>
                <w:rFonts w:eastAsiaTheme="minorEastAsia"/>
                <w:color w:val="000000" w:themeColor="text1"/>
                <w:szCs w:val="24"/>
              </w:rPr>
              <w:t>处置率为100%。</w:t>
            </w:r>
          </w:p>
          <w:p>
            <w:pPr>
              <w:pStyle w:val="40"/>
              <w:ind w:firstLine="482"/>
              <w:rPr>
                <w:b/>
                <w:color w:val="000000" w:themeColor="text1"/>
              </w:rPr>
            </w:pPr>
            <w:r>
              <w:rPr>
                <w:rFonts w:hint="eastAsia"/>
                <w:b/>
                <w:color w:val="000000" w:themeColor="text1"/>
              </w:rPr>
              <w:t>②</w:t>
            </w:r>
            <w:r>
              <w:rPr>
                <w:b/>
                <w:color w:val="000000" w:themeColor="text1"/>
              </w:rPr>
              <w:t>不合格的烧结砖</w:t>
            </w:r>
          </w:p>
          <w:p>
            <w:pPr>
              <w:pStyle w:val="40"/>
              <w:ind w:firstLine="480"/>
              <w:rPr>
                <w:rFonts w:eastAsiaTheme="minorEastAsia"/>
                <w:color w:val="000000" w:themeColor="text1"/>
                <w:szCs w:val="24"/>
              </w:rPr>
            </w:pPr>
            <w:r>
              <w:rPr>
                <w:rFonts w:hint="eastAsia" w:eastAsiaTheme="minorEastAsia"/>
                <w:color w:val="000000" w:themeColor="text1"/>
                <w:szCs w:val="24"/>
              </w:rPr>
              <w:t>根据项目特点，焙烧过程难免会出现一定量的</w:t>
            </w:r>
            <w:r>
              <w:rPr>
                <w:rFonts w:eastAsiaTheme="minorEastAsia"/>
                <w:color w:val="000000" w:themeColor="text1"/>
                <w:szCs w:val="24"/>
              </w:rPr>
              <w:t>不合格烧结砖</w:t>
            </w:r>
            <w:r>
              <w:rPr>
                <w:rFonts w:hint="eastAsia" w:eastAsiaTheme="minorEastAsia"/>
                <w:color w:val="000000" w:themeColor="text1"/>
                <w:szCs w:val="24"/>
              </w:rPr>
              <w:t>，根据原有项目的生产经验，项目</w:t>
            </w:r>
            <w:r>
              <w:rPr>
                <w:rFonts w:eastAsiaTheme="minorEastAsia"/>
                <w:color w:val="000000" w:themeColor="text1"/>
                <w:szCs w:val="24"/>
              </w:rPr>
              <w:t>不合格的烧结砖</w:t>
            </w:r>
            <w:r>
              <w:rPr>
                <w:rFonts w:hint="eastAsia" w:eastAsiaTheme="minorEastAsia"/>
                <w:color w:val="000000" w:themeColor="text1"/>
                <w:szCs w:val="24"/>
              </w:rPr>
              <w:t>产生量约280</w:t>
            </w:r>
            <w:r>
              <w:rPr>
                <w:rFonts w:eastAsiaTheme="minorEastAsia"/>
                <w:color w:val="000000" w:themeColor="text1"/>
                <w:szCs w:val="24"/>
              </w:rPr>
              <w:t>t/a</w:t>
            </w:r>
            <w:r>
              <w:rPr>
                <w:rFonts w:hint="eastAsia" w:eastAsiaTheme="minorEastAsia"/>
                <w:color w:val="000000" w:themeColor="text1"/>
                <w:szCs w:val="24"/>
              </w:rPr>
              <w:t>，</w:t>
            </w:r>
            <w:r>
              <w:rPr>
                <w:rFonts w:eastAsiaTheme="minorEastAsia"/>
                <w:color w:val="000000" w:themeColor="text1"/>
                <w:szCs w:val="24"/>
              </w:rPr>
              <w:t>该固废为一般工业固体废物，直接作为项目制砖生产原料利用，处置率为100%。</w:t>
            </w:r>
          </w:p>
          <w:p>
            <w:pPr>
              <w:pStyle w:val="40"/>
              <w:ind w:firstLine="482"/>
              <w:rPr>
                <w:b/>
                <w:color w:val="000000" w:themeColor="text1"/>
              </w:rPr>
            </w:pPr>
            <w:r>
              <w:rPr>
                <w:rFonts w:hint="eastAsia"/>
                <w:b/>
                <w:color w:val="000000" w:themeColor="text1"/>
              </w:rPr>
              <w:t>③点火时产生的炉渣</w:t>
            </w:r>
          </w:p>
          <w:p>
            <w:pPr>
              <w:pStyle w:val="40"/>
              <w:ind w:firstLine="480"/>
              <w:rPr>
                <w:rFonts w:eastAsiaTheme="minorEastAsia"/>
                <w:color w:val="000000" w:themeColor="text1"/>
                <w:szCs w:val="24"/>
              </w:rPr>
            </w:pPr>
            <w:r>
              <w:rPr>
                <w:rFonts w:hint="eastAsia" w:eastAsiaTheme="minorEastAsia"/>
                <w:color w:val="000000" w:themeColor="text1"/>
                <w:szCs w:val="24"/>
              </w:rPr>
              <w:t>根据项目特点，项目生产的烧结砖属于内燃砖，正常情况下保持隧道窑常年不熄火，不会有炉渣产生，若因放假等原因熄火后，将采用</w:t>
            </w:r>
            <w:r>
              <w:rPr>
                <w:rFonts w:eastAsiaTheme="minorEastAsia"/>
                <w:color w:val="000000" w:themeColor="text1"/>
                <w:szCs w:val="24"/>
              </w:rPr>
              <w:t>燃煤进行点火</w:t>
            </w:r>
            <w:r>
              <w:rPr>
                <w:rFonts w:hint="eastAsia" w:eastAsiaTheme="minorEastAsia"/>
                <w:color w:val="000000" w:themeColor="text1"/>
                <w:szCs w:val="24"/>
              </w:rPr>
              <w:t>，该过程会有炉渣产生，项目年最多点火3次，每次用煤量为400kg，燃料煤灰分含量为18.88%，则点火时产生的炉渣产生量约为226kg/a，</w:t>
            </w:r>
            <w:r>
              <w:rPr>
                <w:rFonts w:eastAsiaTheme="minorEastAsia"/>
                <w:color w:val="000000" w:themeColor="text1"/>
                <w:szCs w:val="24"/>
              </w:rPr>
              <w:t>该固废为一般工业固体废物，直接作为项目制砖生产原料利用，处置率为100%。</w:t>
            </w:r>
          </w:p>
          <w:p>
            <w:pPr>
              <w:pStyle w:val="40"/>
              <w:ind w:firstLine="482"/>
              <w:rPr>
                <w:b/>
                <w:color w:val="000000" w:themeColor="text1"/>
              </w:rPr>
            </w:pPr>
            <w:r>
              <w:rPr>
                <w:rFonts w:hint="eastAsia"/>
                <w:b/>
                <w:color w:val="000000" w:themeColor="text1"/>
              </w:rPr>
              <w:t>④脉冲布袋除尘器收集粉尘</w:t>
            </w:r>
          </w:p>
          <w:p>
            <w:pPr>
              <w:pStyle w:val="40"/>
              <w:ind w:firstLine="480"/>
              <w:rPr>
                <w:rFonts w:eastAsiaTheme="minorEastAsia"/>
                <w:color w:val="000000" w:themeColor="text1"/>
                <w:szCs w:val="24"/>
              </w:rPr>
            </w:pPr>
            <w:r>
              <w:rPr>
                <w:rFonts w:hint="eastAsia" w:eastAsiaTheme="minorEastAsia"/>
                <w:color w:val="000000" w:themeColor="text1"/>
                <w:szCs w:val="24"/>
              </w:rPr>
              <w:t>根据项目特点，项目</w:t>
            </w:r>
            <w:r>
              <w:rPr>
                <w:rFonts w:eastAsiaTheme="minorEastAsia"/>
                <w:color w:val="000000" w:themeColor="text1"/>
                <w:szCs w:val="24"/>
              </w:rPr>
              <w:t>设置</w:t>
            </w:r>
            <w:r>
              <w:rPr>
                <w:rFonts w:hint="eastAsia" w:eastAsiaTheme="minorEastAsia"/>
                <w:color w:val="000000" w:themeColor="text1"/>
                <w:szCs w:val="24"/>
              </w:rPr>
              <w:t>1台脉冲布袋除尘器对破碎车间颚破、混合、粉碎和筛分四个环节产生的粉尘进行处理，根据</w:t>
            </w:r>
            <w:r>
              <w:rPr>
                <w:rFonts w:eastAsiaTheme="minorEastAsia"/>
                <w:color w:val="000000" w:themeColor="text1"/>
                <w:szCs w:val="24"/>
              </w:rPr>
              <w:t>废气污染源强核算</w:t>
            </w:r>
            <w:r>
              <w:rPr>
                <w:rFonts w:hint="eastAsia" w:eastAsiaTheme="minorEastAsia"/>
                <w:color w:val="000000" w:themeColor="text1"/>
                <w:szCs w:val="24"/>
              </w:rPr>
              <w:t>可知，脉冲布袋除尘器收集粉尘量约为7.6t/a，</w:t>
            </w:r>
            <w:r>
              <w:rPr>
                <w:rFonts w:eastAsiaTheme="minorEastAsia"/>
                <w:color w:val="000000" w:themeColor="text1"/>
                <w:szCs w:val="24"/>
              </w:rPr>
              <w:t>该粉尘为一般固体废物，直接作为项目制砖生产原料利用，处置率为100%。</w:t>
            </w:r>
          </w:p>
          <w:p>
            <w:pPr>
              <w:pStyle w:val="40"/>
              <w:ind w:firstLine="482"/>
              <w:rPr>
                <w:b/>
                <w:color w:val="000000" w:themeColor="text1"/>
              </w:rPr>
            </w:pPr>
            <w:r>
              <w:rPr>
                <w:rFonts w:hint="eastAsia"/>
                <w:b/>
                <w:color w:val="000000" w:themeColor="text1"/>
              </w:rPr>
              <w:t>⑤</w:t>
            </w:r>
            <w:r>
              <w:rPr>
                <w:b/>
                <w:color w:val="000000" w:themeColor="text1"/>
              </w:rPr>
              <w:t>脱硫除尘固废</w:t>
            </w:r>
          </w:p>
          <w:p>
            <w:pPr>
              <w:pStyle w:val="40"/>
              <w:ind w:firstLine="480"/>
              <w:rPr>
                <w:rFonts w:eastAsiaTheme="minorEastAsia"/>
                <w:color w:val="000000" w:themeColor="text1"/>
                <w:szCs w:val="24"/>
              </w:rPr>
            </w:pPr>
            <w:r>
              <w:rPr>
                <w:rFonts w:eastAsiaTheme="minorEastAsia"/>
                <w:color w:val="000000" w:themeColor="text1"/>
                <w:szCs w:val="24"/>
              </w:rPr>
              <w:t>项目拟设置1套脱硫除尘系统对焙烧废气进行处理，该脱硫除尘系统采用钠碱双碱还原法脱硫除尘工艺，脱硫除尘固废的主要成份为亚硫酸钙，可更加元素守恒定律进行计算，本项目主要脱下的元素为S以及烟尘，脱下后含水率按70%计算。</w:t>
            </w:r>
          </w:p>
          <w:p>
            <w:pPr>
              <w:pStyle w:val="40"/>
              <w:ind w:firstLine="480"/>
              <w:rPr>
                <w:rFonts w:eastAsiaTheme="minorEastAsia"/>
                <w:color w:val="000000" w:themeColor="text1"/>
                <w:szCs w:val="24"/>
              </w:rPr>
            </w:pPr>
            <w:r>
              <w:rPr>
                <w:rFonts w:eastAsiaTheme="minorEastAsia"/>
                <w:color w:val="000000" w:themeColor="text1"/>
                <w:szCs w:val="24"/>
              </w:rPr>
              <w:t>根据对废气的分析可知，</w:t>
            </w:r>
            <w:r>
              <w:rPr>
                <w:rFonts w:hint="eastAsia" w:eastAsiaTheme="minorEastAsia"/>
                <w:color w:val="000000" w:themeColor="text1"/>
                <w:szCs w:val="24"/>
              </w:rPr>
              <w:t>项目</w:t>
            </w:r>
            <w:r>
              <w:rPr>
                <w:rFonts w:eastAsiaTheme="minorEastAsia"/>
                <w:color w:val="000000" w:themeColor="text1"/>
                <w:szCs w:val="24"/>
              </w:rPr>
              <w:t>烟尘去除量为</w:t>
            </w:r>
            <w:r>
              <w:rPr>
                <w:rFonts w:hint="eastAsia" w:eastAsiaTheme="minorEastAsia"/>
                <w:color w:val="000000" w:themeColor="text1"/>
                <w:szCs w:val="24"/>
              </w:rPr>
              <w:t>28.14</w:t>
            </w:r>
            <w:r>
              <w:rPr>
                <w:rFonts w:eastAsiaTheme="minorEastAsia"/>
                <w:color w:val="000000" w:themeColor="text1"/>
                <w:szCs w:val="24"/>
              </w:rPr>
              <w:t>t/a</w:t>
            </w:r>
            <w:r>
              <w:rPr>
                <w:rFonts w:hint="eastAsia" w:eastAsiaTheme="minorEastAsia"/>
                <w:color w:val="000000" w:themeColor="text1"/>
                <w:szCs w:val="24"/>
              </w:rPr>
              <w:t>，</w:t>
            </w:r>
            <w:r>
              <w:rPr>
                <w:rFonts w:eastAsiaTheme="minorEastAsia"/>
                <w:color w:val="000000" w:themeColor="text1"/>
                <w:szCs w:val="24"/>
              </w:rPr>
              <w:t>SO</w:t>
            </w:r>
            <w:r>
              <w:rPr>
                <w:rFonts w:eastAsiaTheme="minorEastAsia"/>
                <w:color w:val="000000" w:themeColor="text1"/>
                <w:szCs w:val="24"/>
                <w:vertAlign w:val="subscript"/>
              </w:rPr>
              <w:t>2</w:t>
            </w:r>
            <w:r>
              <w:rPr>
                <w:rFonts w:eastAsiaTheme="minorEastAsia"/>
                <w:color w:val="000000" w:themeColor="text1"/>
                <w:szCs w:val="24"/>
              </w:rPr>
              <w:t>去除量为</w:t>
            </w:r>
            <w:r>
              <w:rPr>
                <w:rFonts w:hint="eastAsia" w:eastAsiaTheme="minorEastAsia"/>
                <w:color w:val="000000" w:themeColor="text1"/>
                <w:szCs w:val="24"/>
              </w:rPr>
              <w:t>93.24</w:t>
            </w:r>
            <w:r>
              <w:rPr>
                <w:rFonts w:eastAsiaTheme="minorEastAsia"/>
                <w:color w:val="000000" w:themeColor="text1"/>
                <w:szCs w:val="24"/>
              </w:rPr>
              <w:t>t/a，根据脱硫反应方程式可知SO</w:t>
            </w:r>
            <w:r>
              <w:rPr>
                <w:rFonts w:eastAsiaTheme="minorEastAsia"/>
                <w:color w:val="000000" w:themeColor="text1"/>
                <w:szCs w:val="24"/>
                <w:vertAlign w:val="subscript"/>
              </w:rPr>
              <w:t>2</w:t>
            </w:r>
            <w:r>
              <w:rPr>
                <w:rFonts w:hint="eastAsia" w:eastAsiaTheme="minorEastAsia"/>
                <w:color w:val="000000" w:themeColor="text1"/>
                <w:szCs w:val="24"/>
              </w:rPr>
              <w:t>反应生成</w:t>
            </w:r>
            <w:r>
              <w:rPr>
                <w:rFonts w:eastAsiaTheme="minorEastAsia"/>
                <w:color w:val="000000" w:themeColor="text1"/>
                <w:szCs w:val="24"/>
              </w:rPr>
              <w:t>CaSO</w:t>
            </w:r>
            <w:r>
              <w:rPr>
                <w:rFonts w:eastAsiaTheme="minorEastAsia"/>
                <w:color w:val="000000" w:themeColor="text1"/>
                <w:szCs w:val="24"/>
                <w:vertAlign w:val="subscript"/>
              </w:rPr>
              <w:t>3</w:t>
            </w:r>
            <w:r>
              <w:rPr>
                <w:rFonts w:eastAsiaTheme="minorEastAsia"/>
                <w:color w:val="000000" w:themeColor="text1"/>
                <w:szCs w:val="24"/>
              </w:rPr>
              <w:t>·H</w:t>
            </w:r>
            <w:r>
              <w:rPr>
                <w:rFonts w:eastAsiaTheme="minorEastAsia"/>
                <w:color w:val="000000" w:themeColor="text1"/>
                <w:szCs w:val="24"/>
                <w:vertAlign w:val="subscript"/>
              </w:rPr>
              <w:t>2</w:t>
            </w:r>
            <w:r>
              <w:rPr>
                <w:rFonts w:eastAsiaTheme="minorEastAsia"/>
                <w:color w:val="000000" w:themeColor="text1"/>
                <w:szCs w:val="24"/>
              </w:rPr>
              <w:t>O；根据元素守恒定律可算出，CaSO</w:t>
            </w:r>
            <w:r>
              <w:rPr>
                <w:rFonts w:eastAsiaTheme="minorEastAsia"/>
                <w:color w:val="000000" w:themeColor="text1"/>
                <w:szCs w:val="24"/>
                <w:vertAlign w:val="subscript"/>
              </w:rPr>
              <w:t>3</w:t>
            </w:r>
            <w:r>
              <w:rPr>
                <w:rFonts w:eastAsiaTheme="minorEastAsia"/>
                <w:color w:val="000000" w:themeColor="text1"/>
                <w:szCs w:val="24"/>
              </w:rPr>
              <w:t>·H</w:t>
            </w:r>
            <w:r>
              <w:rPr>
                <w:rFonts w:eastAsiaTheme="minorEastAsia"/>
                <w:color w:val="000000" w:themeColor="text1"/>
                <w:szCs w:val="24"/>
                <w:vertAlign w:val="subscript"/>
              </w:rPr>
              <w:t>2</w:t>
            </w:r>
            <w:r>
              <w:rPr>
                <w:rFonts w:eastAsiaTheme="minorEastAsia"/>
                <w:color w:val="000000" w:themeColor="text1"/>
                <w:szCs w:val="24"/>
              </w:rPr>
              <w:t>O为</w:t>
            </w:r>
            <w:r>
              <w:rPr>
                <w:rFonts w:hint="eastAsia" w:eastAsiaTheme="minorEastAsia"/>
                <w:color w:val="000000" w:themeColor="text1"/>
                <w:szCs w:val="24"/>
              </w:rPr>
              <w:t>201.045</w:t>
            </w:r>
            <w:r>
              <w:rPr>
                <w:rFonts w:eastAsiaTheme="minorEastAsia"/>
                <w:color w:val="000000" w:themeColor="text1"/>
                <w:szCs w:val="24"/>
              </w:rPr>
              <w:t>t/a，氟化物去除量为</w:t>
            </w:r>
            <w:r>
              <w:rPr>
                <w:rFonts w:hint="eastAsia" w:eastAsiaTheme="minorEastAsia"/>
                <w:color w:val="000000" w:themeColor="text1"/>
                <w:szCs w:val="24"/>
              </w:rPr>
              <w:t>1.2</w:t>
            </w:r>
            <w:r>
              <w:rPr>
                <w:rFonts w:eastAsiaTheme="minorEastAsia"/>
                <w:color w:val="000000" w:themeColor="text1"/>
                <w:szCs w:val="24"/>
              </w:rPr>
              <w:t>t/a，</w:t>
            </w:r>
            <w:r>
              <w:rPr>
                <w:rFonts w:hint="eastAsia" w:eastAsiaTheme="minorEastAsia"/>
                <w:color w:val="000000" w:themeColor="text1"/>
                <w:szCs w:val="24"/>
              </w:rPr>
              <w:t>脱硫除尘固废的含水率为70%，则</w:t>
            </w:r>
            <w:r>
              <w:rPr>
                <w:rFonts w:eastAsiaTheme="minorEastAsia"/>
                <w:color w:val="000000" w:themeColor="text1"/>
                <w:szCs w:val="24"/>
              </w:rPr>
              <w:t>合计脱硫除尘固废为</w:t>
            </w:r>
            <w:r>
              <w:rPr>
                <w:rFonts w:hint="eastAsia" w:eastAsiaTheme="minorEastAsia"/>
                <w:color w:val="000000" w:themeColor="text1"/>
                <w:szCs w:val="24"/>
              </w:rPr>
              <w:t>767.95t/a（2.56t/d）</w:t>
            </w:r>
            <w:r>
              <w:rPr>
                <w:rFonts w:eastAsiaTheme="minorEastAsia"/>
                <w:color w:val="000000" w:themeColor="text1"/>
                <w:szCs w:val="24"/>
              </w:rPr>
              <w:t>。该固废为一般工业固体废物，</w:t>
            </w:r>
            <w:r>
              <w:rPr>
                <w:rFonts w:hint="eastAsia" w:eastAsiaTheme="minorEastAsia"/>
                <w:color w:val="000000" w:themeColor="text1"/>
                <w:szCs w:val="24"/>
              </w:rPr>
              <w:t>脱硫除尘固废定期打捞后直接运输至制砖车间的搅拌工序</w:t>
            </w:r>
            <w:r>
              <w:rPr>
                <w:rFonts w:eastAsiaTheme="minorEastAsia"/>
                <w:color w:val="000000" w:themeColor="text1"/>
                <w:szCs w:val="24"/>
              </w:rPr>
              <w:t>作为项目制砖生产原料利用，</w:t>
            </w:r>
            <w:r>
              <w:rPr>
                <w:rFonts w:hint="eastAsia" w:eastAsiaTheme="minorEastAsia"/>
                <w:color w:val="000000" w:themeColor="text1"/>
                <w:szCs w:val="24"/>
              </w:rPr>
              <w:t>无需暂存，</w:t>
            </w:r>
            <w:r>
              <w:rPr>
                <w:rFonts w:eastAsiaTheme="minorEastAsia"/>
                <w:color w:val="000000" w:themeColor="text1"/>
                <w:szCs w:val="24"/>
              </w:rPr>
              <w:t>处置率为100%。</w:t>
            </w:r>
          </w:p>
          <w:p>
            <w:pPr>
              <w:pStyle w:val="40"/>
              <w:ind w:firstLine="482"/>
              <w:rPr>
                <w:b/>
                <w:color w:val="000000" w:themeColor="text1"/>
              </w:rPr>
            </w:pPr>
            <w:r>
              <w:rPr>
                <w:rFonts w:hint="eastAsia"/>
                <w:b/>
                <w:color w:val="000000" w:themeColor="text1"/>
              </w:rPr>
              <w:t>⑥</w:t>
            </w:r>
            <w:r>
              <w:rPr>
                <w:b/>
                <w:color w:val="000000" w:themeColor="text1"/>
              </w:rPr>
              <w:t>废机油及废弃沾油抹布</w:t>
            </w:r>
          </w:p>
          <w:p>
            <w:pPr>
              <w:pStyle w:val="40"/>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国家危险废物名录（2021年）（摘抄）</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1"/>
              <w:gridCol w:w="862"/>
              <w:gridCol w:w="1052"/>
              <w:gridCol w:w="301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32"/>
                    <w:spacing w:line="360" w:lineRule="exact"/>
                    <w:rPr>
                      <w:color w:val="000000" w:themeColor="text1"/>
                      <w:szCs w:val="21"/>
                    </w:rPr>
                  </w:pPr>
                  <w:r>
                    <w:rPr>
                      <w:color w:val="000000" w:themeColor="text1"/>
                      <w:szCs w:val="21"/>
                    </w:rPr>
                    <w:t>项目危废</w:t>
                  </w:r>
                </w:p>
              </w:tc>
              <w:tc>
                <w:tcPr>
                  <w:tcW w:w="756" w:type="pct"/>
                  <w:vAlign w:val="center"/>
                </w:tcPr>
                <w:p>
                  <w:pPr>
                    <w:pStyle w:val="32"/>
                    <w:spacing w:line="360" w:lineRule="exact"/>
                    <w:rPr>
                      <w:color w:val="000000" w:themeColor="text1"/>
                      <w:szCs w:val="21"/>
                    </w:rPr>
                  </w:pPr>
                  <w:r>
                    <w:rPr>
                      <w:color w:val="000000" w:themeColor="text1"/>
                      <w:szCs w:val="21"/>
                    </w:rPr>
                    <w:t>废物类别</w:t>
                  </w:r>
                </w:p>
              </w:tc>
              <w:tc>
                <w:tcPr>
                  <w:tcW w:w="501" w:type="pct"/>
                  <w:vAlign w:val="center"/>
                </w:tcPr>
                <w:p>
                  <w:pPr>
                    <w:pStyle w:val="32"/>
                    <w:spacing w:line="360" w:lineRule="exact"/>
                    <w:rPr>
                      <w:color w:val="000000" w:themeColor="text1"/>
                      <w:szCs w:val="21"/>
                    </w:rPr>
                  </w:pPr>
                  <w:r>
                    <w:rPr>
                      <w:color w:val="000000" w:themeColor="text1"/>
                      <w:szCs w:val="21"/>
                    </w:rPr>
                    <w:t>行业来源</w:t>
                  </w:r>
                </w:p>
              </w:tc>
              <w:tc>
                <w:tcPr>
                  <w:tcW w:w="611" w:type="pct"/>
                  <w:vAlign w:val="center"/>
                </w:tcPr>
                <w:p>
                  <w:pPr>
                    <w:pStyle w:val="32"/>
                    <w:spacing w:line="360" w:lineRule="exact"/>
                    <w:rPr>
                      <w:color w:val="000000" w:themeColor="text1"/>
                      <w:szCs w:val="21"/>
                    </w:rPr>
                  </w:pPr>
                  <w:r>
                    <w:rPr>
                      <w:color w:val="000000" w:themeColor="text1"/>
                      <w:szCs w:val="21"/>
                    </w:rPr>
                    <w:t>废物代码</w:t>
                  </w:r>
                </w:p>
              </w:tc>
              <w:tc>
                <w:tcPr>
                  <w:tcW w:w="1749" w:type="pct"/>
                  <w:vAlign w:val="center"/>
                </w:tcPr>
                <w:p>
                  <w:pPr>
                    <w:pStyle w:val="32"/>
                    <w:spacing w:line="360" w:lineRule="exact"/>
                    <w:rPr>
                      <w:color w:val="000000" w:themeColor="text1"/>
                      <w:szCs w:val="21"/>
                    </w:rPr>
                  </w:pPr>
                  <w:r>
                    <w:rPr>
                      <w:color w:val="000000" w:themeColor="text1"/>
                      <w:szCs w:val="21"/>
                    </w:rPr>
                    <w:t>危险废物</w:t>
                  </w:r>
                </w:p>
              </w:tc>
              <w:tc>
                <w:tcPr>
                  <w:tcW w:w="600" w:type="pct"/>
                  <w:vAlign w:val="center"/>
                </w:tcPr>
                <w:p>
                  <w:pPr>
                    <w:pStyle w:val="32"/>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3" w:type="pct"/>
                  <w:vAlign w:val="center"/>
                </w:tcPr>
                <w:p>
                  <w:pPr>
                    <w:pStyle w:val="32"/>
                    <w:spacing w:line="360" w:lineRule="exact"/>
                    <w:rPr>
                      <w:color w:val="000000" w:themeColor="text1"/>
                      <w:szCs w:val="21"/>
                    </w:rPr>
                  </w:pPr>
                  <w:r>
                    <w:rPr>
                      <w:color w:val="000000" w:themeColor="text1"/>
                      <w:szCs w:val="21"/>
                    </w:rPr>
                    <w:t>废机油</w:t>
                  </w:r>
                </w:p>
              </w:tc>
              <w:tc>
                <w:tcPr>
                  <w:tcW w:w="756" w:type="pct"/>
                  <w:vAlign w:val="center"/>
                </w:tcPr>
                <w:p>
                  <w:pPr>
                    <w:pStyle w:val="32"/>
                    <w:spacing w:line="360" w:lineRule="exact"/>
                    <w:rPr>
                      <w:color w:val="000000" w:themeColor="text1"/>
                      <w:szCs w:val="21"/>
                    </w:rPr>
                  </w:pPr>
                  <w:r>
                    <w:rPr>
                      <w:color w:val="000000" w:themeColor="text1"/>
                      <w:szCs w:val="21"/>
                    </w:rPr>
                    <w:t>HW08废矿物油与含矿物油废物</w:t>
                  </w:r>
                </w:p>
              </w:tc>
              <w:tc>
                <w:tcPr>
                  <w:tcW w:w="501" w:type="pct"/>
                  <w:vAlign w:val="center"/>
                </w:tcPr>
                <w:p>
                  <w:pPr>
                    <w:pStyle w:val="32"/>
                    <w:spacing w:line="360" w:lineRule="exact"/>
                    <w:rPr>
                      <w:color w:val="000000" w:themeColor="text1"/>
                      <w:szCs w:val="21"/>
                    </w:rPr>
                  </w:pPr>
                  <w:r>
                    <w:rPr>
                      <w:color w:val="000000" w:themeColor="text1"/>
                      <w:szCs w:val="21"/>
                    </w:rPr>
                    <w:t>非特定行业</w:t>
                  </w:r>
                </w:p>
              </w:tc>
              <w:tc>
                <w:tcPr>
                  <w:tcW w:w="611" w:type="pct"/>
                  <w:vAlign w:val="center"/>
                </w:tcPr>
                <w:p>
                  <w:pPr>
                    <w:pStyle w:val="32"/>
                    <w:spacing w:line="360" w:lineRule="exact"/>
                    <w:rPr>
                      <w:color w:val="000000" w:themeColor="text1"/>
                      <w:szCs w:val="21"/>
                    </w:rPr>
                  </w:pPr>
                  <w:r>
                    <w:rPr>
                      <w:color w:val="000000" w:themeColor="text1"/>
                      <w:szCs w:val="21"/>
                    </w:rPr>
                    <w:t>900-214-08</w:t>
                  </w:r>
                </w:p>
              </w:tc>
              <w:tc>
                <w:tcPr>
                  <w:tcW w:w="1749" w:type="pct"/>
                  <w:vAlign w:val="center"/>
                </w:tcPr>
                <w:p>
                  <w:pPr>
                    <w:pStyle w:val="32"/>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600" w:type="pct"/>
                  <w:vAlign w:val="center"/>
                </w:tcPr>
                <w:p>
                  <w:pPr>
                    <w:pStyle w:val="32"/>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32"/>
                    <w:spacing w:line="360" w:lineRule="exact"/>
                    <w:rPr>
                      <w:color w:val="000000" w:themeColor="text1"/>
                      <w:szCs w:val="21"/>
                    </w:rPr>
                  </w:pPr>
                  <w:r>
                    <w:rPr>
                      <w:color w:val="000000" w:themeColor="text1"/>
                      <w:szCs w:val="21"/>
                    </w:rPr>
                    <w:t>沾油的抹布</w:t>
                  </w:r>
                </w:p>
              </w:tc>
              <w:tc>
                <w:tcPr>
                  <w:tcW w:w="756" w:type="pct"/>
                  <w:vAlign w:val="center"/>
                </w:tcPr>
                <w:p>
                  <w:pPr>
                    <w:pStyle w:val="32"/>
                    <w:spacing w:line="360" w:lineRule="exact"/>
                    <w:rPr>
                      <w:color w:val="000000" w:themeColor="text1"/>
                      <w:szCs w:val="21"/>
                    </w:rPr>
                  </w:pPr>
                  <w:r>
                    <w:rPr>
                      <w:color w:val="000000" w:themeColor="text1"/>
                      <w:szCs w:val="21"/>
                    </w:rPr>
                    <w:t>HW49其他废物</w:t>
                  </w:r>
                </w:p>
              </w:tc>
              <w:tc>
                <w:tcPr>
                  <w:tcW w:w="501" w:type="pct"/>
                  <w:vAlign w:val="center"/>
                </w:tcPr>
                <w:p>
                  <w:pPr>
                    <w:pStyle w:val="32"/>
                    <w:spacing w:line="360" w:lineRule="exact"/>
                    <w:rPr>
                      <w:color w:val="000000" w:themeColor="text1"/>
                      <w:szCs w:val="21"/>
                    </w:rPr>
                  </w:pPr>
                  <w:r>
                    <w:rPr>
                      <w:color w:val="000000" w:themeColor="text1"/>
                      <w:szCs w:val="21"/>
                    </w:rPr>
                    <w:t>非特定行业</w:t>
                  </w:r>
                </w:p>
              </w:tc>
              <w:tc>
                <w:tcPr>
                  <w:tcW w:w="611" w:type="pct"/>
                  <w:vAlign w:val="center"/>
                </w:tcPr>
                <w:p>
                  <w:pPr>
                    <w:pStyle w:val="32"/>
                    <w:spacing w:line="360" w:lineRule="exact"/>
                    <w:rPr>
                      <w:color w:val="000000" w:themeColor="text1"/>
                      <w:szCs w:val="21"/>
                    </w:rPr>
                  </w:pPr>
                  <w:r>
                    <w:rPr>
                      <w:color w:val="000000" w:themeColor="text1"/>
                      <w:szCs w:val="21"/>
                    </w:rPr>
                    <w:t>900-041-49</w:t>
                  </w:r>
                </w:p>
              </w:tc>
              <w:tc>
                <w:tcPr>
                  <w:tcW w:w="1749" w:type="pct"/>
                  <w:vAlign w:val="center"/>
                </w:tcPr>
                <w:p>
                  <w:pPr>
                    <w:pStyle w:val="32"/>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600" w:type="pct"/>
                  <w:vAlign w:val="center"/>
                </w:tcPr>
                <w:p>
                  <w:pPr>
                    <w:pStyle w:val="32"/>
                    <w:spacing w:line="360" w:lineRule="exact"/>
                    <w:rPr>
                      <w:color w:val="000000" w:themeColor="text1"/>
                      <w:szCs w:val="21"/>
                    </w:rPr>
                  </w:pPr>
                  <w:r>
                    <w:rPr>
                      <w:color w:val="000000" w:themeColor="text1"/>
                      <w:szCs w:val="21"/>
                    </w:rPr>
                    <w:t>T/In</w:t>
                  </w:r>
                </w:p>
              </w:tc>
            </w:tr>
          </w:tbl>
          <w:p>
            <w:pPr>
              <w:pStyle w:val="40"/>
              <w:spacing w:beforeLines="50"/>
              <w:ind w:firstLine="480"/>
              <w:rPr>
                <w:color w:val="000000" w:themeColor="text1"/>
                <w:szCs w:val="24"/>
              </w:rPr>
            </w:pPr>
            <w:r>
              <w:rPr>
                <w:color w:val="000000" w:themeColor="text1"/>
                <w:szCs w:val="24"/>
              </w:rPr>
              <w:t>根据设计，项目区每年废机油产生量约为80kg，废弃沾油抹布产生量为10kg。针对项目产生的废机油</w:t>
            </w:r>
            <w:r>
              <w:rPr>
                <w:rFonts w:hint="eastAsia"/>
                <w:color w:val="000000" w:themeColor="text1"/>
                <w:szCs w:val="24"/>
              </w:rPr>
              <w:t>和</w:t>
            </w:r>
            <w:r>
              <w:rPr>
                <w:color w:val="000000" w:themeColor="text1"/>
                <w:szCs w:val="24"/>
              </w:rPr>
              <w:t>沾油的抹布，</w:t>
            </w:r>
            <w:r>
              <w:rPr>
                <w:rFonts w:hint="eastAsia"/>
                <w:color w:val="000000" w:themeColor="text1"/>
                <w:szCs w:val="24"/>
              </w:rPr>
              <w:t>厂区拟建设了</w:t>
            </w:r>
            <w:r>
              <w:rPr>
                <w:color w:val="000000" w:themeColor="text1"/>
                <w:szCs w:val="24"/>
              </w:rPr>
              <w:t>1个10m²的危险废物贮存间对项目区产生的危险废物进行分类暂存</w:t>
            </w:r>
            <w:r>
              <w:rPr>
                <w:rFonts w:hint="eastAsia"/>
                <w:color w:val="000000" w:themeColor="text1"/>
                <w:szCs w:val="24"/>
              </w:rPr>
              <w:t>。废机油部分用于生产设备润滑使用，无法使用部分委托有资质的单位处置</w:t>
            </w:r>
            <w:r>
              <w:rPr>
                <w:color w:val="000000" w:themeColor="text1"/>
                <w:szCs w:val="24"/>
              </w:rPr>
              <w:t>，处置率为100%。</w:t>
            </w:r>
          </w:p>
          <w:p>
            <w:pPr>
              <w:pStyle w:val="40"/>
              <w:ind w:firstLine="482"/>
              <w:rPr>
                <w:rFonts w:eastAsiaTheme="minorEastAsia"/>
                <w:b/>
                <w:color w:val="000000" w:themeColor="text1"/>
                <w:szCs w:val="24"/>
              </w:rPr>
            </w:pPr>
            <w:r>
              <w:rPr>
                <w:rFonts w:hint="eastAsia" w:ascii="宋体" w:hAnsi="宋体" w:cs="宋体"/>
                <w:b/>
                <w:color w:val="000000" w:themeColor="text1"/>
                <w:szCs w:val="24"/>
              </w:rPr>
              <w:t>⑦</w:t>
            </w:r>
            <w:r>
              <w:rPr>
                <w:rFonts w:eastAsiaTheme="minorEastAsia"/>
                <w:b/>
                <w:color w:val="000000" w:themeColor="text1"/>
                <w:szCs w:val="24"/>
              </w:rPr>
              <w:t>生活垃圾</w:t>
            </w:r>
          </w:p>
          <w:p>
            <w:pPr>
              <w:pStyle w:val="40"/>
              <w:ind w:firstLine="480"/>
              <w:rPr>
                <w:rFonts w:eastAsiaTheme="minorEastAsia"/>
                <w:color w:val="000000" w:themeColor="text1"/>
                <w:szCs w:val="24"/>
              </w:rPr>
            </w:pPr>
            <w:r>
              <w:rPr>
                <w:rFonts w:eastAsiaTheme="minorEastAsia"/>
                <w:color w:val="000000" w:themeColor="text1"/>
                <w:szCs w:val="24"/>
              </w:rPr>
              <w:t>根据项目特点可知，</w:t>
            </w:r>
            <w:r>
              <w:rPr>
                <w:rFonts w:hint="eastAsia" w:eastAsiaTheme="minorEastAsia"/>
                <w:color w:val="000000" w:themeColor="text1"/>
                <w:szCs w:val="24"/>
              </w:rPr>
              <w:t>本项目拟定员工20</w:t>
            </w:r>
            <w:r>
              <w:rPr>
                <w:rFonts w:eastAsiaTheme="minorEastAsia"/>
                <w:color w:val="000000" w:themeColor="text1"/>
                <w:szCs w:val="24"/>
              </w:rPr>
              <w:t>人，生活产生量按1kg/（人·d）计，则生活垃圾产生量为</w:t>
            </w:r>
            <w:r>
              <w:rPr>
                <w:rFonts w:hint="eastAsia" w:eastAsiaTheme="minorEastAsia"/>
                <w:color w:val="000000" w:themeColor="text1"/>
                <w:szCs w:val="24"/>
              </w:rPr>
              <w:t>20</w:t>
            </w:r>
            <w:r>
              <w:rPr>
                <w:rFonts w:eastAsiaTheme="minorEastAsia"/>
                <w:color w:val="000000" w:themeColor="text1"/>
                <w:szCs w:val="24"/>
              </w:rPr>
              <w:t>kg/d（</w:t>
            </w:r>
            <w:r>
              <w:rPr>
                <w:rFonts w:hint="eastAsia" w:eastAsiaTheme="minorEastAsia"/>
                <w:color w:val="000000" w:themeColor="text1"/>
                <w:szCs w:val="24"/>
              </w:rPr>
              <w:t>6.6</w:t>
            </w:r>
            <w:r>
              <w:rPr>
                <w:rFonts w:eastAsiaTheme="minorEastAsia"/>
                <w:color w:val="000000" w:themeColor="text1"/>
                <w:szCs w:val="24"/>
              </w:rPr>
              <w:t>t/a）。生活垃圾集中收集后，委托环卫部门定期清运处置，处置率为100%。</w:t>
            </w:r>
          </w:p>
          <w:p>
            <w:pPr>
              <w:pStyle w:val="40"/>
              <w:ind w:firstLine="482"/>
              <w:rPr>
                <w:rFonts w:eastAsiaTheme="minorEastAsia"/>
                <w:b/>
                <w:color w:val="000000" w:themeColor="text1"/>
                <w:szCs w:val="24"/>
              </w:rPr>
            </w:pPr>
            <w:r>
              <w:rPr>
                <w:rFonts w:hint="eastAsia" w:eastAsiaTheme="minorEastAsia"/>
                <w:b/>
                <w:color w:val="000000" w:themeColor="text1"/>
                <w:szCs w:val="24"/>
              </w:rPr>
              <w:t>⑧餐厨废物</w:t>
            </w:r>
          </w:p>
          <w:p>
            <w:pPr>
              <w:pStyle w:val="40"/>
              <w:ind w:firstLine="480"/>
              <w:rPr>
                <w:rFonts w:eastAsiaTheme="minorEastAsia"/>
                <w:color w:val="000000" w:themeColor="text1"/>
                <w:szCs w:val="24"/>
              </w:rPr>
            </w:pPr>
            <w:r>
              <w:rPr>
                <w:rFonts w:eastAsiaTheme="minorEastAsia"/>
                <w:color w:val="000000" w:themeColor="text1"/>
                <w:szCs w:val="24"/>
              </w:rPr>
              <w:t>根据项目特点可知，项目餐厨废物产生量约为5kg/d（合计1.5t/a），统一收集后委托有资质的单位进行处置，处置率为100%。</w:t>
            </w:r>
          </w:p>
          <w:p>
            <w:pPr>
              <w:pStyle w:val="40"/>
              <w:ind w:firstLine="482"/>
              <w:rPr>
                <w:rFonts w:eastAsiaTheme="minorEastAsia"/>
                <w:b/>
                <w:color w:val="000000" w:themeColor="text1"/>
                <w:szCs w:val="24"/>
              </w:rPr>
            </w:pPr>
            <w:r>
              <w:rPr>
                <w:rFonts w:hint="eastAsia" w:eastAsiaTheme="minorEastAsia"/>
                <w:b/>
                <w:color w:val="000000" w:themeColor="text1"/>
                <w:szCs w:val="24"/>
              </w:rPr>
              <w:t>⑨</w:t>
            </w:r>
            <w:r>
              <w:rPr>
                <w:rFonts w:eastAsiaTheme="minorEastAsia"/>
                <w:b/>
                <w:color w:val="000000" w:themeColor="text1"/>
                <w:szCs w:val="24"/>
              </w:rPr>
              <w:t>隔油池浮油</w:t>
            </w:r>
          </w:p>
          <w:p>
            <w:pPr>
              <w:pStyle w:val="40"/>
              <w:ind w:firstLine="480"/>
              <w:rPr>
                <w:rFonts w:eastAsiaTheme="minorEastAsia"/>
                <w:color w:val="000000" w:themeColor="text1"/>
                <w:szCs w:val="24"/>
              </w:rPr>
            </w:pPr>
            <w:r>
              <w:rPr>
                <w:rFonts w:eastAsiaTheme="minorEastAsia"/>
                <w:color w:val="000000" w:themeColor="text1"/>
                <w:szCs w:val="24"/>
              </w:rPr>
              <w:t>根据项目特点可知，项目针对于厨房生活污水，项目拟设置1个1m³的隔油池对厨房废水进行预处理；该隔油池会产生隔油池浮油，产生量约为30kg/a；委托有资质的单位进行清理和处置，处置率为100%</w:t>
            </w:r>
            <w:r>
              <w:rPr>
                <w:rFonts w:hint="eastAsia" w:eastAsiaTheme="minorEastAsia"/>
                <w:color w:val="000000" w:themeColor="text1"/>
                <w:szCs w:val="24"/>
              </w:rPr>
              <w:t>。</w:t>
            </w:r>
          </w:p>
          <w:p>
            <w:pPr>
              <w:pStyle w:val="40"/>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w:instrText>
            </w:r>
            <w:r>
              <w:rPr>
                <w:rFonts w:hint="eastAsia" w:eastAsiaTheme="minorEastAsia"/>
                <w:b/>
                <w:color w:val="000000" w:themeColor="text1"/>
                <w:szCs w:val="24"/>
              </w:rPr>
              <w:instrText xml:space="preserve">= 10 \* GB3</w:instrText>
            </w:r>
            <w:r>
              <w:rPr>
                <w:rFonts w:eastAsiaTheme="minorEastAsia"/>
                <w:b/>
                <w:color w:val="000000" w:themeColor="text1"/>
                <w:szCs w:val="24"/>
              </w:rPr>
              <w:instrText xml:space="preserve"> </w:instrText>
            </w:r>
            <w:r>
              <w:rPr>
                <w:rFonts w:eastAsiaTheme="minorEastAsia"/>
                <w:b/>
                <w:color w:val="000000" w:themeColor="text1"/>
                <w:szCs w:val="24"/>
              </w:rPr>
              <w:fldChar w:fldCharType="separate"/>
            </w:r>
            <w:r>
              <w:rPr>
                <w:rFonts w:hint="eastAsia" w:eastAsiaTheme="minorEastAsia"/>
                <w:b/>
                <w:color w:val="000000" w:themeColor="text1"/>
                <w:szCs w:val="24"/>
              </w:rPr>
              <w:t>⑩</w:t>
            </w:r>
            <w:r>
              <w:rPr>
                <w:rFonts w:eastAsiaTheme="minorEastAsia"/>
                <w:b/>
                <w:color w:val="000000" w:themeColor="text1"/>
                <w:szCs w:val="24"/>
              </w:rPr>
              <w:fldChar w:fldCharType="end"/>
            </w:r>
            <w:r>
              <w:rPr>
                <w:rFonts w:hint="eastAsia" w:eastAsiaTheme="minorEastAsia"/>
                <w:b/>
                <w:color w:val="000000" w:themeColor="text1"/>
                <w:szCs w:val="24"/>
              </w:rPr>
              <w:t>污水处理设施污泥</w:t>
            </w:r>
          </w:p>
          <w:p>
            <w:pPr>
              <w:pStyle w:val="40"/>
              <w:ind w:firstLine="480"/>
              <w:rPr>
                <w:rFonts w:eastAsiaTheme="minorEastAsia"/>
                <w:color w:val="000000" w:themeColor="text1"/>
                <w:szCs w:val="24"/>
              </w:rPr>
            </w:pPr>
            <w:r>
              <w:rPr>
                <w:rFonts w:hint="eastAsia" w:eastAsiaTheme="minorEastAsia"/>
                <w:color w:val="000000" w:themeColor="text1"/>
                <w:szCs w:val="24"/>
              </w:rPr>
              <w:t>根据项目特点可知，</w:t>
            </w:r>
            <w:r>
              <w:rPr>
                <w:rFonts w:eastAsiaTheme="minorEastAsia"/>
                <w:color w:val="000000" w:themeColor="text1"/>
                <w:szCs w:val="24"/>
              </w:rPr>
              <w:t>项目化粪池、一体化污水处理设施在处理废水的过程中，将产生一定的污泥，污泥主要来源于SS</w:t>
            </w:r>
            <w:r>
              <w:rPr>
                <w:color w:val="000000" w:themeColor="text1"/>
              </w:rPr>
              <w:t>和BOD</w:t>
            </w:r>
            <w:r>
              <w:rPr>
                <w:color w:val="000000" w:themeColor="text1"/>
                <w:vertAlign w:val="subscript"/>
              </w:rPr>
              <w:t>5</w:t>
            </w:r>
            <w:r>
              <w:rPr>
                <w:color w:val="000000" w:themeColor="text1"/>
              </w:rPr>
              <w:t>的去除，SS消减量为0.1</w:t>
            </w:r>
            <w:r>
              <w:rPr>
                <w:rFonts w:hint="eastAsia"/>
                <w:color w:val="000000" w:themeColor="text1"/>
              </w:rPr>
              <w:t>17</w:t>
            </w:r>
            <w:r>
              <w:rPr>
                <w:color w:val="000000" w:themeColor="text1"/>
              </w:rPr>
              <w:t>t/a，BOD</w:t>
            </w:r>
            <w:r>
              <w:rPr>
                <w:color w:val="000000" w:themeColor="text1"/>
                <w:vertAlign w:val="subscript"/>
              </w:rPr>
              <w:t>5</w:t>
            </w:r>
            <w:r>
              <w:rPr>
                <w:color w:val="000000" w:themeColor="text1"/>
              </w:rPr>
              <w:t>消减量为0.</w:t>
            </w:r>
            <w:r>
              <w:rPr>
                <w:rFonts w:hint="eastAsia"/>
                <w:color w:val="000000" w:themeColor="text1"/>
              </w:rPr>
              <w:t>085</w:t>
            </w:r>
            <w:r>
              <w:rPr>
                <w:color w:val="000000" w:themeColor="text1"/>
              </w:rPr>
              <w:t>t/a，以每去除1kgBOD</w:t>
            </w:r>
            <w:r>
              <w:rPr>
                <w:color w:val="000000" w:themeColor="text1"/>
                <w:vertAlign w:val="subscript"/>
              </w:rPr>
              <w:t>5</w:t>
            </w:r>
            <w:r>
              <w:rPr>
                <w:color w:val="000000" w:themeColor="text1"/>
              </w:rPr>
              <w:t>产生污泥0.8kg和去除1kgSS产生污泥1kg计，则预计污泥产生量为0.</w:t>
            </w:r>
            <w:r>
              <w:rPr>
                <w:rFonts w:hint="eastAsia"/>
                <w:color w:val="000000" w:themeColor="text1"/>
              </w:rPr>
              <w:t>19</w:t>
            </w:r>
            <w:r>
              <w:rPr>
                <w:color w:val="000000" w:themeColor="text1"/>
              </w:rPr>
              <w:t>t/a。委托环卫部门清运处理，其处置率为100%。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40"/>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固体废物环境影响和保护措施分析一览表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4"/>
              <w:gridCol w:w="679"/>
              <w:gridCol w:w="1003"/>
              <w:gridCol w:w="854"/>
              <w:gridCol w:w="853"/>
              <w:gridCol w:w="1833"/>
              <w:gridCol w:w="1814"/>
              <w:gridCol w:w="9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序号</w:t>
                  </w:r>
                </w:p>
              </w:tc>
              <w:tc>
                <w:tcPr>
                  <w:tcW w:w="7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产生环节</w:t>
                  </w:r>
                </w:p>
              </w:tc>
              <w:tc>
                <w:tcPr>
                  <w:tcW w:w="10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名称</w:t>
                  </w:r>
                </w:p>
              </w:tc>
              <w:tc>
                <w:tcPr>
                  <w:tcW w:w="89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属性</w:t>
                  </w:r>
                </w:p>
              </w:tc>
              <w:tc>
                <w:tcPr>
                  <w:tcW w:w="89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产生量</w:t>
                  </w:r>
                </w:p>
              </w:tc>
              <w:tc>
                <w:tcPr>
                  <w:tcW w:w="19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贮存方式</w:t>
                  </w:r>
                </w:p>
              </w:tc>
              <w:tc>
                <w:tcPr>
                  <w:tcW w:w="19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w:t>
                  </w:r>
                </w:p>
              </w:tc>
              <w:tc>
                <w:tcPr>
                  <w:tcW w:w="709" w:type="dxa"/>
                  <w:tcBorders>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成型车间</w:t>
                  </w:r>
                </w:p>
              </w:tc>
              <w:tc>
                <w:tcPr>
                  <w:tcW w:w="10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废砖坯及边角料</w:t>
                  </w:r>
                </w:p>
              </w:tc>
              <w:tc>
                <w:tcPr>
                  <w:tcW w:w="89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89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13.5</w:t>
                  </w:r>
                  <w:r>
                    <w:rPr>
                      <w:rFonts w:eastAsiaTheme="minorEastAsia"/>
                      <w:color w:val="000000" w:themeColor="text1"/>
                      <w:szCs w:val="21"/>
                    </w:rPr>
                    <w:t>t/a</w:t>
                  </w:r>
                </w:p>
              </w:tc>
              <w:tc>
                <w:tcPr>
                  <w:tcW w:w="1937" w:type="dxa"/>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不贮存，直接利用</w:t>
                  </w:r>
                </w:p>
              </w:tc>
              <w:tc>
                <w:tcPr>
                  <w:tcW w:w="1917"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直接作为项目制砖生产原料利用</w:t>
                  </w:r>
                </w:p>
              </w:tc>
              <w:tc>
                <w:tcPr>
                  <w:tcW w:w="99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13.5</w:t>
                  </w:r>
                  <w:r>
                    <w:rPr>
                      <w:rFonts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2"/>
                    <w:spacing w:line="360" w:lineRule="exact"/>
                    <w:rPr>
                      <w:rFonts w:eastAsiaTheme="minorEastAsia"/>
                      <w:color w:val="000000" w:themeColor="text1"/>
                      <w:szCs w:val="21"/>
                    </w:rPr>
                  </w:pPr>
                </w:p>
              </w:tc>
              <w:tc>
                <w:tcPr>
                  <w:tcW w:w="709" w:type="dxa"/>
                  <w:vMerge w:val="restart"/>
                  <w:tcBorders>
                    <w:top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焙烧车间</w:t>
                  </w:r>
                </w:p>
              </w:tc>
              <w:tc>
                <w:tcPr>
                  <w:tcW w:w="10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不合格的烧结砖</w:t>
                  </w:r>
                </w:p>
              </w:tc>
              <w:tc>
                <w:tcPr>
                  <w:tcW w:w="89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89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280</w:t>
                  </w:r>
                  <w:r>
                    <w:rPr>
                      <w:rFonts w:eastAsiaTheme="minorEastAsia"/>
                      <w:color w:val="000000" w:themeColor="text1"/>
                      <w:szCs w:val="21"/>
                    </w:rPr>
                    <w:t>t/a</w:t>
                  </w:r>
                </w:p>
              </w:tc>
              <w:tc>
                <w:tcPr>
                  <w:tcW w:w="1937" w:type="dxa"/>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不贮存，直接利用</w:t>
                  </w:r>
                </w:p>
              </w:tc>
              <w:tc>
                <w:tcPr>
                  <w:tcW w:w="1917"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直接作为项目制砖生产原料利用</w:t>
                  </w:r>
                </w:p>
              </w:tc>
              <w:tc>
                <w:tcPr>
                  <w:tcW w:w="99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280</w:t>
                  </w:r>
                  <w:r>
                    <w:rPr>
                      <w:rFonts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tcBorders>
                    <w:bottom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tcBorders>
                    <w:bottom w:val="single" w:color="auto" w:sz="4" w:space="0"/>
                  </w:tcBorders>
                  <w:vAlign w:val="center"/>
                </w:tcPr>
                <w:p>
                  <w:pPr>
                    <w:pStyle w:val="32"/>
                    <w:spacing w:line="360" w:lineRule="exact"/>
                    <w:rPr>
                      <w:rFonts w:eastAsiaTheme="minorEastAsia"/>
                      <w:color w:val="000000" w:themeColor="text1"/>
                      <w:szCs w:val="21"/>
                    </w:rPr>
                  </w:pPr>
                </w:p>
              </w:tc>
              <w:tc>
                <w:tcPr>
                  <w:tcW w:w="105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点火时产生的炉渣</w:t>
                  </w:r>
                </w:p>
              </w:tc>
              <w:tc>
                <w:tcPr>
                  <w:tcW w:w="89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89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226kg/a</w:t>
                  </w:r>
                </w:p>
              </w:tc>
              <w:tc>
                <w:tcPr>
                  <w:tcW w:w="1937" w:type="dxa"/>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不贮存，直接利用</w:t>
                  </w:r>
                </w:p>
              </w:tc>
              <w:tc>
                <w:tcPr>
                  <w:tcW w:w="1917"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直接作为项目制砖生产原料利用</w:t>
                  </w:r>
                </w:p>
              </w:tc>
              <w:tc>
                <w:tcPr>
                  <w:tcW w:w="99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226kg/a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Borders>
                    <w:top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w:t>
                  </w:r>
                </w:p>
              </w:tc>
              <w:tc>
                <w:tcPr>
                  <w:tcW w:w="709" w:type="dxa"/>
                  <w:tcBorders>
                    <w:top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脉冲布袋除尘器</w:t>
                  </w:r>
                </w:p>
              </w:tc>
              <w:tc>
                <w:tcPr>
                  <w:tcW w:w="105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脉冲布袋除尘器收集粉尘</w:t>
                  </w:r>
                </w:p>
              </w:tc>
              <w:tc>
                <w:tcPr>
                  <w:tcW w:w="89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89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7.6t/a</w:t>
                  </w:r>
                </w:p>
              </w:tc>
              <w:tc>
                <w:tcPr>
                  <w:tcW w:w="1937" w:type="dxa"/>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不贮存，直接利用</w:t>
                  </w:r>
                </w:p>
              </w:tc>
              <w:tc>
                <w:tcPr>
                  <w:tcW w:w="1917"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直接作为项目制砖生产原料利用</w:t>
                  </w:r>
                </w:p>
              </w:tc>
              <w:tc>
                <w:tcPr>
                  <w:tcW w:w="99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w:t>
                  </w:r>
                </w:p>
              </w:tc>
              <w:tc>
                <w:tcPr>
                  <w:tcW w:w="70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脱硫除尘系统</w:t>
                  </w:r>
                </w:p>
              </w:tc>
              <w:tc>
                <w:tcPr>
                  <w:tcW w:w="10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脱硫除尘固废</w:t>
                  </w:r>
                </w:p>
              </w:tc>
              <w:tc>
                <w:tcPr>
                  <w:tcW w:w="89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89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767.95t/a</w:t>
                  </w:r>
                </w:p>
              </w:tc>
              <w:tc>
                <w:tcPr>
                  <w:tcW w:w="1937" w:type="dxa"/>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不贮存，直接利用</w:t>
                  </w:r>
                </w:p>
              </w:tc>
              <w:tc>
                <w:tcPr>
                  <w:tcW w:w="1917"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直接作为项目制砖生产原料利用</w:t>
                  </w:r>
                </w:p>
              </w:tc>
              <w:tc>
                <w:tcPr>
                  <w:tcW w:w="99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767.95t/a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w:t>
                  </w:r>
                </w:p>
              </w:tc>
              <w:tc>
                <w:tcPr>
                  <w:tcW w:w="70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设备维护</w:t>
                  </w:r>
                </w:p>
              </w:tc>
              <w:tc>
                <w:tcPr>
                  <w:tcW w:w="10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894"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89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937" w:type="dxa"/>
                  <w:vMerge w:val="restart"/>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厂区拟建设了1个10m²的危险废物贮存间对项目区产生的危险废物进行分类暂存。</w:t>
                  </w:r>
                </w:p>
              </w:tc>
              <w:tc>
                <w:tcPr>
                  <w:tcW w:w="1917" w:type="dxa"/>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废机油部分用于生产设备润滑使用，无法使用部分委托有资质的单位处置</w:t>
                  </w:r>
                  <w:r>
                    <w:rPr>
                      <w:rFonts w:eastAsiaTheme="minorEastAsia"/>
                      <w:color w:val="000000" w:themeColor="text1"/>
                      <w:szCs w:val="24"/>
                    </w:rPr>
                    <w:t>。</w:t>
                  </w:r>
                </w:p>
              </w:tc>
              <w:tc>
                <w:tcPr>
                  <w:tcW w:w="9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0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94" w:type="dxa"/>
                  <w:vMerge w:val="continue"/>
                  <w:vAlign w:val="center"/>
                </w:tcPr>
                <w:p>
                  <w:pPr>
                    <w:pStyle w:val="32"/>
                    <w:spacing w:line="360" w:lineRule="exact"/>
                    <w:rPr>
                      <w:rFonts w:eastAsiaTheme="minorEastAsia"/>
                      <w:color w:val="000000" w:themeColor="text1"/>
                      <w:szCs w:val="21"/>
                    </w:rPr>
                  </w:pPr>
                </w:p>
              </w:tc>
              <w:tc>
                <w:tcPr>
                  <w:tcW w:w="89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937" w:type="dxa"/>
                  <w:vMerge w:val="continue"/>
                  <w:vAlign w:val="center"/>
                </w:tcPr>
                <w:p>
                  <w:pPr>
                    <w:pStyle w:val="32"/>
                    <w:spacing w:line="360" w:lineRule="exact"/>
                    <w:ind w:firstLine="210" w:firstLineChars="100"/>
                    <w:jc w:val="both"/>
                    <w:rPr>
                      <w:rFonts w:eastAsiaTheme="minorEastAsia"/>
                      <w:color w:val="000000" w:themeColor="text1"/>
                      <w:szCs w:val="24"/>
                    </w:rPr>
                  </w:pPr>
                </w:p>
              </w:tc>
              <w:tc>
                <w:tcPr>
                  <w:tcW w:w="1917" w:type="dxa"/>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委托有资质的单位处置</w:t>
                  </w:r>
                  <w:r>
                    <w:rPr>
                      <w:rFonts w:eastAsiaTheme="minorEastAsia"/>
                      <w:color w:val="000000" w:themeColor="text1"/>
                      <w:szCs w:val="24"/>
                    </w:rPr>
                    <w:t>。</w:t>
                  </w:r>
                </w:p>
              </w:tc>
              <w:tc>
                <w:tcPr>
                  <w:tcW w:w="9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5</w:t>
                  </w:r>
                </w:p>
              </w:tc>
              <w:tc>
                <w:tcPr>
                  <w:tcW w:w="70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10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生活垃圾</w:t>
                  </w:r>
                </w:p>
              </w:tc>
              <w:tc>
                <w:tcPr>
                  <w:tcW w:w="894"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生活固废</w:t>
                  </w:r>
                </w:p>
              </w:tc>
              <w:tc>
                <w:tcPr>
                  <w:tcW w:w="89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6.6</w:t>
                  </w:r>
                  <w:r>
                    <w:rPr>
                      <w:rFonts w:eastAsiaTheme="minorEastAsia"/>
                      <w:color w:val="000000" w:themeColor="text1"/>
                      <w:szCs w:val="21"/>
                    </w:rPr>
                    <w:t>t/a</w:t>
                  </w:r>
                </w:p>
              </w:tc>
              <w:tc>
                <w:tcPr>
                  <w:tcW w:w="1937"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使用垃圾桶集中收集，日产日清</w:t>
                  </w:r>
                  <w:r>
                    <w:rPr>
                      <w:rFonts w:hint="eastAsia" w:eastAsiaTheme="minorEastAsia"/>
                      <w:color w:val="000000" w:themeColor="text1"/>
                      <w:szCs w:val="24"/>
                    </w:rPr>
                    <w:t>。</w:t>
                  </w:r>
                </w:p>
              </w:tc>
              <w:tc>
                <w:tcPr>
                  <w:tcW w:w="1917"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r>
                    <w:rPr>
                      <w:rFonts w:hint="eastAsia" w:eastAsiaTheme="minorEastAsia"/>
                      <w:color w:val="000000" w:themeColor="text1"/>
                      <w:szCs w:val="24"/>
                    </w:rPr>
                    <w:t>。</w:t>
                  </w:r>
                </w:p>
              </w:tc>
              <w:tc>
                <w:tcPr>
                  <w:tcW w:w="99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6.6</w:t>
                  </w:r>
                  <w:r>
                    <w:rPr>
                      <w:rFonts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05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餐厨废物</w:t>
                  </w:r>
                </w:p>
              </w:tc>
              <w:tc>
                <w:tcPr>
                  <w:tcW w:w="894" w:type="dxa"/>
                  <w:vMerge w:val="continue"/>
                  <w:vAlign w:val="center"/>
                </w:tcPr>
                <w:p>
                  <w:pPr>
                    <w:pStyle w:val="32"/>
                    <w:spacing w:line="360" w:lineRule="exact"/>
                    <w:rPr>
                      <w:rFonts w:eastAsiaTheme="minorEastAsia"/>
                      <w:color w:val="000000" w:themeColor="text1"/>
                      <w:szCs w:val="21"/>
                    </w:rPr>
                  </w:pPr>
                </w:p>
              </w:tc>
              <w:tc>
                <w:tcPr>
                  <w:tcW w:w="89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c>
                <w:tcPr>
                  <w:tcW w:w="1937" w:type="dxa"/>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收集桶</w:t>
                  </w:r>
                  <w:r>
                    <w:rPr>
                      <w:rFonts w:eastAsiaTheme="minorEastAsia"/>
                      <w:color w:val="000000" w:themeColor="text1"/>
                      <w:szCs w:val="24"/>
                    </w:rPr>
                    <w:t>统一收集</w:t>
                  </w:r>
                </w:p>
              </w:tc>
              <w:tc>
                <w:tcPr>
                  <w:tcW w:w="1917"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委托有资质的单位进行处置</w:t>
                  </w:r>
                </w:p>
              </w:tc>
              <w:tc>
                <w:tcPr>
                  <w:tcW w:w="9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0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隔油池浮油</w:t>
                  </w:r>
                </w:p>
              </w:tc>
              <w:tc>
                <w:tcPr>
                  <w:tcW w:w="894" w:type="dxa"/>
                  <w:vMerge w:val="continue"/>
                  <w:vAlign w:val="center"/>
                </w:tcPr>
                <w:p>
                  <w:pPr>
                    <w:pStyle w:val="32"/>
                    <w:spacing w:line="360" w:lineRule="exact"/>
                    <w:rPr>
                      <w:rFonts w:eastAsiaTheme="minorEastAsia"/>
                      <w:color w:val="000000" w:themeColor="text1"/>
                      <w:szCs w:val="21"/>
                    </w:rPr>
                  </w:pPr>
                </w:p>
              </w:tc>
              <w:tc>
                <w:tcPr>
                  <w:tcW w:w="89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30kg/a</w:t>
                  </w:r>
                </w:p>
              </w:tc>
              <w:tc>
                <w:tcPr>
                  <w:tcW w:w="1937" w:type="dxa"/>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即清即运，不贮存</w:t>
                  </w:r>
                </w:p>
              </w:tc>
              <w:tc>
                <w:tcPr>
                  <w:tcW w:w="1917"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委托有资质的单位进行清理和处置</w:t>
                  </w:r>
                </w:p>
              </w:tc>
              <w:tc>
                <w:tcPr>
                  <w:tcW w:w="9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05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污水处理设施污泥</w:t>
                  </w:r>
                </w:p>
              </w:tc>
              <w:tc>
                <w:tcPr>
                  <w:tcW w:w="894" w:type="dxa"/>
                  <w:vMerge w:val="continue"/>
                  <w:vAlign w:val="center"/>
                </w:tcPr>
                <w:p>
                  <w:pPr>
                    <w:pStyle w:val="32"/>
                    <w:spacing w:line="360" w:lineRule="exact"/>
                    <w:rPr>
                      <w:rFonts w:eastAsiaTheme="minorEastAsia"/>
                      <w:color w:val="000000" w:themeColor="text1"/>
                      <w:szCs w:val="21"/>
                    </w:rPr>
                  </w:pPr>
                </w:p>
              </w:tc>
              <w:tc>
                <w:tcPr>
                  <w:tcW w:w="89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19</w:t>
                  </w:r>
                  <w:r>
                    <w:rPr>
                      <w:rFonts w:eastAsiaTheme="minorEastAsia"/>
                      <w:color w:val="000000" w:themeColor="text1"/>
                      <w:szCs w:val="21"/>
                    </w:rPr>
                    <w:t>t/a</w:t>
                  </w:r>
                </w:p>
              </w:tc>
              <w:tc>
                <w:tcPr>
                  <w:tcW w:w="1937" w:type="dxa"/>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即清即运，不贮存</w:t>
                  </w:r>
                </w:p>
              </w:tc>
              <w:tc>
                <w:tcPr>
                  <w:tcW w:w="1917"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委托环卫部门清运处理</w:t>
                  </w:r>
                </w:p>
              </w:tc>
              <w:tc>
                <w:tcPr>
                  <w:tcW w:w="99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19</w:t>
                  </w:r>
                  <w:r>
                    <w:rPr>
                      <w:rFonts w:eastAsiaTheme="minorEastAsia"/>
                      <w:color w:val="000000" w:themeColor="text1"/>
                      <w:szCs w:val="21"/>
                    </w:rPr>
                    <w:t>t/a</w:t>
                  </w:r>
                </w:p>
              </w:tc>
            </w:tr>
          </w:tbl>
          <w:p>
            <w:pPr>
              <w:pStyle w:val="40"/>
              <w:spacing w:beforeLines="50"/>
              <w:ind w:firstLine="480"/>
              <w:rPr>
                <w:rFonts w:eastAsiaTheme="minorEastAsia"/>
                <w:color w:val="000000" w:themeColor="text1"/>
                <w:szCs w:val="21"/>
              </w:rPr>
            </w:pPr>
            <w:r>
              <w:rPr>
                <w:rFonts w:hint="eastAsia" w:eastAsiaTheme="minorEastAsia"/>
                <w:color w:val="000000" w:themeColor="text1"/>
                <w:szCs w:val="21"/>
              </w:rPr>
              <w:t>由上表可知，项目针对固废废物采取的</w:t>
            </w:r>
            <w:r>
              <w:rPr>
                <w:rFonts w:eastAsiaTheme="minorEastAsia"/>
                <w:color w:val="000000" w:themeColor="text1"/>
                <w:szCs w:val="21"/>
              </w:rPr>
              <w:t>保护措施</w:t>
            </w:r>
            <w:r>
              <w:rPr>
                <w:rFonts w:hint="eastAsia" w:eastAsiaTheme="minorEastAsia"/>
                <w:color w:val="000000" w:themeColor="text1"/>
                <w:szCs w:val="21"/>
              </w:rPr>
              <w:t>具体实施如下：</w:t>
            </w:r>
          </w:p>
          <w:p>
            <w:pPr>
              <w:pStyle w:val="40"/>
              <w:ind w:firstLine="480"/>
              <w:rPr>
                <w:color w:val="000000" w:themeColor="text1"/>
                <w:szCs w:val="24"/>
              </w:rPr>
            </w:pPr>
            <w:r>
              <w:rPr>
                <w:rFonts w:hint="eastAsia"/>
                <w:color w:val="000000" w:themeColor="text1"/>
                <w:szCs w:val="24"/>
              </w:rPr>
              <w:t>①项目产生的</w:t>
            </w:r>
            <w:r>
              <w:rPr>
                <w:color w:val="000000" w:themeColor="text1"/>
                <w:szCs w:val="24"/>
              </w:rPr>
              <w:t>废砖坯及边角料</w:t>
            </w:r>
            <w:r>
              <w:rPr>
                <w:rFonts w:hint="eastAsia"/>
                <w:color w:val="000000" w:themeColor="text1"/>
                <w:szCs w:val="24"/>
              </w:rPr>
              <w:t>、</w:t>
            </w:r>
            <w:r>
              <w:rPr>
                <w:color w:val="000000" w:themeColor="text1"/>
                <w:szCs w:val="24"/>
              </w:rPr>
              <w:t>不合格的烧结砖</w:t>
            </w:r>
            <w:r>
              <w:rPr>
                <w:rFonts w:hint="eastAsia"/>
                <w:color w:val="000000" w:themeColor="text1"/>
                <w:szCs w:val="24"/>
              </w:rPr>
              <w:t>、点火时产生的炉渣、脉冲布袋除尘器收集粉尘、</w:t>
            </w:r>
            <w:r>
              <w:rPr>
                <w:color w:val="000000" w:themeColor="text1"/>
                <w:szCs w:val="24"/>
              </w:rPr>
              <w:t>脱硫除尘固废</w:t>
            </w:r>
            <w:r>
              <w:rPr>
                <w:rFonts w:hint="eastAsia"/>
                <w:color w:val="000000" w:themeColor="text1"/>
                <w:szCs w:val="24"/>
              </w:rPr>
              <w:t>等均属于一般工业固废，直接</w:t>
            </w:r>
            <w:r>
              <w:rPr>
                <w:color w:val="000000" w:themeColor="text1"/>
                <w:szCs w:val="24"/>
              </w:rPr>
              <w:t>作为项目制砖生产原料利用</w:t>
            </w:r>
            <w:r>
              <w:rPr>
                <w:rFonts w:hint="eastAsia"/>
                <w:color w:val="000000" w:themeColor="text1"/>
                <w:szCs w:val="24"/>
              </w:rPr>
              <w:t>。</w:t>
            </w:r>
          </w:p>
          <w:p>
            <w:pPr>
              <w:pStyle w:val="40"/>
              <w:ind w:firstLine="480"/>
              <w:rPr>
                <w:color w:val="000000" w:themeColor="text1"/>
                <w:szCs w:val="24"/>
              </w:rPr>
            </w:pPr>
            <w:r>
              <w:rPr>
                <w:rFonts w:hint="eastAsia"/>
                <w:color w:val="000000" w:themeColor="text1"/>
                <w:szCs w:val="24"/>
              </w:rPr>
              <w:t>②</w:t>
            </w:r>
            <w:r>
              <w:rPr>
                <w:color w:val="000000" w:themeColor="text1"/>
                <w:szCs w:val="24"/>
              </w:rPr>
              <w:t>针对项目产生的废机油和废弃沾油抹布，厂区拟建设了1个10m²的危险废物贮存间对项目区产生的危险废物进行分类暂存</w:t>
            </w:r>
            <w:r>
              <w:rPr>
                <w:rFonts w:hint="eastAsia"/>
                <w:color w:val="000000" w:themeColor="text1"/>
                <w:szCs w:val="24"/>
              </w:rPr>
              <w:t>。废机油部分用于生产设备润滑使用，无法使用部分委托有资质的单位处置</w:t>
            </w:r>
            <w:r>
              <w:rPr>
                <w:color w:val="000000" w:themeColor="text1"/>
                <w:szCs w:val="24"/>
              </w:rPr>
              <w:t>，</w:t>
            </w:r>
            <w:r>
              <w:rPr>
                <w:rFonts w:hint="eastAsia"/>
                <w:color w:val="000000" w:themeColor="text1"/>
                <w:szCs w:val="24"/>
              </w:rPr>
              <w:t>要求项目危险废物贮存间严格进行地面和裙墙防腐防渗，内部设置导流渠和收集池，规范设置标识标牌等。</w:t>
            </w:r>
          </w:p>
          <w:p>
            <w:pPr>
              <w:pStyle w:val="40"/>
              <w:ind w:firstLine="480"/>
              <w:rPr>
                <w:color w:val="000000" w:themeColor="text1"/>
                <w:szCs w:val="24"/>
              </w:rPr>
            </w:pPr>
            <w:r>
              <w:rPr>
                <w:rFonts w:hint="eastAsia"/>
                <w:color w:val="000000" w:themeColor="text1"/>
                <w:szCs w:val="24"/>
              </w:rPr>
              <w:t>③针对员工生活产生的生活固废，其中生活垃圾、污水处理设施污泥委托环卫部门定期清运处置；</w:t>
            </w:r>
            <w:r>
              <w:rPr>
                <w:rFonts w:hint="eastAsia" w:eastAsiaTheme="minorEastAsia"/>
                <w:color w:val="000000" w:themeColor="text1"/>
                <w:szCs w:val="24"/>
              </w:rPr>
              <w:t>餐厨废物和</w:t>
            </w:r>
            <w:r>
              <w:rPr>
                <w:rFonts w:eastAsiaTheme="minorEastAsia"/>
                <w:color w:val="000000" w:themeColor="text1"/>
                <w:szCs w:val="24"/>
              </w:rPr>
              <w:t>隔油池浮油</w:t>
            </w:r>
            <w:r>
              <w:rPr>
                <w:rFonts w:hint="eastAsia" w:eastAsiaTheme="minorEastAsia"/>
                <w:color w:val="000000" w:themeColor="text1"/>
                <w:szCs w:val="24"/>
              </w:rPr>
              <w:t>分别</w:t>
            </w:r>
            <w:r>
              <w:rPr>
                <w:rFonts w:eastAsiaTheme="minorEastAsia"/>
                <w:color w:val="000000" w:themeColor="text1"/>
                <w:szCs w:val="24"/>
              </w:rPr>
              <w:t>委托有资质的单位进行清理和处置</w:t>
            </w:r>
            <w:r>
              <w:rPr>
                <w:rFonts w:hint="eastAsia" w:eastAsiaTheme="minorEastAsia"/>
                <w:color w:val="000000" w:themeColor="text1"/>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综上，</w:t>
            </w:r>
            <w:r>
              <w:rPr>
                <w:rFonts w:ascii="Times New Roman" w:hAnsi="Times New Roman" w:cs="Times New Roman"/>
                <w:color w:val="000000" w:themeColor="text1"/>
                <w:sz w:val="24"/>
                <w:szCs w:val="24"/>
              </w:rPr>
              <w:t>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（2）环境管理要求</w:t>
            </w:r>
          </w:p>
          <w:p>
            <w:pPr>
              <w:pStyle w:val="40"/>
              <w:ind w:firstLine="482"/>
              <w:rPr>
                <w:rFonts w:eastAsiaTheme="minorEastAsia"/>
                <w:b/>
                <w:color w:val="000000" w:themeColor="text1"/>
                <w:szCs w:val="24"/>
              </w:rPr>
            </w:pPr>
            <w:r>
              <w:rPr>
                <w:rFonts w:eastAsiaTheme="minorEastAsia"/>
                <w:b/>
                <w:color w:val="000000" w:themeColor="text1"/>
                <w:szCs w:val="24"/>
              </w:rPr>
              <w:t>①危险废物管理要求</w:t>
            </w:r>
          </w:p>
          <w:p>
            <w:pPr>
              <w:pStyle w:val="40"/>
              <w:ind w:firstLine="480"/>
              <w:rPr>
                <w:color w:val="000000" w:themeColor="text1"/>
                <w:szCs w:val="24"/>
              </w:rPr>
            </w:pPr>
            <w:r>
              <w:rPr>
                <w:color w:val="000000" w:themeColor="text1"/>
                <w:szCs w:val="24"/>
              </w:rPr>
              <w:t>针对项目产生的危险废物，项目在日常管理过程中，必须严格按照《危险废物贮存污染控制标准》（GB18597-2001）及修改单的要求，在对危险废物的收集、贮存</w:t>
            </w:r>
            <w:r>
              <w:rPr>
                <w:rFonts w:hint="eastAsia"/>
                <w:color w:val="000000" w:themeColor="text1"/>
                <w:szCs w:val="24"/>
              </w:rPr>
              <w:t>、利用</w:t>
            </w:r>
            <w:r>
              <w:rPr>
                <w:color w:val="000000" w:themeColor="text1"/>
                <w:szCs w:val="24"/>
              </w:rPr>
              <w:t>和委托有资质的单位处理过程中，做到下表提出的要求。</w:t>
            </w: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4</w:t>
            </w:r>
            <w:r>
              <w:rPr>
                <w:rFonts w:hAnsi="Times New Roman" w:eastAsiaTheme="minorEastAsia"/>
                <w:color w:val="000000" w:themeColor="text1"/>
                <w:sz w:val="21"/>
                <w:szCs w:val="21"/>
              </w:rPr>
              <w:t xml:space="preserve"> 项目危险废物管理要求一览表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7"/>
              <w:gridCol w:w="816"/>
              <w:gridCol w:w="7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2"/>
                    <w:spacing w:before="78"/>
                    <w:ind w:left="11"/>
                    <w:rPr>
                      <w:rFonts w:eastAsiaTheme="minorEastAsia"/>
                      <w:color w:val="000000" w:themeColor="text1"/>
                    </w:rPr>
                  </w:pPr>
                  <w:r>
                    <w:rPr>
                      <w:rFonts w:eastAsiaTheme="minorEastAsia"/>
                      <w:color w:val="000000" w:themeColor="text1"/>
                    </w:rPr>
                    <w:t>序号</w:t>
                  </w:r>
                </w:p>
              </w:tc>
              <w:tc>
                <w:tcPr>
                  <w:tcW w:w="850" w:type="dxa"/>
                  <w:vAlign w:val="center"/>
                </w:tcPr>
                <w:p>
                  <w:pPr>
                    <w:pStyle w:val="32"/>
                    <w:spacing w:before="78"/>
                    <w:ind w:left="11"/>
                    <w:rPr>
                      <w:rFonts w:eastAsiaTheme="minorEastAsia"/>
                      <w:color w:val="000000" w:themeColor="text1"/>
                    </w:rPr>
                  </w:pPr>
                  <w:r>
                    <w:rPr>
                      <w:rFonts w:eastAsiaTheme="minorEastAsia"/>
                      <w:color w:val="000000" w:themeColor="text1"/>
                    </w:rPr>
                    <w:t>环节</w:t>
                  </w:r>
                </w:p>
              </w:tc>
              <w:tc>
                <w:tcPr>
                  <w:tcW w:w="7688" w:type="dxa"/>
                  <w:vAlign w:val="center"/>
                </w:tcPr>
                <w:p>
                  <w:pPr>
                    <w:pStyle w:val="32"/>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2"/>
                    <w:spacing w:before="78"/>
                    <w:ind w:left="11"/>
                    <w:rPr>
                      <w:rFonts w:eastAsiaTheme="minorEastAsia"/>
                      <w:color w:val="000000" w:themeColor="text1"/>
                    </w:rPr>
                  </w:pPr>
                  <w:r>
                    <w:rPr>
                      <w:rFonts w:eastAsiaTheme="minorEastAsia"/>
                      <w:color w:val="000000" w:themeColor="text1"/>
                    </w:rPr>
                    <w:t>1</w:t>
                  </w:r>
                </w:p>
              </w:tc>
              <w:tc>
                <w:tcPr>
                  <w:tcW w:w="850" w:type="dxa"/>
                  <w:vAlign w:val="center"/>
                </w:tcPr>
                <w:p>
                  <w:pPr>
                    <w:pStyle w:val="32"/>
                    <w:spacing w:before="78"/>
                    <w:ind w:left="11"/>
                    <w:rPr>
                      <w:rFonts w:eastAsiaTheme="minorEastAsia"/>
                      <w:color w:val="000000" w:themeColor="text1"/>
                    </w:rPr>
                  </w:pPr>
                  <w:r>
                    <w:rPr>
                      <w:rFonts w:eastAsiaTheme="minorEastAsia"/>
                      <w:color w:val="000000" w:themeColor="text1"/>
                    </w:rPr>
                    <w:t>收集过程</w:t>
                  </w:r>
                </w:p>
              </w:tc>
              <w:tc>
                <w:tcPr>
                  <w:tcW w:w="7688" w:type="dxa"/>
                  <w:vAlign w:val="center"/>
                </w:tcPr>
                <w:p>
                  <w:pPr>
                    <w:pStyle w:val="32"/>
                    <w:spacing w:before="78"/>
                    <w:ind w:left="11" w:firstLine="210" w:firstLineChars="100"/>
                    <w:jc w:val="left"/>
                    <w:rPr>
                      <w:rFonts w:eastAsiaTheme="minorEastAsia"/>
                      <w:color w:val="000000" w:themeColor="text1"/>
                    </w:rPr>
                  </w:pPr>
                  <w:r>
                    <w:rPr>
                      <w:rFonts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2"/>
                    <w:spacing w:before="78"/>
                    <w:ind w:left="11"/>
                    <w:rPr>
                      <w:rFonts w:eastAsiaTheme="minorEastAsia"/>
                      <w:color w:val="000000" w:themeColor="text1"/>
                    </w:rPr>
                  </w:pPr>
                  <w:r>
                    <w:rPr>
                      <w:rFonts w:eastAsiaTheme="minorEastAsia"/>
                      <w:color w:val="000000" w:themeColor="text1"/>
                    </w:rPr>
                    <w:t>2</w:t>
                  </w:r>
                </w:p>
              </w:tc>
              <w:tc>
                <w:tcPr>
                  <w:tcW w:w="850" w:type="dxa"/>
                  <w:vAlign w:val="center"/>
                </w:tcPr>
                <w:p>
                  <w:pPr>
                    <w:pStyle w:val="32"/>
                    <w:spacing w:before="78"/>
                    <w:ind w:left="11"/>
                    <w:rPr>
                      <w:rFonts w:eastAsiaTheme="minorEastAsia"/>
                      <w:color w:val="000000" w:themeColor="text1"/>
                    </w:rPr>
                  </w:pPr>
                  <w:r>
                    <w:rPr>
                      <w:rFonts w:eastAsiaTheme="minorEastAsia"/>
                      <w:color w:val="000000" w:themeColor="text1"/>
                    </w:rPr>
                    <w:t>贮存过程</w:t>
                  </w:r>
                </w:p>
              </w:tc>
              <w:tc>
                <w:tcPr>
                  <w:tcW w:w="7688" w:type="dxa"/>
                  <w:vAlign w:val="center"/>
                </w:tcPr>
                <w:p>
                  <w:pPr>
                    <w:pStyle w:val="32"/>
                    <w:spacing w:before="78"/>
                    <w:ind w:left="11" w:firstLine="210" w:firstLineChars="100"/>
                    <w:jc w:val="left"/>
                    <w:rPr>
                      <w:rFonts w:eastAsiaTheme="minorEastAsia"/>
                      <w:color w:val="000000" w:themeColor="text1"/>
                    </w:rPr>
                  </w:pPr>
                  <w:r>
                    <w:rPr>
                      <w:rFonts w:eastAsiaTheme="minorEastAsia"/>
                      <w:color w:val="000000" w:themeColor="text1"/>
                    </w:rPr>
                    <w:t>①要做好危险废物贮存间的防渗、防泄漏工作。</w:t>
                  </w:r>
                </w:p>
                <w:p>
                  <w:pPr>
                    <w:pStyle w:val="32"/>
                    <w:spacing w:before="78"/>
                    <w:ind w:left="11" w:firstLine="210" w:firstLineChars="100"/>
                    <w:jc w:val="left"/>
                    <w:rPr>
                      <w:rFonts w:eastAsiaTheme="minorEastAsia"/>
                      <w:color w:val="000000" w:themeColor="text1"/>
                    </w:rPr>
                  </w:pPr>
                  <w:r>
                    <w:rPr>
                      <w:rFonts w:eastAsiaTheme="minorEastAsia"/>
                      <w:color w:val="000000" w:themeColor="text1"/>
                    </w:rPr>
                    <w:t>②危险废物堆场必须封顶，并做好防雨工作，场内须做好防渗措施。</w:t>
                  </w:r>
                </w:p>
                <w:p>
                  <w:pPr>
                    <w:pStyle w:val="32"/>
                    <w:spacing w:before="78"/>
                    <w:ind w:left="11" w:firstLine="210" w:firstLineChars="100"/>
                    <w:jc w:val="left"/>
                    <w:rPr>
                      <w:rFonts w:eastAsiaTheme="minorEastAsia"/>
                      <w:color w:val="000000" w:themeColor="text1"/>
                    </w:rPr>
                  </w:pPr>
                  <w:r>
                    <w:rPr>
                      <w:rFonts w:eastAsiaTheme="minorEastAsia"/>
                      <w:color w:val="000000" w:themeColor="text1"/>
                    </w:rPr>
                    <w:t>③危险废物需用符合标准的容器盛装，容器上需粘贴符合《危险废物贮存污染控制标准》（GB18597-2001）附录A所示的标签。</w:t>
                  </w:r>
                </w:p>
                <w:p>
                  <w:pPr>
                    <w:pStyle w:val="32"/>
                    <w:spacing w:before="78"/>
                    <w:ind w:left="11" w:firstLine="210" w:firstLineChars="100"/>
                    <w:jc w:val="left"/>
                    <w:rPr>
                      <w:rFonts w:eastAsiaTheme="minorEastAsia"/>
                      <w:color w:val="000000" w:themeColor="text1"/>
                    </w:rPr>
                  </w:pPr>
                  <w:r>
                    <w:rPr>
                      <w:rFonts w:eastAsiaTheme="minorEastAsia"/>
                      <w:color w:val="000000" w:themeColor="text1"/>
                    </w:rPr>
                    <w:t>④危险废物贮存间必须按GB15562.2《环境保护图形标志—固体废物贮存（处置）场》的规定设置警示标志。</w:t>
                  </w:r>
                </w:p>
                <w:p>
                  <w:pPr>
                    <w:pStyle w:val="32"/>
                    <w:spacing w:before="78"/>
                    <w:ind w:left="11" w:firstLine="210" w:firstLineChars="100"/>
                    <w:jc w:val="left"/>
                    <w:rPr>
                      <w:rFonts w:eastAsiaTheme="minorEastAsia"/>
                      <w:color w:val="000000" w:themeColor="text1"/>
                    </w:rPr>
                  </w:pPr>
                  <w:r>
                    <w:rPr>
                      <w:rFonts w:eastAsiaTheme="minorEastAsia"/>
                      <w:color w:val="000000" w:themeColor="text1"/>
                    </w:rPr>
                    <w:t>⑤装载危险废物的容器要满足相应的强度要求，必须完好无损。</w:t>
                  </w:r>
                </w:p>
                <w:p>
                  <w:pPr>
                    <w:pStyle w:val="32"/>
                    <w:spacing w:before="78"/>
                    <w:ind w:left="11" w:firstLine="210" w:firstLineChars="100"/>
                    <w:jc w:val="left"/>
                    <w:rPr>
                      <w:rFonts w:eastAsiaTheme="minorEastAsia"/>
                      <w:color w:val="000000" w:themeColor="text1"/>
                    </w:rPr>
                  </w:pPr>
                  <w:r>
                    <w:rPr>
                      <w:rFonts w:eastAsiaTheme="minorEastAsia"/>
                      <w:color w:val="000000" w:themeColor="text1"/>
                    </w:rPr>
                    <w:t>⑥盛装危险废物的容器材质和衬里要与危险废物性质相容（不相互反应）。</w:t>
                  </w:r>
                </w:p>
                <w:p>
                  <w:pPr>
                    <w:pStyle w:val="32"/>
                    <w:spacing w:before="78"/>
                    <w:ind w:left="11" w:firstLine="210" w:firstLineChars="100"/>
                    <w:jc w:val="left"/>
                    <w:rPr>
                      <w:rFonts w:eastAsiaTheme="minorEastAsia"/>
                      <w:color w:val="000000" w:themeColor="text1"/>
                    </w:rPr>
                  </w:pPr>
                  <w:r>
                    <w:rPr>
                      <w:rFonts w:eastAsiaTheme="minorEastAsia"/>
                      <w:color w:val="000000" w:themeColor="text1"/>
                    </w:rPr>
                    <w:t>⑦盛装危险废物容器都应有防漏裙脚或储漏盘，防漏裙脚或储漏盘的材料要与危险废物相容。</w:t>
                  </w:r>
                </w:p>
                <w:p>
                  <w:pPr>
                    <w:pStyle w:val="32"/>
                    <w:spacing w:before="78"/>
                    <w:ind w:left="11" w:firstLine="210" w:firstLineChars="100"/>
                    <w:jc w:val="left"/>
                    <w:rPr>
                      <w:rFonts w:eastAsiaTheme="minorEastAsia"/>
                      <w:color w:val="000000" w:themeColor="text1"/>
                    </w:rPr>
                  </w:pPr>
                  <w:r>
                    <w:rPr>
                      <w:rFonts w:eastAsiaTheme="minorEastAsia"/>
                      <w:color w:val="000000" w:themeColor="text1"/>
                    </w:rPr>
                    <w:t>⑧作好危险废物贮存情况的记录，记录上须注明危险废物的名称、来源、数量、特性和包装容器的类别、入库日期、存放库位、废物出库日期及接收单位名称。记录和货单在危险废物处置后继续保留三年。</w:t>
                  </w:r>
                </w:p>
                <w:p>
                  <w:pPr>
                    <w:pStyle w:val="32"/>
                    <w:spacing w:before="78"/>
                    <w:ind w:left="11" w:firstLine="210" w:firstLineChars="100"/>
                    <w:jc w:val="left"/>
                    <w:rPr>
                      <w:rFonts w:eastAsiaTheme="minorEastAsia"/>
                      <w:color w:val="000000" w:themeColor="text1"/>
                    </w:rPr>
                  </w:pPr>
                  <w:r>
                    <w:rPr>
                      <w:rFonts w:eastAsiaTheme="minorEastAsia"/>
                      <w:color w:val="000000" w:themeColor="text1"/>
                    </w:rPr>
                    <w:t>⑨必须定期对所贮存的危险废物包装容器进行检查，发现破损，应及时采取措施清理更换。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2"/>
                    <w:spacing w:before="78"/>
                    <w:ind w:left="11"/>
                    <w:rPr>
                      <w:rFonts w:eastAsiaTheme="minorEastAsia"/>
                      <w:color w:val="000000" w:themeColor="text1"/>
                    </w:rPr>
                  </w:pPr>
                  <w:r>
                    <w:rPr>
                      <w:rFonts w:eastAsiaTheme="minorEastAsia"/>
                      <w:color w:val="000000" w:themeColor="text1"/>
                    </w:rPr>
                    <w:t>3</w:t>
                  </w:r>
                </w:p>
              </w:tc>
              <w:tc>
                <w:tcPr>
                  <w:tcW w:w="850" w:type="dxa"/>
                  <w:vAlign w:val="center"/>
                </w:tcPr>
                <w:p>
                  <w:pPr>
                    <w:pStyle w:val="32"/>
                    <w:spacing w:before="78"/>
                    <w:ind w:left="11"/>
                    <w:rPr>
                      <w:rFonts w:eastAsiaTheme="minorEastAsia"/>
                      <w:color w:val="000000" w:themeColor="text1"/>
                    </w:rPr>
                  </w:pPr>
                  <w:r>
                    <w:rPr>
                      <w:rFonts w:eastAsiaTheme="minorEastAsia"/>
                      <w:color w:val="000000" w:themeColor="text1"/>
                    </w:rPr>
                    <w:t>委托转移</w:t>
                  </w:r>
                </w:p>
              </w:tc>
              <w:tc>
                <w:tcPr>
                  <w:tcW w:w="7688" w:type="dxa"/>
                  <w:vAlign w:val="center"/>
                </w:tcPr>
                <w:p>
                  <w:pPr>
                    <w:pStyle w:val="32"/>
                    <w:spacing w:before="78"/>
                    <w:ind w:left="11" w:firstLine="210" w:firstLineChars="100"/>
                    <w:jc w:val="left"/>
                    <w:rPr>
                      <w:rFonts w:eastAsiaTheme="minorEastAsia"/>
                      <w:color w:val="000000" w:themeColor="text1"/>
                    </w:rPr>
                  </w:pPr>
                  <w:r>
                    <w:rPr>
                      <w:rFonts w:eastAsiaTheme="minorEastAsia"/>
                      <w:color w:val="000000" w:themeColor="text1"/>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2"/>
                    <w:spacing w:before="78"/>
                    <w:ind w:left="11"/>
                    <w:rPr>
                      <w:rFonts w:eastAsiaTheme="minorEastAsia"/>
                      <w:color w:val="000000" w:themeColor="text1"/>
                    </w:rPr>
                  </w:pPr>
                  <w:r>
                    <w:rPr>
                      <w:rFonts w:eastAsiaTheme="minorEastAsia"/>
                      <w:color w:val="000000" w:themeColor="text1"/>
                    </w:rPr>
                    <w:t>4</w:t>
                  </w:r>
                </w:p>
              </w:tc>
              <w:tc>
                <w:tcPr>
                  <w:tcW w:w="850" w:type="dxa"/>
                  <w:vAlign w:val="center"/>
                </w:tcPr>
                <w:p>
                  <w:pPr>
                    <w:pStyle w:val="32"/>
                    <w:spacing w:before="78"/>
                    <w:ind w:left="11"/>
                    <w:rPr>
                      <w:rFonts w:eastAsiaTheme="minorEastAsia"/>
                      <w:color w:val="000000" w:themeColor="text1"/>
                    </w:rPr>
                  </w:pPr>
                  <w:r>
                    <w:rPr>
                      <w:rFonts w:eastAsiaTheme="minorEastAsia"/>
                      <w:color w:val="000000" w:themeColor="text1"/>
                    </w:rPr>
                    <w:t>危险废物贮存间的建设及管理</w:t>
                  </w:r>
                </w:p>
              </w:tc>
              <w:tc>
                <w:tcPr>
                  <w:tcW w:w="7688" w:type="dxa"/>
                  <w:vAlign w:val="center"/>
                </w:tcPr>
                <w:p>
                  <w:pPr>
                    <w:pStyle w:val="32"/>
                    <w:spacing w:before="78"/>
                    <w:ind w:left="11" w:firstLine="210" w:firstLineChars="100"/>
                    <w:jc w:val="left"/>
                    <w:rPr>
                      <w:rFonts w:eastAsiaTheme="minorEastAsia"/>
                      <w:color w:val="000000" w:themeColor="text1"/>
                    </w:rPr>
                  </w:pPr>
                  <w:r>
                    <w:rPr>
                      <w:rFonts w:eastAsiaTheme="minorEastAsia"/>
                      <w:color w:val="000000" w:themeColor="text1"/>
                    </w:rPr>
                    <w:t>①危险废物贮存间必须要密闭建设，门口内侧设立围堰，地面应做好硬化及“三防”措施；</w:t>
                  </w:r>
                </w:p>
                <w:p>
                  <w:pPr>
                    <w:pStyle w:val="32"/>
                    <w:spacing w:before="78"/>
                    <w:ind w:left="11" w:firstLine="210" w:firstLineChars="100"/>
                    <w:jc w:val="left"/>
                    <w:rPr>
                      <w:rFonts w:eastAsiaTheme="minorEastAsia"/>
                      <w:color w:val="000000" w:themeColor="text1"/>
                    </w:rPr>
                  </w:pPr>
                  <w:r>
                    <w:rPr>
                      <w:rFonts w:eastAsiaTheme="minorEastAsia"/>
                      <w:color w:val="000000" w:themeColor="text1"/>
                    </w:rPr>
                    <w:t>②危险废物贮存间门口需张贴标准规范的危险废物标识和危险信息版，屋内张贴企业《危险废物管理制度》；</w:t>
                  </w:r>
                </w:p>
                <w:p>
                  <w:pPr>
                    <w:pStyle w:val="32"/>
                    <w:spacing w:before="78"/>
                    <w:ind w:left="11" w:firstLine="210" w:firstLineChars="100"/>
                    <w:jc w:val="left"/>
                    <w:rPr>
                      <w:rFonts w:eastAsiaTheme="minorEastAsia"/>
                      <w:color w:val="000000" w:themeColor="text1"/>
                    </w:rPr>
                  </w:pPr>
                  <w:r>
                    <w:rPr>
                      <w:rFonts w:eastAsiaTheme="minorEastAsia"/>
                      <w:color w:val="000000" w:themeColor="text1"/>
                    </w:rPr>
                    <w:t>③危险废物贮存间需按照“双人双锁”制度管理；</w:t>
                  </w:r>
                </w:p>
                <w:p>
                  <w:pPr>
                    <w:pStyle w:val="32"/>
                    <w:spacing w:before="78"/>
                    <w:ind w:left="11" w:firstLine="210" w:firstLineChars="100"/>
                    <w:jc w:val="left"/>
                    <w:rPr>
                      <w:rFonts w:eastAsiaTheme="minorEastAsia"/>
                      <w:color w:val="000000" w:themeColor="text1"/>
                    </w:rPr>
                  </w:pPr>
                  <w:r>
                    <w:rPr>
                      <w:rFonts w:eastAsiaTheme="minorEastAsia"/>
                      <w:color w:val="000000" w:themeColor="text1"/>
                    </w:rPr>
                    <w:t>④不同种类危险废物应有明显的过道划分，墙上张贴危废名称，液体危废需将盛装容器放至防渗漏托盘内并在容器粘贴危险废物标签，固态危险废物包装需完好无破损并系挂危险废物标签，并按要求填写；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32"/>
                    <w:spacing w:before="78"/>
                    <w:ind w:left="11" w:firstLine="210" w:firstLineChars="100"/>
                    <w:jc w:val="left"/>
                    <w:rPr>
                      <w:rFonts w:eastAsiaTheme="minorEastAsia"/>
                      <w:color w:val="000000" w:themeColor="text1"/>
                    </w:rPr>
                  </w:pPr>
                  <w:r>
                    <w:rPr>
                      <w:rFonts w:eastAsiaTheme="minorEastAsia"/>
                      <w:color w:val="000000" w:themeColor="text1"/>
                    </w:rPr>
                    <w:t>⑤建立台账并悬挂于危险废物贮存间内；</w:t>
                  </w:r>
                </w:p>
                <w:p>
                  <w:pPr>
                    <w:pStyle w:val="32"/>
                    <w:spacing w:before="78"/>
                    <w:ind w:left="11" w:firstLine="210" w:firstLineChars="100"/>
                    <w:jc w:val="left"/>
                    <w:rPr>
                      <w:rFonts w:eastAsiaTheme="minorEastAsia"/>
                      <w:color w:val="000000" w:themeColor="text1"/>
                    </w:rPr>
                  </w:pPr>
                  <w:r>
                    <w:rPr>
                      <w:rFonts w:eastAsiaTheme="minorEastAsia"/>
                      <w:color w:val="000000" w:themeColor="text1"/>
                    </w:rPr>
                    <w:t>⑥危险废物贮存间内禁止存放除危险废物及应急工具及其他物品；</w:t>
                  </w:r>
                </w:p>
              </w:tc>
            </w:tr>
          </w:tbl>
          <w:p>
            <w:pPr>
              <w:pStyle w:val="40"/>
              <w:spacing w:beforeLines="50"/>
              <w:ind w:firstLine="482"/>
              <w:rPr>
                <w:rFonts w:eastAsiaTheme="minorEastAsia"/>
                <w:b/>
                <w:color w:val="000000" w:themeColor="text1"/>
                <w:szCs w:val="24"/>
              </w:rPr>
            </w:pPr>
            <w:bookmarkStart w:id="12" w:name="_Toc484976361"/>
            <w:r>
              <w:rPr>
                <w:rFonts w:eastAsiaTheme="minorEastAsia"/>
                <w:b/>
                <w:color w:val="000000" w:themeColor="text1"/>
                <w:szCs w:val="24"/>
              </w:rPr>
              <w:t>②生活垃圾管理要求</w:t>
            </w:r>
          </w:p>
          <w:p>
            <w:pPr>
              <w:pStyle w:val="40"/>
              <w:ind w:firstLine="480"/>
              <w:rPr>
                <w:color w:val="000000" w:themeColor="text1"/>
                <w:szCs w:val="24"/>
              </w:rPr>
            </w:pPr>
            <w:r>
              <w:rPr>
                <w:color w:val="000000" w:themeColor="text1"/>
                <w:szCs w:val="24"/>
              </w:rPr>
              <w:t>项目产生的生活垃圾应做到日产日清。</w:t>
            </w:r>
          </w:p>
          <w:bookmarkEnd w:id="12"/>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w:t>
            </w:r>
            <w:r>
              <w:rPr>
                <w:rFonts w:hint="eastAsia" w:eastAsiaTheme="minorEastAsia"/>
                <w:b/>
                <w:color w:val="000000" w:themeColor="text1"/>
                <w:szCs w:val="24"/>
              </w:rPr>
              <w:t>地下水、土壤</w:t>
            </w:r>
            <w:r>
              <w:rPr>
                <w:rFonts w:eastAsiaTheme="minorEastAsia"/>
                <w:b/>
                <w:color w:val="000000" w:themeColor="text1"/>
                <w:szCs w:val="24"/>
              </w:rPr>
              <w:t>污染源及污染物类型</w:t>
            </w:r>
          </w:p>
          <w:p>
            <w:pPr>
              <w:pStyle w:val="40"/>
              <w:ind w:firstLine="480"/>
              <w:rPr>
                <w:color w:val="000000" w:themeColor="text1"/>
                <w:szCs w:val="24"/>
              </w:rPr>
            </w:pPr>
            <w:r>
              <w:rPr>
                <w:rFonts w:hint="eastAsia"/>
                <w:color w:val="000000" w:themeColor="text1"/>
                <w:szCs w:val="24"/>
              </w:rPr>
              <w:t>本项目为页岩砖生产项目，项目周边存在耕地等土壤敏感目标，项目地下水污染影响较小，主要影响为土壤，</w:t>
            </w:r>
            <w:r>
              <w:rPr>
                <w:color w:val="000000" w:themeColor="text1"/>
                <w:szCs w:val="24"/>
              </w:rPr>
              <w:t>本项目可能对土壤造成污染的途径主要有：</w:t>
            </w:r>
            <w:r>
              <w:rPr>
                <w:rFonts w:hint="eastAsia"/>
                <w:color w:val="000000" w:themeColor="text1"/>
                <w:szCs w:val="24"/>
              </w:rPr>
              <w:t>项目产生的废机油等危险废物</w:t>
            </w:r>
            <w:r>
              <w:rPr>
                <w:color w:val="000000" w:themeColor="text1"/>
                <w:szCs w:val="24"/>
              </w:rPr>
              <w:t>地面漫流或渗漏至周边土壤，使土壤层中吸附了</w:t>
            </w:r>
            <w:r>
              <w:rPr>
                <w:rFonts w:hint="eastAsia"/>
                <w:color w:val="000000" w:themeColor="text1"/>
                <w:szCs w:val="24"/>
              </w:rPr>
              <w:t>油类物质，</w:t>
            </w:r>
            <w:r>
              <w:rPr>
                <w:color w:val="000000" w:themeColor="text1"/>
                <w:szCs w:val="24"/>
              </w:rPr>
              <w:t>其污染物类型包括</w:t>
            </w:r>
            <w:r>
              <w:rPr>
                <w:rFonts w:hint="eastAsia"/>
                <w:color w:val="000000" w:themeColor="text1"/>
                <w:szCs w:val="24"/>
              </w:rPr>
              <w:t>石油类；项目产生的氟化物进入</w:t>
            </w:r>
            <w:r>
              <w:rPr>
                <w:color w:val="000000" w:themeColor="text1"/>
                <w:szCs w:val="24"/>
              </w:rPr>
              <w:t>农田</w:t>
            </w:r>
            <w:r>
              <w:rPr>
                <w:rFonts w:hint="eastAsia"/>
                <w:color w:val="000000" w:themeColor="text1"/>
                <w:szCs w:val="24"/>
              </w:rPr>
              <w:t>土壤及其植被表面。</w:t>
            </w:r>
          </w:p>
          <w:p>
            <w:pPr>
              <w:pStyle w:val="40"/>
              <w:ind w:firstLine="361" w:firstLineChars="150"/>
              <w:rPr>
                <w:rFonts w:eastAsiaTheme="minorEastAsia"/>
                <w:b/>
                <w:color w:val="000000" w:themeColor="text1"/>
                <w:szCs w:val="24"/>
              </w:rPr>
            </w:pPr>
            <w:r>
              <w:rPr>
                <w:rFonts w:eastAsiaTheme="minorEastAsia"/>
                <w:b/>
                <w:color w:val="000000" w:themeColor="text1"/>
                <w:szCs w:val="24"/>
              </w:rPr>
              <w:t>（2）</w:t>
            </w:r>
            <w:r>
              <w:rPr>
                <w:rFonts w:hint="eastAsia" w:eastAsiaTheme="minorEastAsia"/>
                <w:b/>
                <w:color w:val="000000" w:themeColor="text1"/>
                <w:szCs w:val="24"/>
              </w:rPr>
              <w:t>地下水、土壤</w:t>
            </w:r>
            <w:r>
              <w:rPr>
                <w:rFonts w:eastAsiaTheme="minorEastAsia"/>
                <w:b/>
                <w:color w:val="000000" w:themeColor="text1"/>
                <w:szCs w:val="24"/>
              </w:rPr>
              <w:t>污染源及污染途径</w:t>
            </w:r>
          </w:p>
          <w:p>
            <w:pPr>
              <w:pStyle w:val="40"/>
              <w:ind w:firstLine="480"/>
              <w:rPr>
                <w:color w:val="000000" w:themeColor="text1"/>
                <w:szCs w:val="24"/>
              </w:rPr>
            </w:pPr>
            <w:r>
              <w:rPr>
                <w:rFonts w:hint="eastAsia"/>
                <w:color w:val="000000" w:themeColor="text1"/>
                <w:szCs w:val="24"/>
              </w:rPr>
              <w:t>本项目污染源及污染途径主要包括：</w:t>
            </w:r>
          </w:p>
          <w:p>
            <w:pPr>
              <w:pStyle w:val="40"/>
              <w:ind w:firstLine="480"/>
              <w:rPr>
                <w:color w:val="000000" w:themeColor="text1"/>
                <w:szCs w:val="24"/>
              </w:rPr>
            </w:pPr>
            <w:r>
              <w:rPr>
                <w:rFonts w:hint="eastAsia"/>
                <w:color w:val="000000" w:themeColor="text1"/>
                <w:szCs w:val="24"/>
              </w:rPr>
              <w:t>①项目产生的废机油等危险废物</w:t>
            </w:r>
            <w:r>
              <w:rPr>
                <w:color w:val="000000" w:themeColor="text1"/>
                <w:szCs w:val="24"/>
              </w:rPr>
              <w:t>地面漫流或渗漏至周边土壤，使土壤层中吸附了</w:t>
            </w:r>
            <w:r>
              <w:rPr>
                <w:rFonts w:hint="eastAsia"/>
                <w:color w:val="000000" w:themeColor="text1"/>
                <w:szCs w:val="24"/>
              </w:rPr>
              <w:t>油类物质</w:t>
            </w:r>
            <w:r>
              <w:rPr>
                <w:color w:val="000000" w:themeColor="text1"/>
                <w:szCs w:val="24"/>
              </w:rPr>
              <w:t>，其污染因子为有机污染物，周围为农田土壤，土壤层吸附的</w:t>
            </w:r>
            <w:r>
              <w:rPr>
                <w:rFonts w:hint="eastAsia"/>
                <w:color w:val="000000" w:themeColor="text1"/>
                <w:szCs w:val="24"/>
              </w:rPr>
              <w:t>油类物质</w:t>
            </w:r>
            <w:r>
              <w:rPr>
                <w:color w:val="000000" w:themeColor="text1"/>
                <w:szCs w:val="24"/>
              </w:rPr>
              <w:t>不仅会造成植物生物的死亡，其污染因子具有随着农作物转移至人体，对人体造成危害。</w:t>
            </w:r>
          </w:p>
          <w:p>
            <w:pPr>
              <w:pStyle w:val="40"/>
              <w:ind w:firstLine="480"/>
              <w:rPr>
                <w:color w:val="000000" w:themeColor="text1"/>
                <w:szCs w:val="24"/>
              </w:rPr>
            </w:pPr>
            <w:r>
              <w:rPr>
                <w:rFonts w:hint="eastAsia"/>
                <w:color w:val="000000" w:themeColor="text1"/>
                <w:szCs w:val="24"/>
              </w:rPr>
              <w:t>②项目产生的</w:t>
            </w:r>
            <w:r>
              <w:rPr>
                <w:rFonts w:hint="eastAsia"/>
                <w:color w:val="000000" w:themeColor="text1"/>
              </w:rPr>
              <w:t>颗粒物、二氧化硫、氮氧化物、</w:t>
            </w:r>
            <w:r>
              <w:rPr>
                <w:rFonts w:hint="eastAsia"/>
                <w:color w:val="000000" w:themeColor="text1"/>
                <w:szCs w:val="24"/>
              </w:rPr>
              <w:t>氟化物通过</w:t>
            </w:r>
            <w:r>
              <w:rPr>
                <w:rFonts w:hint="eastAsia"/>
                <w:color w:val="000000" w:themeColor="text1"/>
              </w:rPr>
              <w:t>大气沉降</w:t>
            </w:r>
            <w:r>
              <w:rPr>
                <w:rFonts w:hint="eastAsia"/>
                <w:color w:val="000000" w:themeColor="text1"/>
                <w:szCs w:val="24"/>
              </w:rPr>
              <w:t>进入</w:t>
            </w:r>
            <w:r>
              <w:rPr>
                <w:color w:val="000000" w:themeColor="text1"/>
                <w:szCs w:val="24"/>
              </w:rPr>
              <w:t>农田</w:t>
            </w:r>
            <w:r>
              <w:rPr>
                <w:rFonts w:hint="eastAsia"/>
                <w:color w:val="000000" w:themeColor="text1"/>
                <w:szCs w:val="24"/>
              </w:rPr>
              <w:t>土壤及其植被表面，将影响植物生长。</w:t>
            </w:r>
          </w:p>
          <w:p>
            <w:pPr>
              <w:pStyle w:val="40"/>
              <w:ind w:firstLine="361" w:firstLineChars="150"/>
              <w:rPr>
                <w:rFonts w:eastAsiaTheme="minorEastAsia"/>
                <w:b/>
                <w:color w:val="000000" w:themeColor="text1"/>
                <w:szCs w:val="24"/>
              </w:rPr>
            </w:pPr>
            <w:r>
              <w:rPr>
                <w:rFonts w:eastAsiaTheme="minorEastAsia"/>
                <w:b/>
                <w:color w:val="000000" w:themeColor="text1"/>
                <w:szCs w:val="24"/>
              </w:rPr>
              <w:t>（</w:t>
            </w:r>
            <w:r>
              <w:rPr>
                <w:rFonts w:hint="eastAsia" w:eastAsiaTheme="minorEastAsia"/>
                <w:b/>
                <w:color w:val="000000" w:themeColor="text1"/>
                <w:szCs w:val="24"/>
              </w:rPr>
              <w:t>3</w:t>
            </w:r>
            <w:r>
              <w:rPr>
                <w:rFonts w:eastAsiaTheme="minorEastAsia"/>
                <w:b/>
                <w:color w:val="000000" w:themeColor="text1"/>
                <w:szCs w:val="24"/>
              </w:rPr>
              <w:t>）防控措施</w:t>
            </w:r>
          </w:p>
          <w:p>
            <w:pPr>
              <w:pStyle w:val="40"/>
              <w:ind w:firstLine="480"/>
              <w:rPr>
                <w:color w:val="000000" w:themeColor="text1"/>
                <w:szCs w:val="24"/>
              </w:rPr>
            </w:pPr>
            <w:r>
              <w:rPr>
                <w:color w:val="000000" w:themeColor="text1"/>
                <w:szCs w:val="24"/>
              </w:rPr>
              <w:t>本项目地下水、土壤污染防治措施按照“源头控制、分区防治、应急响应”相结合的原则，从污染物的产生、入渗、扩散、应急响应进行控制。</w:t>
            </w:r>
          </w:p>
          <w:p>
            <w:pPr>
              <w:pStyle w:val="40"/>
              <w:ind w:firstLine="482"/>
              <w:rPr>
                <w:b/>
                <w:color w:val="000000" w:themeColor="text1"/>
                <w:szCs w:val="24"/>
              </w:rPr>
            </w:pPr>
            <w:r>
              <w:rPr>
                <w:b/>
                <w:color w:val="000000" w:themeColor="text1"/>
                <w:szCs w:val="24"/>
              </w:rPr>
              <w:t>①源头控制措施</w:t>
            </w:r>
          </w:p>
          <w:p>
            <w:pPr>
              <w:pStyle w:val="40"/>
              <w:ind w:firstLine="480"/>
              <w:rPr>
                <w:color w:val="000000" w:themeColor="text1"/>
                <w:szCs w:val="24"/>
              </w:rPr>
            </w:pPr>
            <w:r>
              <w:rPr>
                <w:color w:val="000000" w:themeColor="text1"/>
                <w:szCs w:val="24"/>
              </w:rPr>
              <w:t>严格按照公司制定的规范管理要求进行危险废物的管理。</w:t>
            </w:r>
            <w:r>
              <w:rPr>
                <w:rFonts w:hint="eastAsia"/>
                <w:color w:val="000000" w:themeColor="text1"/>
                <w:szCs w:val="24"/>
              </w:rPr>
              <w:t>确保氟化物等废气达标排放。</w:t>
            </w:r>
          </w:p>
          <w:p>
            <w:pPr>
              <w:pStyle w:val="40"/>
              <w:ind w:firstLine="482"/>
              <w:rPr>
                <w:b/>
                <w:color w:val="000000" w:themeColor="text1"/>
                <w:szCs w:val="24"/>
              </w:rPr>
            </w:pPr>
            <w:r>
              <w:rPr>
                <w:b/>
                <w:color w:val="000000" w:themeColor="text1"/>
                <w:szCs w:val="24"/>
              </w:rPr>
              <w:t>②分区控制措施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项目分区防控措施根据建设项目场地天然包气带防污性能、污染控制难易程度和污染物特性提出防渗技术要求。污染控制难易程度分级如下表所示</w:t>
            </w:r>
            <w:r>
              <w:rPr>
                <w:rFonts w:ascii="Times New Roman" w:hAnsi="Times New Roman" w:cs="Times New Roman"/>
                <w:color w:val="000000" w:themeColor="text1"/>
                <w:sz w:val="24"/>
              </w:rPr>
              <w:t>。</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表4.2.5-1  污染控制难易程度分级参照表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污染物控制难易程度</w:t>
                  </w:r>
                </w:p>
              </w:tc>
              <w:tc>
                <w:tcPr>
                  <w:tcW w:w="68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难</w:t>
                  </w:r>
                </w:p>
              </w:tc>
              <w:tc>
                <w:tcPr>
                  <w:tcW w:w="6875"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易</w:t>
                  </w:r>
                </w:p>
              </w:tc>
              <w:tc>
                <w:tcPr>
                  <w:tcW w:w="6875"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对地下水环境有污染的物料或污染物泄漏后，可及时发现和处理。</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天然包气带防污性能分级如下表所示。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表4.2.5-2  天然包气带防污性能分级</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分级</w:t>
                  </w:r>
                </w:p>
              </w:tc>
              <w:tc>
                <w:tcPr>
                  <w:tcW w:w="786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强</w:t>
                  </w:r>
                </w:p>
              </w:tc>
              <w:tc>
                <w:tcPr>
                  <w:tcW w:w="7867"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岩（土）单层厚度Mb≥1.0m，渗透系数K≤10</w:t>
                  </w:r>
                  <w:r>
                    <w:rPr>
                      <w:rFonts w:eastAsiaTheme="minorEastAsia"/>
                      <w:color w:val="000000" w:themeColor="text1"/>
                      <w:szCs w:val="21"/>
                      <w:vertAlign w:val="superscript"/>
                    </w:rPr>
                    <w:t>-6</w:t>
                  </w:r>
                  <w:r>
                    <w:rPr>
                      <w:rFonts w:eastAsiaTheme="minorEastAsia"/>
                      <w:color w:val="000000" w:themeColor="text1"/>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中</w:t>
                  </w:r>
                </w:p>
              </w:tc>
              <w:tc>
                <w:tcPr>
                  <w:tcW w:w="7867"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岩（土）单层厚度0.5m≤Mb＜1.0m，渗透系数K≤10</w:t>
                  </w:r>
                  <w:r>
                    <w:rPr>
                      <w:rFonts w:eastAsiaTheme="minorEastAsia"/>
                      <w:color w:val="000000" w:themeColor="text1"/>
                      <w:szCs w:val="21"/>
                      <w:vertAlign w:val="superscript"/>
                    </w:rPr>
                    <w:t>-6</w:t>
                  </w:r>
                  <w:r>
                    <w:rPr>
                      <w:rFonts w:eastAsiaTheme="minorEastAsia"/>
                      <w:color w:val="000000" w:themeColor="text1"/>
                      <w:szCs w:val="21"/>
                    </w:rPr>
                    <w:t>cm/s，且分布连续、稳定；</w:t>
                  </w:r>
                </w:p>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岩（土）单层厚度Mb≥1.0m，渗透系数10</w:t>
                  </w:r>
                  <w:r>
                    <w:rPr>
                      <w:rFonts w:eastAsiaTheme="minorEastAsia"/>
                      <w:color w:val="000000" w:themeColor="text1"/>
                      <w:szCs w:val="21"/>
                      <w:vertAlign w:val="superscript"/>
                    </w:rPr>
                    <w:t>-6</w:t>
                  </w:r>
                  <w:r>
                    <w:rPr>
                      <w:rFonts w:eastAsiaTheme="minorEastAsia"/>
                      <w:color w:val="000000" w:themeColor="text1"/>
                      <w:szCs w:val="21"/>
                    </w:rPr>
                    <w:t>cm/s＜K≤10</w:t>
                  </w:r>
                  <w:r>
                    <w:rPr>
                      <w:rFonts w:eastAsiaTheme="minorEastAsia"/>
                      <w:color w:val="000000" w:themeColor="text1"/>
                      <w:szCs w:val="21"/>
                      <w:vertAlign w:val="superscript"/>
                    </w:rPr>
                    <w:t>-4</w:t>
                  </w:r>
                  <w:r>
                    <w:rPr>
                      <w:rFonts w:eastAsiaTheme="minorEastAsia"/>
                      <w:color w:val="000000" w:themeColor="text1"/>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弱</w:t>
                  </w:r>
                </w:p>
              </w:tc>
              <w:tc>
                <w:tcPr>
                  <w:tcW w:w="7867"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岩（土）层不满足上述“强”和“中”条件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备注</w:t>
                  </w:r>
                </w:p>
              </w:tc>
              <w:tc>
                <w:tcPr>
                  <w:tcW w:w="7867"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项目区地下水类型主要为岩溶水，含水层岩性主要为古生界石炭系大塘阶组（C1d）浅海相泥质灰岩或白云岩，综上确定包气带防污性能为“弱”。</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地下水污染防渗分区按下表要求执行。</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表4.2.5-3  地下水污染防渗分区</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418"/>
              <w:gridCol w:w="1418"/>
              <w:gridCol w:w="170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防渗分区</w:t>
                  </w: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天然包气带防污性能</w:t>
                  </w: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污染控制难易程度</w:t>
                  </w:r>
                </w:p>
              </w:tc>
              <w:tc>
                <w:tcPr>
                  <w:tcW w:w="988"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污染物类型</w:t>
                  </w:r>
                </w:p>
              </w:tc>
              <w:tc>
                <w:tcPr>
                  <w:tcW w:w="1771"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重点防渗区</w:t>
                  </w: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重金属、持久性有机污染物</w:t>
                  </w:r>
                </w:p>
              </w:tc>
              <w:tc>
                <w:tcPr>
                  <w:tcW w:w="1771" w:type="pct"/>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等效黏土防渗层Mb≥6.0m，K≤1×10</w:t>
                  </w:r>
                  <w:r>
                    <w:rPr>
                      <w:rFonts w:eastAsiaTheme="minorEastAsia"/>
                      <w:color w:val="000000" w:themeColor="text1"/>
                      <w:szCs w:val="21"/>
                      <w:vertAlign w:val="superscript"/>
                    </w:rPr>
                    <w:t>-7</w:t>
                  </w:r>
                  <w:r>
                    <w:rPr>
                      <w:rFonts w:eastAsiaTheme="minorEastAsia"/>
                      <w:color w:val="000000" w:themeColor="text1"/>
                      <w:szCs w:val="21"/>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spacing w:line="360" w:lineRule="exact"/>
                    <w:rPr>
                      <w:rFonts w:eastAsiaTheme="minorEastAsia"/>
                      <w:color w:val="000000" w:themeColor="text1"/>
                      <w:szCs w:val="21"/>
                    </w:rPr>
                  </w:pP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continue"/>
                  <w:vAlign w:val="center"/>
                </w:tcPr>
                <w:p>
                  <w:pPr>
                    <w:pStyle w:val="32"/>
                    <w:spacing w:line="360" w:lineRule="exact"/>
                    <w:rPr>
                      <w:rFonts w:eastAsiaTheme="minorEastAsia"/>
                      <w:color w:val="000000" w:themeColor="text1"/>
                      <w:szCs w:val="21"/>
                    </w:rPr>
                  </w:pPr>
                </w:p>
              </w:tc>
              <w:tc>
                <w:tcPr>
                  <w:tcW w:w="1771" w:type="pct"/>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spacing w:line="360" w:lineRule="exact"/>
                    <w:rPr>
                      <w:rFonts w:eastAsiaTheme="minorEastAsia"/>
                      <w:color w:val="000000" w:themeColor="text1"/>
                      <w:szCs w:val="21"/>
                    </w:rPr>
                  </w:pP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continue"/>
                  <w:vAlign w:val="center"/>
                </w:tcPr>
                <w:p>
                  <w:pPr>
                    <w:pStyle w:val="32"/>
                    <w:spacing w:line="360" w:lineRule="exact"/>
                    <w:rPr>
                      <w:rFonts w:eastAsiaTheme="minorEastAsia"/>
                      <w:color w:val="000000" w:themeColor="text1"/>
                      <w:szCs w:val="21"/>
                    </w:rPr>
                  </w:pPr>
                </w:p>
              </w:tc>
              <w:tc>
                <w:tcPr>
                  <w:tcW w:w="1771" w:type="pct"/>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一般防渗区</w:t>
                  </w: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易-难</w:t>
                  </w:r>
                </w:p>
              </w:tc>
              <w:tc>
                <w:tcPr>
                  <w:tcW w:w="988" w:type="pct"/>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其他类型</w:t>
                  </w:r>
                </w:p>
              </w:tc>
              <w:tc>
                <w:tcPr>
                  <w:tcW w:w="1771" w:type="pct"/>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等效黏土防渗层Mb≥1.5m，K≤1×10</w:t>
                  </w:r>
                  <w:r>
                    <w:rPr>
                      <w:rFonts w:eastAsiaTheme="minorEastAsia"/>
                      <w:color w:val="000000" w:themeColor="text1"/>
                      <w:szCs w:val="21"/>
                      <w:vertAlign w:val="superscript"/>
                    </w:rPr>
                    <w:t>-7</w:t>
                  </w:r>
                  <w:r>
                    <w:rPr>
                      <w:rFonts w:eastAsiaTheme="minorEastAsia"/>
                      <w:color w:val="000000" w:themeColor="text1"/>
                      <w:szCs w:val="21"/>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spacing w:line="360" w:lineRule="exact"/>
                    <w:rPr>
                      <w:rFonts w:eastAsiaTheme="minorEastAsia"/>
                      <w:color w:val="000000" w:themeColor="text1"/>
                      <w:szCs w:val="21"/>
                    </w:rPr>
                  </w:pP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continue"/>
                  <w:vAlign w:val="center"/>
                </w:tcPr>
                <w:p>
                  <w:pPr>
                    <w:pStyle w:val="32"/>
                    <w:spacing w:line="360" w:lineRule="exact"/>
                    <w:rPr>
                      <w:rFonts w:eastAsiaTheme="minorEastAsia"/>
                      <w:color w:val="000000" w:themeColor="text1"/>
                      <w:szCs w:val="21"/>
                    </w:rPr>
                  </w:pPr>
                </w:p>
              </w:tc>
              <w:tc>
                <w:tcPr>
                  <w:tcW w:w="1771" w:type="pct"/>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spacing w:line="360" w:lineRule="exact"/>
                    <w:rPr>
                      <w:rFonts w:eastAsiaTheme="minorEastAsia"/>
                      <w:color w:val="000000" w:themeColor="text1"/>
                      <w:szCs w:val="21"/>
                    </w:rPr>
                  </w:pP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中</w:t>
                  </w: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重金属、持久性有机污染物</w:t>
                  </w:r>
                </w:p>
              </w:tc>
              <w:tc>
                <w:tcPr>
                  <w:tcW w:w="1771" w:type="pct"/>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2"/>
                    <w:spacing w:line="360" w:lineRule="exact"/>
                    <w:rPr>
                      <w:rFonts w:eastAsiaTheme="minorEastAsia"/>
                      <w:color w:val="000000" w:themeColor="text1"/>
                      <w:szCs w:val="21"/>
                    </w:rPr>
                  </w:pP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强</w:t>
                  </w: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continue"/>
                  <w:vAlign w:val="center"/>
                </w:tcPr>
                <w:p>
                  <w:pPr>
                    <w:pStyle w:val="32"/>
                    <w:spacing w:line="360" w:lineRule="exact"/>
                    <w:rPr>
                      <w:rFonts w:eastAsiaTheme="minorEastAsia"/>
                      <w:color w:val="000000" w:themeColor="text1"/>
                      <w:szCs w:val="21"/>
                    </w:rPr>
                  </w:pPr>
                </w:p>
              </w:tc>
              <w:tc>
                <w:tcPr>
                  <w:tcW w:w="1771" w:type="pct"/>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简单防渗区</w:t>
                  </w: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其他类型</w:t>
                  </w:r>
                </w:p>
              </w:tc>
              <w:tc>
                <w:tcPr>
                  <w:tcW w:w="1771" w:type="pc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一般地面硬化</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根据以上分区原则可知，项目分区防渗具体如下：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危险废物贮存间</w:t>
            </w:r>
            <w:r>
              <w:rPr>
                <w:rFonts w:hint="eastAsia" w:ascii="Times New Roman" w:hAnsi="Times New Roman" w:cs="Times New Roman"/>
                <w:color w:val="000000" w:themeColor="text1"/>
                <w:sz w:val="24"/>
                <w:szCs w:val="24"/>
              </w:rPr>
              <w:t>地面和裙墙应采用</w:t>
            </w:r>
            <w:r>
              <w:rPr>
                <w:rFonts w:ascii="Times New Roman" w:hAnsi="Times New Roman" w:cs="Times New Roman"/>
                <w:color w:val="000000" w:themeColor="text1"/>
                <w:sz w:val="24"/>
                <w:szCs w:val="24"/>
              </w:rPr>
              <w:t>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根据分区防渗规范要求，项目脱硫除尘系统、库房、生活污水处理设施区域划定为一般防渗区</w:t>
            </w:r>
            <w:r>
              <w:rPr>
                <w:rFonts w:ascii="Times New Roman" w:hAnsi="Times New Roman" w:cs="Times New Roman"/>
                <w:color w:val="000000" w:themeColor="text1"/>
                <w:sz w:val="24"/>
                <w:szCs w:val="24"/>
              </w:rPr>
              <w:t>，一般防渗区措施在地面采取粘土铺底，并在上层铺30cm的混凝土进行硬化。确保防渗性能</w:t>
            </w:r>
            <w:r>
              <w:rPr>
                <w:rFonts w:hint="eastAsia" w:ascii="Times New Roman" w:hAnsi="Times New Roman" w:cs="Times New Roman"/>
                <w:color w:val="000000" w:themeColor="text1"/>
                <w:sz w:val="24"/>
                <w:szCs w:val="24"/>
              </w:rPr>
              <w:t>，使其渗透系数</w:t>
            </w:r>
            <w:r>
              <w:rPr>
                <w:rFonts w:ascii="Times New Roman" w:hAnsi="Times New Roman" w:cs="Times New Roman"/>
                <w:color w:val="000000" w:themeColor="text1"/>
                <w:sz w:val="24"/>
                <w:szCs w:val="24"/>
              </w:rPr>
              <w:t>≤1.0×10</w:t>
            </w:r>
            <w:r>
              <w:rPr>
                <w:rFonts w:ascii="Times New Roman" w:hAnsi="Times New Roman" w:cs="Times New Roman"/>
                <w:color w:val="000000" w:themeColor="text1"/>
                <w:sz w:val="24"/>
                <w:szCs w:val="24"/>
                <w:vertAlign w:val="superscript"/>
              </w:rPr>
              <w:t>-</w:t>
            </w:r>
            <w:r>
              <w:rPr>
                <w:rFonts w:hint="eastAsia"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w:t>
            </w:r>
            <w:r>
              <w:rPr>
                <w:rFonts w:hint="eastAsia" w:eastAsiaTheme="minorEastAsia"/>
                <w:b/>
                <w:color w:val="000000" w:themeColor="text1"/>
                <w:szCs w:val="24"/>
              </w:rPr>
              <w:t>3</w:t>
            </w:r>
            <w:r>
              <w:rPr>
                <w:rFonts w:eastAsiaTheme="minorEastAsia"/>
                <w:b/>
                <w:color w:val="000000" w:themeColor="text1"/>
                <w:szCs w:val="24"/>
              </w:rPr>
              <w:t>）环境影响跟踪监测计划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①地下水跟踪监测计划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由于项目地下水影响较小，因此本项目不设置</w:t>
            </w:r>
            <w:r>
              <w:rPr>
                <w:rFonts w:ascii="Times New Roman" w:hAnsi="Times New Roman" w:cs="Times New Roman"/>
                <w:color w:val="000000" w:themeColor="text1"/>
                <w:sz w:val="24"/>
                <w:szCs w:val="24"/>
              </w:rPr>
              <w:t>地下水环境影响跟踪监测计划</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②土壤跟踪监测计划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由于项目土壤影响较小，因此本项目不设置土壤</w:t>
            </w:r>
            <w:r>
              <w:rPr>
                <w:rFonts w:ascii="Times New Roman" w:hAnsi="Times New Roman" w:cs="Times New Roman"/>
                <w:color w:val="000000" w:themeColor="text1"/>
                <w:sz w:val="24"/>
                <w:szCs w:val="24"/>
              </w:rPr>
              <w:t>环境影响跟踪监测计划</w:t>
            </w:r>
            <w:r>
              <w:rPr>
                <w:rFonts w:hint="eastAsia" w:ascii="Times New Roman" w:hAnsi="Times New Roman" w:cs="Times New Roman"/>
                <w:color w:val="000000" w:themeColor="text1"/>
                <w:sz w:val="24"/>
                <w:szCs w:val="24"/>
              </w:rPr>
              <w:t>，若项目区周围植被出现生长异常等特殊必要条件下，可在项目区下风向50m范围内的土壤进行跟踪监测。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本项目位于昆明市东川区铜都街道办事处绿茂老村</w:t>
            </w:r>
            <w:r>
              <w:rPr>
                <w:rFonts w:hint="eastAsia" w:ascii="Times New Roman" w:hAnsi="Times New Roman" w:cs="Times New Roman"/>
                <w:color w:val="000000" w:themeColor="text1"/>
                <w:sz w:val="24"/>
                <w:szCs w:val="24"/>
              </w:rPr>
              <w:t>，项目在原有项目厂区范围内进行改扩建，原有项目占地面积23333</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，为满足土地利用总体规划的相关要求，项目占地面积由23333m²缩减至10300m²，不新增占地；项目</w:t>
            </w:r>
            <w:r>
              <w:rPr>
                <w:rFonts w:ascii="Times New Roman" w:hAnsi="Times New Roman" w:cs="Times New Roman"/>
                <w:color w:val="000000" w:themeColor="text1"/>
                <w:sz w:val="24"/>
                <w:szCs w:val="24"/>
              </w:rPr>
              <w:t>不设置生态环境保护目标</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本项目危险废物，其危险特性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8"/>
              <w:gridCol w:w="1081"/>
              <w:gridCol w:w="947"/>
              <w:gridCol w:w="814"/>
              <w:gridCol w:w="1081"/>
              <w:gridCol w:w="1081"/>
              <w:gridCol w:w="2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8" w:type="dxa"/>
                  <w:vAlign w:val="center"/>
                </w:tcPr>
                <w:p>
                  <w:pPr>
                    <w:pStyle w:val="32"/>
                    <w:spacing w:line="360" w:lineRule="exact"/>
                    <w:rPr>
                      <w:color w:val="000000" w:themeColor="text1"/>
                      <w:szCs w:val="21"/>
                    </w:rPr>
                  </w:pPr>
                  <w:r>
                    <w:rPr>
                      <w:color w:val="000000" w:themeColor="text1"/>
                      <w:szCs w:val="21"/>
                    </w:rPr>
                    <w:t>产生环节</w:t>
                  </w:r>
                </w:p>
              </w:tc>
              <w:tc>
                <w:tcPr>
                  <w:tcW w:w="1081" w:type="dxa"/>
                  <w:vAlign w:val="center"/>
                </w:tcPr>
                <w:p>
                  <w:pPr>
                    <w:pStyle w:val="32"/>
                    <w:spacing w:line="360" w:lineRule="exact"/>
                    <w:rPr>
                      <w:color w:val="000000" w:themeColor="text1"/>
                      <w:szCs w:val="21"/>
                    </w:rPr>
                  </w:pPr>
                  <w:r>
                    <w:rPr>
                      <w:color w:val="000000" w:themeColor="text1"/>
                      <w:szCs w:val="21"/>
                    </w:rPr>
                    <w:t>危险物质</w:t>
                  </w:r>
                </w:p>
              </w:tc>
              <w:tc>
                <w:tcPr>
                  <w:tcW w:w="947" w:type="dxa"/>
                  <w:vAlign w:val="center"/>
                </w:tcPr>
                <w:p>
                  <w:pPr>
                    <w:pStyle w:val="32"/>
                    <w:spacing w:line="360" w:lineRule="exact"/>
                    <w:rPr>
                      <w:color w:val="000000" w:themeColor="text1"/>
                      <w:szCs w:val="21"/>
                    </w:rPr>
                  </w:pPr>
                  <w:r>
                    <w:rPr>
                      <w:color w:val="000000" w:themeColor="text1"/>
                      <w:szCs w:val="21"/>
                    </w:rPr>
                    <w:t>年使用/产生量</w:t>
                  </w:r>
                </w:p>
              </w:tc>
              <w:tc>
                <w:tcPr>
                  <w:tcW w:w="81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最大储存量</w:t>
                  </w:r>
                </w:p>
              </w:tc>
              <w:tc>
                <w:tcPr>
                  <w:tcW w:w="1081" w:type="dxa"/>
                  <w:tcBorders>
                    <w:left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临界量</w:t>
                  </w:r>
                </w:p>
              </w:tc>
              <w:tc>
                <w:tcPr>
                  <w:tcW w:w="1081" w:type="dxa"/>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Q值</w:t>
                  </w:r>
                </w:p>
              </w:tc>
              <w:tc>
                <w:tcPr>
                  <w:tcW w:w="2843"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使用</w:t>
                  </w:r>
                </w:p>
              </w:tc>
              <w:tc>
                <w:tcPr>
                  <w:tcW w:w="108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次氯酸钠</w:t>
                  </w:r>
                </w:p>
              </w:tc>
              <w:tc>
                <w:tcPr>
                  <w:tcW w:w="94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0.05</w:t>
                  </w:r>
                  <w:r>
                    <w:rPr>
                      <w:rFonts w:eastAsiaTheme="minorEastAsia"/>
                      <w:color w:val="000000" w:themeColor="text1"/>
                      <w:szCs w:val="21"/>
                    </w:rPr>
                    <w:t>t</w:t>
                  </w:r>
                  <w:r>
                    <w:rPr>
                      <w:rFonts w:hint="eastAsia" w:eastAsiaTheme="minorEastAsia"/>
                      <w:color w:val="000000" w:themeColor="text1"/>
                      <w:szCs w:val="21"/>
                    </w:rPr>
                    <w:t>/a</w:t>
                  </w:r>
                </w:p>
              </w:tc>
              <w:tc>
                <w:tcPr>
                  <w:tcW w:w="814" w:type="dxa"/>
                  <w:tcBorders>
                    <w:right w:val="single" w:color="auto" w:sz="4" w:space="0"/>
                  </w:tcBorders>
                  <w:vAlign w:val="center"/>
                </w:tcPr>
                <w:p>
                  <w:pPr>
                    <w:pStyle w:val="32"/>
                    <w:spacing w:line="360" w:lineRule="exact"/>
                    <w:ind w:left="11"/>
                    <w:rPr>
                      <w:rFonts w:eastAsiaTheme="minorEastAsia"/>
                      <w:color w:val="000000" w:themeColor="text1"/>
                      <w:szCs w:val="21"/>
                    </w:rPr>
                  </w:pPr>
                  <w:r>
                    <w:rPr>
                      <w:rFonts w:hint="eastAsia" w:eastAsiaTheme="minorEastAsia"/>
                      <w:color w:val="000000" w:themeColor="text1"/>
                      <w:szCs w:val="21"/>
                    </w:rPr>
                    <w:t>0.05</w:t>
                  </w:r>
                  <w:r>
                    <w:rPr>
                      <w:rFonts w:eastAsiaTheme="minorEastAsia"/>
                      <w:color w:val="000000" w:themeColor="text1"/>
                      <w:szCs w:val="21"/>
                    </w:rPr>
                    <w:t>t</w:t>
                  </w:r>
                </w:p>
              </w:tc>
              <w:tc>
                <w:tcPr>
                  <w:tcW w:w="1081" w:type="dxa"/>
                  <w:tcBorders>
                    <w:left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5t</w:t>
                  </w:r>
                </w:p>
              </w:tc>
              <w:tc>
                <w:tcPr>
                  <w:tcW w:w="1081" w:type="dxa"/>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0.01</w:t>
                  </w:r>
                </w:p>
              </w:tc>
              <w:tc>
                <w:tcPr>
                  <w:tcW w:w="2843" w:type="dxa"/>
                  <w:vAlign w:val="center"/>
                </w:tcPr>
                <w:p>
                  <w:pPr>
                    <w:pStyle w:val="32"/>
                    <w:spacing w:line="360" w:lineRule="exact"/>
                    <w:ind w:left="11" w:firstLine="210" w:firstLineChars="100"/>
                    <w:jc w:val="both"/>
                    <w:rPr>
                      <w:color w:val="000000" w:themeColor="text1"/>
                    </w:rPr>
                  </w:pPr>
                  <w:r>
                    <w:rPr>
                      <w:rFonts w:hint="eastAsia"/>
                      <w:color w:val="000000" w:themeColor="text1"/>
                    </w:rPr>
                    <w:t>采用</w:t>
                  </w:r>
                  <w:r>
                    <w:rPr>
                      <w:color w:val="000000" w:themeColor="text1"/>
                    </w:rPr>
                    <w:t>袋装</w:t>
                  </w:r>
                  <w:r>
                    <w:rPr>
                      <w:rFonts w:hint="eastAsia"/>
                      <w:color w:val="000000" w:themeColor="text1"/>
                    </w:rPr>
                    <w:t>贮存于办公区内，保持干燥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储存</w:t>
                  </w:r>
                </w:p>
              </w:tc>
              <w:tc>
                <w:tcPr>
                  <w:tcW w:w="108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9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814" w:type="dxa"/>
                  <w:tcBorders>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0.08t/a</w:t>
                  </w:r>
                </w:p>
              </w:tc>
              <w:tc>
                <w:tcPr>
                  <w:tcW w:w="1081" w:type="dxa"/>
                  <w:tcBorders>
                    <w:left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2500t</w:t>
                  </w:r>
                </w:p>
              </w:tc>
              <w:tc>
                <w:tcPr>
                  <w:tcW w:w="1081" w:type="dxa"/>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0.000032</w:t>
                  </w:r>
                </w:p>
              </w:tc>
              <w:tc>
                <w:tcPr>
                  <w:tcW w:w="2843" w:type="dxa"/>
                  <w:vAlign w:val="center"/>
                </w:tcPr>
                <w:p>
                  <w:pPr>
                    <w:pStyle w:val="32"/>
                    <w:spacing w:line="360" w:lineRule="exact"/>
                    <w:ind w:left="11" w:firstLine="210" w:firstLineChars="100"/>
                    <w:jc w:val="both"/>
                    <w:rPr>
                      <w:color w:val="000000" w:themeColor="text1"/>
                    </w:rPr>
                  </w:pPr>
                  <w:r>
                    <w:rPr>
                      <w:rFonts w:hint="eastAsia"/>
                      <w:color w:val="000000" w:themeColor="text1"/>
                    </w:rPr>
                    <w:t>桶装暂存于危险废物贮存间</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表4.2.7-2 危险物质主要成分基本性质一览表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1"/>
              <w:gridCol w:w="1346"/>
              <w:gridCol w:w="1053"/>
              <w:gridCol w:w="1184"/>
              <w:gridCol w:w="37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次氯酸钠</w:t>
                  </w: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05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次氯酸钠</w:t>
                  </w:r>
                </w:p>
              </w:tc>
              <w:tc>
                <w:tcPr>
                  <w:tcW w:w="11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72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05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184"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72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w:t>
                  </w:r>
                  <w:r>
                    <w:rPr>
                      <w:rFonts w:hint="eastAsia" w:ascii="Times New Roman" w:hAnsi="Times New Roman" w:eastAsia="宋体" w:cs="Times New Roman"/>
                      <w:bCs/>
                      <w:snapToGrid w:val="0"/>
                      <w:color w:val="000000" w:themeColor="text1"/>
                      <w:kern w:val="32"/>
                      <w:lang w:val="zh-CN"/>
                    </w:rPr>
                    <w:t>-类别1B，</w:t>
                  </w:r>
                  <w:r>
                    <w:rPr>
                      <w:rFonts w:ascii="Times New Roman" w:hAnsi="Times New Roman" w:eastAsia="宋体" w:cs="Times New Roman"/>
                      <w:bCs/>
                      <w:snapToGrid w:val="0"/>
                      <w:color w:val="000000" w:themeColor="text1"/>
                      <w:kern w:val="32"/>
                      <w:lang w:val="zh-CN"/>
                    </w:rPr>
                    <w:t>严重眼损伤/眼刺激</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类别1</w:t>
                  </w:r>
                  <w:r>
                    <w:rPr>
                      <w:rFonts w:hint="eastAsia" w:ascii="Times New Roman" w:hAnsi="Times New Roman" w:eastAsia="宋体" w:cs="Times New Roman"/>
                      <w:bCs/>
                      <w:snapToGrid w:val="0"/>
                      <w:color w:val="000000" w:themeColor="text1"/>
                      <w:kern w:val="32"/>
                      <w:lang w:val="zh-CN"/>
                    </w:rPr>
                    <w:t>，危害水生环境-急性危害-类别1，危害水生环境-长期危害-类别1，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w:t>
                  </w:r>
                  <w:r>
                    <w:rPr>
                      <w:rFonts w:hint="eastAsia" w:ascii="Times New Roman" w:hAnsi="Times New Roman" w:eastAsia="宋体" w:cs="Times New Roman"/>
                      <w:bCs/>
                      <w:snapToGrid w:val="0"/>
                      <w:color w:val="000000" w:themeColor="text1"/>
                      <w:kern w:val="32"/>
                      <w:lang w:val="zh-CN"/>
                    </w:rPr>
                    <w:t>4</w:t>
                  </w:r>
                  <w:r>
                    <w:rPr>
                      <w:rFonts w:ascii="Times New Roman" w:hAnsi="Times New Roman" w:eastAsia="宋体" w:cs="Times New Roman"/>
                      <w:bCs/>
                      <w:snapToGrid w:val="0"/>
                      <w:color w:val="000000" w:themeColor="text1"/>
                      <w:kern w:val="32"/>
                      <w:lang w:val="zh-CN"/>
                    </w:rPr>
                    <w:t>:造成严重</w:t>
                  </w:r>
                  <w:r>
                    <w:rPr>
                      <w:rFonts w:hint="eastAsia" w:ascii="Times New Roman" w:hAnsi="Times New Roman" w:eastAsia="宋体" w:cs="Times New Roman"/>
                      <w:bCs/>
                      <w:snapToGrid w:val="0"/>
                      <w:color w:val="000000" w:themeColor="text1"/>
                      <w:kern w:val="32"/>
                      <w:lang w:val="zh-CN"/>
                    </w:rPr>
                    <w:t>的皮肤灼伤和眼</w:t>
                  </w:r>
                  <w:r>
                    <w:rPr>
                      <w:rFonts w:ascii="Times New Roman" w:hAnsi="Times New Roman" w:eastAsia="宋体" w:cs="Times New Roman"/>
                      <w:bCs/>
                      <w:snapToGrid w:val="0"/>
                      <w:color w:val="000000" w:themeColor="text1"/>
                      <w:kern w:val="32"/>
                      <w:lang w:val="zh-CN"/>
                    </w:rPr>
                    <w:t>损伤</w:t>
                  </w:r>
                  <w:r>
                    <w:rPr>
                      <w:rFonts w:hint="eastAsia" w:ascii="Times New Roman" w:hAnsi="Times New Roman" w:eastAsia="宋体" w:cs="Times New Roman"/>
                      <w:bCs/>
                      <w:snapToGrid w:val="0"/>
                      <w:color w:val="000000" w:themeColor="text1"/>
                      <w:kern w:val="32"/>
                      <w:lang w:val="zh-CN"/>
                    </w:rPr>
                    <w:t>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理</w:t>
                  </w:r>
                  <w:r>
                    <w:rPr>
                      <w:rFonts w:ascii="Times New Roman" w:hAnsi="Times New Roman" w:eastAsia="宋体" w:cs="Times New Roman"/>
                      <w:bCs/>
                      <w:snapToGrid w:val="0"/>
                      <w:color w:val="000000" w:themeColor="text1"/>
                      <w:kern w:val="32"/>
                      <w:lang w:val="zh-CN"/>
                    </w:rPr>
                    <w:t>化特性：</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w:t>
                  </w:r>
                  <w:r>
                    <w:rPr>
                      <w:rFonts w:hint="eastAsia" w:ascii="Times New Roman" w:hAnsi="Times New Roman" w:eastAsia="宋体" w:cs="Times New Roman"/>
                      <w:bCs/>
                      <w:snapToGrid w:val="0"/>
                      <w:color w:val="000000" w:themeColor="text1"/>
                      <w:kern w:val="32"/>
                      <w:lang w:val="zh-CN"/>
                    </w:rPr>
                    <w:t>，无特殊燃爆特性。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碱</w:t>
                  </w:r>
                  <w:r>
                    <w:rPr>
                      <w:rFonts w:ascii="Times New Roman" w:hAnsi="Times New Roman" w:eastAsia="宋体" w:cs="Times New Roman"/>
                      <w:bCs/>
                      <w:snapToGrid w:val="0"/>
                      <w:color w:val="000000" w:themeColor="text1"/>
                      <w:kern w:val="32"/>
                      <w:lang w:val="zh-CN"/>
                    </w:rPr>
                    <w:t>类</w:t>
                  </w: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LD50：8500mg/kg（大鼠腹腔）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1" w:type="dxa"/>
                  <w:vMerge w:val="restart"/>
                  <w:vAlign w:val="center"/>
                </w:tcPr>
                <w:p>
                  <w:pPr>
                    <w:pStyle w:val="32"/>
                    <w:spacing w:line="360" w:lineRule="exact"/>
                    <w:rPr>
                      <w:color w:val="000000" w:themeColor="text1"/>
                      <w:szCs w:val="21"/>
                    </w:rPr>
                  </w:pPr>
                  <w:r>
                    <w:rPr>
                      <w:color w:val="000000" w:themeColor="text1"/>
                      <w:szCs w:val="21"/>
                    </w:rPr>
                    <w:t>废机油</w:t>
                  </w:r>
                </w:p>
              </w:tc>
              <w:tc>
                <w:tcPr>
                  <w:tcW w:w="1346" w:type="dxa"/>
                </w:tcPr>
                <w:p>
                  <w:pPr>
                    <w:pStyle w:val="32"/>
                    <w:spacing w:line="360" w:lineRule="exact"/>
                    <w:rPr>
                      <w:color w:val="000000" w:themeColor="text1"/>
                      <w:szCs w:val="21"/>
                    </w:rPr>
                  </w:pPr>
                  <w:r>
                    <w:rPr>
                      <w:color w:val="000000" w:themeColor="text1"/>
                      <w:szCs w:val="21"/>
                    </w:rPr>
                    <w:t>废物类别</w:t>
                  </w:r>
                </w:p>
              </w:tc>
              <w:tc>
                <w:tcPr>
                  <w:tcW w:w="5958"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1" w:type="dxa"/>
                  <w:vMerge w:val="continue"/>
                  <w:vAlign w:val="center"/>
                </w:tcPr>
                <w:p>
                  <w:pPr>
                    <w:pStyle w:val="32"/>
                    <w:spacing w:line="360" w:lineRule="exact"/>
                    <w:rPr>
                      <w:color w:val="000000" w:themeColor="text1"/>
                      <w:szCs w:val="21"/>
                    </w:rPr>
                  </w:pPr>
                </w:p>
              </w:tc>
              <w:tc>
                <w:tcPr>
                  <w:tcW w:w="1346" w:type="dxa"/>
                  <w:vAlign w:val="center"/>
                </w:tcPr>
                <w:p>
                  <w:pPr>
                    <w:pStyle w:val="32"/>
                    <w:spacing w:line="360" w:lineRule="exact"/>
                    <w:rPr>
                      <w:color w:val="000000" w:themeColor="text1"/>
                      <w:szCs w:val="21"/>
                    </w:rPr>
                  </w:pPr>
                  <w:r>
                    <w:rPr>
                      <w:color w:val="000000" w:themeColor="text1"/>
                      <w:szCs w:val="21"/>
                    </w:rPr>
                    <w:t>废物代码</w:t>
                  </w:r>
                </w:p>
              </w:tc>
              <w:tc>
                <w:tcPr>
                  <w:tcW w:w="5958"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1" w:type="dxa"/>
                  <w:vMerge w:val="continue"/>
                  <w:vAlign w:val="center"/>
                </w:tcPr>
                <w:p>
                  <w:pPr>
                    <w:pStyle w:val="32"/>
                    <w:spacing w:line="360" w:lineRule="exact"/>
                    <w:rPr>
                      <w:color w:val="000000" w:themeColor="text1"/>
                      <w:szCs w:val="21"/>
                    </w:rPr>
                  </w:pPr>
                </w:p>
              </w:tc>
              <w:tc>
                <w:tcPr>
                  <w:tcW w:w="1346" w:type="dxa"/>
                  <w:vAlign w:val="center"/>
                </w:tcPr>
                <w:p>
                  <w:pPr>
                    <w:pStyle w:val="32"/>
                    <w:spacing w:line="360" w:lineRule="exact"/>
                    <w:rPr>
                      <w:color w:val="000000" w:themeColor="text1"/>
                      <w:szCs w:val="21"/>
                    </w:rPr>
                  </w:pPr>
                  <w:r>
                    <w:rPr>
                      <w:color w:val="000000" w:themeColor="text1"/>
                      <w:szCs w:val="21"/>
                    </w:rPr>
                    <w:t>危险特征</w:t>
                  </w:r>
                </w:p>
              </w:tc>
              <w:tc>
                <w:tcPr>
                  <w:tcW w:w="5958"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1" w:type="dxa"/>
                  <w:vMerge w:val="continue"/>
                  <w:vAlign w:val="center"/>
                </w:tcPr>
                <w:p>
                  <w:pPr>
                    <w:pStyle w:val="32"/>
                    <w:spacing w:line="360" w:lineRule="exact"/>
                    <w:rPr>
                      <w:color w:val="000000" w:themeColor="text1"/>
                      <w:szCs w:val="21"/>
                    </w:rPr>
                  </w:pPr>
                </w:p>
              </w:tc>
              <w:tc>
                <w:tcPr>
                  <w:tcW w:w="1346" w:type="dxa"/>
                  <w:vAlign w:val="center"/>
                </w:tcPr>
                <w:p>
                  <w:pPr>
                    <w:pStyle w:val="32"/>
                    <w:spacing w:line="360" w:lineRule="exact"/>
                    <w:rPr>
                      <w:color w:val="000000" w:themeColor="text1"/>
                      <w:szCs w:val="21"/>
                    </w:rPr>
                  </w:pPr>
                  <w:r>
                    <w:rPr>
                      <w:color w:val="000000" w:themeColor="text1"/>
                      <w:szCs w:val="21"/>
                    </w:rPr>
                    <w:t>危险特性</w:t>
                  </w:r>
                </w:p>
              </w:tc>
              <w:tc>
                <w:tcPr>
                  <w:tcW w:w="5958"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40"/>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本项目危险物质在存储及运输过程中泄露对地下水和土壤造成影响。影响途经具体如下：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w:t>
            </w:r>
            <w:r>
              <w:rPr>
                <w:rFonts w:hint="eastAsia" w:ascii="Times New Roman" w:hAnsi="Times New Roman" w:cs="Times New Roman"/>
                <w:color w:val="000000" w:themeColor="text1"/>
                <w:sz w:val="24"/>
                <w:szCs w:val="24"/>
              </w:rPr>
              <w:t>次氯酸钠发生泄漏对人或水生生物造成影响。</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本项目废机油在存储及运输过程中泄露的环境风险。</w:t>
            </w:r>
          </w:p>
          <w:p>
            <w:pPr>
              <w:pStyle w:val="40"/>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根据本项目环境影响途经，提出以下风险防范措施：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bookmarkStart w:id="13" w:name="_Toc76139457"/>
            <w:bookmarkStart w:id="14" w:name="_Toc56427845"/>
            <w:bookmarkStart w:id="15" w:name="_Toc57516383"/>
            <w:bookmarkStart w:id="16" w:name="_Toc115259923"/>
            <w:bookmarkStart w:id="17" w:name="_Toc57516232"/>
            <w:bookmarkStart w:id="18" w:name="_Toc82857308"/>
            <w:bookmarkStart w:id="19" w:name="_Toc114997846"/>
            <w:bookmarkStart w:id="20" w:name="_Toc67822189"/>
            <w:bookmarkStart w:id="21" w:name="_Toc116622310"/>
            <w:bookmarkStart w:id="22" w:name="_Toc88466811"/>
            <w:r>
              <w:rPr>
                <w:rFonts w:ascii="Times New Roman" w:hAnsi="Times New Roman" w:cs="Times New Roman"/>
                <w:color w:val="000000" w:themeColor="text1"/>
                <w:sz w:val="24"/>
                <w:szCs w:val="24"/>
              </w:rPr>
              <w:t>①危废废物应储存于规范的危险废物贮存间；危险废物贮存间</w:t>
            </w:r>
            <w:r>
              <w:rPr>
                <w:rFonts w:hint="eastAsia" w:ascii="Times New Roman" w:hAnsi="Times New Roman" w:cs="Times New Roman"/>
                <w:color w:val="000000" w:themeColor="text1"/>
                <w:sz w:val="24"/>
                <w:szCs w:val="24"/>
              </w:rPr>
              <w:t>地面和裙墙应采用</w:t>
            </w:r>
            <w:r>
              <w:rPr>
                <w:rFonts w:ascii="Times New Roman" w:hAnsi="Times New Roman" w:cs="Times New Roman"/>
                <w:color w:val="000000" w:themeColor="text1"/>
                <w:sz w:val="24"/>
                <w:szCs w:val="24"/>
              </w:rPr>
              <w:t>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r>
              <w:rPr>
                <w:rFonts w:hint="eastAsia" w:ascii="Times New Roman" w:hAnsi="Times New Roman" w:cs="Times New Roman"/>
                <w:color w:val="000000" w:themeColor="text1"/>
                <w:sz w:val="24"/>
                <w:szCs w:val="24"/>
              </w:rPr>
              <w:t>危险废物</w:t>
            </w:r>
            <w:r>
              <w:rPr>
                <w:rFonts w:ascii="Times New Roman" w:hAnsi="Times New Roman" w:cs="Times New Roman"/>
                <w:color w:val="000000" w:themeColor="text1"/>
                <w:sz w:val="24"/>
                <w:szCs w:val="24"/>
              </w:rPr>
              <w:t>入库时，严格检验物品质量、数量、包装情况、有无泄漏。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③项目区配备相应品种的消防器材</w:t>
            </w:r>
            <w:r>
              <w:rPr>
                <w:rFonts w:hint="eastAsia" w:ascii="Times New Roman" w:hAnsi="Times New Roman" w:cs="Times New Roman"/>
                <w:color w:val="000000" w:themeColor="text1"/>
                <w:sz w:val="24"/>
                <w:szCs w:val="24"/>
              </w:rPr>
              <w:t>。</w:t>
            </w:r>
            <w:bookmarkEnd w:id="13"/>
            <w:bookmarkEnd w:id="14"/>
            <w:bookmarkEnd w:id="15"/>
            <w:bookmarkEnd w:id="16"/>
            <w:bookmarkEnd w:id="17"/>
            <w:bookmarkEnd w:id="18"/>
            <w:bookmarkEnd w:id="19"/>
            <w:bookmarkEnd w:id="20"/>
            <w:bookmarkEnd w:id="21"/>
            <w:bookmarkEnd w:id="22"/>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④脱硫设施</w:t>
            </w:r>
            <w:r>
              <w:rPr>
                <w:rFonts w:ascii="Times New Roman" w:hAnsi="Times New Roman" w:cs="Times New Roman"/>
                <w:color w:val="000000" w:themeColor="text1"/>
                <w:sz w:val="24"/>
                <w:szCs w:val="24"/>
              </w:rPr>
              <w:t>配备有专业知识的技术人员，</w:t>
            </w:r>
            <w:r>
              <w:rPr>
                <w:rFonts w:hint="eastAsia" w:ascii="Times New Roman" w:hAnsi="Times New Roman" w:cs="Times New Roman"/>
                <w:color w:val="000000" w:themeColor="text1"/>
                <w:sz w:val="24"/>
                <w:szCs w:val="24"/>
              </w:rPr>
              <w:t>库房</w:t>
            </w:r>
            <w:r>
              <w:rPr>
                <w:rFonts w:ascii="Times New Roman" w:hAnsi="Times New Roman" w:cs="Times New Roman"/>
                <w:color w:val="000000" w:themeColor="text1"/>
                <w:sz w:val="24"/>
                <w:szCs w:val="24"/>
              </w:rPr>
              <w:t>及场所应设专人管理，管理人员必须配备可靠的个人安全防护用品。</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⑤次氯酸钠</w:t>
            </w:r>
            <w:r>
              <w:rPr>
                <w:rFonts w:ascii="Times New Roman" w:hAnsi="Times New Roman" w:cs="Times New Roman"/>
                <w:color w:val="000000" w:themeColor="text1"/>
                <w:sz w:val="24"/>
                <w:szCs w:val="24"/>
              </w:rPr>
              <w:t>入库时，严格检验物品质量、数量、包装情况、有无泄漏。入库后应采取适当的养护措施，在贮存期内，定期检查，发现其品质变化、包装破损、渗漏等，应及时处理。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⑥库房</w:t>
            </w:r>
            <w:r>
              <w:rPr>
                <w:rFonts w:ascii="Times New Roman" w:hAnsi="Times New Roman" w:cs="Times New Roman"/>
                <w:color w:val="000000" w:themeColor="text1"/>
                <w:sz w:val="24"/>
                <w:szCs w:val="24"/>
              </w:rPr>
              <w:t>湿度应严格控制、经常检查，发现变化及时调整。</w:t>
            </w:r>
          </w:p>
          <w:p>
            <w:pPr>
              <w:pStyle w:val="40"/>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本项目涉及到的危险物质主要有</w:t>
            </w:r>
            <w:r>
              <w:rPr>
                <w:rFonts w:hint="eastAsia" w:ascii="Times New Roman" w:hAnsi="Times New Roman" w:cs="Times New Roman"/>
                <w:color w:val="000000" w:themeColor="text1"/>
                <w:sz w:val="24"/>
                <w:szCs w:val="24"/>
              </w:rPr>
              <w:t>次氯酸钠和</w:t>
            </w:r>
            <w:r>
              <w:rPr>
                <w:rFonts w:ascii="Times New Roman" w:hAnsi="Times New Roman" w:cs="Times New Roman"/>
                <w:color w:val="000000" w:themeColor="text1"/>
                <w:sz w:val="24"/>
                <w:szCs w:val="24"/>
              </w:rPr>
              <w:t>废机油等，在采取严格的防护措施后，事故发生概率较小，环境风险可接受。</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4.3 “</w:t>
            </w:r>
            <w:r>
              <w:rPr>
                <w:rFonts w:ascii="Times New Roman" w:hAnsi="Times New Roman" w:cs="Times New Roman"/>
                <w:b/>
                <w:color w:val="000000" w:themeColor="text1"/>
                <w:sz w:val="24"/>
                <w:szCs w:val="24"/>
              </w:rPr>
              <w:t>三本帐</w:t>
            </w:r>
            <w:r>
              <w:rPr>
                <w:rFonts w:hint="eastAsia" w:ascii="Times New Roman" w:hAnsi="Times New Roman" w:cs="Times New Roman"/>
                <w:b/>
                <w:color w:val="000000" w:themeColor="text1"/>
                <w:sz w:val="24"/>
                <w:szCs w:val="24"/>
              </w:rPr>
              <w:t>”及“</w:t>
            </w:r>
            <w:r>
              <w:rPr>
                <w:rFonts w:ascii="Times New Roman" w:hAnsi="Times New Roman" w:cs="Times New Roman"/>
                <w:b/>
                <w:color w:val="000000" w:themeColor="text1"/>
                <w:sz w:val="24"/>
                <w:szCs w:val="24"/>
              </w:rPr>
              <w:t>以新带老</w:t>
            </w:r>
            <w:r>
              <w:rPr>
                <w:rFonts w:hint="eastAsia"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措施</w:t>
            </w:r>
          </w:p>
          <w:p>
            <w:pPr>
              <w:pStyle w:val="40"/>
              <w:ind w:firstLine="482"/>
              <w:rPr>
                <w:rFonts w:eastAsiaTheme="minorEastAsia"/>
                <w:b/>
                <w:color w:val="000000" w:themeColor="text1"/>
                <w:szCs w:val="24"/>
              </w:rPr>
            </w:pPr>
            <w:r>
              <w:rPr>
                <w:rFonts w:hint="eastAsia" w:eastAsiaTheme="minorEastAsia"/>
                <w:b/>
                <w:color w:val="000000" w:themeColor="text1"/>
                <w:szCs w:val="24"/>
              </w:rPr>
              <w:t>4.3.1 “</w:t>
            </w:r>
            <w:r>
              <w:rPr>
                <w:rFonts w:eastAsiaTheme="minorEastAsia"/>
                <w:b/>
                <w:color w:val="000000" w:themeColor="text1"/>
                <w:szCs w:val="24"/>
              </w:rPr>
              <w:t>三本帐</w:t>
            </w:r>
            <w:r>
              <w:rPr>
                <w:rFonts w:hint="eastAsia" w:eastAsiaTheme="minorEastAsia"/>
                <w:b/>
                <w:color w:val="000000" w:themeColor="text1"/>
                <w:szCs w:val="24"/>
              </w:rPr>
              <w:t>”核算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根据环评对原有项目和改扩建项目的分析，</w:t>
            </w:r>
            <w:r>
              <w:rPr>
                <w:rFonts w:ascii="Times New Roman" w:hAnsi="Times New Roman" w:cs="Times New Roman"/>
                <w:color w:val="000000" w:themeColor="text1"/>
                <w:sz w:val="24"/>
                <w:szCs w:val="24"/>
              </w:rPr>
              <w:t xml:space="preserve"> 本项目“三本账”核算表见下表：</w:t>
            </w:r>
          </w:p>
          <w:p>
            <w:pPr>
              <w:pStyle w:val="16"/>
              <w:spacing w:after="0"/>
              <w:ind w:left="0" w:leftChars="0"/>
              <w:jc w:val="center"/>
              <w:rPr>
                <w:b/>
                <w:color w:val="000000" w:themeColor="text1"/>
                <w:sz w:val="21"/>
                <w:szCs w:val="21"/>
              </w:rPr>
            </w:pPr>
            <w:r>
              <w:rPr>
                <w:b/>
                <w:color w:val="000000" w:themeColor="text1"/>
                <w:sz w:val="21"/>
                <w:szCs w:val="21"/>
              </w:rPr>
              <w:t>表4.3.</w:t>
            </w:r>
            <w:r>
              <w:rPr>
                <w:rFonts w:hint="eastAsia"/>
                <w:b/>
                <w:color w:val="000000" w:themeColor="text1"/>
                <w:sz w:val="21"/>
                <w:szCs w:val="21"/>
              </w:rPr>
              <w:t>1-1</w:t>
            </w:r>
            <w:r>
              <w:rPr>
                <w:b/>
                <w:color w:val="000000" w:themeColor="text1"/>
                <w:sz w:val="21"/>
                <w:szCs w:val="21"/>
              </w:rPr>
              <w:t xml:space="preserve">  技改项目完成后“三本帐”核算表（t/a）</w:t>
            </w:r>
          </w:p>
          <w:tbl>
            <w:tblPr>
              <w:tblStyle w:val="20"/>
              <w:tblW w:w="8595" w:type="dxa"/>
              <w:jc w:val="center"/>
              <w:tblLayout w:type="fixed"/>
              <w:tblCellMar>
                <w:top w:w="0" w:type="dxa"/>
                <w:left w:w="108" w:type="dxa"/>
                <w:bottom w:w="0" w:type="dxa"/>
                <w:right w:w="108" w:type="dxa"/>
              </w:tblCellMar>
            </w:tblPr>
            <w:tblGrid>
              <w:gridCol w:w="489"/>
              <w:gridCol w:w="566"/>
              <w:gridCol w:w="1072"/>
              <w:gridCol w:w="850"/>
              <w:gridCol w:w="993"/>
              <w:gridCol w:w="992"/>
              <w:gridCol w:w="992"/>
              <w:gridCol w:w="854"/>
              <w:gridCol w:w="902"/>
              <w:gridCol w:w="885"/>
            </w:tblGrid>
            <w:tr>
              <w:trPr>
                <w:trHeight w:val="300" w:hRule="atLeast"/>
                <w:jc w:val="center"/>
              </w:trPr>
              <w:tc>
                <w:tcPr>
                  <w:tcW w:w="48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分类</w:t>
                  </w:r>
                </w:p>
              </w:tc>
              <w:tc>
                <w:tcPr>
                  <w:tcW w:w="163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污染物</w:t>
                  </w:r>
                </w:p>
              </w:tc>
              <w:tc>
                <w:tcPr>
                  <w:tcW w:w="85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现有排放量</w:t>
                  </w:r>
                </w:p>
              </w:tc>
              <w:tc>
                <w:tcPr>
                  <w:tcW w:w="2977" w:type="dxa"/>
                  <w:gridSpan w:val="3"/>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本次建设项目</w:t>
                  </w:r>
                </w:p>
              </w:tc>
              <w:tc>
                <w:tcPr>
                  <w:tcW w:w="854"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rPr>
                    <w:t>“以新带老”消减量</w:t>
                  </w:r>
                </w:p>
              </w:tc>
              <w:tc>
                <w:tcPr>
                  <w:tcW w:w="902"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总排放量</w:t>
                  </w:r>
                </w:p>
              </w:tc>
              <w:tc>
                <w:tcPr>
                  <w:tcW w:w="88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排放增减量</w:t>
                  </w:r>
                </w:p>
              </w:tc>
            </w:tr>
            <w:tr>
              <w:tblPrEx>
                <w:tblCellMar>
                  <w:top w:w="0" w:type="dxa"/>
                  <w:left w:w="108" w:type="dxa"/>
                  <w:bottom w:w="0" w:type="dxa"/>
                  <w:right w:w="108" w:type="dxa"/>
                </w:tblCellMar>
              </w:tblPrEx>
              <w:trPr>
                <w:trHeight w:val="588" w:hRule="atLeast"/>
                <w:jc w:val="center"/>
              </w:trPr>
              <w:tc>
                <w:tcPr>
                  <w:tcW w:w="48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638" w:type="dxa"/>
                  <w:gridSpan w:val="2"/>
                  <w:vMerge w:val="continue"/>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color w:val="000000" w:themeColor="text1"/>
                      <w:szCs w:val="21"/>
                      <w:lang w:val="en-US"/>
                    </w:rPr>
                  </w:pPr>
                </w:p>
              </w:tc>
              <w:tc>
                <w:tcPr>
                  <w:tcW w:w="850"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产生量</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自身削减量</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排放量</w:t>
                  </w:r>
                </w:p>
              </w:tc>
              <w:tc>
                <w:tcPr>
                  <w:tcW w:w="854" w:type="dxa"/>
                  <w:vMerge w:val="continue"/>
                  <w:tcBorders>
                    <w:top w:val="single" w:color="auto" w:sz="8" w:space="0"/>
                    <w:left w:val="single" w:color="auto" w:sz="8" w:space="0"/>
                    <w:bottom w:val="single" w:color="000000" w:sz="8" w:space="0"/>
                    <w:right w:val="single" w:color="auto" w:sz="4" w:space="0"/>
                  </w:tcBorders>
                  <w:vAlign w:val="center"/>
                </w:tcPr>
                <w:p>
                  <w:pPr>
                    <w:pStyle w:val="32"/>
                    <w:spacing w:line="360" w:lineRule="exact"/>
                    <w:rPr>
                      <w:color w:val="000000" w:themeColor="text1"/>
                      <w:szCs w:val="21"/>
                      <w:lang w:val="en-US"/>
                    </w:rPr>
                  </w:pPr>
                </w:p>
              </w:tc>
              <w:tc>
                <w:tcPr>
                  <w:tcW w:w="902" w:type="dxa"/>
                  <w:vMerge w:val="continue"/>
                  <w:tcBorders>
                    <w:top w:val="single" w:color="auto" w:sz="8" w:space="0"/>
                    <w:left w:val="single" w:color="auto" w:sz="4"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885"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r>
            <w:tr>
              <w:tblPrEx>
                <w:tblCellMar>
                  <w:top w:w="0" w:type="dxa"/>
                  <w:left w:w="108" w:type="dxa"/>
                  <w:bottom w:w="0" w:type="dxa"/>
                  <w:right w:w="108" w:type="dxa"/>
                </w:tblCellMar>
              </w:tblPrEx>
              <w:trPr>
                <w:trHeight w:val="300" w:hRule="atLeast"/>
                <w:jc w:val="center"/>
              </w:trPr>
              <w:tc>
                <w:tcPr>
                  <w:tcW w:w="489" w:type="dxa"/>
                  <w:vMerge w:val="restart"/>
                  <w:tcBorders>
                    <w:top w:val="nil"/>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废气</w:t>
                  </w: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扬粉尘（颗粒物）</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50.44</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58.32</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45.06</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13.26</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50.44</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13.26</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-37.18</w:t>
                  </w:r>
                </w:p>
              </w:tc>
            </w:tr>
            <w:tr>
              <w:tblPrEx>
                <w:tblCellMar>
                  <w:top w:w="0" w:type="dxa"/>
                  <w:left w:w="108" w:type="dxa"/>
                  <w:bottom w:w="0" w:type="dxa"/>
                  <w:right w:w="108" w:type="dxa"/>
                </w:tblCellMar>
              </w:tblPrEx>
              <w:trPr>
                <w:trHeight w:val="300"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烟尘（颗粒物）</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28.38</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33.11</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28.14</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4.97</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28.38</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4.97</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-23.41</w:t>
                  </w:r>
                </w:p>
              </w:tc>
            </w:tr>
            <w:tr>
              <w:tblPrEx>
                <w:tblCellMar>
                  <w:top w:w="0" w:type="dxa"/>
                  <w:left w:w="108" w:type="dxa"/>
                  <w:bottom w:w="0" w:type="dxa"/>
                  <w:right w:w="108" w:type="dxa"/>
                </w:tblCellMar>
              </w:tblPrEx>
              <w:trPr>
                <w:trHeight w:val="324"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SO</w:t>
                  </w:r>
                  <w:r>
                    <w:rPr>
                      <w:color w:val="000000" w:themeColor="text1"/>
                      <w:szCs w:val="21"/>
                      <w:vertAlign w:val="subscript"/>
                      <w:lang w:val="en-US"/>
                    </w:rPr>
                    <w:t>2</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88.8</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103.6</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93.24</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10.36</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88.8</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10.36</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-78.44</w:t>
                  </w:r>
                </w:p>
              </w:tc>
            </w:tr>
            <w:tr>
              <w:tblPrEx>
                <w:tblCellMar>
                  <w:top w:w="0" w:type="dxa"/>
                  <w:left w:w="108" w:type="dxa"/>
                  <w:bottom w:w="0" w:type="dxa"/>
                  <w:right w:w="108" w:type="dxa"/>
                </w:tblCellMar>
              </w:tblPrEx>
              <w:trPr>
                <w:trHeight w:val="300"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NOx</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9.96</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11.62</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11.62</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9.96</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11.62</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1.66</w:t>
                  </w:r>
                </w:p>
              </w:tc>
            </w:tr>
            <w:tr>
              <w:tblPrEx>
                <w:tblCellMar>
                  <w:top w:w="0" w:type="dxa"/>
                  <w:left w:w="108" w:type="dxa"/>
                  <w:bottom w:w="0" w:type="dxa"/>
                  <w:right w:w="108" w:type="dxa"/>
                </w:tblCellMar>
              </w:tblPrEx>
              <w:trPr>
                <w:trHeight w:val="300"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氟化物</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1.47</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1.71</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1.2</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0.51</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1.47</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0.51</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-0.96</w:t>
                  </w:r>
                </w:p>
              </w:tc>
            </w:tr>
            <w:tr>
              <w:tblPrEx>
                <w:tblCellMar>
                  <w:top w:w="0" w:type="dxa"/>
                  <w:left w:w="108" w:type="dxa"/>
                  <w:bottom w:w="0" w:type="dxa"/>
                  <w:right w:w="108" w:type="dxa"/>
                </w:tblCellMar>
              </w:tblPrEx>
              <w:trPr>
                <w:trHeight w:val="300"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厨房油烟</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1.44kg/a</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1.44kg/a</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restart"/>
                  <w:tcBorders>
                    <w:top w:val="nil"/>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废水</w:t>
                  </w: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脱硫废水</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6000m³/a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6000m³/a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566" w:type="dxa"/>
                  <w:vMerge w:val="restart"/>
                  <w:tcBorders>
                    <w:top w:val="nil"/>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生活污水</w:t>
                  </w: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废水量</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384</w:t>
                  </w:r>
                  <w:r>
                    <w:rPr>
                      <w:color w:val="000000" w:themeColor="text1"/>
                      <w:szCs w:val="21"/>
                      <w:lang w:val="en-US"/>
                    </w:rPr>
                    <w:t>m³/a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384</w:t>
                  </w:r>
                  <w:r>
                    <w:rPr>
                      <w:color w:val="000000" w:themeColor="text1"/>
                      <w:szCs w:val="21"/>
                      <w:lang w:val="en-US"/>
                    </w:rPr>
                    <w:t>m³/a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566"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pH</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566"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CODcr</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0.13</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0.13</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36"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566"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BOD</w:t>
                  </w:r>
                  <w:r>
                    <w:rPr>
                      <w:color w:val="000000" w:themeColor="text1"/>
                      <w:szCs w:val="21"/>
                      <w:vertAlign w:val="subscript"/>
                      <w:lang w:val="en-US"/>
                    </w:rPr>
                    <w:t>5</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0.08</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0.08</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36"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566"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NH</w:t>
                  </w:r>
                  <w:r>
                    <w:rPr>
                      <w:color w:val="000000" w:themeColor="text1"/>
                      <w:szCs w:val="21"/>
                      <w:vertAlign w:val="subscript"/>
                      <w:lang w:val="en-US"/>
                    </w:rPr>
                    <w:t>3</w:t>
                  </w:r>
                  <w:r>
                    <w:rPr>
                      <w:color w:val="000000" w:themeColor="text1"/>
                      <w:szCs w:val="21"/>
                      <w:lang w:val="en-US"/>
                    </w:rPr>
                    <w:t>-N</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0.01</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0.01</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566"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SS</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0.12</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0.12</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566"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总磷</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0.003</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0.003</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566"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总氮</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0.02</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0.02</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566"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动植物油</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0.04</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0.04</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588"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566"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阴离子表面活性剂</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0.01</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0.01</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543"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566"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07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粪大肠菌群数（</w:t>
                  </w:r>
                  <w:r>
                    <w:rPr>
                      <w:color w:val="000000" w:themeColor="text1"/>
                      <w:szCs w:val="21"/>
                      <w:lang w:val="en-US"/>
                    </w:rPr>
                    <w:t>MPN/L</w:t>
                  </w:r>
                  <w:r>
                    <w:rPr>
                      <w:rFonts w:hint="eastAsia"/>
                      <w:color w:val="000000" w:themeColor="text1"/>
                      <w:szCs w:val="21"/>
                      <w:lang w:val="en-US"/>
                    </w:rPr>
                    <w:t>）</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restart"/>
                  <w:tcBorders>
                    <w:top w:val="nil"/>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固废</w:t>
                  </w: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废砖坯及边角料</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13.5</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13.5</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不合格的烧结砖</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280</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280</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点火时产生的炉渣</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226kg/a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226kg/a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脉冲布袋除尘器收集粉尘</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7.6</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7.6</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脱硫除尘固废</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767.95</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767.95</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废机油</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80kg/a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80kg/a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废弃沾油抹布</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10kg/a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10kg/a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生活垃圾</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6.6</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6.6</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餐厨废物</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1.5</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1.5</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隔油池浮油</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30kg/a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30kg/a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CellMar>
                  <w:top w:w="0" w:type="dxa"/>
                  <w:left w:w="108" w:type="dxa"/>
                  <w:bottom w:w="0" w:type="dxa"/>
                  <w:right w:w="108" w:type="dxa"/>
                </w:tblCellMar>
              </w:tblPrEx>
              <w:trPr>
                <w:trHeight w:val="300" w:hRule="atLeast"/>
                <w:jc w:val="center"/>
              </w:trPr>
              <w:tc>
                <w:tcPr>
                  <w:tcW w:w="489" w:type="dxa"/>
                  <w:vMerge w:val="continue"/>
                  <w:tcBorders>
                    <w:left w:val="single" w:color="auto" w:sz="8"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3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污水处理设施污泥</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0</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r>
                    <w:rPr>
                      <w:rFonts w:hint="eastAsia"/>
                      <w:color w:val="000000" w:themeColor="text1"/>
                      <w:szCs w:val="21"/>
                      <w:lang w:val="en-US"/>
                    </w:rPr>
                    <w:t>19</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r>
                    <w:rPr>
                      <w:rFonts w:hint="eastAsia"/>
                      <w:color w:val="000000" w:themeColor="text1"/>
                      <w:szCs w:val="21"/>
                      <w:lang w:val="en-US"/>
                    </w:rPr>
                    <w:t>19</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0</w:t>
                  </w:r>
                </w:p>
              </w:tc>
              <w:tc>
                <w:tcPr>
                  <w:tcW w:w="85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0</w:t>
                  </w:r>
                </w:p>
              </w:tc>
              <w:tc>
                <w:tcPr>
                  <w:tcW w:w="902"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0</w:t>
                  </w:r>
                </w:p>
              </w:tc>
              <w:tc>
                <w:tcPr>
                  <w:tcW w:w="88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0</w:t>
                  </w:r>
                </w:p>
              </w:tc>
            </w:tr>
          </w:tbl>
          <w:p>
            <w:pPr>
              <w:pStyle w:val="40"/>
              <w:spacing w:beforeLines="50"/>
              <w:ind w:firstLine="482"/>
              <w:rPr>
                <w:b/>
                <w:color w:val="000000" w:themeColor="text1"/>
                <w:szCs w:val="21"/>
              </w:rPr>
            </w:pPr>
            <w:r>
              <w:rPr>
                <w:rFonts w:hint="eastAsia" w:eastAsiaTheme="minorEastAsia"/>
                <w:b/>
                <w:color w:val="000000" w:themeColor="text1"/>
                <w:szCs w:val="24"/>
              </w:rPr>
              <w:t xml:space="preserve">4.3.2 </w:t>
            </w:r>
            <w:r>
              <w:rPr>
                <w:rFonts w:eastAsiaTheme="minorEastAsia"/>
                <w:b/>
                <w:color w:val="000000" w:themeColor="text1"/>
                <w:szCs w:val="24"/>
              </w:rPr>
              <w:t>“以新带老”措施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根据项目的特点，原有项目各环保手续齐全，污染物达标排放。原有项目已拆除。因此本环评不再提出</w:t>
            </w:r>
            <w:r>
              <w:rPr>
                <w:rFonts w:ascii="Times New Roman" w:hAnsi="Times New Roman" w:cs="Times New Roman"/>
                <w:color w:val="000000" w:themeColor="text1"/>
                <w:sz w:val="24"/>
                <w:szCs w:val="24"/>
              </w:rPr>
              <w:t>“以新带老”措施</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bookmarkStart w:id="23" w:name="_Toc72228649"/>
            <w:r>
              <w:rPr>
                <w:rFonts w:ascii="Times New Roman" w:hAnsi="Times New Roman" w:cs="Times New Roman"/>
                <w:b/>
                <w:color w:val="000000" w:themeColor="text1"/>
                <w:sz w:val="24"/>
                <w:szCs w:val="24"/>
              </w:rPr>
              <w:t>4.</w:t>
            </w:r>
            <w:r>
              <w:rPr>
                <w:rFonts w:hint="eastAsia"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环保投资估算</w:t>
            </w:r>
            <w:bookmarkEnd w:id="23"/>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项目总投资3143.87万元，其中基建环保投资为100.21万元，占总投资的3.19%。年环保投资运行费用约为</w:t>
            </w:r>
            <w:r>
              <w:rPr>
                <w:rFonts w:hint="eastAsia" w:ascii="Times New Roman" w:hAnsi="Times New Roman" w:cs="Times New Roman"/>
                <w:color w:val="000000" w:themeColor="text1"/>
                <w:sz w:val="24"/>
                <w:szCs w:val="24"/>
              </w:rPr>
              <w:t>18.3</w:t>
            </w:r>
            <w:r>
              <w:rPr>
                <w:rFonts w:ascii="Times New Roman" w:hAnsi="Times New Roman" w:cs="Times New Roman"/>
                <w:color w:val="000000" w:themeColor="text1"/>
                <w:sz w:val="24"/>
                <w:szCs w:val="24"/>
              </w:rPr>
              <w:t>万元，项目拟采取措施的具体内容、责任主体、实施时段及环境保护投入资金如下表所示。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w:t>
            </w:r>
            <w:r>
              <w:rPr>
                <w:rFonts w:hint="eastAsia" w:hAnsi="Times New Roman" w:eastAsiaTheme="minorEastAsia"/>
                <w:color w:val="000000" w:themeColor="text1"/>
                <w:sz w:val="21"/>
                <w:szCs w:val="21"/>
              </w:rPr>
              <w:t>4</w:t>
            </w:r>
            <w:r>
              <w:rPr>
                <w:rFonts w:hAnsi="Times New Roman" w:eastAsiaTheme="minorEastAsia"/>
                <w:color w:val="000000" w:themeColor="text1"/>
                <w:sz w:val="21"/>
                <w:szCs w:val="21"/>
              </w:rPr>
              <w:t>-1  项目环保投资一览表 单位：万元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567"/>
              <w:gridCol w:w="39"/>
              <w:gridCol w:w="669"/>
              <w:gridCol w:w="1418"/>
              <w:gridCol w:w="2551"/>
              <w:gridCol w:w="8"/>
              <w:gridCol w:w="701"/>
              <w:gridCol w:w="142"/>
              <w:gridCol w:w="567"/>
              <w:gridCol w:w="78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restart"/>
                  <w:vAlign w:val="center"/>
                </w:tcPr>
                <w:p>
                  <w:pPr>
                    <w:pStyle w:val="32"/>
                    <w:spacing w:line="360" w:lineRule="exact"/>
                    <w:rPr>
                      <w:color w:val="000000" w:themeColor="text1"/>
                      <w:szCs w:val="21"/>
                    </w:rPr>
                  </w:pPr>
                  <w:r>
                    <w:rPr>
                      <w:color w:val="000000" w:themeColor="text1"/>
                      <w:szCs w:val="21"/>
                    </w:rPr>
                    <w:t>时期</w:t>
                  </w:r>
                </w:p>
              </w:tc>
              <w:tc>
                <w:tcPr>
                  <w:tcW w:w="1275" w:type="dxa"/>
                  <w:gridSpan w:val="3"/>
                  <w:vMerge w:val="restart"/>
                  <w:vAlign w:val="center"/>
                </w:tcPr>
                <w:p>
                  <w:pPr>
                    <w:pStyle w:val="32"/>
                    <w:spacing w:line="360" w:lineRule="exact"/>
                    <w:rPr>
                      <w:color w:val="000000" w:themeColor="text1"/>
                      <w:szCs w:val="21"/>
                    </w:rPr>
                  </w:pPr>
                  <w:r>
                    <w:rPr>
                      <w:color w:val="000000" w:themeColor="text1"/>
                      <w:szCs w:val="21"/>
                    </w:rPr>
                    <w:t>类型</w:t>
                  </w:r>
                </w:p>
              </w:tc>
              <w:tc>
                <w:tcPr>
                  <w:tcW w:w="3969" w:type="dxa"/>
                  <w:gridSpan w:val="2"/>
                  <w:vAlign w:val="center"/>
                </w:tcPr>
                <w:p>
                  <w:pPr>
                    <w:pStyle w:val="32"/>
                    <w:spacing w:line="360" w:lineRule="exact"/>
                    <w:rPr>
                      <w:color w:val="000000" w:themeColor="text1"/>
                      <w:szCs w:val="21"/>
                    </w:rPr>
                  </w:pPr>
                  <w:r>
                    <w:rPr>
                      <w:color w:val="000000" w:themeColor="text1"/>
                      <w:szCs w:val="21"/>
                    </w:rPr>
                    <w:t>环保措施</w:t>
                  </w:r>
                </w:p>
              </w:tc>
              <w:tc>
                <w:tcPr>
                  <w:tcW w:w="1418" w:type="dxa"/>
                  <w:gridSpan w:val="4"/>
                  <w:vAlign w:val="center"/>
                </w:tcPr>
                <w:p>
                  <w:pPr>
                    <w:pStyle w:val="32"/>
                    <w:spacing w:line="360" w:lineRule="exact"/>
                    <w:rPr>
                      <w:color w:val="000000" w:themeColor="text1"/>
                      <w:szCs w:val="21"/>
                    </w:rPr>
                  </w:pPr>
                  <w:r>
                    <w:rPr>
                      <w:color w:val="000000" w:themeColor="text1"/>
                      <w:szCs w:val="21"/>
                    </w:rPr>
                    <w:t>建设期资金投入量（万元）</w:t>
                  </w:r>
                </w:p>
              </w:tc>
              <w:tc>
                <w:tcPr>
                  <w:tcW w:w="1492" w:type="dxa"/>
                  <w:gridSpan w:val="2"/>
                  <w:vAlign w:val="center"/>
                </w:tcPr>
                <w:p>
                  <w:pPr>
                    <w:pStyle w:val="32"/>
                    <w:spacing w:line="360" w:lineRule="exact"/>
                    <w:rPr>
                      <w:color w:val="000000" w:themeColor="text1"/>
                      <w:szCs w:val="21"/>
                    </w:rPr>
                  </w:pPr>
                  <w:r>
                    <w:rPr>
                      <w:color w:val="000000" w:themeColor="text1"/>
                      <w:szCs w:val="21"/>
                    </w:rPr>
                    <w:t>运行期资金投入量（万元/a）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1275" w:type="dxa"/>
                  <w:gridSpan w:val="3"/>
                  <w:vMerge w:val="continue"/>
                  <w:vAlign w:val="center"/>
                </w:tcPr>
                <w:p>
                  <w:pPr>
                    <w:pStyle w:val="32"/>
                    <w:spacing w:line="360" w:lineRule="exact"/>
                    <w:rPr>
                      <w:color w:val="000000" w:themeColor="text1"/>
                      <w:szCs w:val="21"/>
                    </w:rPr>
                  </w:pPr>
                </w:p>
              </w:tc>
              <w:tc>
                <w:tcPr>
                  <w:tcW w:w="1418" w:type="dxa"/>
                  <w:vAlign w:val="center"/>
                </w:tcPr>
                <w:p>
                  <w:pPr>
                    <w:pStyle w:val="32"/>
                    <w:spacing w:line="360" w:lineRule="exact"/>
                    <w:rPr>
                      <w:color w:val="000000" w:themeColor="text1"/>
                      <w:szCs w:val="21"/>
                    </w:rPr>
                  </w:pPr>
                  <w:r>
                    <w:rPr>
                      <w:color w:val="000000" w:themeColor="text1"/>
                      <w:szCs w:val="21"/>
                    </w:rPr>
                    <w:t>环保项目</w:t>
                  </w:r>
                </w:p>
              </w:tc>
              <w:tc>
                <w:tcPr>
                  <w:tcW w:w="2551" w:type="dxa"/>
                  <w:vAlign w:val="center"/>
                </w:tcPr>
                <w:p>
                  <w:pPr>
                    <w:pStyle w:val="32"/>
                    <w:spacing w:line="360" w:lineRule="exact"/>
                    <w:rPr>
                      <w:color w:val="000000" w:themeColor="text1"/>
                      <w:szCs w:val="21"/>
                    </w:rPr>
                  </w:pPr>
                  <w:r>
                    <w:rPr>
                      <w:color w:val="000000" w:themeColor="text1"/>
                      <w:szCs w:val="21"/>
                    </w:rPr>
                    <w:t>数量</w:t>
                  </w:r>
                </w:p>
              </w:tc>
              <w:tc>
                <w:tcPr>
                  <w:tcW w:w="709" w:type="dxa"/>
                  <w:gridSpan w:val="2"/>
                  <w:vAlign w:val="center"/>
                </w:tcPr>
                <w:p>
                  <w:pPr>
                    <w:pStyle w:val="32"/>
                    <w:spacing w:line="360" w:lineRule="exact"/>
                    <w:rPr>
                      <w:color w:val="000000" w:themeColor="text1"/>
                      <w:szCs w:val="21"/>
                    </w:rPr>
                  </w:pPr>
                  <w:r>
                    <w:rPr>
                      <w:color w:val="000000" w:themeColor="text1"/>
                      <w:szCs w:val="21"/>
                    </w:rPr>
                    <w:t>建设费用</w:t>
                  </w:r>
                </w:p>
              </w:tc>
              <w:tc>
                <w:tcPr>
                  <w:tcW w:w="709" w:type="dxa"/>
                  <w:gridSpan w:val="2"/>
                  <w:vAlign w:val="center"/>
                </w:tcPr>
                <w:p>
                  <w:pPr>
                    <w:pStyle w:val="32"/>
                    <w:spacing w:line="360" w:lineRule="exact"/>
                    <w:rPr>
                      <w:color w:val="000000" w:themeColor="text1"/>
                      <w:szCs w:val="21"/>
                    </w:rPr>
                  </w:pPr>
                  <w:r>
                    <w:rPr>
                      <w:color w:val="000000" w:themeColor="text1"/>
                      <w:szCs w:val="21"/>
                    </w:rPr>
                    <w:t>责任主体</w:t>
                  </w:r>
                </w:p>
              </w:tc>
              <w:tc>
                <w:tcPr>
                  <w:tcW w:w="781" w:type="dxa"/>
                  <w:vAlign w:val="center"/>
                </w:tcPr>
                <w:p>
                  <w:pPr>
                    <w:pStyle w:val="32"/>
                    <w:spacing w:line="360" w:lineRule="exact"/>
                    <w:rPr>
                      <w:color w:val="000000" w:themeColor="text1"/>
                      <w:szCs w:val="21"/>
                    </w:rPr>
                  </w:pPr>
                  <w:r>
                    <w:rPr>
                      <w:color w:val="000000" w:themeColor="text1"/>
                      <w:szCs w:val="21"/>
                    </w:rPr>
                    <w:t>运行费用</w:t>
                  </w:r>
                </w:p>
              </w:tc>
              <w:tc>
                <w:tcPr>
                  <w:tcW w:w="711" w:type="dxa"/>
                  <w:vAlign w:val="center"/>
                </w:tcPr>
                <w:p>
                  <w:pPr>
                    <w:pStyle w:val="32"/>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dxa"/>
                  <w:vMerge w:val="restart"/>
                  <w:vAlign w:val="center"/>
                </w:tcPr>
                <w:p>
                  <w:pPr>
                    <w:pStyle w:val="32"/>
                    <w:spacing w:line="360" w:lineRule="exact"/>
                    <w:rPr>
                      <w:color w:val="000000" w:themeColor="text1"/>
                      <w:szCs w:val="21"/>
                    </w:rPr>
                  </w:pPr>
                  <w:r>
                    <w:rPr>
                      <w:color w:val="000000" w:themeColor="text1"/>
                      <w:szCs w:val="21"/>
                    </w:rPr>
                    <w:t>施工期污染源</w:t>
                  </w:r>
                </w:p>
              </w:tc>
              <w:tc>
                <w:tcPr>
                  <w:tcW w:w="567" w:type="dxa"/>
                  <w:vAlign w:val="center"/>
                </w:tcPr>
                <w:p>
                  <w:pPr>
                    <w:pStyle w:val="32"/>
                    <w:spacing w:line="360" w:lineRule="exact"/>
                    <w:rPr>
                      <w:color w:val="000000" w:themeColor="text1"/>
                      <w:szCs w:val="21"/>
                    </w:rPr>
                  </w:pPr>
                  <w:r>
                    <w:rPr>
                      <w:color w:val="000000" w:themeColor="text1"/>
                      <w:szCs w:val="21"/>
                    </w:rPr>
                    <w:t>废气</w:t>
                  </w:r>
                </w:p>
              </w:tc>
              <w:tc>
                <w:tcPr>
                  <w:tcW w:w="708" w:type="dxa"/>
                  <w:gridSpan w:val="2"/>
                  <w:vAlign w:val="center"/>
                </w:tcPr>
                <w:p>
                  <w:pPr>
                    <w:pStyle w:val="32"/>
                    <w:spacing w:line="360" w:lineRule="exact"/>
                    <w:rPr>
                      <w:color w:val="000000" w:themeColor="text1"/>
                      <w:szCs w:val="21"/>
                    </w:rPr>
                  </w:pPr>
                  <w:r>
                    <w:rPr>
                      <w:color w:val="000000" w:themeColor="text1"/>
                      <w:szCs w:val="21"/>
                    </w:rPr>
                    <w:t>扬尘</w:t>
                  </w:r>
                </w:p>
              </w:tc>
              <w:tc>
                <w:tcPr>
                  <w:tcW w:w="1418" w:type="dxa"/>
                  <w:vAlign w:val="center"/>
                </w:tcPr>
                <w:p>
                  <w:pPr>
                    <w:pStyle w:val="32"/>
                    <w:spacing w:line="360" w:lineRule="exact"/>
                    <w:rPr>
                      <w:color w:val="000000" w:themeColor="text1"/>
                    </w:rPr>
                  </w:pPr>
                  <w:r>
                    <w:rPr>
                      <w:color w:val="000000" w:themeColor="text1"/>
                    </w:rPr>
                    <w:t>洒水抑尘设施</w:t>
                  </w:r>
                </w:p>
              </w:tc>
              <w:tc>
                <w:tcPr>
                  <w:tcW w:w="2551" w:type="dxa"/>
                  <w:vAlign w:val="center"/>
                </w:tcPr>
                <w:p>
                  <w:pPr>
                    <w:pStyle w:val="32"/>
                    <w:spacing w:line="360" w:lineRule="exact"/>
                    <w:ind w:firstLine="210" w:firstLineChars="100"/>
                    <w:jc w:val="both"/>
                    <w:rPr>
                      <w:color w:val="000000" w:themeColor="text1"/>
                      <w:szCs w:val="21"/>
                    </w:rPr>
                  </w:pPr>
                  <w:r>
                    <w:rPr>
                      <w:color w:val="000000" w:themeColor="text1"/>
                      <w:szCs w:val="21"/>
                    </w:rPr>
                    <w:t>1套</w:t>
                  </w:r>
                </w:p>
              </w:tc>
              <w:tc>
                <w:tcPr>
                  <w:tcW w:w="709" w:type="dxa"/>
                  <w:gridSpan w:val="2"/>
                  <w:vAlign w:val="center"/>
                </w:tcPr>
                <w:p>
                  <w:pPr>
                    <w:pStyle w:val="32"/>
                    <w:spacing w:line="360" w:lineRule="exact"/>
                    <w:rPr>
                      <w:color w:val="000000" w:themeColor="text1"/>
                      <w:szCs w:val="21"/>
                    </w:rPr>
                  </w:pPr>
                  <w:r>
                    <w:rPr>
                      <w:color w:val="000000" w:themeColor="text1"/>
                      <w:szCs w:val="21"/>
                    </w:rPr>
                    <w:t>2</w:t>
                  </w:r>
                </w:p>
              </w:tc>
              <w:tc>
                <w:tcPr>
                  <w:tcW w:w="709" w:type="dxa"/>
                  <w:gridSpan w:val="2"/>
                  <w:vMerge w:val="restart"/>
                  <w:vAlign w:val="center"/>
                </w:tcPr>
                <w:p>
                  <w:pPr>
                    <w:pStyle w:val="32"/>
                    <w:spacing w:line="360" w:lineRule="exact"/>
                    <w:rPr>
                      <w:color w:val="000000" w:themeColor="text1"/>
                      <w:szCs w:val="21"/>
                    </w:rPr>
                  </w:pPr>
                  <w:r>
                    <w:rPr>
                      <w:color w:val="000000" w:themeColor="text1"/>
                      <w:szCs w:val="21"/>
                    </w:rPr>
                    <w:t>施工单位</w:t>
                  </w:r>
                </w:p>
              </w:tc>
              <w:tc>
                <w:tcPr>
                  <w:tcW w:w="781" w:type="dxa"/>
                  <w:vAlign w:val="center"/>
                </w:tcPr>
                <w:p>
                  <w:pPr>
                    <w:pStyle w:val="32"/>
                    <w:spacing w:line="360" w:lineRule="exact"/>
                    <w:rPr>
                      <w:color w:val="000000" w:themeColor="text1"/>
                      <w:szCs w:val="21"/>
                    </w:rPr>
                  </w:pPr>
                  <w:r>
                    <w:rPr>
                      <w:color w:val="000000" w:themeColor="text1"/>
                      <w:szCs w:val="21"/>
                    </w:rPr>
                    <w:t>--</w:t>
                  </w:r>
                </w:p>
              </w:tc>
              <w:tc>
                <w:tcPr>
                  <w:tcW w:w="711" w:type="dxa"/>
                  <w:vMerge w:val="restart"/>
                  <w:vAlign w:val="center"/>
                </w:tcPr>
                <w:p>
                  <w:pPr>
                    <w:pStyle w:val="32"/>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Align w:val="center"/>
                </w:tcPr>
                <w:p>
                  <w:pPr>
                    <w:pStyle w:val="32"/>
                    <w:spacing w:line="360" w:lineRule="exact"/>
                    <w:rPr>
                      <w:color w:val="000000" w:themeColor="text1"/>
                      <w:szCs w:val="21"/>
                    </w:rPr>
                  </w:pPr>
                  <w:r>
                    <w:rPr>
                      <w:color w:val="000000" w:themeColor="text1"/>
                      <w:szCs w:val="21"/>
                    </w:rPr>
                    <w:t>废水</w:t>
                  </w:r>
                </w:p>
              </w:tc>
              <w:tc>
                <w:tcPr>
                  <w:tcW w:w="708" w:type="dxa"/>
                  <w:gridSpan w:val="2"/>
                  <w:vAlign w:val="center"/>
                </w:tcPr>
                <w:p>
                  <w:pPr>
                    <w:pStyle w:val="32"/>
                    <w:spacing w:line="360" w:lineRule="exact"/>
                    <w:rPr>
                      <w:color w:val="000000" w:themeColor="text1"/>
                      <w:szCs w:val="21"/>
                    </w:rPr>
                  </w:pPr>
                  <w:r>
                    <w:rPr>
                      <w:color w:val="000000" w:themeColor="text1"/>
                      <w:szCs w:val="21"/>
                    </w:rPr>
                    <w:t>施工废水</w:t>
                  </w:r>
                </w:p>
              </w:tc>
              <w:tc>
                <w:tcPr>
                  <w:tcW w:w="1418" w:type="dxa"/>
                  <w:vAlign w:val="center"/>
                </w:tcPr>
                <w:p>
                  <w:pPr>
                    <w:pStyle w:val="32"/>
                    <w:spacing w:line="360" w:lineRule="exact"/>
                    <w:rPr>
                      <w:color w:val="000000" w:themeColor="text1"/>
                      <w:szCs w:val="21"/>
                    </w:rPr>
                  </w:pPr>
                  <w:r>
                    <w:rPr>
                      <w:color w:val="000000" w:themeColor="text1"/>
                      <w:szCs w:val="21"/>
                    </w:rPr>
                    <w:t>临时沉淀池</w:t>
                  </w:r>
                </w:p>
              </w:tc>
              <w:tc>
                <w:tcPr>
                  <w:tcW w:w="2551" w:type="dxa"/>
                  <w:vAlign w:val="center"/>
                </w:tcPr>
                <w:p>
                  <w:pPr>
                    <w:pStyle w:val="32"/>
                    <w:spacing w:line="360" w:lineRule="exact"/>
                    <w:ind w:firstLine="210" w:firstLineChars="100"/>
                    <w:jc w:val="both"/>
                    <w:rPr>
                      <w:color w:val="000000" w:themeColor="text1"/>
                      <w:szCs w:val="21"/>
                    </w:rPr>
                  </w:pPr>
                  <w:r>
                    <w:rPr>
                      <w:color w:val="000000" w:themeColor="text1"/>
                      <w:szCs w:val="21"/>
                    </w:rPr>
                    <w:t>1个</w:t>
                  </w:r>
                  <w:r>
                    <w:rPr>
                      <w:rFonts w:hint="eastAsia"/>
                      <w:color w:val="000000" w:themeColor="text1"/>
                      <w:szCs w:val="21"/>
                    </w:rPr>
                    <w:t>，</w:t>
                  </w:r>
                  <w:r>
                    <w:rPr>
                      <w:color w:val="000000" w:themeColor="text1"/>
                      <w:szCs w:val="21"/>
                    </w:rPr>
                    <w:t>20m³</w:t>
                  </w:r>
                </w:p>
              </w:tc>
              <w:tc>
                <w:tcPr>
                  <w:tcW w:w="709" w:type="dxa"/>
                  <w:gridSpan w:val="2"/>
                  <w:vAlign w:val="center"/>
                </w:tcPr>
                <w:p>
                  <w:pPr>
                    <w:pStyle w:val="32"/>
                    <w:spacing w:line="360" w:lineRule="exact"/>
                    <w:rPr>
                      <w:color w:val="000000" w:themeColor="text1"/>
                      <w:szCs w:val="21"/>
                    </w:rPr>
                  </w:pPr>
                  <w:r>
                    <w:rPr>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color w:val="000000" w:themeColor="text1"/>
                      <w:szCs w:val="21"/>
                    </w:rPr>
                    <w:t>--</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Align w:val="center"/>
                </w:tcPr>
                <w:p>
                  <w:pPr>
                    <w:pStyle w:val="32"/>
                    <w:spacing w:line="360" w:lineRule="exact"/>
                    <w:rPr>
                      <w:color w:val="000000" w:themeColor="text1"/>
                      <w:szCs w:val="21"/>
                    </w:rPr>
                  </w:pPr>
                  <w:r>
                    <w:rPr>
                      <w:color w:val="000000" w:themeColor="text1"/>
                      <w:szCs w:val="21"/>
                    </w:rPr>
                    <w:t>噪声</w:t>
                  </w:r>
                </w:p>
              </w:tc>
              <w:tc>
                <w:tcPr>
                  <w:tcW w:w="708" w:type="dxa"/>
                  <w:gridSpan w:val="2"/>
                  <w:vAlign w:val="center"/>
                </w:tcPr>
                <w:p>
                  <w:pPr>
                    <w:pStyle w:val="32"/>
                    <w:spacing w:line="360" w:lineRule="exact"/>
                    <w:rPr>
                      <w:color w:val="000000" w:themeColor="text1"/>
                      <w:szCs w:val="21"/>
                    </w:rPr>
                  </w:pPr>
                  <w:r>
                    <w:rPr>
                      <w:color w:val="000000" w:themeColor="text1"/>
                      <w:szCs w:val="21"/>
                    </w:rPr>
                    <w:t>施工噪声</w:t>
                  </w:r>
                </w:p>
              </w:tc>
              <w:tc>
                <w:tcPr>
                  <w:tcW w:w="1418" w:type="dxa"/>
                  <w:vAlign w:val="center"/>
                </w:tcPr>
                <w:p>
                  <w:pPr>
                    <w:pStyle w:val="32"/>
                    <w:spacing w:line="360" w:lineRule="exact"/>
                    <w:rPr>
                      <w:color w:val="000000" w:themeColor="text1"/>
                      <w:szCs w:val="21"/>
                    </w:rPr>
                  </w:pPr>
                  <w:r>
                    <w:rPr>
                      <w:color w:val="000000" w:themeColor="text1"/>
                    </w:rPr>
                    <w:t>遮挡围墙</w:t>
                  </w:r>
                </w:p>
              </w:tc>
              <w:tc>
                <w:tcPr>
                  <w:tcW w:w="2551" w:type="dxa"/>
                  <w:vAlign w:val="center"/>
                </w:tcPr>
                <w:p>
                  <w:pPr>
                    <w:pStyle w:val="32"/>
                    <w:spacing w:line="360" w:lineRule="exact"/>
                    <w:ind w:firstLine="210" w:firstLineChars="100"/>
                    <w:jc w:val="both"/>
                    <w:rPr>
                      <w:color w:val="000000" w:themeColor="text1"/>
                      <w:szCs w:val="21"/>
                    </w:rPr>
                  </w:pPr>
                  <w:r>
                    <w:rPr>
                      <w:color w:val="000000" w:themeColor="text1"/>
                      <w:szCs w:val="21"/>
                    </w:rPr>
                    <w:t>2.5m高，围挡</w:t>
                  </w:r>
                </w:p>
              </w:tc>
              <w:tc>
                <w:tcPr>
                  <w:tcW w:w="709" w:type="dxa"/>
                  <w:gridSpan w:val="2"/>
                  <w:vAlign w:val="center"/>
                </w:tcPr>
                <w:p>
                  <w:pPr>
                    <w:pStyle w:val="32"/>
                    <w:spacing w:line="360" w:lineRule="exact"/>
                    <w:rPr>
                      <w:color w:val="000000" w:themeColor="text1"/>
                      <w:szCs w:val="21"/>
                    </w:rPr>
                  </w:pPr>
                  <w:r>
                    <w:rPr>
                      <w:color w:val="000000" w:themeColor="text1"/>
                      <w:szCs w:val="21"/>
                    </w:rPr>
                    <w:t>2</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color w:val="000000" w:themeColor="text1"/>
                      <w:szCs w:val="21"/>
                    </w:rPr>
                    <w:t>--</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restart"/>
                  <w:vAlign w:val="center"/>
                </w:tcPr>
                <w:p>
                  <w:pPr>
                    <w:pStyle w:val="32"/>
                    <w:spacing w:line="360" w:lineRule="exact"/>
                    <w:rPr>
                      <w:color w:val="000000" w:themeColor="text1"/>
                      <w:szCs w:val="21"/>
                    </w:rPr>
                  </w:pPr>
                  <w:r>
                    <w:rPr>
                      <w:color w:val="000000" w:themeColor="text1"/>
                      <w:szCs w:val="21"/>
                    </w:rPr>
                    <w:t>运营期污染源</w:t>
                  </w:r>
                </w:p>
              </w:tc>
              <w:tc>
                <w:tcPr>
                  <w:tcW w:w="567" w:type="dxa"/>
                  <w:vMerge w:val="restart"/>
                  <w:vAlign w:val="center"/>
                </w:tcPr>
                <w:p>
                  <w:pPr>
                    <w:pStyle w:val="32"/>
                    <w:spacing w:line="360" w:lineRule="exact"/>
                    <w:rPr>
                      <w:color w:val="000000" w:themeColor="text1"/>
                      <w:szCs w:val="21"/>
                    </w:rPr>
                  </w:pPr>
                  <w:r>
                    <w:rPr>
                      <w:color w:val="000000" w:themeColor="text1"/>
                      <w:szCs w:val="21"/>
                    </w:rPr>
                    <w:t>废气</w:t>
                  </w:r>
                </w:p>
              </w:tc>
              <w:tc>
                <w:tcPr>
                  <w:tcW w:w="708" w:type="dxa"/>
                  <w:gridSpan w:val="2"/>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厨房油烟</w:t>
                  </w:r>
                </w:p>
              </w:tc>
              <w:tc>
                <w:tcPr>
                  <w:tcW w:w="1418" w:type="dxa"/>
                  <w:vAlign w:val="center"/>
                </w:tcPr>
                <w:p>
                  <w:pPr>
                    <w:pStyle w:val="32"/>
                    <w:spacing w:line="360" w:lineRule="exact"/>
                    <w:rPr>
                      <w:color w:val="000000" w:themeColor="text1"/>
                      <w:szCs w:val="21"/>
                    </w:rPr>
                  </w:pPr>
                  <w:r>
                    <w:rPr>
                      <w:rFonts w:hint="eastAsia"/>
                      <w:color w:val="000000" w:themeColor="text1"/>
                      <w:szCs w:val="21"/>
                    </w:rPr>
                    <w:t>油烟净化器</w:t>
                  </w:r>
                </w:p>
              </w:tc>
              <w:tc>
                <w:tcPr>
                  <w:tcW w:w="2559"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1台处理效率不低于60%的油烟净化器</w:t>
                  </w:r>
                </w:p>
              </w:tc>
              <w:tc>
                <w:tcPr>
                  <w:tcW w:w="701" w:type="dxa"/>
                  <w:vAlign w:val="center"/>
                </w:tcPr>
                <w:p>
                  <w:pPr>
                    <w:pStyle w:val="32"/>
                    <w:spacing w:line="360" w:lineRule="exact"/>
                    <w:rPr>
                      <w:color w:val="000000" w:themeColor="text1"/>
                      <w:szCs w:val="21"/>
                    </w:rPr>
                  </w:pPr>
                  <w:r>
                    <w:rPr>
                      <w:rFonts w:hint="eastAsia"/>
                      <w:color w:val="000000" w:themeColor="text1"/>
                      <w:szCs w:val="21"/>
                    </w:rPr>
                    <w:t>1</w:t>
                  </w:r>
                </w:p>
              </w:tc>
              <w:tc>
                <w:tcPr>
                  <w:tcW w:w="709" w:type="dxa"/>
                  <w:gridSpan w:val="2"/>
                  <w:vMerge w:val="restart"/>
                  <w:vAlign w:val="center"/>
                </w:tcPr>
                <w:p>
                  <w:pPr>
                    <w:pStyle w:val="32"/>
                    <w:spacing w:line="360" w:lineRule="exact"/>
                    <w:rPr>
                      <w:color w:val="000000" w:themeColor="text1"/>
                      <w:szCs w:val="21"/>
                    </w:rPr>
                  </w:pPr>
                  <w:r>
                    <w:rPr>
                      <w:color w:val="000000" w:themeColor="text1"/>
                      <w:szCs w:val="21"/>
                    </w:rPr>
                    <w:t>施工单位</w:t>
                  </w:r>
                </w:p>
              </w:tc>
              <w:tc>
                <w:tcPr>
                  <w:tcW w:w="781" w:type="dxa"/>
                  <w:vAlign w:val="center"/>
                </w:tcPr>
                <w:p>
                  <w:pPr>
                    <w:pStyle w:val="32"/>
                    <w:spacing w:line="360" w:lineRule="exact"/>
                    <w:rPr>
                      <w:color w:val="000000" w:themeColor="text1"/>
                      <w:szCs w:val="21"/>
                    </w:rPr>
                  </w:pPr>
                  <w:r>
                    <w:rPr>
                      <w:rFonts w:hint="eastAsia"/>
                      <w:color w:val="000000" w:themeColor="text1"/>
                      <w:szCs w:val="21"/>
                    </w:rPr>
                    <w:t>0.2</w:t>
                  </w:r>
                </w:p>
              </w:tc>
              <w:tc>
                <w:tcPr>
                  <w:tcW w:w="711" w:type="dxa"/>
                  <w:vMerge w:val="restart"/>
                  <w:vAlign w:val="center"/>
                </w:tcPr>
                <w:p>
                  <w:pPr>
                    <w:pStyle w:val="32"/>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扬尘</w:t>
                  </w:r>
                </w:p>
              </w:tc>
              <w:tc>
                <w:tcPr>
                  <w:tcW w:w="1418" w:type="dxa"/>
                  <w:vAlign w:val="center"/>
                </w:tcPr>
                <w:p>
                  <w:pPr>
                    <w:pStyle w:val="32"/>
                    <w:spacing w:line="360" w:lineRule="exact"/>
                    <w:rPr>
                      <w:color w:val="000000" w:themeColor="text1"/>
                      <w:szCs w:val="21"/>
                    </w:rPr>
                  </w:pPr>
                  <w:r>
                    <w:rPr>
                      <w:color w:val="000000" w:themeColor="text1"/>
                      <w:szCs w:val="21"/>
                    </w:rPr>
                    <w:t>洒水抑尘设施</w:t>
                  </w:r>
                </w:p>
              </w:tc>
              <w:tc>
                <w:tcPr>
                  <w:tcW w:w="2559" w:type="dxa"/>
                  <w:gridSpan w:val="2"/>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3套</w:t>
                  </w:r>
                </w:p>
              </w:tc>
              <w:tc>
                <w:tcPr>
                  <w:tcW w:w="701" w:type="dxa"/>
                  <w:vAlign w:val="center"/>
                </w:tcPr>
                <w:p>
                  <w:pPr>
                    <w:pStyle w:val="32"/>
                    <w:spacing w:line="360" w:lineRule="exact"/>
                    <w:rPr>
                      <w:color w:val="000000" w:themeColor="text1"/>
                      <w:szCs w:val="21"/>
                    </w:rPr>
                  </w:pPr>
                  <w:r>
                    <w:rPr>
                      <w:rFonts w:hint="eastAsia"/>
                      <w:color w:val="000000" w:themeColor="text1"/>
                      <w:szCs w:val="21"/>
                    </w:rPr>
                    <w:t>3</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color w:val="000000" w:themeColor="text1"/>
                      <w:szCs w:val="21"/>
                    </w:rPr>
                    <w:t>1</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8" w:type="dxa"/>
                  <w:vAlign w:val="center"/>
                </w:tcPr>
                <w:p>
                  <w:pPr>
                    <w:pStyle w:val="32"/>
                    <w:spacing w:line="360" w:lineRule="exact"/>
                    <w:rPr>
                      <w:color w:val="000000" w:themeColor="text1"/>
                      <w:szCs w:val="21"/>
                    </w:rPr>
                  </w:pPr>
                  <w:r>
                    <w:rPr>
                      <w:rFonts w:hint="eastAsia"/>
                      <w:color w:val="000000" w:themeColor="text1"/>
                      <w:szCs w:val="21"/>
                    </w:rPr>
                    <w:t>雾炮机</w:t>
                  </w:r>
                </w:p>
              </w:tc>
              <w:tc>
                <w:tcPr>
                  <w:tcW w:w="2559" w:type="dxa"/>
                  <w:gridSpan w:val="2"/>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1台</w:t>
                  </w:r>
                </w:p>
              </w:tc>
              <w:tc>
                <w:tcPr>
                  <w:tcW w:w="701" w:type="dxa"/>
                  <w:vAlign w:val="center"/>
                </w:tcPr>
                <w:p>
                  <w:pPr>
                    <w:pStyle w:val="32"/>
                    <w:spacing w:line="360" w:lineRule="exact"/>
                    <w:rPr>
                      <w:color w:val="000000" w:themeColor="text1"/>
                      <w:szCs w:val="21"/>
                    </w:rPr>
                  </w:pPr>
                  <w:r>
                    <w:rPr>
                      <w:rFonts w:hint="eastAsia"/>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rFonts w:hint="eastAsia"/>
                      <w:color w:val="000000" w:themeColor="text1"/>
                      <w:szCs w:val="21"/>
                    </w:rPr>
                    <w:t>0.5</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8" w:type="dxa"/>
                  <w:vAlign w:val="center"/>
                </w:tcPr>
                <w:p>
                  <w:pPr>
                    <w:pStyle w:val="32"/>
                    <w:spacing w:line="360" w:lineRule="exact"/>
                    <w:rPr>
                      <w:color w:val="000000" w:themeColor="text1"/>
                      <w:szCs w:val="21"/>
                    </w:rPr>
                  </w:pPr>
                  <w:r>
                    <w:rPr>
                      <w:rFonts w:hint="eastAsia"/>
                      <w:color w:val="000000" w:themeColor="text1"/>
                      <w:szCs w:val="21"/>
                    </w:rPr>
                    <w:t>围挡及顶棚</w:t>
                  </w:r>
                </w:p>
              </w:tc>
              <w:tc>
                <w:tcPr>
                  <w:tcW w:w="2559" w:type="dxa"/>
                  <w:gridSpan w:val="2"/>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页岩堆场和煤料堆场设置不低于物料堆存高度围挡和顶棚</w:t>
                  </w:r>
                </w:p>
              </w:tc>
              <w:tc>
                <w:tcPr>
                  <w:tcW w:w="701" w:type="dxa"/>
                  <w:vAlign w:val="center"/>
                </w:tcPr>
                <w:p>
                  <w:pPr>
                    <w:pStyle w:val="32"/>
                    <w:spacing w:line="360" w:lineRule="exact"/>
                    <w:rPr>
                      <w:color w:val="000000" w:themeColor="text1"/>
                      <w:szCs w:val="21"/>
                    </w:rPr>
                  </w:pPr>
                  <w:r>
                    <w:rPr>
                      <w:rFonts w:hint="eastAsia"/>
                      <w:color w:val="000000" w:themeColor="text1"/>
                      <w:szCs w:val="21"/>
                    </w:rPr>
                    <w:t>15</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rFonts w:hint="eastAsia"/>
                      <w:color w:val="000000" w:themeColor="text1"/>
                      <w:szCs w:val="21"/>
                    </w:rPr>
                    <w:t>0</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8" w:type="dxa"/>
                  <w:vAlign w:val="center"/>
                </w:tcPr>
                <w:p>
                  <w:pPr>
                    <w:pStyle w:val="32"/>
                    <w:spacing w:line="360" w:lineRule="exact"/>
                    <w:rPr>
                      <w:color w:val="000000" w:themeColor="text1"/>
                      <w:szCs w:val="21"/>
                    </w:rPr>
                  </w:pPr>
                  <w:r>
                    <w:rPr>
                      <w:rFonts w:hint="eastAsia"/>
                      <w:color w:val="000000" w:themeColor="text1"/>
                      <w:szCs w:val="21"/>
                    </w:rPr>
                    <w:t>密闭运输</w:t>
                  </w:r>
                </w:p>
              </w:tc>
              <w:tc>
                <w:tcPr>
                  <w:tcW w:w="2559" w:type="dxa"/>
                  <w:gridSpan w:val="2"/>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车间内物料各工段之间粉料运输均采用皮带密闭运输</w:t>
                  </w:r>
                </w:p>
              </w:tc>
              <w:tc>
                <w:tcPr>
                  <w:tcW w:w="701" w:type="dxa"/>
                  <w:vAlign w:val="center"/>
                </w:tcPr>
                <w:p>
                  <w:pPr>
                    <w:pStyle w:val="32"/>
                    <w:spacing w:line="360" w:lineRule="exact"/>
                    <w:rPr>
                      <w:color w:val="000000" w:themeColor="text1"/>
                      <w:szCs w:val="21"/>
                    </w:rPr>
                  </w:pPr>
                  <w:r>
                    <w:rPr>
                      <w:rFonts w:hint="eastAsia"/>
                      <w:color w:val="000000" w:themeColor="text1"/>
                      <w:szCs w:val="21"/>
                    </w:rPr>
                    <w:t>4</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color w:val="000000" w:themeColor="text1"/>
                      <w:szCs w:val="21"/>
                    </w:rPr>
                    <w:t>0</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粉尘</w:t>
                  </w:r>
                </w:p>
              </w:tc>
              <w:tc>
                <w:tcPr>
                  <w:tcW w:w="1418" w:type="dxa"/>
                  <w:vAlign w:val="center"/>
                </w:tcPr>
                <w:p>
                  <w:pPr>
                    <w:pStyle w:val="32"/>
                    <w:spacing w:line="360" w:lineRule="exact"/>
                    <w:rPr>
                      <w:color w:val="000000" w:themeColor="text1"/>
                      <w:szCs w:val="21"/>
                    </w:rPr>
                  </w:pPr>
                  <w:r>
                    <w:rPr>
                      <w:rFonts w:hint="eastAsia"/>
                      <w:color w:val="000000" w:themeColor="text1"/>
                      <w:szCs w:val="21"/>
                    </w:rPr>
                    <w:t>集气罩</w:t>
                  </w:r>
                </w:p>
              </w:tc>
              <w:tc>
                <w:tcPr>
                  <w:tcW w:w="2559" w:type="dxa"/>
                  <w:gridSpan w:val="2"/>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4个，集气效率不低于90%</w:t>
                  </w:r>
                </w:p>
              </w:tc>
              <w:tc>
                <w:tcPr>
                  <w:tcW w:w="701" w:type="dxa"/>
                  <w:vAlign w:val="center"/>
                </w:tcPr>
                <w:p>
                  <w:pPr>
                    <w:pStyle w:val="32"/>
                    <w:spacing w:line="360" w:lineRule="exact"/>
                    <w:rPr>
                      <w:color w:val="000000" w:themeColor="text1"/>
                      <w:szCs w:val="21"/>
                    </w:rPr>
                  </w:pPr>
                  <w:r>
                    <w:rPr>
                      <w:rFonts w:hint="eastAsia"/>
                      <w:color w:val="000000" w:themeColor="text1"/>
                      <w:szCs w:val="21"/>
                    </w:rPr>
                    <w:t>2</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rFonts w:hint="eastAsia"/>
                      <w:color w:val="000000" w:themeColor="text1"/>
                      <w:szCs w:val="21"/>
                    </w:rPr>
                    <w:t>0.5</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8" w:type="dxa"/>
                  <w:vAlign w:val="center"/>
                </w:tcPr>
                <w:p>
                  <w:pPr>
                    <w:pStyle w:val="32"/>
                    <w:spacing w:line="360" w:lineRule="exact"/>
                    <w:rPr>
                      <w:color w:val="000000" w:themeColor="text1"/>
                      <w:szCs w:val="21"/>
                    </w:rPr>
                  </w:pPr>
                  <w:r>
                    <w:rPr>
                      <w:color w:val="000000" w:themeColor="text1"/>
                      <w:szCs w:val="21"/>
                    </w:rPr>
                    <w:t>脉冲布袋除尘器</w:t>
                  </w:r>
                </w:p>
              </w:tc>
              <w:tc>
                <w:tcPr>
                  <w:tcW w:w="2559" w:type="dxa"/>
                  <w:gridSpan w:val="2"/>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1台，除尘效率不低于98%</w:t>
                  </w:r>
                </w:p>
              </w:tc>
              <w:tc>
                <w:tcPr>
                  <w:tcW w:w="701" w:type="dxa"/>
                  <w:vAlign w:val="center"/>
                </w:tcPr>
                <w:p>
                  <w:pPr>
                    <w:pStyle w:val="32"/>
                    <w:spacing w:line="360" w:lineRule="exact"/>
                    <w:rPr>
                      <w:color w:val="000000" w:themeColor="text1"/>
                      <w:szCs w:val="21"/>
                    </w:rPr>
                  </w:pPr>
                  <w:r>
                    <w:rPr>
                      <w:rFonts w:hint="eastAsia"/>
                      <w:color w:val="000000" w:themeColor="text1"/>
                      <w:szCs w:val="21"/>
                    </w:rPr>
                    <w:t>3</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rFonts w:hint="eastAsia"/>
                      <w:color w:val="000000" w:themeColor="text1"/>
                      <w:szCs w:val="21"/>
                    </w:rPr>
                    <w:t>0.6</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8" w:type="dxa"/>
                  <w:vAlign w:val="center"/>
                </w:tcPr>
                <w:p>
                  <w:pPr>
                    <w:pStyle w:val="32"/>
                    <w:spacing w:line="360" w:lineRule="exact"/>
                    <w:rPr>
                      <w:color w:val="000000" w:themeColor="text1"/>
                      <w:szCs w:val="21"/>
                    </w:rPr>
                  </w:pPr>
                  <w:r>
                    <w:rPr>
                      <w:rFonts w:hint="eastAsia"/>
                      <w:color w:val="000000" w:themeColor="text1"/>
                      <w:szCs w:val="21"/>
                    </w:rPr>
                    <w:t>排气筒</w:t>
                  </w:r>
                </w:p>
              </w:tc>
              <w:tc>
                <w:tcPr>
                  <w:tcW w:w="2559" w:type="dxa"/>
                  <w:gridSpan w:val="2"/>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1根编号DA001，内径为0.8m，高为15m</w:t>
                  </w:r>
                </w:p>
              </w:tc>
              <w:tc>
                <w:tcPr>
                  <w:tcW w:w="701" w:type="dxa"/>
                  <w:vAlign w:val="center"/>
                </w:tcPr>
                <w:p>
                  <w:pPr>
                    <w:pStyle w:val="32"/>
                    <w:spacing w:line="360" w:lineRule="exact"/>
                    <w:rPr>
                      <w:color w:val="000000" w:themeColor="text1"/>
                      <w:szCs w:val="21"/>
                    </w:rPr>
                  </w:pPr>
                  <w:r>
                    <w:rPr>
                      <w:rFonts w:hint="eastAsia"/>
                      <w:color w:val="000000" w:themeColor="text1"/>
                      <w:szCs w:val="21"/>
                    </w:rPr>
                    <w:t>0.4</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rFonts w:hint="eastAsia"/>
                      <w:color w:val="000000" w:themeColor="text1"/>
                      <w:szCs w:val="21"/>
                    </w:rPr>
                    <w:t>0</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焙烧烟气</w:t>
                  </w:r>
                </w:p>
              </w:tc>
              <w:tc>
                <w:tcPr>
                  <w:tcW w:w="1418" w:type="dxa"/>
                  <w:vAlign w:val="center"/>
                </w:tcPr>
                <w:p>
                  <w:pPr>
                    <w:pStyle w:val="32"/>
                    <w:spacing w:line="360" w:lineRule="exact"/>
                    <w:rPr>
                      <w:color w:val="000000" w:themeColor="text1"/>
                      <w:szCs w:val="21"/>
                    </w:rPr>
                  </w:pPr>
                  <w:r>
                    <w:rPr>
                      <w:rFonts w:hint="eastAsia"/>
                      <w:color w:val="000000" w:themeColor="text1"/>
                      <w:szCs w:val="21"/>
                    </w:rPr>
                    <w:t>脱硫除尘系统</w:t>
                  </w:r>
                </w:p>
              </w:tc>
              <w:tc>
                <w:tcPr>
                  <w:tcW w:w="2559" w:type="dxa"/>
                  <w:gridSpan w:val="2"/>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1套，该</w:t>
                  </w:r>
                  <w:r>
                    <w:rPr>
                      <w:color w:val="000000" w:themeColor="text1"/>
                      <w:szCs w:val="21"/>
                    </w:rPr>
                    <w:t>脱硫</w:t>
                  </w:r>
                  <w:r>
                    <w:rPr>
                      <w:rFonts w:hint="eastAsia"/>
                      <w:color w:val="000000" w:themeColor="text1"/>
                      <w:szCs w:val="21"/>
                    </w:rPr>
                    <w:t>除尘系统</w:t>
                  </w:r>
                  <w:r>
                    <w:rPr>
                      <w:color w:val="000000" w:themeColor="text1"/>
                      <w:szCs w:val="21"/>
                    </w:rPr>
                    <w:t>核心工艺采用钠碱双碱还原法脱硫除尘，烟尘去除率85%、二氧化硫去除率为90%、氟化物去除率为</w:t>
                  </w:r>
                  <w:r>
                    <w:rPr>
                      <w:rFonts w:hint="eastAsia"/>
                      <w:color w:val="000000" w:themeColor="text1"/>
                      <w:szCs w:val="21"/>
                    </w:rPr>
                    <w:t>70</w:t>
                  </w:r>
                  <w:r>
                    <w:rPr>
                      <w:color w:val="000000" w:themeColor="text1"/>
                      <w:szCs w:val="21"/>
                    </w:rPr>
                    <w:t>%</w:t>
                  </w:r>
                </w:p>
              </w:tc>
              <w:tc>
                <w:tcPr>
                  <w:tcW w:w="701" w:type="dxa"/>
                  <w:vAlign w:val="center"/>
                </w:tcPr>
                <w:p>
                  <w:pPr>
                    <w:pStyle w:val="32"/>
                    <w:spacing w:line="360" w:lineRule="exact"/>
                    <w:rPr>
                      <w:color w:val="000000" w:themeColor="text1"/>
                      <w:szCs w:val="21"/>
                    </w:rPr>
                  </w:pPr>
                  <w:r>
                    <w:rPr>
                      <w:rFonts w:hint="eastAsia"/>
                      <w:color w:val="000000" w:themeColor="text1"/>
                      <w:szCs w:val="21"/>
                    </w:rPr>
                    <w:t>37</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rFonts w:hint="eastAsia"/>
                      <w:color w:val="000000" w:themeColor="text1"/>
                      <w:szCs w:val="21"/>
                    </w:rPr>
                    <w:t>6</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8" w:type="dxa"/>
                  <w:vAlign w:val="center"/>
                </w:tcPr>
                <w:p>
                  <w:pPr>
                    <w:pStyle w:val="32"/>
                    <w:spacing w:line="360" w:lineRule="exact"/>
                    <w:rPr>
                      <w:color w:val="000000" w:themeColor="text1"/>
                      <w:szCs w:val="21"/>
                    </w:rPr>
                  </w:pPr>
                  <w:r>
                    <w:rPr>
                      <w:rFonts w:hint="eastAsia"/>
                      <w:color w:val="000000" w:themeColor="text1"/>
                      <w:szCs w:val="21"/>
                    </w:rPr>
                    <w:t>排气筒</w:t>
                  </w:r>
                </w:p>
              </w:tc>
              <w:tc>
                <w:tcPr>
                  <w:tcW w:w="2559" w:type="dxa"/>
                  <w:gridSpan w:val="2"/>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1根编号DA002，内径为1.2m，高为18m</w:t>
                  </w:r>
                </w:p>
              </w:tc>
              <w:tc>
                <w:tcPr>
                  <w:tcW w:w="701" w:type="dxa"/>
                  <w:vAlign w:val="center"/>
                </w:tcPr>
                <w:p>
                  <w:pPr>
                    <w:pStyle w:val="32"/>
                    <w:spacing w:line="360" w:lineRule="exact"/>
                    <w:rPr>
                      <w:color w:val="000000" w:themeColor="text1"/>
                      <w:szCs w:val="21"/>
                    </w:rPr>
                  </w:pPr>
                  <w:r>
                    <w:rPr>
                      <w:rFonts w:hint="eastAsia"/>
                      <w:color w:val="000000" w:themeColor="text1"/>
                      <w:szCs w:val="21"/>
                    </w:rPr>
                    <w:t>0.5</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rFonts w:hint="eastAsia"/>
                      <w:color w:val="000000" w:themeColor="text1"/>
                      <w:szCs w:val="21"/>
                    </w:rPr>
                    <w:t>0</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restart"/>
                  <w:vAlign w:val="center"/>
                </w:tcPr>
                <w:p>
                  <w:pPr>
                    <w:pStyle w:val="32"/>
                    <w:spacing w:line="360" w:lineRule="exact"/>
                    <w:rPr>
                      <w:color w:val="000000" w:themeColor="text1"/>
                      <w:szCs w:val="21"/>
                    </w:rPr>
                  </w:pPr>
                  <w:r>
                    <w:rPr>
                      <w:color w:val="000000" w:themeColor="text1"/>
                      <w:szCs w:val="21"/>
                    </w:rPr>
                    <w:t>废水</w:t>
                  </w:r>
                </w:p>
              </w:tc>
              <w:tc>
                <w:tcPr>
                  <w:tcW w:w="2126" w:type="dxa"/>
                  <w:gridSpan w:val="3"/>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雨污分流</w:t>
                  </w:r>
                </w:p>
              </w:tc>
              <w:tc>
                <w:tcPr>
                  <w:tcW w:w="2559"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雨水管网</w:t>
                  </w:r>
                </w:p>
              </w:tc>
              <w:tc>
                <w:tcPr>
                  <w:tcW w:w="701" w:type="dxa"/>
                  <w:vAlign w:val="center"/>
                </w:tcPr>
                <w:p>
                  <w:pPr>
                    <w:pStyle w:val="32"/>
                    <w:spacing w:line="360" w:lineRule="exact"/>
                    <w:rPr>
                      <w:color w:val="000000" w:themeColor="text1"/>
                      <w:szCs w:val="21"/>
                    </w:rPr>
                  </w:pPr>
                  <w:r>
                    <w:rPr>
                      <w:color w:val="000000" w:themeColor="text1"/>
                      <w:szCs w:val="21"/>
                    </w:rPr>
                    <w:t>--</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color w:val="000000" w:themeColor="text1"/>
                      <w:szCs w:val="21"/>
                    </w:rPr>
                    <w:t>--</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脱硫废水</w:t>
                  </w:r>
                </w:p>
              </w:tc>
              <w:tc>
                <w:tcPr>
                  <w:tcW w:w="141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脱硫废水沉淀池</w:t>
                  </w:r>
                </w:p>
              </w:tc>
              <w:tc>
                <w:tcPr>
                  <w:tcW w:w="2559" w:type="dxa"/>
                  <w:gridSpan w:val="2"/>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1个30</w:t>
                  </w:r>
                  <w:r>
                    <w:rPr>
                      <w:color w:val="000000" w:themeColor="text1"/>
                      <w:szCs w:val="21"/>
                    </w:rPr>
                    <w:t>m³</w:t>
                  </w:r>
                </w:p>
              </w:tc>
              <w:tc>
                <w:tcPr>
                  <w:tcW w:w="701" w:type="dxa"/>
                  <w:vAlign w:val="center"/>
                </w:tcPr>
                <w:p>
                  <w:pPr>
                    <w:pStyle w:val="32"/>
                    <w:spacing w:line="360" w:lineRule="exact"/>
                    <w:rPr>
                      <w:color w:val="000000" w:themeColor="text1"/>
                      <w:szCs w:val="21"/>
                    </w:rPr>
                  </w:pPr>
                  <w:r>
                    <w:rPr>
                      <w:rFonts w:hint="eastAsia"/>
                      <w:color w:val="000000" w:themeColor="text1"/>
                      <w:szCs w:val="21"/>
                    </w:rPr>
                    <w:t>4</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rFonts w:hint="eastAsia"/>
                      <w:color w:val="000000" w:themeColor="text1"/>
                      <w:szCs w:val="21"/>
                    </w:rPr>
                    <w:t>0</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Align w:val="center"/>
                </w:tcPr>
                <w:p>
                  <w:pPr>
                    <w:pStyle w:val="32"/>
                    <w:spacing w:line="360" w:lineRule="exact"/>
                    <w:rPr>
                      <w:color w:val="000000" w:themeColor="text1"/>
                      <w:szCs w:val="21"/>
                    </w:rPr>
                  </w:pPr>
                  <w:r>
                    <w:rPr>
                      <w:color w:val="000000" w:themeColor="text1"/>
                      <w:szCs w:val="21"/>
                    </w:rPr>
                    <w:t>初期雨水</w:t>
                  </w:r>
                </w:p>
              </w:tc>
              <w:tc>
                <w:tcPr>
                  <w:tcW w:w="1418" w:type="dxa"/>
                  <w:vAlign w:val="center"/>
                </w:tcPr>
                <w:p>
                  <w:pPr>
                    <w:pStyle w:val="32"/>
                    <w:spacing w:line="360" w:lineRule="exact"/>
                    <w:rPr>
                      <w:color w:val="000000" w:themeColor="text1"/>
                      <w:szCs w:val="21"/>
                    </w:rPr>
                  </w:pPr>
                  <w:r>
                    <w:rPr>
                      <w:color w:val="000000" w:themeColor="text1"/>
                      <w:szCs w:val="21"/>
                    </w:rPr>
                    <w:t>初期雨水收集池</w:t>
                  </w:r>
                </w:p>
              </w:tc>
              <w:tc>
                <w:tcPr>
                  <w:tcW w:w="2559"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6</w:t>
                  </w:r>
                  <w:r>
                    <w:rPr>
                      <w:color w:val="000000" w:themeColor="text1"/>
                      <w:szCs w:val="21"/>
                    </w:rPr>
                    <w:t>0m³</w:t>
                  </w:r>
                </w:p>
              </w:tc>
              <w:tc>
                <w:tcPr>
                  <w:tcW w:w="701" w:type="dxa"/>
                  <w:vAlign w:val="center"/>
                </w:tcPr>
                <w:p>
                  <w:pPr>
                    <w:pStyle w:val="32"/>
                    <w:spacing w:line="360" w:lineRule="exact"/>
                    <w:rPr>
                      <w:color w:val="000000" w:themeColor="text1"/>
                      <w:szCs w:val="21"/>
                    </w:rPr>
                  </w:pPr>
                  <w:r>
                    <w:rPr>
                      <w:rFonts w:hint="eastAsia"/>
                      <w:color w:val="000000" w:themeColor="text1"/>
                      <w:szCs w:val="21"/>
                    </w:rPr>
                    <w:t>5</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rFonts w:hint="eastAsia"/>
                      <w:color w:val="000000" w:themeColor="text1"/>
                      <w:szCs w:val="21"/>
                    </w:rPr>
                    <w:t>0</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Merge w:val="restart"/>
                  <w:vAlign w:val="center"/>
                </w:tcPr>
                <w:p>
                  <w:pPr>
                    <w:pStyle w:val="32"/>
                    <w:spacing w:line="360" w:lineRule="exact"/>
                    <w:rPr>
                      <w:color w:val="000000" w:themeColor="text1"/>
                      <w:szCs w:val="21"/>
                    </w:rPr>
                  </w:pPr>
                  <w:r>
                    <w:rPr>
                      <w:color w:val="000000" w:themeColor="text1"/>
                      <w:szCs w:val="21"/>
                    </w:rPr>
                    <w:t>生活污水</w:t>
                  </w:r>
                </w:p>
              </w:tc>
              <w:tc>
                <w:tcPr>
                  <w:tcW w:w="1418" w:type="dxa"/>
                  <w:vAlign w:val="center"/>
                </w:tcPr>
                <w:p>
                  <w:pPr>
                    <w:pStyle w:val="32"/>
                    <w:spacing w:line="360" w:lineRule="exact"/>
                    <w:rPr>
                      <w:color w:val="000000" w:themeColor="text1"/>
                      <w:szCs w:val="21"/>
                    </w:rPr>
                  </w:pPr>
                  <w:r>
                    <w:rPr>
                      <w:color w:val="000000" w:themeColor="text1"/>
                      <w:szCs w:val="21"/>
                    </w:rPr>
                    <w:t>隔油池</w:t>
                  </w:r>
                </w:p>
              </w:tc>
              <w:tc>
                <w:tcPr>
                  <w:tcW w:w="2559"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 xml:space="preserve">1个1m³ </w:t>
                  </w:r>
                </w:p>
              </w:tc>
              <w:tc>
                <w:tcPr>
                  <w:tcW w:w="701" w:type="dxa"/>
                  <w:vAlign w:val="center"/>
                </w:tcPr>
                <w:p>
                  <w:pPr>
                    <w:pStyle w:val="32"/>
                    <w:spacing w:line="360" w:lineRule="exact"/>
                    <w:rPr>
                      <w:color w:val="000000" w:themeColor="text1"/>
                      <w:szCs w:val="21"/>
                    </w:rPr>
                  </w:pPr>
                  <w:r>
                    <w:rPr>
                      <w:rFonts w:hint="eastAsia"/>
                      <w:color w:val="000000" w:themeColor="text1"/>
                      <w:szCs w:val="21"/>
                    </w:rPr>
                    <w:t>0.5</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color w:val="000000" w:themeColor="text1"/>
                      <w:szCs w:val="21"/>
                    </w:rPr>
                    <w:t>0</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color w:val="000000" w:themeColor="text1"/>
                      <w:szCs w:val="21"/>
                    </w:rPr>
                  </w:pPr>
                </w:p>
              </w:tc>
              <w:tc>
                <w:tcPr>
                  <w:tcW w:w="1418" w:type="dxa"/>
                  <w:vAlign w:val="center"/>
                </w:tcPr>
                <w:p>
                  <w:pPr>
                    <w:pStyle w:val="32"/>
                    <w:spacing w:line="360" w:lineRule="exact"/>
                    <w:rPr>
                      <w:color w:val="000000" w:themeColor="text1"/>
                      <w:szCs w:val="21"/>
                    </w:rPr>
                  </w:pPr>
                  <w:r>
                    <w:rPr>
                      <w:color w:val="000000" w:themeColor="text1"/>
                      <w:szCs w:val="21"/>
                    </w:rPr>
                    <w:t>化粪池</w:t>
                  </w:r>
                </w:p>
              </w:tc>
              <w:tc>
                <w:tcPr>
                  <w:tcW w:w="2559"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 xml:space="preserve">1个有效容积为10m³ </w:t>
                  </w:r>
                </w:p>
              </w:tc>
              <w:tc>
                <w:tcPr>
                  <w:tcW w:w="701" w:type="dxa"/>
                  <w:vAlign w:val="center"/>
                </w:tcPr>
                <w:p>
                  <w:pPr>
                    <w:pStyle w:val="32"/>
                    <w:spacing w:line="360" w:lineRule="exact"/>
                    <w:rPr>
                      <w:color w:val="000000" w:themeColor="text1"/>
                      <w:szCs w:val="21"/>
                    </w:rPr>
                  </w:pPr>
                  <w:r>
                    <w:rPr>
                      <w:rFonts w:hint="eastAsia"/>
                      <w:color w:val="000000" w:themeColor="text1"/>
                      <w:szCs w:val="21"/>
                    </w:rPr>
                    <w:t>1.2</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rFonts w:hint="eastAsia"/>
                      <w:color w:val="000000" w:themeColor="text1"/>
                      <w:szCs w:val="21"/>
                    </w:rPr>
                    <w:t>0</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color w:val="000000" w:themeColor="text1"/>
                      <w:szCs w:val="21"/>
                    </w:rPr>
                  </w:pPr>
                </w:p>
              </w:tc>
              <w:tc>
                <w:tcPr>
                  <w:tcW w:w="1418" w:type="dxa"/>
                  <w:vAlign w:val="center"/>
                </w:tcPr>
                <w:p>
                  <w:pPr>
                    <w:pStyle w:val="32"/>
                    <w:spacing w:line="360" w:lineRule="exact"/>
                    <w:rPr>
                      <w:color w:val="000000" w:themeColor="text1"/>
                      <w:szCs w:val="21"/>
                    </w:rPr>
                  </w:pPr>
                  <w:r>
                    <w:rPr>
                      <w:rFonts w:hint="eastAsia" w:eastAsiaTheme="minorEastAsia"/>
                      <w:color w:val="000000" w:themeColor="text1"/>
                      <w:szCs w:val="21"/>
                    </w:rPr>
                    <w:t>一体化污水处理设施</w:t>
                  </w:r>
                </w:p>
              </w:tc>
              <w:tc>
                <w:tcPr>
                  <w:tcW w:w="2559"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1套处理能力为5m³/d</w:t>
                  </w:r>
                </w:p>
              </w:tc>
              <w:tc>
                <w:tcPr>
                  <w:tcW w:w="701" w:type="dxa"/>
                  <w:vAlign w:val="center"/>
                </w:tcPr>
                <w:p>
                  <w:pPr>
                    <w:pStyle w:val="32"/>
                    <w:spacing w:line="360" w:lineRule="exact"/>
                    <w:rPr>
                      <w:color w:val="000000" w:themeColor="text1"/>
                      <w:szCs w:val="21"/>
                    </w:rPr>
                  </w:pPr>
                  <w:r>
                    <w:rPr>
                      <w:color w:val="000000" w:themeColor="text1"/>
                      <w:szCs w:val="21"/>
                    </w:rPr>
                    <w:t>1</w:t>
                  </w:r>
                  <w:r>
                    <w:rPr>
                      <w:rFonts w:hint="eastAsia"/>
                      <w:color w:val="000000" w:themeColor="text1"/>
                      <w:szCs w:val="21"/>
                    </w:rPr>
                    <w:t>0</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rFonts w:hint="eastAsia"/>
                      <w:color w:val="000000" w:themeColor="text1"/>
                      <w:szCs w:val="21"/>
                    </w:rPr>
                    <w:t>1.5</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color w:val="000000" w:themeColor="text1"/>
                      <w:szCs w:val="21"/>
                    </w:rPr>
                  </w:pPr>
                </w:p>
              </w:tc>
              <w:tc>
                <w:tcPr>
                  <w:tcW w:w="1418" w:type="dxa"/>
                  <w:vAlign w:val="center"/>
                </w:tcPr>
                <w:p>
                  <w:pPr>
                    <w:pStyle w:val="32"/>
                    <w:spacing w:line="360" w:lineRule="exact"/>
                    <w:rPr>
                      <w:color w:val="000000" w:themeColor="text1"/>
                      <w:szCs w:val="21"/>
                    </w:rPr>
                  </w:pPr>
                  <w:r>
                    <w:rPr>
                      <w:rFonts w:hint="eastAsia" w:eastAsiaTheme="minorEastAsia"/>
                      <w:color w:val="000000" w:themeColor="text1"/>
                      <w:szCs w:val="21"/>
                    </w:rPr>
                    <w:t>清水池</w:t>
                  </w:r>
                </w:p>
              </w:tc>
              <w:tc>
                <w:tcPr>
                  <w:tcW w:w="2559"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1个有效容积为10m³</w:t>
                  </w:r>
                </w:p>
              </w:tc>
              <w:tc>
                <w:tcPr>
                  <w:tcW w:w="701" w:type="dxa"/>
                  <w:vAlign w:val="center"/>
                </w:tcPr>
                <w:p>
                  <w:pPr>
                    <w:pStyle w:val="32"/>
                    <w:spacing w:line="360" w:lineRule="exact"/>
                    <w:rPr>
                      <w:color w:val="000000" w:themeColor="text1"/>
                      <w:szCs w:val="21"/>
                    </w:rPr>
                  </w:pPr>
                  <w:r>
                    <w:rPr>
                      <w:rFonts w:hint="eastAsia"/>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color w:val="000000" w:themeColor="text1"/>
                      <w:szCs w:val="21"/>
                    </w:rPr>
                    <w:t>0</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1275" w:type="dxa"/>
                  <w:gridSpan w:val="3"/>
                  <w:vMerge w:val="restart"/>
                  <w:vAlign w:val="center"/>
                </w:tcPr>
                <w:p>
                  <w:pPr>
                    <w:pStyle w:val="32"/>
                    <w:spacing w:line="360" w:lineRule="exact"/>
                    <w:rPr>
                      <w:color w:val="000000" w:themeColor="text1"/>
                      <w:szCs w:val="21"/>
                    </w:rPr>
                  </w:pPr>
                  <w:r>
                    <w:rPr>
                      <w:color w:val="000000" w:themeColor="text1"/>
                      <w:szCs w:val="21"/>
                    </w:rPr>
                    <w:t>地下水防渗</w:t>
                  </w:r>
                </w:p>
              </w:tc>
              <w:tc>
                <w:tcPr>
                  <w:tcW w:w="1418" w:type="dxa"/>
                  <w:vAlign w:val="center"/>
                </w:tcPr>
                <w:p>
                  <w:pPr>
                    <w:pStyle w:val="32"/>
                    <w:spacing w:line="360" w:lineRule="exact"/>
                    <w:rPr>
                      <w:color w:val="000000" w:themeColor="text1"/>
                      <w:szCs w:val="21"/>
                    </w:rPr>
                  </w:pPr>
                  <w:r>
                    <w:rPr>
                      <w:color w:val="000000" w:themeColor="text1"/>
                      <w:szCs w:val="21"/>
                    </w:rPr>
                    <w:t>重点防渗区</w:t>
                  </w:r>
                </w:p>
              </w:tc>
              <w:tc>
                <w:tcPr>
                  <w:tcW w:w="2559" w:type="dxa"/>
                  <w:gridSpan w:val="2"/>
                  <w:vAlign w:val="center"/>
                </w:tcPr>
                <w:p>
                  <w:pPr>
                    <w:pStyle w:val="32"/>
                    <w:spacing w:line="360" w:lineRule="exact"/>
                    <w:ind w:firstLine="210" w:firstLineChars="100"/>
                    <w:jc w:val="left"/>
                    <w:rPr>
                      <w:color w:val="000000" w:themeColor="text1"/>
                      <w:szCs w:val="21"/>
                      <w:lang w:val="en-US"/>
                    </w:rPr>
                  </w:pPr>
                  <w:r>
                    <w:rPr>
                      <w:color w:val="000000" w:themeColor="text1"/>
                      <w:szCs w:val="21"/>
                    </w:rPr>
                    <w:t>危险废物贮存间</w:t>
                  </w:r>
                  <w:r>
                    <w:rPr>
                      <w:rFonts w:hint="eastAsia"/>
                      <w:color w:val="000000" w:themeColor="text1"/>
                      <w:szCs w:val="21"/>
                    </w:rPr>
                    <w:t>地面和裙墙应采用</w:t>
                  </w:r>
                  <w:r>
                    <w:rPr>
                      <w:color w:val="000000" w:themeColor="text1"/>
                      <w:szCs w:val="21"/>
                    </w:rPr>
                    <w:t>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701" w:type="dxa"/>
                  <w:vAlign w:val="center"/>
                </w:tcPr>
                <w:p>
                  <w:pPr>
                    <w:pStyle w:val="32"/>
                    <w:spacing w:line="360" w:lineRule="exact"/>
                    <w:rPr>
                      <w:color w:val="000000" w:themeColor="text1"/>
                      <w:szCs w:val="21"/>
                    </w:rPr>
                  </w:pPr>
                  <w:r>
                    <w:rPr>
                      <w:rFonts w:hint="eastAsia"/>
                      <w:color w:val="000000" w:themeColor="text1"/>
                      <w:szCs w:val="21"/>
                    </w:rPr>
                    <w:t>0.5</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color w:val="000000" w:themeColor="text1"/>
                      <w:szCs w:val="21"/>
                    </w:rPr>
                    <w:t>0</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dxa"/>
                  <w:vMerge w:val="continue"/>
                  <w:vAlign w:val="center"/>
                </w:tcPr>
                <w:p>
                  <w:pPr>
                    <w:pStyle w:val="32"/>
                    <w:spacing w:line="360" w:lineRule="exact"/>
                    <w:rPr>
                      <w:color w:val="000000" w:themeColor="text1"/>
                      <w:szCs w:val="21"/>
                    </w:rPr>
                  </w:pPr>
                </w:p>
              </w:tc>
              <w:tc>
                <w:tcPr>
                  <w:tcW w:w="1275" w:type="dxa"/>
                  <w:gridSpan w:val="3"/>
                  <w:vMerge w:val="continue"/>
                  <w:vAlign w:val="center"/>
                </w:tcPr>
                <w:p>
                  <w:pPr>
                    <w:pStyle w:val="32"/>
                    <w:spacing w:line="360" w:lineRule="exact"/>
                    <w:rPr>
                      <w:color w:val="000000" w:themeColor="text1"/>
                      <w:szCs w:val="21"/>
                    </w:rPr>
                  </w:pPr>
                </w:p>
              </w:tc>
              <w:tc>
                <w:tcPr>
                  <w:tcW w:w="1418" w:type="dxa"/>
                  <w:vAlign w:val="center"/>
                </w:tcPr>
                <w:p>
                  <w:pPr>
                    <w:pStyle w:val="32"/>
                    <w:spacing w:line="360" w:lineRule="exact"/>
                    <w:rPr>
                      <w:color w:val="000000" w:themeColor="text1"/>
                      <w:szCs w:val="21"/>
                    </w:rPr>
                  </w:pPr>
                  <w:r>
                    <w:rPr>
                      <w:color w:val="000000" w:themeColor="text1"/>
                      <w:szCs w:val="21"/>
                    </w:rPr>
                    <w:t>一般防渗区</w:t>
                  </w:r>
                </w:p>
              </w:tc>
              <w:tc>
                <w:tcPr>
                  <w:tcW w:w="2559" w:type="dxa"/>
                  <w:gridSpan w:val="2"/>
                  <w:vAlign w:val="center"/>
                </w:tcPr>
                <w:p>
                  <w:pPr>
                    <w:pStyle w:val="32"/>
                    <w:spacing w:line="360" w:lineRule="exact"/>
                    <w:ind w:firstLine="210" w:firstLineChars="100"/>
                    <w:jc w:val="left"/>
                    <w:rPr>
                      <w:color w:val="000000" w:themeColor="text1"/>
                      <w:sz w:val="24"/>
                      <w:szCs w:val="24"/>
                    </w:rPr>
                  </w:pPr>
                  <w:r>
                    <w:rPr>
                      <w:rFonts w:hint="eastAsia"/>
                      <w:color w:val="000000" w:themeColor="text1"/>
                      <w:szCs w:val="21"/>
                    </w:rPr>
                    <w:t>项目脱硫除尘系统、库房、生活污水处理设施区域划定为一般防渗区</w:t>
                  </w:r>
                  <w:r>
                    <w:rPr>
                      <w:color w:val="000000" w:themeColor="text1"/>
                      <w:szCs w:val="21"/>
                    </w:rPr>
                    <w:t>，一般防渗区措施在地面采取粘土铺底，并在上层铺30cm的混凝土进行硬化。确保防渗性能</w:t>
                  </w:r>
                  <w:r>
                    <w:rPr>
                      <w:rFonts w:hint="eastAsia"/>
                      <w:color w:val="000000" w:themeColor="text1"/>
                      <w:szCs w:val="21"/>
                    </w:rPr>
                    <w:t>，使其渗透系数</w:t>
                  </w:r>
                  <w:r>
                    <w:rPr>
                      <w:color w:val="000000" w:themeColor="text1"/>
                      <w:szCs w:val="21"/>
                    </w:rPr>
                    <w:t>≤1.0×10</w:t>
                  </w:r>
                  <w:r>
                    <w:rPr>
                      <w:color w:val="000000" w:themeColor="text1"/>
                      <w:szCs w:val="21"/>
                      <w:vertAlign w:val="superscript"/>
                    </w:rPr>
                    <w:t>-</w:t>
                  </w:r>
                  <w:r>
                    <w:rPr>
                      <w:rFonts w:hint="eastAsia"/>
                      <w:color w:val="000000" w:themeColor="text1"/>
                      <w:szCs w:val="21"/>
                      <w:vertAlign w:val="superscript"/>
                    </w:rPr>
                    <w:t>7</w:t>
                  </w:r>
                  <w:r>
                    <w:rPr>
                      <w:color w:val="000000" w:themeColor="text1"/>
                      <w:szCs w:val="21"/>
                    </w:rPr>
                    <w:t>cm/s</w:t>
                  </w:r>
                </w:p>
              </w:tc>
              <w:tc>
                <w:tcPr>
                  <w:tcW w:w="701" w:type="dxa"/>
                  <w:vAlign w:val="center"/>
                </w:tcPr>
                <w:p>
                  <w:pPr>
                    <w:pStyle w:val="32"/>
                    <w:spacing w:line="360" w:lineRule="exact"/>
                    <w:rPr>
                      <w:color w:val="000000" w:themeColor="text1"/>
                      <w:szCs w:val="21"/>
                    </w:rPr>
                  </w:pPr>
                  <w:r>
                    <w:rPr>
                      <w:rFonts w:hint="eastAsia"/>
                      <w:color w:val="000000" w:themeColor="text1"/>
                      <w:szCs w:val="21"/>
                    </w:rPr>
                    <w:t>3</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color w:val="000000" w:themeColor="text1"/>
                      <w:szCs w:val="21"/>
                    </w:rPr>
                    <w:t>0</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606" w:type="dxa"/>
                  <w:gridSpan w:val="2"/>
                  <w:vAlign w:val="center"/>
                </w:tcPr>
                <w:p>
                  <w:pPr>
                    <w:pStyle w:val="32"/>
                    <w:spacing w:line="360" w:lineRule="exact"/>
                    <w:rPr>
                      <w:color w:val="000000" w:themeColor="text1"/>
                      <w:szCs w:val="21"/>
                    </w:rPr>
                  </w:pPr>
                  <w:r>
                    <w:rPr>
                      <w:color w:val="000000" w:themeColor="text1"/>
                      <w:szCs w:val="21"/>
                    </w:rPr>
                    <w:t>噪声</w:t>
                  </w:r>
                </w:p>
              </w:tc>
              <w:tc>
                <w:tcPr>
                  <w:tcW w:w="669" w:type="dxa"/>
                  <w:vAlign w:val="center"/>
                </w:tcPr>
                <w:p>
                  <w:pPr>
                    <w:pStyle w:val="32"/>
                    <w:spacing w:line="360" w:lineRule="exact"/>
                    <w:rPr>
                      <w:color w:val="000000" w:themeColor="text1"/>
                      <w:szCs w:val="21"/>
                    </w:rPr>
                  </w:pPr>
                  <w:r>
                    <w:rPr>
                      <w:color w:val="000000" w:themeColor="text1"/>
                      <w:szCs w:val="21"/>
                    </w:rPr>
                    <w:t>设备噪声</w:t>
                  </w:r>
                </w:p>
              </w:tc>
              <w:tc>
                <w:tcPr>
                  <w:tcW w:w="1418" w:type="dxa"/>
                  <w:vAlign w:val="center"/>
                </w:tcPr>
                <w:p>
                  <w:pPr>
                    <w:pStyle w:val="32"/>
                    <w:spacing w:line="360" w:lineRule="exact"/>
                    <w:rPr>
                      <w:color w:val="000000" w:themeColor="text1"/>
                      <w:szCs w:val="21"/>
                    </w:rPr>
                  </w:pPr>
                  <w:r>
                    <w:rPr>
                      <w:color w:val="000000" w:themeColor="text1"/>
                      <w:szCs w:val="21"/>
                    </w:rPr>
                    <w:t>减震垫、消声器等</w:t>
                  </w:r>
                </w:p>
              </w:tc>
              <w:tc>
                <w:tcPr>
                  <w:tcW w:w="2559"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701" w:type="dxa"/>
                  <w:vAlign w:val="center"/>
                </w:tcPr>
                <w:p>
                  <w:pPr>
                    <w:pStyle w:val="32"/>
                    <w:spacing w:line="360" w:lineRule="exact"/>
                    <w:rPr>
                      <w:color w:val="000000" w:themeColor="text1"/>
                      <w:szCs w:val="21"/>
                    </w:rPr>
                  </w:pPr>
                  <w:r>
                    <w:rPr>
                      <w:color w:val="000000" w:themeColor="text1"/>
                      <w:szCs w:val="21"/>
                    </w:rPr>
                    <w:t>2</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color w:val="000000" w:themeColor="text1"/>
                      <w:szCs w:val="21"/>
                    </w:rPr>
                    <w:t>0</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606" w:type="dxa"/>
                  <w:gridSpan w:val="2"/>
                  <w:vMerge w:val="restart"/>
                  <w:vAlign w:val="center"/>
                </w:tcPr>
                <w:p>
                  <w:pPr>
                    <w:pStyle w:val="32"/>
                    <w:spacing w:line="360" w:lineRule="exact"/>
                    <w:rPr>
                      <w:color w:val="000000" w:themeColor="text1"/>
                      <w:szCs w:val="21"/>
                    </w:rPr>
                  </w:pPr>
                  <w:r>
                    <w:rPr>
                      <w:color w:val="000000" w:themeColor="text1"/>
                      <w:szCs w:val="21"/>
                    </w:rPr>
                    <w:t>固废</w:t>
                  </w:r>
                </w:p>
              </w:tc>
              <w:tc>
                <w:tcPr>
                  <w:tcW w:w="669" w:type="dxa"/>
                  <w:vAlign w:val="center"/>
                </w:tcPr>
                <w:p>
                  <w:pPr>
                    <w:pStyle w:val="32"/>
                    <w:spacing w:line="360" w:lineRule="exact"/>
                    <w:rPr>
                      <w:color w:val="000000" w:themeColor="text1"/>
                      <w:szCs w:val="21"/>
                    </w:rPr>
                  </w:pPr>
                  <w:r>
                    <w:rPr>
                      <w:color w:val="000000" w:themeColor="text1"/>
                      <w:szCs w:val="21"/>
                    </w:rPr>
                    <w:t>危险废物</w:t>
                  </w:r>
                </w:p>
              </w:tc>
              <w:tc>
                <w:tcPr>
                  <w:tcW w:w="1418" w:type="dxa"/>
                  <w:vAlign w:val="center"/>
                </w:tcPr>
                <w:p>
                  <w:pPr>
                    <w:pStyle w:val="32"/>
                    <w:spacing w:line="360" w:lineRule="exact"/>
                    <w:rPr>
                      <w:color w:val="000000" w:themeColor="text1"/>
                      <w:szCs w:val="21"/>
                    </w:rPr>
                  </w:pPr>
                  <w:r>
                    <w:rPr>
                      <w:color w:val="000000" w:themeColor="text1"/>
                      <w:szCs w:val="21"/>
                    </w:rPr>
                    <w:t>危险废物贮存间</w:t>
                  </w:r>
                </w:p>
              </w:tc>
              <w:tc>
                <w:tcPr>
                  <w:tcW w:w="2559"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1</w:t>
                  </w:r>
                  <w:r>
                    <w:rPr>
                      <w:color w:val="000000" w:themeColor="text1"/>
                      <w:szCs w:val="21"/>
                    </w:rPr>
                    <w:t>0m²</w:t>
                  </w:r>
                </w:p>
              </w:tc>
              <w:tc>
                <w:tcPr>
                  <w:tcW w:w="701" w:type="dxa"/>
                  <w:vAlign w:val="center"/>
                </w:tcPr>
                <w:p>
                  <w:pPr>
                    <w:pStyle w:val="32"/>
                    <w:spacing w:line="360" w:lineRule="exact"/>
                    <w:rPr>
                      <w:color w:val="000000" w:themeColor="text1"/>
                      <w:szCs w:val="21"/>
                    </w:rPr>
                  </w:pPr>
                  <w:r>
                    <w:rPr>
                      <w:rFonts w:hint="eastAsia"/>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color w:val="000000" w:themeColor="text1"/>
                      <w:szCs w:val="21"/>
                    </w:rPr>
                    <w:t>6</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606" w:type="dxa"/>
                  <w:gridSpan w:val="2"/>
                  <w:vMerge w:val="continue"/>
                  <w:vAlign w:val="center"/>
                </w:tcPr>
                <w:p>
                  <w:pPr>
                    <w:pStyle w:val="32"/>
                    <w:spacing w:line="360" w:lineRule="exact"/>
                    <w:rPr>
                      <w:color w:val="000000" w:themeColor="text1"/>
                      <w:szCs w:val="21"/>
                    </w:rPr>
                  </w:pPr>
                </w:p>
              </w:tc>
              <w:tc>
                <w:tcPr>
                  <w:tcW w:w="669" w:type="dxa"/>
                  <w:vAlign w:val="center"/>
                </w:tcPr>
                <w:p>
                  <w:pPr>
                    <w:pStyle w:val="32"/>
                    <w:spacing w:line="360" w:lineRule="exact"/>
                    <w:rPr>
                      <w:color w:val="000000" w:themeColor="text1"/>
                      <w:szCs w:val="21"/>
                    </w:rPr>
                  </w:pPr>
                  <w:r>
                    <w:rPr>
                      <w:rFonts w:hint="eastAsia"/>
                      <w:color w:val="000000" w:themeColor="text1"/>
                      <w:szCs w:val="21"/>
                    </w:rPr>
                    <w:t>生活垃圾</w:t>
                  </w:r>
                </w:p>
              </w:tc>
              <w:tc>
                <w:tcPr>
                  <w:tcW w:w="1418" w:type="dxa"/>
                  <w:vAlign w:val="center"/>
                </w:tcPr>
                <w:p>
                  <w:pPr>
                    <w:pStyle w:val="32"/>
                    <w:spacing w:line="360" w:lineRule="exact"/>
                    <w:rPr>
                      <w:color w:val="000000" w:themeColor="text1"/>
                      <w:szCs w:val="21"/>
                    </w:rPr>
                  </w:pPr>
                  <w:r>
                    <w:rPr>
                      <w:rFonts w:hint="eastAsia"/>
                      <w:color w:val="000000" w:themeColor="text1"/>
                      <w:szCs w:val="21"/>
                    </w:rPr>
                    <w:t>生活垃圾桶</w:t>
                  </w:r>
                </w:p>
              </w:tc>
              <w:tc>
                <w:tcPr>
                  <w:tcW w:w="2559" w:type="dxa"/>
                  <w:gridSpan w:val="2"/>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w:t>
                  </w:r>
                </w:p>
              </w:tc>
              <w:tc>
                <w:tcPr>
                  <w:tcW w:w="701" w:type="dxa"/>
                  <w:vAlign w:val="center"/>
                </w:tcPr>
                <w:p>
                  <w:pPr>
                    <w:pStyle w:val="32"/>
                    <w:spacing w:line="360" w:lineRule="exact"/>
                    <w:rPr>
                      <w:color w:val="000000" w:themeColor="text1"/>
                      <w:szCs w:val="21"/>
                    </w:rPr>
                  </w:pPr>
                  <w:r>
                    <w:rPr>
                      <w:rFonts w:hint="eastAsia"/>
                      <w:color w:val="000000" w:themeColor="text1"/>
                      <w:szCs w:val="21"/>
                    </w:rPr>
                    <w:t>0.01</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color w:val="000000" w:themeColor="text1"/>
                      <w:szCs w:val="21"/>
                    </w:rPr>
                    <w:t>2</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32"/>
                    <w:spacing w:line="360" w:lineRule="exact"/>
                    <w:rPr>
                      <w:color w:val="000000" w:themeColor="text1"/>
                      <w:szCs w:val="21"/>
                    </w:rPr>
                  </w:pPr>
                </w:p>
              </w:tc>
              <w:tc>
                <w:tcPr>
                  <w:tcW w:w="606" w:type="dxa"/>
                  <w:gridSpan w:val="2"/>
                  <w:vAlign w:val="center"/>
                </w:tcPr>
                <w:p>
                  <w:pPr>
                    <w:pStyle w:val="32"/>
                    <w:spacing w:line="360" w:lineRule="exact"/>
                    <w:rPr>
                      <w:color w:val="000000" w:themeColor="text1"/>
                      <w:szCs w:val="21"/>
                    </w:rPr>
                  </w:pPr>
                  <w:r>
                    <w:rPr>
                      <w:color w:val="000000" w:themeColor="text1"/>
                      <w:szCs w:val="21"/>
                    </w:rPr>
                    <w:t>其他</w:t>
                  </w:r>
                </w:p>
              </w:tc>
              <w:tc>
                <w:tcPr>
                  <w:tcW w:w="2087" w:type="dxa"/>
                  <w:gridSpan w:val="2"/>
                  <w:vAlign w:val="center"/>
                </w:tcPr>
                <w:p>
                  <w:pPr>
                    <w:pStyle w:val="32"/>
                    <w:spacing w:line="360" w:lineRule="exact"/>
                    <w:rPr>
                      <w:color w:val="000000" w:themeColor="text1"/>
                      <w:szCs w:val="21"/>
                    </w:rPr>
                  </w:pPr>
                  <w:r>
                    <w:rPr>
                      <w:color w:val="000000" w:themeColor="text1"/>
                      <w:szCs w:val="21"/>
                    </w:rPr>
                    <w:t>标识牌</w:t>
                  </w:r>
                </w:p>
              </w:tc>
              <w:tc>
                <w:tcPr>
                  <w:tcW w:w="2559"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701" w:type="dxa"/>
                  <w:vAlign w:val="center"/>
                </w:tcPr>
                <w:p>
                  <w:pPr>
                    <w:pStyle w:val="32"/>
                    <w:spacing w:line="360" w:lineRule="exact"/>
                    <w:rPr>
                      <w:color w:val="000000" w:themeColor="text1"/>
                      <w:szCs w:val="21"/>
                    </w:rPr>
                  </w:pPr>
                  <w:r>
                    <w:rPr>
                      <w:color w:val="000000" w:themeColor="text1"/>
                      <w:szCs w:val="21"/>
                    </w:rPr>
                    <w:t>0.1</w:t>
                  </w:r>
                </w:p>
              </w:tc>
              <w:tc>
                <w:tcPr>
                  <w:tcW w:w="709" w:type="dxa"/>
                  <w:gridSpan w:val="2"/>
                  <w:vMerge w:val="continue"/>
                  <w:vAlign w:val="center"/>
                </w:tcPr>
                <w:p>
                  <w:pPr>
                    <w:pStyle w:val="32"/>
                    <w:spacing w:line="360" w:lineRule="exact"/>
                    <w:rPr>
                      <w:color w:val="000000" w:themeColor="text1"/>
                      <w:szCs w:val="21"/>
                    </w:rPr>
                  </w:pPr>
                </w:p>
              </w:tc>
              <w:tc>
                <w:tcPr>
                  <w:tcW w:w="781" w:type="dxa"/>
                  <w:vAlign w:val="center"/>
                </w:tcPr>
                <w:p>
                  <w:pPr>
                    <w:pStyle w:val="32"/>
                    <w:spacing w:line="360" w:lineRule="exact"/>
                    <w:rPr>
                      <w:color w:val="000000" w:themeColor="text1"/>
                      <w:szCs w:val="21"/>
                    </w:rPr>
                  </w:pPr>
                  <w:r>
                    <w:rPr>
                      <w:color w:val="000000" w:themeColor="text1"/>
                      <w:szCs w:val="21"/>
                    </w:rPr>
                    <w:t>0</w:t>
                  </w:r>
                </w:p>
              </w:tc>
              <w:tc>
                <w:tcPr>
                  <w:tcW w:w="711"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3" w:type="dxa"/>
                  <w:gridSpan w:val="7"/>
                  <w:vAlign w:val="center"/>
                </w:tcPr>
                <w:p>
                  <w:pPr>
                    <w:pStyle w:val="32"/>
                    <w:spacing w:line="360" w:lineRule="exact"/>
                    <w:rPr>
                      <w:color w:val="000000" w:themeColor="text1"/>
                      <w:szCs w:val="21"/>
                    </w:rPr>
                  </w:pPr>
                  <w:r>
                    <w:rPr>
                      <w:color w:val="000000" w:themeColor="text1"/>
                      <w:szCs w:val="21"/>
                    </w:rPr>
                    <w:t>管理相关费用</w:t>
                  </w:r>
                </w:p>
              </w:tc>
              <w:tc>
                <w:tcPr>
                  <w:tcW w:w="2902" w:type="dxa"/>
                  <w:gridSpan w:val="5"/>
                  <w:vAlign w:val="center"/>
                </w:tcPr>
                <w:p>
                  <w:pPr>
                    <w:pStyle w:val="32"/>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3" w:type="dxa"/>
                  <w:gridSpan w:val="7"/>
                  <w:vAlign w:val="center"/>
                </w:tcPr>
                <w:p>
                  <w:pPr>
                    <w:pStyle w:val="32"/>
                    <w:spacing w:line="360" w:lineRule="exact"/>
                    <w:rPr>
                      <w:color w:val="000000" w:themeColor="text1"/>
                      <w:szCs w:val="21"/>
                    </w:rPr>
                  </w:pPr>
                  <w:r>
                    <w:rPr>
                      <w:color w:val="000000" w:themeColor="text1"/>
                      <w:szCs w:val="21"/>
                    </w:rPr>
                    <w:t>合计</w:t>
                  </w:r>
                </w:p>
              </w:tc>
              <w:tc>
                <w:tcPr>
                  <w:tcW w:w="843" w:type="dxa"/>
                  <w:gridSpan w:val="2"/>
                  <w:vAlign w:val="center"/>
                </w:tcPr>
                <w:p>
                  <w:pPr>
                    <w:pStyle w:val="32"/>
                    <w:spacing w:line="360" w:lineRule="exact"/>
                    <w:rPr>
                      <w:color w:val="000000" w:themeColor="text1"/>
                      <w:szCs w:val="21"/>
                    </w:rPr>
                  </w:pPr>
                  <w:r>
                    <w:rPr>
                      <w:color w:val="000000" w:themeColor="text1"/>
                      <w:szCs w:val="21"/>
                    </w:rPr>
                    <w:t>100.21</w:t>
                  </w:r>
                </w:p>
              </w:tc>
              <w:tc>
                <w:tcPr>
                  <w:tcW w:w="567" w:type="dxa"/>
                  <w:vAlign w:val="center"/>
                </w:tcPr>
                <w:p>
                  <w:pPr>
                    <w:pStyle w:val="32"/>
                    <w:spacing w:line="360" w:lineRule="exact"/>
                    <w:rPr>
                      <w:color w:val="000000" w:themeColor="text1"/>
                      <w:szCs w:val="21"/>
                    </w:rPr>
                  </w:pPr>
                  <w:r>
                    <w:rPr>
                      <w:color w:val="000000" w:themeColor="text1"/>
                      <w:szCs w:val="21"/>
                    </w:rPr>
                    <w:t>--</w:t>
                  </w:r>
                </w:p>
              </w:tc>
              <w:tc>
                <w:tcPr>
                  <w:tcW w:w="781" w:type="dxa"/>
                  <w:vAlign w:val="center"/>
                </w:tcPr>
                <w:p>
                  <w:pPr>
                    <w:pStyle w:val="32"/>
                    <w:spacing w:line="360" w:lineRule="exact"/>
                    <w:rPr>
                      <w:color w:val="000000" w:themeColor="text1"/>
                      <w:szCs w:val="21"/>
                    </w:rPr>
                  </w:pPr>
                  <w:r>
                    <w:rPr>
                      <w:rFonts w:hint="eastAsia"/>
                      <w:color w:val="000000" w:themeColor="text1"/>
                      <w:szCs w:val="21"/>
                    </w:rPr>
                    <w:t>18.3</w:t>
                  </w:r>
                </w:p>
              </w:tc>
              <w:tc>
                <w:tcPr>
                  <w:tcW w:w="711" w:type="dxa"/>
                  <w:vAlign w:val="center"/>
                </w:tcPr>
                <w:p>
                  <w:pPr>
                    <w:pStyle w:val="32"/>
                    <w:spacing w:line="360" w:lineRule="exact"/>
                    <w:rPr>
                      <w:color w:val="000000" w:themeColor="text1"/>
                      <w:szCs w:val="21"/>
                    </w:rPr>
                  </w:pPr>
                  <w:r>
                    <w:rPr>
                      <w:color w:val="000000" w:themeColor="text1"/>
                      <w:szCs w:val="21"/>
                    </w:rPr>
                    <w:t>--</w:t>
                  </w:r>
                </w:p>
              </w:tc>
            </w:tr>
          </w:tbl>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21"/>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8"/>
        <w:gridCol w:w="463"/>
        <w:gridCol w:w="847"/>
        <w:gridCol w:w="847"/>
        <w:gridCol w:w="852"/>
        <w:gridCol w:w="1125"/>
        <w:gridCol w:w="2955"/>
        <w:gridCol w:w="1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1" w:type="dxa"/>
            <w:gridSpan w:val="2"/>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546"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12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5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0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w:t>
            </w:r>
          </w:p>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境</w:t>
            </w:r>
          </w:p>
        </w:tc>
        <w:tc>
          <w:tcPr>
            <w:tcW w:w="463" w:type="dxa"/>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施工期</w:t>
            </w:r>
          </w:p>
        </w:tc>
        <w:tc>
          <w:tcPr>
            <w:tcW w:w="1694" w:type="dxa"/>
            <w:gridSpan w:val="2"/>
            <w:tcBorders>
              <w:right w:val="single" w:color="auto" w:sz="4" w:space="0"/>
            </w:tcBorders>
            <w:vAlign w:val="center"/>
          </w:tcPr>
          <w:p>
            <w:pPr>
              <w:pStyle w:val="32"/>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施工场地</w:t>
            </w:r>
          </w:p>
        </w:tc>
        <w:tc>
          <w:tcPr>
            <w:tcW w:w="852" w:type="dxa"/>
            <w:tcBorders>
              <w:left w:val="single" w:color="auto" w:sz="4" w:space="0"/>
            </w:tcBorders>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125"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扬尘</w:t>
            </w:r>
          </w:p>
        </w:tc>
        <w:tc>
          <w:tcPr>
            <w:tcW w:w="2955" w:type="dxa"/>
            <w:vAlign w:val="center"/>
          </w:tcPr>
          <w:p>
            <w:pPr>
              <w:pStyle w:val="32"/>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 1 \* GB3 </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在施工场地安排员工定期对施工场地洒水以减少扬尘量，若遇到大风或干燥天气可适当增加洒水次数；并采取遮阴网覆盖等措施降低扬尘产生；</w:t>
            </w:r>
          </w:p>
          <w:p>
            <w:pPr>
              <w:pStyle w:val="32"/>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 2 \* GB3 </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尽量避免在大风天气下进行施工作业。根据同类项目工程经验，4级以上大风天气不宜实施土方施工；</w:t>
            </w:r>
          </w:p>
          <w:p>
            <w:pPr>
              <w:pStyle w:val="32"/>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 3 \* GB3 </w:instrText>
            </w:r>
            <w:r>
              <w:rPr>
                <w:color w:val="000000" w:themeColor="text1"/>
                <w:szCs w:val="21"/>
              </w:rPr>
              <w:fldChar w:fldCharType="separate"/>
            </w:r>
            <w:r>
              <w:rPr>
                <w:color w:val="000000" w:themeColor="text1"/>
                <w:szCs w:val="21"/>
              </w:rPr>
              <w:t>③</w:t>
            </w:r>
            <w:r>
              <w:rPr>
                <w:color w:val="000000" w:themeColor="text1"/>
                <w:szCs w:val="21"/>
              </w:rPr>
              <w:fldChar w:fldCharType="end"/>
            </w:r>
            <w:r>
              <w:rPr>
                <w:color w:val="000000" w:themeColor="text1"/>
                <w:szCs w:val="21"/>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tc>
        <w:tc>
          <w:tcPr>
            <w:tcW w:w="170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color w:val="000000" w:themeColor="text1"/>
                <w:szCs w:val="21"/>
              </w:rPr>
              <w:t>《大气污染物综合排放标准》（GB16297-1996）表2中无组织排放浓度排放限值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运营期</w:t>
            </w:r>
          </w:p>
        </w:tc>
        <w:tc>
          <w:tcPr>
            <w:tcW w:w="847" w:type="dxa"/>
            <w:vAlign w:val="center"/>
          </w:tcPr>
          <w:p>
            <w:pPr>
              <w:pStyle w:val="32"/>
              <w:spacing w:line="360" w:lineRule="exact"/>
              <w:rPr>
                <w:color w:val="000000" w:themeColor="text1"/>
                <w:szCs w:val="21"/>
              </w:rPr>
            </w:pPr>
            <w:r>
              <w:rPr>
                <w:color w:val="000000" w:themeColor="text1"/>
                <w:szCs w:val="21"/>
              </w:rPr>
              <w:t>红富公司弃土场</w:t>
            </w:r>
          </w:p>
        </w:tc>
        <w:tc>
          <w:tcPr>
            <w:tcW w:w="847" w:type="dxa"/>
            <w:vAlign w:val="center"/>
          </w:tcPr>
          <w:p>
            <w:pPr>
              <w:pStyle w:val="32"/>
              <w:spacing w:line="360" w:lineRule="exact"/>
              <w:rPr>
                <w:color w:val="000000" w:themeColor="text1"/>
                <w:szCs w:val="21"/>
              </w:rPr>
            </w:pPr>
            <w:r>
              <w:rPr>
                <w:color w:val="000000" w:themeColor="text1"/>
                <w:szCs w:val="21"/>
              </w:rPr>
              <w:t>页岩采装</w:t>
            </w:r>
          </w:p>
        </w:tc>
        <w:tc>
          <w:tcPr>
            <w:tcW w:w="852"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125" w:type="dxa"/>
            <w:vAlign w:val="center"/>
          </w:tcPr>
          <w:p>
            <w:pPr>
              <w:pStyle w:val="32"/>
              <w:rPr>
                <w:rFonts w:eastAsiaTheme="minorEastAsia"/>
                <w:color w:val="000000" w:themeColor="text1"/>
                <w:szCs w:val="21"/>
              </w:rPr>
            </w:pPr>
            <w:r>
              <w:rPr>
                <w:color w:val="000000" w:themeColor="text1"/>
                <w:szCs w:val="21"/>
              </w:rPr>
              <w:t>颗粒物</w:t>
            </w:r>
          </w:p>
        </w:tc>
        <w:tc>
          <w:tcPr>
            <w:tcW w:w="2955" w:type="dxa"/>
            <w:vAlign w:val="center"/>
          </w:tcPr>
          <w:p>
            <w:pPr>
              <w:pStyle w:val="32"/>
              <w:spacing w:line="360" w:lineRule="exact"/>
              <w:ind w:firstLine="210" w:firstLineChars="100"/>
              <w:jc w:val="both"/>
              <w:rPr>
                <w:color w:val="000000" w:themeColor="text1"/>
                <w:szCs w:val="21"/>
              </w:rPr>
            </w:pPr>
            <w:r>
              <w:rPr>
                <w:color w:val="000000" w:themeColor="text1"/>
                <w:szCs w:val="21"/>
              </w:rPr>
              <w:t>针对页岩采装过程扬尘，项目拟配套设置1套洒水抑尘设施对在弃土场采装页岩时产生的扬尘进行抑制，洒水抑尘扬尘抑制率约50%。</w:t>
            </w:r>
          </w:p>
        </w:tc>
        <w:tc>
          <w:tcPr>
            <w:tcW w:w="1703" w:type="dxa"/>
            <w:vMerge w:val="restart"/>
            <w:tcBorders>
              <w:top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《砖瓦工业大气污染物排放标准》（GB29620-2013）</w:t>
            </w:r>
            <w:r>
              <w:rPr>
                <w:rFonts w:hint="eastAsia"/>
                <w:color w:val="000000" w:themeColor="text1"/>
                <w:szCs w:val="21"/>
              </w:rPr>
              <w:t>及其修改单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restart"/>
            <w:vAlign w:val="center"/>
          </w:tcPr>
          <w:p>
            <w:pPr>
              <w:pStyle w:val="32"/>
              <w:spacing w:line="360" w:lineRule="exact"/>
              <w:rPr>
                <w:color w:val="000000" w:themeColor="text1"/>
                <w:szCs w:val="21"/>
              </w:rPr>
            </w:pPr>
            <w:r>
              <w:rPr>
                <w:color w:val="000000" w:themeColor="text1"/>
                <w:szCs w:val="21"/>
              </w:rPr>
              <w:t>原料堆场</w:t>
            </w:r>
          </w:p>
        </w:tc>
        <w:tc>
          <w:tcPr>
            <w:tcW w:w="847" w:type="dxa"/>
            <w:vAlign w:val="center"/>
          </w:tcPr>
          <w:p>
            <w:pPr>
              <w:pStyle w:val="32"/>
              <w:spacing w:line="360" w:lineRule="exact"/>
              <w:rPr>
                <w:color w:val="000000" w:themeColor="text1"/>
                <w:szCs w:val="21"/>
              </w:rPr>
            </w:pPr>
            <w:r>
              <w:rPr>
                <w:color w:val="000000" w:themeColor="text1"/>
                <w:szCs w:val="21"/>
              </w:rPr>
              <w:t>原料卸料</w:t>
            </w:r>
          </w:p>
        </w:tc>
        <w:tc>
          <w:tcPr>
            <w:tcW w:w="852"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125" w:type="dxa"/>
            <w:vAlign w:val="center"/>
          </w:tcPr>
          <w:p>
            <w:pPr>
              <w:pStyle w:val="32"/>
              <w:rPr>
                <w:rFonts w:eastAsiaTheme="minorEastAsia"/>
                <w:color w:val="000000" w:themeColor="text1"/>
                <w:szCs w:val="21"/>
              </w:rPr>
            </w:pPr>
            <w:r>
              <w:rPr>
                <w:color w:val="000000" w:themeColor="text1"/>
                <w:szCs w:val="21"/>
              </w:rPr>
              <w:t>颗粒物</w:t>
            </w:r>
          </w:p>
        </w:tc>
        <w:tc>
          <w:tcPr>
            <w:tcW w:w="2955"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对页岩堆场和煤料堆场，除车辆进出区域，其他区域均设置不低于物料堆存高度围挡和顶棚，并配套设置洒水抑尘设施，其扬尘抑制率约为80%。</w:t>
            </w: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rPr>
                <w:color w:val="000000" w:themeColor="text1"/>
              </w:rPr>
            </w:pPr>
          </w:p>
        </w:tc>
        <w:tc>
          <w:tcPr>
            <w:tcW w:w="847" w:type="dxa"/>
            <w:vAlign w:val="center"/>
          </w:tcPr>
          <w:p>
            <w:pPr>
              <w:pStyle w:val="32"/>
              <w:spacing w:line="360" w:lineRule="exact"/>
              <w:rPr>
                <w:color w:val="000000" w:themeColor="text1"/>
                <w:szCs w:val="21"/>
              </w:rPr>
            </w:pPr>
            <w:r>
              <w:rPr>
                <w:color w:val="000000" w:themeColor="text1"/>
                <w:szCs w:val="21"/>
              </w:rPr>
              <w:t>贮存</w:t>
            </w:r>
          </w:p>
        </w:tc>
        <w:tc>
          <w:tcPr>
            <w:tcW w:w="852"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125" w:type="dxa"/>
            <w:vAlign w:val="center"/>
          </w:tcPr>
          <w:p>
            <w:pPr>
              <w:pStyle w:val="32"/>
              <w:rPr>
                <w:rFonts w:eastAsiaTheme="minorEastAsia"/>
                <w:color w:val="000000" w:themeColor="text1"/>
                <w:szCs w:val="21"/>
              </w:rPr>
            </w:pPr>
            <w:r>
              <w:rPr>
                <w:color w:val="000000" w:themeColor="text1"/>
                <w:szCs w:val="21"/>
              </w:rPr>
              <w:t>颗粒物</w:t>
            </w:r>
          </w:p>
        </w:tc>
        <w:tc>
          <w:tcPr>
            <w:tcW w:w="2955" w:type="dxa"/>
            <w:vMerge w:val="continue"/>
            <w:vAlign w:val="center"/>
          </w:tcPr>
          <w:p>
            <w:pPr>
              <w:pStyle w:val="32"/>
              <w:spacing w:line="360" w:lineRule="exact"/>
              <w:ind w:firstLine="210" w:firstLineChars="100"/>
              <w:jc w:val="both"/>
              <w:rPr>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Align w:val="center"/>
          </w:tcPr>
          <w:p>
            <w:pPr>
              <w:pStyle w:val="32"/>
              <w:spacing w:line="360" w:lineRule="exact"/>
              <w:rPr>
                <w:color w:val="000000" w:themeColor="text1"/>
                <w:szCs w:val="21"/>
              </w:rPr>
            </w:pPr>
            <w:r>
              <w:rPr>
                <w:color w:val="000000" w:themeColor="text1"/>
                <w:szCs w:val="21"/>
              </w:rPr>
              <w:t>生产车间</w:t>
            </w:r>
          </w:p>
        </w:tc>
        <w:tc>
          <w:tcPr>
            <w:tcW w:w="847" w:type="dxa"/>
            <w:vAlign w:val="center"/>
          </w:tcPr>
          <w:p>
            <w:pPr>
              <w:pStyle w:val="32"/>
              <w:spacing w:line="360" w:lineRule="exact"/>
              <w:rPr>
                <w:color w:val="000000" w:themeColor="text1"/>
                <w:szCs w:val="21"/>
              </w:rPr>
            </w:pPr>
            <w:r>
              <w:rPr>
                <w:color w:val="000000" w:themeColor="text1"/>
                <w:szCs w:val="21"/>
              </w:rPr>
              <w:t>原料输送过程</w:t>
            </w:r>
          </w:p>
        </w:tc>
        <w:tc>
          <w:tcPr>
            <w:tcW w:w="852"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125" w:type="dxa"/>
            <w:vAlign w:val="center"/>
          </w:tcPr>
          <w:p>
            <w:pPr>
              <w:pStyle w:val="32"/>
              <w:rPr>
                <w:rFonts w:eastAsiaTheme="minorEastAsia"/>
                <w:color w:val="000000" w:themeColor="text1"/>
                <w:szCs w:val="21"/>
              </w:rPr>
            </w:pPr>
            <w:r>
              <w:rPr>
                <w:color w:val="000000" w:themeColor="text1"/>
                <w:szCs w:val="21"/>
              </w:rPr>
              <w:t>颗粒物</w:t>
            </w:r>
          </w:p>
        </w:tc>
        <w:tc>
          <w:tcPr>
            <w:tcW w:w="2955" w:type="dxa"/>
            <w:vAlign w:val="center"/>
          </w:tcPr>
          <w:p>
            <w:pPr>
              <w:pStyle w:val="32"/>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1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⑴</w:t>
            </w:r>
            <w:r>
              <w:rPr>
                <w:color w:val="000000" w:themeColor="text1"/>
                <w:szCs w:val="21"/>
              </w:rPr>
              <w:fldChar w:fldCharType="end"/>
            </w:r>
            <w:r>
              <w:rPr>
                <w:rFonts w:hint="eastAsia"/>
                <w:color w:val="000000" w:themeColor="text1"/>
                <w:szCs w:val="21"/>
              </w:rPr>
              <w:t>针对装载机采装、卸料及运输过程会产生的扬尘，项目拟在车间内设置雾炮机对其进行洒水降尘，其扬尘抑制率约为80%。</w:t>
            </w:r>
          </w:p>
          <w:p>
            <w:pPr>
              <w:pStyle w:val="32"/>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2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⑵</w:t>
            </w:r>
            <w:r>
              <w:rPr>
                <w:color w:val="000000" w:themeColor="text1"/>
                <w:szCs w:val="21"/>
              </w:rPr>
              <w:fldChar w:fldCharType="end"/>
            </w:r>
            <w:r>
              <w:rPr>
                <w:rFonts w:hint="eastAsia"/>
                <w:color w:val="000000" w:themeColor="text1"/>
                <w:szCs w:val="21"/>
              </w:rPr>
              <w:t>为降低扬尘对环境的影响，各工段之间的粉料运输均采用皮带密闭运输。</w:t>
            </w: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Align w:val="center"/>
          </w:tcPr>
          <w:p>
            <w:pPr>
              <w:pStyle w:val="32"/>
              <w:spacing w:line="360" w:lineRule="exact"/>
              <w:rPr>
                <w:color w:val="000000" w:themeColor="text1"/>
                <w:szCs w:val="21"/>
              </w:rPr>
            </w:pPr>
            <w:r>
              <w:rPr>
                <w:color w:val="000000" w:themeColor="text1"/>
                <w:szCs w:val="21"/>
              </w:rPr>
              <w:t>破碎车间</w:t>
            </w:r>
          </w:p>
        </w:tc>
        <w:tc>
          <w:tcPr>
            <w:tcW w:w="847" w:type="dxa"/>
            <w:vAlign w:val="center"/>
          </w:tcPr>
          <w:p>
            <w:pPr>
              <w:pStyle w:val="32"/>
              <w:spacing w:line="360" w:lineRule="exact"/>
              <w:rPr>
                <w:color w:val="000000" w:themeColor="text1"/>
                <w:szCs w:val="21"/>
              </w:rPr>
            </w:pPr>
            <w:r>
              <w:rPr>
                <w:color w:val="000000" w:themeColor="text1"/>
                <w:szCs w:val="21"/>
              </w:rPr>
              <w:t>颚破、混合、粉碎和筛分</w:t>
            </w:r>
          </w:p>
        </w:tc>
        <w:tc>
          <w:tcPr>
            <w:tcW w:w="852" w:type="dxa"/>
            <w:vAlign w:val="center"/>
          </w:tcPr>
          <w:p>
            <w:pPr>
              <w:pStyle w:val="32"/>
              <w:spacing w:line="360" w:lineRule="exact"/>
              <w:rPr>
                <w:color w:val="000000" w:themeColor="text1"/>
                <w:szCs w:val="21"/>
              </w:rPr>
            </w:pPr>
            <w:r>
              <w:rPr>
                <w:color w:val="000000" w:themeColor="text1"/>
                <w:szCs w:val="21"/>
              </w:rPr>
              <w:t>有组织</w:t>
            </w:r>
          </w:p>
        </w:tc>
        <w:tc>
          <w:tcPr>
            <w:tcW w:w="1125" w:type="dxa"/>
            <w:vAlign w:val="center"/>
          </w:tcPr>
          <w:p>
            <w:pPr>
              <w:pStyle w:val="32"/>
              <w:rPr>
                <w:color w:val="000000" w:themeColor="text1"/>
                <w:szCs w:val="21"/>
              </w:rPr>
            </w:pPr>
            <w:r>
              <w:rPr>
                <w:color w:val="000000" w:themeColor="text1"/>
                <w:szCs w:val="21"/>
              </w:rPr>
              <w:t>颗粒物</w:t>
            </w:r>
          </w:p>
        </w:tc>
        <w:tc>
          <w:tcPr>
            <w:tcW w:w="2955" w:type="dxa"/>
            <w:vAlign w:val="center"/>
          </w:tcPr>
          <w:p>
            <w:pPr>
              <w:pStyle w:val="32"/>
              <w:spacing w:line="360" w:lineRule="exact"/>
              <w:ind w:firstLine="210" w:firstLineChars="100"/>
              <w:jc w:val="both"/>
              <w:rPr>
                <w:color w:val="000000" w:themeColor="text1"/>
                <w:szCs w:val="21"/>
              </w:rPr>
            </w:pPr>
            <w:r>
              <w:rPr>
                <w:color w:val="000000" w:themeColor="text1"/>
                <w:szCs w:val="21"/>
              </w:rPr>
              <w:t>项目拟分别对破碎车间颚破、混合、粉碎和筛分四个环节进行密闭，并设置集气罩，将粉尘进行有效收集，收集后统一通过1台脉冲布袋除尘器进行处理，处理后通过1根15m高排气筒（DA001）外排。</w:t>
            </w: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Align w:val="center"/>
          </w:tcPr>
          <w:p>
            <w:pPr>
              <w:pStyle w:val="32"/>
              <w:spacing w:line="360" w:lineRule="exact"/>
              <w:rPr>
                <w:color w:val="000000" w:themeColor="text1"/>
                <w:szCs w:val="21"/>
              </w:rPr>
            </w:pPr>
            <w:r>
              <w:rPr>
                <w:color w:val="000000" w:themeColor="text1"/>
                <w:szCs w:val="21"/>
              </w:rPr>
              <w:t>焙烧车间</w:t>
            </w:r>
          </w:p>
        </w:tc>
        <w:tc>
          <w:tcPr>
            <w:tcW w:w="847" w:type="dxa"/>
            <w:vAlign w:val="center"/>
          </w:tcPr>
          <w:p>
            <w:pPr>
              <w:pStyle w:val="32"/>
              <w:spacing w:line="360" w:lineRule="exact"/>
              <w:rPr>
                <w:color w:val="000000" w:themeColor="text1"/>
                <w:szCs w:val="21"/>
              </w:rPr>
            </w:pPr>
            <w:r>
              <w:rPr>
                <w:color w:val="000000" w:themeColor="text1"/>
                <w:szCs w:val="21"/>
              </w:rPr>
              <w:t>焙烧</w:t>
            </w:r>
          </w:p>
        </w:tc>
        <w:tc>
          <w:tcPr>
            <w:tcW w:w="852" w:type="dxa"/>
            <w:vAlign w:val="center"/>
          </w:tcPr>
          <w:p>
            <w:pPr>
              <w:pStyle w:val="32"/>
              <w:spacing w:line="360" w:lineRule="exact"/>
              <w:rPr>
                <w:color w:val="000000" w:themeColor="text1"/>
                <w:szCs w:val="21"/>
              </w:rPr>
            </w:pPr>
            <w:r>
              <w:rPr>
                <w:color w:val="000000" w:themeColor="text1"/>
                <w:szCs w:val="21"/>
              </w:rPr>
              <w:t>有组织</w:t>
            </w:r>
          </w:p>
        </w:tc>
        <w:tc>
          <w:tcPr>
            <w:tcW w:w="1125" w:type="dxa"/>
            <w:vAlign w:val="center"/>
          </w:tcPr>
          <w:p>
            <w:pPr>
              <w:pStyle w:val="32"/>
              <w:rPr>
                <w:color w:val="000000" w:themeColor="text1"/>
                <w:szCs w:val="21"/>
              </w:rPr>
            </w:pPr>
            <w:r>
              <w:rPr>
                <w:color w:val="000000" w:themeColor="text1"/>
                <w:szCs w:val="21"/>
              </w:rPr>
              <w:t>烟尘、SO</w:t>
            </w:r>
            <w:r>
              <w:rPr>
                <w:color w:val="000000" w:themeColor="text1"/>
                <w:szCs w:val="21"/>
                <w:vertAlign w:val="subscript"/>
              </w:rPr>
              <w:t>2</w:t>
            </w:r>
            <w:r>
              <w:rPr>
                <w:color w:val="000000" w:themeColor="text1"/>
                <w:szCs w:val="21"/>
              </w:rPr>
              <w:t>、NOx和氟化物</w:t>
            </w:r>
          </w:p>
        </w:tc>
        <w:tc>
          <w:tcPr>
            <w:tcW w:w="2955" w:type="dxa"/>
            <w:vAlign w:val="center"/>
          </w:tcPr>
          <w:p>
            <w:pPr>
              <w:pStyle w:val="32"/>
              <w:spacing w:line="360" w:lineRule="exact"/>
              <w:ind w:firstLine="210" w:firstLineChars="100"/>
              <w:jc w:val="both"/>
              <w:rPr>
                <w:color w:val="000000" w:themeColor="text1"/>
                <w:szCs w:val="21"/>
              </w:rPr>
            </w:pPr>
            <w:r>
              <w:rPr>
                <w:color w:val="000000" w:themeColor="text1"/>
                <w:szCs w:val="21"/>
              </w:rPr>
              <w:t>项目拟设置1套脱硫除尘系统对焙烧工序产生的废气进行处理，该脱硫除尘系统采用钠碱双碱还原法脱硫除尘工艺，烟尘去除率85%、二氧化硫去除率为90%、氟化物去除率为70%，处理后的烟气通过18m高（DA002）的排气筒外排。</w:t>
            </w: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Align w:val="center"/>
          </w:tcPr>
          <w:p>
            <w:pPr>
              <w:pStyle w:val="32"/>
              <w:spacing w:line="360" w:lineRule="exact"/>
              <w:rPr>
                <w:color w:val="000000" w:themeColor="text1"/>
                <w:szCs w:val="21"/>
              </w:rPr>
            </w:pPr>
            <w:r>
              <w:rPr>
                <w:rFonts w:hint="eastAsia"/>
                <w:color w:val="000000" w:themeColor="text1"/>
                <w:szCs w:val="21"/>
              </w:rPr>
              <w:t>厨房</w:t>
            </w:r>
          </w:p>
        </w:tc>
        <w:tc>
          <w:tcPr>
            <w:tcW w:w="847" w:type="dxa"/>
            <w:vAlign w:val="center"/>
          </w:tcPr>
          <w:p>
            <w:pPr>
              <w:pStyle w:val="32"/>
              <w:spacing w:line="360" w:lineRule="exact"/>
              <w:rPr>
                <w:color w:val="000000" w:themeColor="text1"/>
                <w:szCs w:val="21"/>
              </w:rPr>
            </w:pPr>
            <w:r>
              <w:rPr>
                <w:rFonts w:hint="eastAsia"/>
                <w:color w:val="000000" w:themeColor="text1"/>
                <w:szCs w:val="21"/>
              </w:rPr>
              <w:t>--</w:t>
            </w:r>
          </w:p>
        </w:tc>
        <w:tc>
          <w:tcPr>
            <w:tcW w:w="852" w:type="dxa"/>
            <w:vAlign w:val="center"/>
          </w:tcPr>
          <w:p>
            <w:pPr>
              <w:pStyle w:val="32"/>
              <w:spacing w:line="360" w:lineRule="exact"/>
              <w:rPr>
                <w:color w:val="000000" w:themeColor="text1"/>
                <w:szCs w:val="21"/>
              </w:rPr>
            </w:pPr>
            <w:r>
              <w:rPr>
                <w:rFonts w:hint="eastAsia"/>
                <w:color w:val="000000" w:themeColor="text1"/>
                <w:szCs w:val="21"/>
              </w:rPr>
              <w:t>--</w:t>
            </w:r>
          </w:p>
        </w:tc>
        <w:tc>
          <w:tcPr>
            <w:tcW w:w="1125" w:type="dxa"/>
            <w:vAlign w:val="center"/>
          </w:tcPr>
          <w:p>
            <w:pPr>
              <w:pStyle w:val="32"/>
              <w:rPr>
                <w:rFonts w:eastAsiaTheme="minorEastAsia"/>
                <w:color w:val="000000" w:themeColor="text1"/>
                <w:szCs w:val="21"/>
              </w:rPr>
            </w:pPr>
            <w:r>
              <w:rPr>
                <w:rFonts w:hint="eastAsia"/>
                <w:color w:val="000000" w:themeColor="text1"/>
                <w:szCs w:val="21"/>
              </w:rPr>
              <w:t>厨房油烟</w:t>
            </w:r>
          </w:p>
        </w:tc>
        <w:tc>
          <w:tcPr>
            <w:tcW w:w="2955" w:type="dxa"/>
            <w:vAlign w:val="center"/>
          </w:tcPr>
          <w:p>
            <w:pPr>
              <w:pStyle w:val="32"/>
              <w:spacing w:line="360" w:lineRule="exact"/>
              <w:ind w:firstLine="210" w:firstLineChars="100"/>
              <w:jc w:val="both"/>
              <w:rPr>
                <w:color w:val="000000" w:themeColor="text1"/>
                <w:szCs w:val="21"/>
              </w:rPr>
            </w:pPr>
            <w:r>
              <w:rPr>
                <w:color w:val="000000" w:themeColor="text1"/>
                <w:szCs w:val="21"/>
              </w:rPr>
              <w:t>项目区厨房安装一个最低去除率60%的油烟净化器</w:t>
            </w:r>
            <w:r>
              <w:rPr>
                <w:rFonts w:hint="eastAsia"/>
                <w:color w:val="000000" w:themeColor="text1"/>
                <w:szCs w:val="21"/>
              </w:rPr>
              <w:t>，</w:t>
            </w:r>
            <w:r>
              <w:rPr>
                <w:color w:val="000000" w:themeColor="text1"/>
                <w:szCs w:val="21"/>
              </w:rPr>
              <w:t>高于房顶1.5m的烟道外排</w:t>
            </w:r>
            <w:r>
              <w:rPr>
                <w:rFonts w:hint="eastAsia"/>
                <w:color w:val="000000" w:themeColor="text1"/>
                <w:szCs w:val="21"/>
              </w:rPr>
              <w:t>。</w:t>
            </w:r>
          </w:p>
        </w:tc>
        <w:tc>
          <w:tcPr>
            <w:tcW w:w="1703" w:type="dxa"/>
            <w:vAlign w:val="center"/>
          </w:tcPr>
          <w:p>
            <w:pPr>
              <w:pStyle w:val="32"/>
              <w:spacing w:line="360" w:lineRule="exact"/>
              <w:ind w:firstLine="210" w:firstLineChars="100"/>
              <w:jc w:val="both"/>
              <w:rPr>
                <w:rFonts w:eastAsiaTheme="minorEastAsia"/>
                <w:color w:val="000000" w:themeColor="text1"/>
                <w:szCs w:val="21"/>
              </w:rPr>
            </w:pPr>
            <w:r>
              <w:rPr>
                <w:color w:val="000000" w:themeColor="text1"/>
              </w:rPr>
              <w:t>《饮食业油烟排放标准》（GB18483-2001）（试行）小型标准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463" w:type="dxa"/>
            <w:vMerge w:val="restart"/>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施工期</w:t>
            </w:r>
          </w:p>
        </w:tc>
        <w:tc>
          <w:tcPr>
            <w:tcW w:w="1694" w:type="dxa"/>
            <w:gridSpan w:val="2"/>
            <w:vMerge w:val="restart"/>
            <w:vAlign w:val="center"/>
          </w:tcPr>
          <w:p>
            <w:pPr>
              <w:pStyle w:val="32"/>
              <w:spacing w:line="360" w:lineRule="exact"/>
              <w:rPr>
                <w:color w:val="000000" w:themeColor="text1"/>
                <w:szCs w:val="21"/>
              </w:rPr>
            </w:pPr>
            <w:r>
              <w:rPr>
                <w:rFonts w:hint="eastAsia" w:eastAsiaTheme="minorEastAsia"/>
                <w:bCs w:val="0"/>
                <w:snapToGrid/>
                <w:color w:val="000000" w:themeColor="text1"/>
                <w:kern w:val="0"/>
                <w:szCs w:val="21"/>
                <w:lang w:val="en-US"/>
              </w:rPr>
              <w:t>施工场地</w:t>
            </w:r>
          </w:p>
        </w:tc>
        <w:tc>
          <w:tcPr>
            <w:tcW w:w="852" w:type="dxa"/>
            <w:vMerge w:val="restart"/>
            <w:vAlign w:val="center"/>
          </w:tcPr>
          <w:p>
            <w:pPr>
              <w:pStyle w:val="32"/>
              <w:spacing w:line="360" w:lineRule="exact"/>
              <w:rPr>
                <w:color w:val="000000" w:themeColor="text1"/>
                <w:szCs w:val="21"/>
              </w:rPr>
            </w:pPr>
            <w:r>
              <w:rPr>
                <w:rFonts w:hint="eastAsia"/>
                <w:color w:val="000000" w:themeColor="text1"/>
                <w:szCs w:val="21"/>
              </w:rPr>
              <w:t>不外排</w:t>
            </w:r>
          </w:p>
        </w:tc>
        <w:tc>
          <w:tcPr>
            <w:tcW w:w="1125" w:type="dxa"/>
            <w:vAlign w:val="center"/>
          </w:tcPr>
          <w:p>
            <w:pPr>
              <w:pStyle w:val="32"/>
              <w:spacing w:line="360" w:lineRule="exact"/>
              <w:rPr>
                <w:color w:val="000000" w:themeColor="text1"/>
                <w:szCs w:val="21"/>
              </w:rPr>
            </w:pPr>
            <w:r>
              <w:rPr>
                <w:rFonts w:hint="eastAsia"/>
                <w:color w:val="000000" w:themeColor="text1"/>
                <w:szCs w:val="21"/>
              </w:rPr>
              <w:t>施工废水</w:t>
            </w:r>
          </w:p>
        </w:tc>
        <w:tc>
          <w:tcPr>
            <w:tcW w:w="2955" w:type="dxa"/>
            <w:vAlign w:val="center"/>
          </w:tcPr>
          <w:p>
            <w:pPr>
              <w:pStyle w:val="32"/>
              <w:spacing w:line="360" w:lineRule="exact"/>
              <w:ind w:firstLine="210" w:firstLineChars="100"/>
              <w:jc w:val="both"/>
              <w:rPr>
                <w:color w:val="000000" w:themeColor="text1"/>
                <w:szCs w:val="21"/>
              </w:rPr>
            </w:pPr>
            <w:r>
              <w:rPr>
                <w:color w:val="000000" w:themeColor="text1"/>
                <w:szCs w:val="21"/>
              </w:rPr>
              <w:t>施工</w:t>
            </w:r>
            <w:r>
              <w:rPr>
                <w:rFonts w:hint="eastAsia"/>
                <w:color w:val="000000" w:themeColor="text1"/>
                <w:szCs w:val="21"/>
              </w:rPr>
              <w:t>废水</w:t>
            </w:r>
            <w:r>
              <w:rPr>
                <w:color w:val="000000" w:themeColor="text1"/>
                <w:szCs w:val="21"/>
              </w:rPr>
              <w:t>通过施工场地的临时沉淀池沉淀处理后，回用于施工场地洒水降尘，不外排</w:t>
            </w:r>
            <w:r>
              <w:rPr>
                <w:rFonts w:hint="eastAsia"/>
                <w:color w:val="000000" w:themeColor="text1"/>
                <w:szCs w:val="21"/>
              </w:rPr>
              <w:t>。</w:t>
            </w:r>
          </w:p>
        </w:tc>
        <w:tc>
          <w:tcPr>
            <w:tcW w:w="170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1694" w:type="dxa"/>
            <w:gridSpan w:val="2"/>
            <w:vMerge w:val="continue"/>
            <w:vAlign w:val="center"/>
          </w:tcPr>
          <w:p>
            <w:pPr>
              <w:pStyle w:val="32"/>
              <w:spacing w:line="360" w:lineRule="exact"/>
              <w:rPr>
                <w:rFonts w:eastAsiaTheme="minorEastAsia"/>
                <w:bCs w:val="0"/>
                <w:snapToGrid/>
                <w:color w:val="000000" w:themeColor="text1"/>
                <w:kern w:val="0"/>
                <w:szCs w:val="21"/>
                <w:lang w:val="en-US"/>
              </w:rPr>
            </w:pPr>
          </w:p>
        </w:tc>
        <w:tc>
          <w:tcPr>
            <w:tcW w:w="852" w:type="dxa"/>
            <w:vMerge w:val="continue"/>
            <w:vAlign w:val="center"/>
          </w:tcPr>
          <w:p>
            <w:pPr>
              <w:pStyle w:val="32"/>
              <w:spacing w:line="360" w:lineRule="exact"/>
              <w:rPr>
                <w:color w:val="000000" w:themeColor="text1"/>
                <w:szCs w:val="21"/>
              </w:rPr>
            </w:pPr>
          </w:p>
        </w:tc>
        <w:tc>
          <w:tcPr>
            <w:tcW w:w="1125" w:type="dxa"/>
            <w:vAlign w:val="center"/>
          </w:tcPr>
          <w:p>
            <w:pPr>
              <w:pStyle w:val="32"/>
              <w:spacing w:line="360" w:lineRule="exact"/>
              <w:rPr>
                <w:color w:val="000000" w:themeColor="text1"/>
                <w:szCs w:val="21"/>
              </w:rPr>
            </w:pPr>
            <w:r>
              <w:rPr>
                <w:rFonts w:hint="eastAsia"/>
                <w:color w:val="000000" w:themeColor="text1"/>
                <w:szCs w:val="21"/>
              </w:rPr>
              <w:t>生活污水</w:t>
            </w:r>
          </w:p>
        </w:tc>
        <w:tc>
          <w:tcPr>
            <w:tcW w:w="2955" w:type="dxa"/>
            <w:vAlign w:val="center"/>
          </w:tcPr>
          <w:p>
            <w:pPr>
              <w:pStyle w:val="32"/>
              <w:spacing w:line="360" w:lineRule="exact"/>
              <w:ind w:firstLine="210" w:firstLineChars="100"/>
              <w:jc w:val="both"/>
              <w:rPr>
                <w:color w:val="000000" w:themeColor="text1"/>
                <w:szCs w:val="21"/>
              </w:rPr>
            </w:pPr>
            <w:r>
              <w:rPr>
                <w:color w:val="000000" w:themeColor="text1"/>
                <w:szCs w:val="21"/>
              </w:rPr>
              <w:t>施工期施工人员不在项目区食宿，生活污水仅为洗手污水，</w:t>
            </w:r>
            <w:r>
              <w:rPr>
                <w:rFonts w:hint="eastAsia"/>
                <w:color w:val="000000" w:themeColor="text1"/>
                <w:szCs w:val="21"/>
              </w:rPr>
              <w:t>生活污</w:t>
            </w:r>
            <w:r>
              <w:rPr>
                <w:color w:val="000000" w:themeColor="text1"/>
                <w:szCs w:val="21"/>
              </w:rPr>
              <w:t>水通过施工场地的临时沉淀池沉淀处理后，回用于施工场地洒水降尘，不外排</w:t>
            </w:r>
            <w:r>
              <w:rPr>
                <w:rFonts w:hint="eastAsia"/>
                <w:color w:val="000000" w:themeColor="text1"/>
                <w:szCs w:val="21"/>
              </w:rPr>
              <w:t>。</w:t>
            </w:r>
          </w:p>
        </w:tc>
        <w:tc>
          <w:tcPr>
            <w:tcW w:w="170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1694" w:type="dxa"/>
            <w:gridSpan w:val="2"/>
            <w:vMerge w:val="continue"/>
            <w:tcBorders>
              <w:bottom w:val="single" w:color="auto" w:sz="4" w:space="0"/>
            </w:tcBorders>
            <w:vAlign w:val="center"/>
          </w:tcPr>
          <w:p>
            <w:pPr>
              <w:pStyle w:val="32"/>
              <w:spacing w:line="360" w:lineRule="exact"/>
              <w:rPr>
                <w:rFonts w:eastAsiaTheme="minorEastAsia"/>
                <w:bCs w:val="0"/>
                <w:snapToGrid/>
                <w:color w:val="000000" w:themeColor="text1"/>
                <w:kern w:val="0"/>
                <w:szCs w:val="21"/>
                <w:lang w:val="en-US"/>
              </w:rPr>
            </w:pPr>
          </w:p>
        </w:tc>
        <w:tc>
          <w:tcPr>
            <w:tcW w:w="852" w:type="dxa"/>
            <w:vMerge w:val="continue"/>
            <w:vAlign w:val="center"/>
          </w:tcPr>
          <w:p>
            <w:pPr>
              <w:pStyle w:val="32"/>
              <w:spacing w:line="360" w:lineRule="exact"/>
              <w:rPr>
                <w:color w:val="000000" w:themeColor="text1"/>
                <w:szCs w:val="21"/>
              </w:rPr>
            </w:pPr>
          </w:p>
        </w:tc>
        <w:tc>
          <w:tcPr>
            <w:tcW w:w="1125" w:type="dxa"/>
            <w:vAlign w:val="center"/>
          </w:tcPr>
          <w:p>
            <w:pPr>
              <w:pStyle w:val="32"/>
              <w:spacing w:line="360" w:lineRule="exact"/>
              <w:rPr>
                <w:color w:val="000000" w:themeColor="text1"/>
                <w:szCs w:val="21"/>
              </w:rPr>
            </w:pPr>
            <w:r>
              <w:rPr>
                <w:rFonts w:hAnsiTheme="minorEastAsia"/>
                <w:color w:val="000000" w:themeColor="text1"/>
                <w:sz w:val="24"/>
                <w:szCs w:val="24"/>
              </w:rPr>
              <w:t>地表径流</w:t>
            </w:r>
          </w:p>
        </w:tc>
        <w:tc>
          <w:tcPr>
            <w:tcW w:w="2955" w:type="dxa"/>
            <w:vAlign w:val="center"/>
          </w:tcPr>
          <w:p>
            <w:pPr>
              <w:pStyle w:val="32"/>
              <w:spacing w:line="360" w:lineRule="exact"/>
              <w:ind w:firstLine="210" w:firstLineChars="100"/>
              <w:jc w:val="both"/>
              <w:rPr>
                <w:color w:val="000000" w:themeColor="text1"/>
                <w:szCs w:val="21"/>
              </w:rPr>
            </w:pPr>
            <w:r>
              <w:rPr>
                <w:color w:val="000000" w:themeColor="text1"/>
                <w:szCs w:val="21"/>
              </w:rPr>
              <w:t>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tc>
        <w:tc>
          <w:tcPr>
            <w:tcW w:w="170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运营期</w:t>
            </w:r>
          </w:p>
        </w:tc>
        <w:tc>
          <w:tcPr>
            <w:tcW w:w="1694" w:type="dxa"/>
            <w:gridSpan w:val="2"/>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脱硫除尘系统</w:t>
            </w:r>
          </w:p>
        </w:tc>
        <w:tc>
          <w:tcPr>
            <w:tcW w:w="852" w:type="dxa"/>
            <w:vAlign w:val="center"/>
          </w:tcPr>
          <w:p>
            <w:pPr>
              <w:pStyle w:val="32"/>
              <w:spacing w:line="360" w:lineRule="exact"/>
              <w:rPr>
                <w:color w:val="000000" w:themeColor="text1"/>
                <w:szCs w:val="21"/>
              </w:rPr>
            </w:pPr>
            <w:r>
              <w:rPr>
                <w:rFonts w:hint="eastAsia"/>
                <w:color w:val="000000" w:themeColor="text1"/>
                <w:szCs w:val="21"/>
              </w:rPr>
              <w:t>不外排</w:t>
            </w:r>
          </w:p>
        </w:tc>
        <w:tc>
          <w:tcPr>
            <w:tcW w:w="1125" w:type="dxa"/>
            <w:vAlign w:val="center"/>
          </w:tcPr>
          <w:p>
            <w:pPr>
              <w:pStyle w:val="32"/>
              <w:spacing w:line="360" w:lineRule="exact"/>
              <w:rPr>
                <w:color w:val="000000" w:themeColor="text1"/>
                <w:szCs w:val="21"/>
              </w:rPr>
            </w:pPr>
            <w:r>
              <w:rPr>
                <w:rFonts w:hint="eastAsia"/>
                <w:color w:val="000000" w:themeColor="text1"/>
                <w:szCs w:val="21"/>
              </w:rPr>
              <w:t>脱硫废水</w:t>
            </w:r>
          </w:p>
        </w:tc>
        <w:tc>
          <w:tcPr>
            <w:tcW w:w="2955"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项目拟单独配套设置1个30</w:t>
            </w:r>
            <w:r>
              <w:rPr>
                <w:color w:val="000000" w:themeColor="text1"/>
                <w:szCs w:val="21"/>
              </w:rPr>
              <w:t>m³</w:t>
            </w:r>
            <w:r>
              <w:rPr>
                <w:rFonts w:hint="eastAsia"/>
                <w:color w:val="000000" w:themeColor="text1"/>
                <w:szCs w:val="21"/>
              </w:rPr>
              <w:t>的脱硫废水沉淀池对脱硫废水进行收集沉淀处理，并调节其pH值后，用于生产，不外排。</w:t>
            </w:r>
          </w:p>
        </w:tc>
        <w:tc>
          <w:tcPr>
            <w:tcW w:w="1703"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1694" w:type="dxa"/>
            <w:gridSpan w:val="2"/>
            <w:vMerge w:val="restart"/>
            <w:vAlign w:val="center"/>
          </w:tcPr>
          <w:p>
            <w:pPr>
              <w:pStyle w:val="32"/>
              <w:spacing w:line="360" w:lineRule="exact"/>
              <w:rPr>
                <w:color w:val="000000" w:themeColor="text1"/>
                <w:szCs w:val="21"/>
              </w:rPr>
            </w:pPr>
            <w:r>
              <w:rPr>
                <w:rFonts w:hint="eastAsia"/>
                <w:color w:val="000000" w:themeColor="text1"/>
                <w:szCs w:val="21"/>
              </w:rPr>
              <w:t>厂区范围</w:t>
            </w:r>
          </w:p>
        </w:tc>
        <w:tc>
          <w:tcPr>
            <w:tcW w:w="852" w:type="dxa"/>
            <w:vAlign w:val="center"/>
          </w:tcPr>
          <w:p>
            <w:pPr>
              <w:pStyle w:val="32"/>
              <w:spacing w:line="360" w:lineRule="exact"/>
              <w:rPr>
                <w:color w:val="000000" w:themeColor="text1"/>
                <w:szCs w:val="21"/>
              </w:rPr>
            </w:pPr>
            <w:r>
              <w:rPr>
                <w:rFonts w:hint="eastAsia"/>
                <w:color w:val="000000" w:themeColor="text1"/>
                <w:szCs w:val="21"/>
              </w:rPr>
              <w:t>不外排</w:t>
            </w:r>
          </w:p>
        </w:tc>
        <w:tc>
          <w:tcPr>
            <w:tcW w:w="1125" w:type="dxa"/>
            <w:vAlign w:val="center"/>
          </w:tcPr>
          <w:p>
            <w:pPr>
              <w:pStyle w:val="32"/>
              <w:spacing w:line="360" w:lineRule="exact"/>
              <w:rPr>
                <w:color w:val="000000" w:themeColor="text1"/>
                <w:szCs w:val="21"/>
              </w:rPr>
            </w:pPr>
            <w:r>
              <w:rPr>
                <w:rFonts w:hint="eastAsia"/>
                <w:color w:val="000000" w:themeColor="text1"/>
                <w:szCs w:val="21"/>
              </w:rPr>
              <w:t>初期雨水</w:t>
            </w:r>
          </w:p>
        </w:tc>
        <w:tc>
          <w:tcPr>
            <w:tcW w:w="2955"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本项目拟配套设置了1个60m³的初期雨水收集池</w:t>
            </w:r>
            <w:r>
              <w:rPr>
                <w:color w:val="000000" w:themeColor="text1"/>
                <w:szCs w:val="21"/>
              </w:rPr>
              <w:t>，对厂区的初期雨水进行收集；收集后</w:t>
            </w:r>
            <w:r>
              <w:rPr>
                <w:rFonts w:hint="eastAsia"/>
                <w:color w:val="000000" w:themeColor="text1"/>
                <w:szCs w:val="21"/>
              </w:rPr>
              <w:t>用于本项目生产用水，</w:t>
            </w:r>
            <w:r>
              <w:rPr>
                <w:color w:val="000000" w:themeColor="text1"/>
                <w:szCs w:val="21"/>
              </w:rPr>
              <w:t>不外排</w:t>
            </w:r>
            <w:r>
              <w:rPr>
                <w:rFonts w:hint="eastAsia"/>
                <w:color w:val="000000" w:themeColor="text1"/>
                <w:szCs w:val="21"/>
              </w:rPr>
              <w:t>。</w:t>
            </w:r>
          </w:p>
        </w:tc>
        <w:tc>
          <w:tcPr>
            <w:tcW w:w="1703" w:type="dxa"/>
            <w:vMerge w:val="continue"/>
            <w:vAlign w:val="center"/>
          </w:tcPr>
          <w:p>
            <w:pPr>
              <w:pStyle w:val="32"/>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1694" w:type="dxa"/>
            <w:gridSpan w:val="2"/>
            <w:vMerge w:val="continue"/>
            <w:vAlign w:val="center"/>
          </w:tcPr>
          <w:p>
            <w:pPr>
              <w:rPr>
                <w:color w:val="000000" w:themeColor="text1"/>
              </w:rPr>
            </w:pPr>
          </w:p>
        </w:tc>
        <w:tc>
          <w:tcPr>
            <w:tcW w:w="852" w:type="dxa"/>
            <w:vAlign w:val="center"/>
          </w:tcPr>
          <w:p>
            <w:pPr>
              <w:pStyle w:val="32"/>
              <w:spacing w:line="360" w:lineRule="exact"/>
              <w:rPr>
                <w:color w:val="000000" w:themeColor="text1"/>
                <w:szCs w:val="21"/>
              </w:rPr>
            </w:pPr>
            <w:r>
              <w:rPr>
                <w:color w:val="000000" w:themeColor="text1"/>
                <w:szCs w:val="21"/>
              </w:rPr>
              <w:t>雨水口</w:t>
            </w:r>
          </w:p>
        </w:tc>
        <w:tc>
          <w:tcPr>
            <w:tcW w:w="1125" w:type="dxa"/>
            <w:vAlign w:val="center"/>
          </w:tcPr>
          <w:p>
            <w:pPr>
              <w:pStyle w:val="32"/>
              <w:spacing w:line="360" w:lineRule="exact"/>
              <w:rPr>
                <w:color w:val="000000" w:themeColor="text1"/>
                <w:szCs w:val="21"/>
              </w:rPr>
            </w:pPr>
            <w:r>
              <w:rPr>
                <w:color w:val="000000" w:themeColor="text1"/>
                <w:szCs w:val="21"/>
              </w:rPr>
              <w:t>雨水</w:t>
            </w:r>
          </w:p>
        </w:tc>
        <w:tc>
          <w:tcPr>
            <w:tcW w:w="2955" w:type="dxa"/>
            <w:vAlign w:val="center"/>
          </w:tcPr>
          <w:p>
            <w:pPr>
              <w:pStyle w:val="32"/>
              <w:spacing w:line="360" w:lineRule="exact"/>
              <w:ind w:firstLine="210" w:firstLineChars="100"/>
              <w:jc w:val="both"/>
              <w:rPr>
                <w:color w:val="000000" w:themeColor="text1"/>
                <w:szCs w:val="21"/>
              </w:rPr>
            </w:pPr>
            <w:r>
              <w:rPr>
                <w:color w:val="000000" w:themeColor="text1"/>
                <w:szCs w:val="21"/>
              </w:rPr>
              <w:t>雨水外排。</w:t>
            </w:r>
          </w:p>
        </w:tc>
        <w:tc>
          <w:tcPr>
            <w:tcW w:w="1703" w:type="dxa"/>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1694" w:type="dxa"/>
            <w:gridSpan w:val="2"/>
            <w:vAlign w:val="center"/>
          </w:tcPr>
          <w:p>
            <w:pPr>
              <w:pStyle w:val="32"/>
              <w:spacing w:line="360" w:lineRule="exact"/>
              <w:rPr>
                <w:color w:val="000000" w:themeColor="text1"/>
                <w:szCs w:val="21"/>
              </w:rPr>
            </w:pPr>
            <w:r>
              <w:rPr>
                <w:color w:val="000000" w:themeColor="text1"/>
                <w:szCs w:val="21"/>
              </w:rPr>
              <w:t>员工生活</w:t>
            </w:r>
          </w:p>
        </w:tc>
        <w:tc>
          <w:tcPr>
            <w:tcW w:w="852" w:type="dxa"/>
            <w:vAlign w:val="center"/>
          </w:tcPr>
          <w:p>
            <w:pPr>
              <w:pStyle w:val="32"/>
              <w:spacing w:line="360" w:lineRule="exact"/>
              <w:rPr>
                <w:color w:val="000000" w:themeColor="text1"/>
                <w:szCs w:val="21"/>
              </w:rPr>
            </w:pPr>
            <w:r>
              <w:rPr>
                <w:rFonts w:hint="eastAsia"/>
                <w:color w:val="000000" w:themeColor="text1"/>
                <w:szCs w:val="21"/>
              </w:rPr>
              <w:t>不外排</w:t>
            </w:r>
          </w:p>
        </w:tc>
        <w:tc>
          <w:tcPr>
            <w:tcW w:w="1125" w:type="dxa"/>
            <w:vAlign w:val="center"/>
          </w:tcPr>
          <w:p>
            <w:pPr>
              <w:pStyle w:val="32"/>
              <w:spacing w:line="360" w:lineRule="exact"/>
              <w:rPr>
                <w:color w:val="000000" w:themeColor="text1"/>
                <w:szCs w:val="21"/>
              </w:rPr>
            </w:pPr>
            <w:r>
              <w:rPr>
                <w:color w:val="000000" w:themeColor="text1"/>
                <w:szCs w:val="21"/>
              </w:rPr>
              <w:t>生活污水</w:t>
            </w:r>
          </w:p>
        </w:tc>
        <w:tc>
          <w:tcPr>
            <w:tcW w:w="2955" w:type="dxa"/>
            <w:vAlign w:val="center"/>
          </w:tcPr>
          <w:p>
            <w:pPr>
              <w:pStyle w:val="32"/>
              <w:spacing w:line="360" w:lineRule="exact"/>
              <w:ind w:firstLine="210" w:firstLineChars="100"/>
              <w:jc w:val="both"/>
              <w:rPr>
                <w:color w:val="000000" w:themeColor="text1"/>
                <w:szCs w:val="21"/>
              </w:rPr>
            </w:pPr>
            <w:r>
              <w:rPr>
                <w:color w:val="000000" w:themeColor="text1"/>
                <w:szCs w:val="21"/>
              </w:rPr>
              <w:t>厨房</w:t>
            </w:r>
            <w:r>
              <w:rPr>
                <w:rFonts w:hint="eastAsia"/>
                <w:color w:val="000000" w:themeColor="text1"/>
                <w:szCs w:val="21"/>
              </w:rPr>
              <w:t>废水先进入</w:t>
            </w:r>
            <w:r>
              <w:rPr>
                <w:color w:val="000000" w:themeColor="text1"/>
                <w:szCs w:val="21"/>
              </w:rPr>
              <w:t>1个1m³的隔油池进行预处理，</w:t>
            </w:r>
            <w:r>
              <w:rPr>
                <w:rFonts w:hint="eastAsia"/>
                <w:color w:val="000000" w:themeColor="text1"/>
                <w:szCs w:val="21"/>
              </w:rPr>
              <w:t>再和其他生活污水一起进入</w:t>
            </w:r>
            <w:r>
              <w:rPr>
                <w:color w:val="000000" w:themeColor="text1"/>
                <w:szCs w:val="21"/>
              </w:rPr>
              <w:t>1个有效容积为10m³的化粪池处理</w:t>
            </w:r>
            <w:r>
              <w:rPr>
                <w:rFonts w:hint="eastAsia"/>
                <w:color w:val="000000" w:themeColor="text1"/>
                <w:szCs w:val="21"/>
              </w:rPr>
              <w:t>，处理后统一进入</w:t>
            </w:r>
            <w:r>
              <w:rPr>
                <w:color w:val="000000" w:themeColor="text1"/>
                <w:szCs w:val="21"/>
              </w:rPr>
              <w:t>1套处理能力为5m³/d的一体化污水处理设施</w:t>
            </w:r>
            <w:r>
              <w:rPr>
                <w:rFonts w:hint="eastAsia"/>
                <w:color w:val="000000" w:themeColor="text1"/>
                <w:szCs w:val="21"/>
              </w:rPr>
              <w:t>处理，处理达到</w:t>
            </w:r>
            <w:r>
              <w:rPr>
                <w:color w:val="000000" w:themeColor="text1"/>
                <w:szCs w:val="21"/>
              </w:rPr>
              <w:t>《城市污水再生利用 城市杂用水水质》（GB/T18920-2020）城市绿化标准后，回用于项目区绿化，不外排。</w:t>
            </w:r>
          </w:p>
        </w:tc>
        <w:tc>
          <w:tcPr>
            <w:tcW w:w="1703"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城市污水再生利用 城市杂用水水质》（GB/T18920-2020）城市绿化标准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463" w:type="dxa"/>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施工期</w:t>
            </w:r>
          </w:p>
        </w:tc>
        <w:tc>
          <w:tcPr>
            <w:tcW w:w="847" w:type="dxa"/>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施工场地</w:t>
            </w: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生产设备</w:t>
            </w:r>
          </w:p>
        </w:tc>
        <w:tc>
          <w:tcPr>
            <w:tcW w:w="1125" w:type="dxa"/>
            <w:tcBorders>
              <w:bottom w:val="single" w:color="auto" w:sz="4" w:space="0"/>
            </w:tcBorders>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55" w:type="dxa"/>
            <w:tcBorders>
              <w:bottom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①加强施工期的操作规范；</w:t>
            </w:r>
          </w:p>
          <w:p>
            <w:pPr>
              <w:pStyle w:val="32"/>
              <w:spacing w:line="360" w:lineRule="exact"/>
              <w:ind w:firstLine="210" w:firstLineChars="100"/>
              <w:jc w:val="both"/>
              <w:rPr>
                <w:color w:val="000000" w:themeColor="text1"/>
                <w:szCs w:val="21"/>
              </w:rPr>
            </w:pPr>
            <w:r>
              <w:rPr>
                <w:color w:val="000000" w:themeColor="text1"/>
                <w:szCs w:val="21"/>
              </w:rPr>
              <w:t>②运输车辆进出施工场地时应控制车速，禁止鸣笛，减少车辆在施工场地的停留时间，减小运输噪声对环境的影响；</w:t>
            </w:r>
          </w:p>
          <w:p>
            <w:pPr>
              <w:pStyle w:val="32"/>
              <w:spacing w:line="360" w:lineRule="exact"/>
              <w:ind w:firstLine="210" w:firstLineChars="100"/>
              <w:jc w:val="both"/>
              <w:rPr>
                <w:color w:val="000000" w:themeColor="text1"/>
                <w:szCs w:val="21"/>
              </w:rPr>
            </w:pPr>
            <w:r>
              <w:rPr>
                <w:color w:val="000000" w:themeColor="text1"/>
                <w:szCs w:val="21"/>
              </w:rPr>
              <w:t>③加强与周围居民的沟通，避免扰民事件发生。</w:t>
            </w:r>
          </w:p>
        </w:tc>
        <w:tc>
          <w:tcPr>
            <w:tcW w:w="1703" w:type="dxa"/>
            <w:tcBorders>
              <w:bottom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《建筑施工场界噪声环境噪声排放标准》（GB12523-2011）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运营期</w:t>
            </w:r>
          </w:p>
        </w:tc>
        <w:tc>
          <w:tcPr>
            <w:tcW w:w="847"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破碎</w:t>
            </w: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颚式破碎机</w:t>
            </w:r>
          </w:p>
        </w:tc>
        <w:tc>
          <w:tcPr>
            <w:tcW w:w="1125" w:type="dxa"/>
            <w:vMerge w:val="restart"/>
            <w:tcBorders>
              <w:top w:val="single" w:color="auto" w:sz="4" w:space="0"/>
            </w:tcBorders>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55"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03"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w:t>
            </w:r>
            <w:r>
              <w:rPr>
                <w:rFonts w:hint="eastAsia" w:eastAsiaTheme="minorEastAsia"/>
                <w:color w:val="000000" w:themeColor="text1"/>
                <w:szCs w:val="21"/>
              </w:rPr>
              <w:t>2</w:t>
            </w:r>
            <w:r>
              <w:rPr>
                <w:rFonts w:eastAsiaTheme="minorEastAsia"/>
                <w:color w:val="000000" w:themeColor="text1"/>
                <w:szCs w:val="21"/>
              </w:rPr>
              <w:t>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自动配煤机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粉碎机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滚筒筛</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皮带机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陈化</w:t>
            </w: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装载机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皮带机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成型</w:t>
            </w: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真空挤砖机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自动切条机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自动切坯机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码坯机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烘干</w:t>
            </w:r>
          </w:p>
        </w:tc>
        <w:tc>
          <w:tcPr>
            <w:tcW w:w="1699" w:type="dxa"/>
            <w:gridSpan w:val="2"/>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窑车</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顶机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风机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焙烧</w:t>
            </w: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窑车</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顶机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风机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原料堆场</w:t>
            </w:r>
          </w:p>
        </w:tc>
        <w:tc>
          <w:tcPr>
            <w:tcW w:w="1699" w:type="dxa"/>
            <w:gridSpan w:val="2"/>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装载机</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99" w:type="dxa"/>
            <w:gridSpan w:val="2"/>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叉车</w:t>
            </w:r>
          </w:p>
        </w:tc>
        <w:tc>
          <w:tcPr>
            <w:tcW w:w="1125" w:type="dxa"/>
            <w:vMerge w:val="continue"/>
            <w:vAlign w:val="center"/>
          </w:tcPr>
          <w:p>
            <w:pPr>
              <w:spacing w:line="360" w:lineRule="exact"/>
              <w:jc w:val="center"/>
              <w:rPr>
                <w:rFonts w:ascii="Times New Roman" w:hAnsi="Times New Roman" w:cs="Times New Roman"/>
                <w:color w:val="000000" w:themeColor="text1"/>
                <w:kern w:val="0"/>
              </w:rPr>
            </w:pPr>
          </w:p>
        </w:tc>
        <w:tc>
          <w:tcPr>
            <w:tcW w:w="2955" w:type="dxa"/>
            <w:vMerge w:val="continue"/>
            <w:vAlign w:val="center"/>
          </w:tcPr>
          <w:p>
            <w:pPr>
              <w:pStyle w:val="32"/>
              <w:spacing w:line="360" w:lineRule="exact"/>
              <w:rPr>
                <w:rFonts w:eastAsiaTheme="minorEastAsia"/>
                <w:color w:val="000000" w:themeColor="text1"/>
                <w:szCs w:val="21"/>
              </w:rPr>
            </w:pPr>
          </w:p>
        </w:tc>
        <w:tc>
          <w:tcPr>
            <w:tcW w:w="1703"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463" w:type="dxa"/>
            <w:vMerge w:val="restart"/>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施工期</w:t>
            </w:r>
          </w:p>
        </w:tc>
        <w:tc>
          <w:tcPr>
            <w:tcW w:w="2546" w:type="dxa"/>
            <w:gridSpan w:val="3"/>
            <w:vMerge w:val="restart"/>
            <w:vAlign w:val="center"/>
          </w:tcPr>
          <w:p>
            <w:pPr>
              <w:spacing w:line="360" w:lineRule="exact"/>
              <w:jc w:val="center"/>
              <w:rPr>
                <w:rFonts w:ascii="Times New Roman" w:hAnsi="Times New Roman" w:cs="Times New Roman"/>
                <w:color w:val="000000" w:themeColor="text1"/>
                <w:kern w:val="0"/>
              </w:rPr>
            </w:pPr>
            <w:r>
              <w:rPr>
                <w:rFonts w:hint="eastAsia" w:ascii="Times New Roman" w:hAnsi="Times New Roman" w:cs="Times New Roman"/>
                <w:color w:val="000000" w:themeColor="text1"/>
                <w:kern w:val="0"/>
              </w:rPr>
              <w:t>施工场地</w:t>
            </w:r>
          </w:p>
        </w:tc>
        <w:tc>
          <w:tcPr>
            <w:tcW w:w="1125" w:type="dxa"/>
            <w:tcBorders>
              <w:bottom w:val="single" w:color="auto" w:sz="4" w:space="0"/>
            </w:tcBorders>
            <w:vAlign w:val="center"/>
          </w:tcPr>
          <w:p>
            <w:pPr>
              <w:spacing w:line="360" w:lineRule="exact"/>
              <w:jc w:val="center"/>
              <w:rPr>
                <w:color w:val="000000" w:themeColor="text1"/>
              </w:rPr>
            </w:pPr>
            <w:r>
              <w:rPr>
                <w:color w:val="000000" w:themeColor="text1"/>
              </w:rPr>
              <w:t>建设垃圾</w:t>
            </w:r>
          </w:p>
        </w:tc>
        <w:tc>
          <w:tcPr>
            <w:tcW w:w="2955"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建设垃圾包括混凝土块、废木材、废钢材等，严格按照园区的要求，对其进行分类收集，其中废钢材收集后外售废品收购站，其他不能回收部分运至管理部门指定地点进行合理处置。</w:t>
            </w:r>
          </w:p>
        </w:tc>
        <w:tc>
          <w:tcPr>
            <w:tcW w:w="170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46" w:type="dxa"/>
            <w:gridSpan w:val="3"/>
            <w:vMerge w:val="continue"/>
            <w:vAlign w:val="center"/>
          </w:tcPr>
          <w:p>
            <w:pPr>
              <w:spacing w:line="360" w:lineRule="exact"/>
              <w:jc w:val="center"/>
              <w:rPr>
                <w:rFonts w:ascii="Times New Roman" w:hAnsi="Times New Roman" w:cs="Times New Roman"/>
                <w:color w:val="000000" w:themeColor="text1"/>
                <w:kern w:val="0"/>
              </w:rPr>
            </w:pPr>
          </w:p>
        </w:tc>
        <w:tc>
          <w:tcPr>
            <w:tcW w:w="1125" w:type="dxa"/>
            <w:tcBorders>
              <w:bottom w:val="single" w:color="auto" w:sz="4" w:space="0"/>
            </w:tcBorders>
            <w:vAlign w:val="center"/>
          </w:tcPr>
          <w:p>
            <w:pPr>
              <w:spacing w:line="360" w:lineRule="exact"/>
              <w:jc w:val="center"/>
              <w:rPr>
                <w:color w:val="000000" w:themeColor="text1"/>
              </w:rPr>
            </w:pPr>
            <w:r>
              <w:rPr>
                <w:rFonts w:hint="eastAsia"/>
                <w:color w:val="000000" w:themeColor="text1"/>
              </w:rPr>
              <w:t>废土石方</w:t>
            </w:r>
          </w:p>
        </w:tc>
        <w:tc>
          <w:tcPr>
            <w:tcW w:w="2955"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产生的少量废土石方</w:t>
            </w:r>
            <w:r>
              <w:rPr>
                <w:rFonts w:eastAsiaTheme="minorEastAsia"/>
                <w:color w:val="000000" w:themeColor="text1"/>
                <w:szCs w:val="24"/>
              </w:rPr>
              <w:t>直接用于场地低洼处平整。</w:t>
            </w:r>
          </w:p>
        </w:tc>
        <w:tc>
          <w:tcPr>
            <w:tcW w:w="170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2546" w:type="dxa"/>
            <w:gridSpan w:val="3"/>
            <w:vMerge w:val="continue"/>
            <w:tcBorders>
              <w:bottom w:val="single" w:color="auto" w:sz="4" w:space="0"/>
            </w:tcBorders>
            <w:vAlign w:val="center"/>
          </w:tcPr>
          <w:p>
            <w:pPr>
              <w:spacing w:line="360" w:lineRule="exact"/>
              <w:jc w:val="center"/>
              <w:rPr>
                <w:rFonts w:ascii="Times New Roman" w:hAnsi="Times New Roman" w:cs="Times New Roman"/>
                <w:color w:val="000000" w:themeColor="text1"/>
                <w:kern w:val="0"/>
              </w:rPr>
            </w:pPr>
          </w:p>
        </w:tc>
        <w:tc>
          <w:tcPr>
            <w:tcW w:w="1125" w:type="dxa"/>
            <w:tcBorders>
              <w:bottom w:val="single" w:color="auto" w:sz="4" w:space="0"/>
            </w:tcBorders>
            <w:vAlign w:val="center"/>
          </w:tcPr>
          <w:p>
            <w:pPr>
              <w:spacing w:line="360" w:lineRule="exact"/>
              <w:jc w:val="center"/>
              <w:rPr>
                <w:color w:val="000000" w:themeColor="text1"/>
              </w:rPr>
            </w:pPr>
            <w:r>
              <w:rPr>
                <w:color w:val="000000" w:themeColor="text1"/>
              </w:rPr>
              <w:t>生活垃圾</w:t>
            </w:r>
          </w:p>
        </w:tc>
        <w:tc>
          <w:tcPr>
            <w:tcW w:w="2955"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生活垃圾委托环卫部门清运处置。</w:t>
            </w:r>
          </w:p>
        </w:tc>
        <w:tc>
          <w:tcPr>
            <w:tcW w:w="170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运营期</w:t>
            </w:r>
          </w:p>
        </w:tc>
        <w:tc>
          <w:tcPr>
            <w:tcW w:w="2546" w:type="dxa"/>
            <w:gridSpan w:val="3"/>
            <w:tcBorders>
              <w:top w:val="single" w:color="auto" w:sz="4" w:space="0"/>
            </w:tcBorders>
            <w:vAlign w:val="center"/>
          </w:tcPr>
          <w:p>
            <w:pPr>
              <w:spacing w:line="360" w:lineRule="exact"/>
              <w:jc w:val="center"/>
              <w:rPr>
                <w:rFonts w:ascii="Times New Roman" w:hAnsi="Times New Roman" w:cs="Times New Roman"/>
                <w:color w:val="000000" w:themeColor="text1"/>
                <w:kern w:val="0"/>
              </w:rPr>
            </w:pPr>
            <w:r>
              <w:rPr>
                <w:rFonts w:hint="eastAsia"/>
                <w:color w:val="000000" w:themeColor="text1"/>
              </w:rPr>
              <w:t>成型车间</w:t>
            </w:r>
          </w:p>
        </w:tc>
        <w:tc>
          <w:tcPr>
            <w:tcW w:w="1125" w:type="dxa"/>
            <w:tcBorders>
              <w:bottom w:val="single" w:color="auto" w:sz="4" w:space="0"/>
            </w:tcBorders>
            <w:vAlign w:val="center"/>
          </w:tcPr>
          <w:p>
            <w:pPr>
              <w:spacing w:line="360" w:lineRule="exact"/>
              <w:jc w:val="center"/>
              <w:rPr>
                <w:rFonts w:ascii="Times New Roman" w:hAnsi="Times New Roman" w:cs="Times New Roman"/>
                <w:color w:val="000000" w:themeColor="text1"/>
                <w:kern w:val="0"/>
              </w:rPr>
            </w:pPr>
            <w:r>
              <w:rPr>
                <w:color w:val="000000" w:themeColor="text1"/>
              </w:rPr>
              <w:t>废砖坯及边角料</w:t>
            </w:r>
          </w:p>
        </w:tc>
        <w:tc>
          <w:tcPr>
            <w:tcW w:w="2955"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直接作为项目制砖生产原料利用</w:t>
            </w:r>
          </w:p>
        </w:tc>
        <w:tc>
          <w:tcPr>
            <w:tcW w:w="1703"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46" w:type="dxa"/>
            <w:gridSpan w:val="3"/>
            <w:vMerge w:val="restart"/>
            <w:vAlign w:val="center"/>
          </w:tcPr>
          <w:p>
            <w:pPr>
              <w:spacing w:line="360" w:lineRule="exact"/>
              <w:jc w:val="center"/>
              <w:rPr>
                <w:color w:val="000000" w:themeColor="text1"/>
              </w:rPr>
            </w:pPr>
            <w:r>
              <w:rPr>
                <w:rFonts w:hint="eastAsia"/>
                <w:color w:val="000000" w:themeColor="text1"/>
              </w:rPr>
              <w:t>焙烧车间</w:t>
            </w:r>
          </w:p>
        </w:tc>
        <w:tc>
          <w:tcPr>
            <w:tcW w:w="1125" w:type="dxa"/>
            <w:tcBorders>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不合格的烧结砖</w:t>
            </w:r>
          </w:p>
        </w:tc>
        <w:tc>
          <w:tcPr>
            <w:tcW w:w="2955" w:type="dxa"/>
            <w:vMerge w:val="continue"/>
            <w:vAlign w:val="center"/>
          </w:tcPr>
          <w:p>
            <w:pPr>
              <w:pStyle w:val="32"/>
              <w:spacing w:line="360" w:lineRule="exact"/>
              <w:ind w:firstLine="210" w:firstLineChars="100"/>
              <w:jc w:val="both"/>
              <w:rPr>
                <w:rFonts w:eastAsiaTheme="minorEastAsia"/>
                <w:color w:val="000000" w:themeColor="text1"/>
                <w:szCs w:val="24"/>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46" w:type="dxa"/>
            <w:gridSpan w:val="3"/>
            <w:vMerge w:val="continue"/>
            <w:vAlign w:val="center"/>
          </w:tcPr>
          <w:p>
            <w:pPr>
              <w:spacing w:line="360" w:lineRule="exact"/>
              <w:jc w:val="center"/>
              <w:rPr>
                <w:color w:val="000000" w:themeColor="text1"/>
              </w:rPr>
            </w:pPr>
          </w:p>
        </w:tc>
        <w:tc>
          <w:tcPr>
            <w:tcW w:w="1125" w:type="dxa"/>
            <w:tcBorders>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点火时产生的炉渣</w:t>
            </w:r>
          </w:p>
        </w:tc>
        <w:tc>
          <w:tcPr>
            <w:tcW w:w="2955" w:type="dxa"/>
            <w:vMerge w:val="continue"/>
            <w:vAlign w:val="center"/>
          </w:tcPr>
          <w:p>
            <w:pPr>
              <w:pStyle w:val="32"/>
              <w:spacing w:line="360" w:lineRule="exact"/>
              <w:ind w:firstLine="210" w:firstLineChars="100"/>
              <w:jc w:val="both"/>
              <w:rPr>
                <w:rFonts w:eastAsiaTheme="minorEastAsia"/>
                <w:color w:val="000000" w:themeColor="text1"/>
                <w:szCs w:val="24"/>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46" w:type="dxa"/>
            <w:gridSpan w:val="3"/>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脉冲布袋除尘器</w:t>
            </w:r>
          </w:p>
        </w:tc>
        <w:tc>
          <w:tcPr>
            <w:tcW w:w="1125" w:type="dxa"/>
            <w:tcBorders>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脉冲布袋除尘器收集粉尘</w:t>
            </w:r>
          </w:p>
        </w:tc>
        <w:tc>
          <w:tcPr>
            <w:tcW w:w="2955" w:type="dxa"/>
            <w:vMerge w:val="continue"/>
            <w:vAlign w:val="center"/>
          </w:tcPr>
          <w:p>
            <w:pPr>
              <w:pStyle w:val="32"/>
              <w:spacing w:line="360" w:lineRule="exact"/>
              <w:ind w:firstLine="210" w:firstLineChars="100"/>
              <w:jc w:val="both"/>
              <w:rPr>
                <w:rFonts w:eastAsiaTheme="minorEastAsia"/>
                <w:color w:val="000000" w:themeColor="text1"/>
                <w:szCs w:val="24"/>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46" w:type="dxa"/>
            <w:gridSpan w:val="3"/>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脱硫除尘系统</w:t>
            </w:r>
          </w:p>
        </w:tc>
        <w:tc>
          <w:tcPr>
            <w:tcW w:w="1125" w:type="dxa"/>
            <w:tcBorders>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脱硫除尘固废</w:t>
            </w:r>
          </w:p>
        </w:tc>
        <w:tc>
          <w:tcPr>
            <w:tcW w:w="2955" w:type="dxa"/>
            <w:vMerge w:val="continue"/>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p>
        </w:tc>
        <w:tc>
          <w:tcPr>
            <w:tcW w:w="1703" w:type="dxa"/>
            <w:vMerge w:val="continue"/>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6" w:hRule="atLeast"/>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46" w:type="dxa"/>
            <w:gridSpan w:val="3"/>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设备维护</w:t>
            </w:r>
          </w:p>
        </w:tc>
        <w:tc>
          <w:tcPr>
            <w:tcW w:w="11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2955"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厂区拟建设了1个10m²的危险废物贮存间对项目区产生的危险废物进行分类暂存；废机油部分用于生产设备润滑使用，无法使用部分委托有资质的单位处置</w:t>
            </w:r>
            <w:r>
              <w:rPr>
                <w:rFonts w:eastAsiaTheme="minorEastAsia"/>
                <w:color w:val="000000" w:themeColor="text1"/>
                <w:szCs w:val="24"/>
              </w:rPr>
              <w:t>。</w:t>
            </w:r>
            <w:r>
              <w:rPr>
                <w:rFonts w:eastAsiaTheme="minorEastAsia"/>
                <w:color w:val="000000" w:themeColor="text1"/>
                <w:szCs w:val="21"/>
              </w:rPr>
              <w:t>废弃沾油抹布</w:t>
            </w:r>
            <w:r>
              <w:rPr>
                <w:rFonts w:hint="eastAsia" w:eastAsiaTheme="minorEastAsia"/>
                <w:color w:val="000000" w:themeColor="text1"/>
                <w:szCs w:val="24"/>
              </w:rPr>
              <w:t>委托有资质的单位处置</w:t>
            </w:r>
            <w:r>
              <w:rPr>
                <w:rFonts w:eastAsiaTheme="minorEastAsia"/>
                <w:color w:val="000000" w:themeColor="text1"/>
                <w:szCs w:val="24"/>
              </w:rPr>
              <w:t>。</w:t>
            </w:r>
          </w:p>
        </w:tc>
        <w:tc>
          <w:tcPr>
            <w:tcW w:w="1703"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46" w:type="dxa"/>
            <w:gridSpan w:val="3"/>
            <w:vMerge w:val="continue"/>
            <w:vAlign w:val="center"/>
          </w:tcPr>
          <w:p>
            <w:pPr>
              <w:spacing w:line="360" w:lineRule="exact"/>
              <w:jc w:val="center"/>
              <w:rPr>
                <w:rFonts w:ascii="Times New Roman" w:hAnsi="Times New Roman" w:cs="Times New Roman"/>
                <w:color w:val="000000" w:themeColor="text1"/>
                <w:kern w:val="0"/>
              </w:rPr>
            </w:pPr>
          </w:p>
        </w:tc>
        <w:tc>
          <w:tcPr>
            <w:tcW w:w="11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2955" w:type="dxa"/>
            <w:vMerge w:val="continue"/>
            <w:vAlign w:val="center"/>
          </w:tcPr>
          <w:p>
            <w:pPr>
              <w:pStyle w:val="32"/>
              <w:spacing w:line="360" w:lineRule="exact"/>
              <w:ind w:firstLine="210" w:firstLineChars="100"/>
              <w:jc w:val="both"/>
              <w:rPr>
                <w:rFonts w:eastAsiaTheme="minorEastAsia"/>
                <w:color w:val="000000" w:themeColor="text1"/>
                <w:szCs w:val="24"/>
              </w:rPr>
            </w:pP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46" w:type="dxa"/>
            <w:gridSpan w:val="3"/>
            <w:vMerge w:val="restart"/>
            <w:vAlign w:val="center"/>
          </w:tcPr>
          <w:p>
            <w:pPr>
              <w:pStyle w:val="32"/>
              <w:spacing w:line="360" w:lineRule="exact"/>
              <w:rPr>
                <w:color w:val="000000" w:themeColor="text1"/>
                <w:szCs w:val="21"/>
              </w:rPr>
            </w:pPr>
            <w:r>
              <w:rPr>
                <w:color w:val="000000" w:themeColor="text1"/>
                <w:szCs w:val="21"/>
              </w:rPr>
              <w:t>员工生活</w:t>
            </w:r>
          </w:p>
        </w:tc>
        <w:tc>
          <w:tcPr>
            <w:tcW w:w="11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生活垃圾</w:t>
            </w:r>
          </w:p>
        </w:tc>
        <w:tc>
          <w:tcPr>
            <w:tcW w:w="2955"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r>
              <w:rPr>
                <w:rFonts w:hint="eastAsia" w:eastAsiaTheme="minorEastAsia"/>
                <w:color w:val="000000" w:themeColor="text1"/>
                <w:szCs w:val="24"/>
              </w:rPr>
              <w:t>。</w:t>
            </w:r>
          </w:p>
        </w:tc>
        <w:tc>
          <w:tcPr>
            <w:tcW w:w="1703"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46" w:type="dxa"/>
            <w:gridSpan w:val="3"/>
            <w:vMerge w:val="continue"/>
            <w:vAlign w:val="center"/>
          </w:tcPr>
          <w:p>
            <w:pPr>
              <w:rPr>
                <w:color w:val="000000" w:themeColor="text1"/>
              </w:rPr>
            </w:pPr>
          </w:p>
        </w:tc>
        <w:tc>
          <w:tcPr>
            <w:tcW w:w="112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餐厨废物</w:t>
            </w:r>
          </w:p>
        </w:tc>
        <w:tc>
          <w:tcPr>
            <w:tcW w:w="2955"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委托有资质的单位进行处置</w:t>
            </w:r>
            <w:r>
              <w:rPr>
                <w:rFonts w:hint="eastAsia" w:eastAsiaTheme="minorEastAsia"/>
                <w:color w:val="000000" w:themeColor="text1"/>
                <w:szCs w:val="24"/>
              </w:rPr>
              <w:t>。</w:t>
            </w: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46" w:type="dxa"/>
            <w:gridSpan w:val="3"/>
            <w:vMerge w:val="continue"/>
            <w:vAlign w:val="center"/>
          </w:tcPr>
          <w:p>
            <w:pPr>
              <w:rPr>
                <w:color w:val="000000" w:themeColor="text1"/>
              </w:rPr>
            </w:pPr>
          </w:p>
        </w:tc>
        <w:tc>
          <w:tcPr>
            <w:tcW w:w="11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隔油池浮油</w:t>
            </w:r>
          </w:p>
        </w:tc>
        <w:tc>
          <w:tcPr>
            <w:tcW w:w="2955"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委托有资质的单位进行清理和处置</w:t>
            </w:r>
            <w:r>
              <w:rPr>
                <w:rFonts w:hint="eastAsia" w:eastAsiaTheme="minorEastAsia"/>
                <w:color w:val="000000" w:themeColor="text1"/>
                <w:szCs w:val="24"/>
              </w:rPr>
              <w:t>。</w:t>
            </w: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463"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2546" w:type="dxa"/>
            <w:gridSpan w:val="3"/>
            <w:vMerge w:val="continue"/>
            <w:vAlign w:val="center"/>
          </w:tcPr>
          <w:p>
            <w:pPr>
              <w:rPr>
                <w:color w:val="000000" w:themeColor="text1"/>
              </w:rPr>
            </w:pPr>
          </w:p>
        </w:tc>
        <w:tc>
          <w:tcPr>
            <w:tcW w:w="112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污水处理设施污泥</w:t>
            </w:r>
          </w:p>
        </w:tc>
        <w:tc>
          <w:tcPr>
            <w:tcW w:w="2955"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委托环卫部门清运处理</w:t>
            </w:r>
            <w:r>
              <w:rPr>
                <w:rFonts w:hint="eastAsia" w:eastAsiaTheme="minorEastAsia"/>
                <w:color w:val="000000" w:themeColor="text1"/>
                <w:szCs w:val="24"/>
              </w:rPr>
              <w:t>。</w:t>
            </w:r>
          </w:p>
        </w:tc>
        <w:tc>
          <w:tcPr>
            <w:tcW w:w="170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1"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329"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①源头控制措施</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严格按照公司制定的规范管理要求进行危险废物的管理。</w:t>
            </w:r>
            <w:r>
              <w:rPr>
                <w:rFonts w:hint="eastAsia" w:eastAsiaTheme="minorEastAsia"/>
                <w:color w:val="000000" w:themeColor="text1"/>
                <w:sz w:val="24"/>
                <w:szCs w:val="21"/>
              </w:rPr>
              <w:t>确保氟化物等废气达标排放。</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②分区控制措施</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危险废物贮存间</w:t>
            </w:r>
            <w:r>
              <w:rPr>
                <w:rFonts w:hint="eastAsia" w:eastAsiaTheme="minorEastAsia"/>
                <w:color w:val="000000" w:themeColor="text1"/>
                <w:sz w:val="24"/>
                <w:szCs w:val="21"/>
              </w:rPr>
              <w:t>地面和裙墙应采用</w:t>
            </w:r>
            <w:r>
              <w:rPr>
                <w:rFonts w:eastAsiaTheme="minorEastAsia"/>
                <w:color w:val="000000" w:themeColor="text1"/>
                <w:sz w:val="24"/>
                <w:szCs w:val="21"/>
              </w:rPr>
              <w:t>不低于2mm厚的HDPE膜或其他人工防渗材料进行防渗，使其渗透系数≤10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项目脱硫除尘系统、库房、生活污水处理设施区域划定为一般防渗区</w:t>
            </w:r>
            <w:r>
              <w:rPr>
                <w:rFonts w:eastAsiaTheme="minorEastAsia"/>
                <w:color w:val="000000" w:themeColor="text1"/>
                <w:sz w:val="24"/>
                <w:szCs w:val="21"/>
              </w:rPr>
              <w:t>，一般防渗区措施在地面采取粘土铺底，并在上层铺30cm的混凝土进行硬化。确保防渗性能</w:t>
            </w:r>
            <w:r>
              <w:rPr>
                <w:rFonts w:hint="eastAsia" w:eastAsiaTheme="minorEastAsia"/>
                <w:color w:val="000000" w:themeColor="text1"/>
                <w:sz w:val="24"/>
                <w:szCs w:val="21"/>
              </w:rPr>
              <w:t>，使其渗透系数</w:t>
            </w:r>
            <w:r>
              <w:rPr>
                <w:rFonts w:eastAsiaTheme="minorEastAsia"/>
                <w:color w:val="000000" w:themeColor="text1"/>
                <w:sz w:val="24"/>
                <w:szCs w:val="21"/>
              </w:rPr>
              <w:t>≤1.0×10</w:t>
            </w:r>
            <w:r>
              <w:rPr>
                <w:rFonts w:eastAsiaTheme="minorEastAsia"/>
                <w:color w:val="000000" w:themeColor="text1"/>
                <w:sz w:val="24"/>
                <w:szCs w:val="21"/>
                <w:vertAlign w:val="superscript"/>
              </w:rPr>
              <w:t>-</w:t>
            </w:r>
            <w:r>
              <w:rPr>
                <w:rFonts w:hint="eastAsia" w:eastAsiaTheme="minorEastAsia"/>
                <w:color w:val="000000" w:themeColor="text1"/>
                <w:sz w:val="24"/>
                <w:szCs w:val="21"/>
                <w:vertAlign w:val="superscript"/>
              </w:rPr>
              <w:t>7</w:t>
            </w:r>
            <w:r>
              <w:rPr>
                <w:rFonts w:eastAsiaTheme="minorEastAsia"/>
                <w:color w:val="000000" w:themeColor="text1"/>
                <w:sz w:val="24"/>
                <w:szCs w:val="21"/>
              </w:rPr>
              <w:t>cm/s</w:t>
            </w:r>
            <w:r>
              <w:rPr>
                <w:rFonts w:hint="eastAsia" w:eastAsiaTheme="minorEastAsia"/>
                <w:color w:val="000000" w:themeColor="text1"/>
                <w:sz w:val="24"/>
                <w:szCs w:val="21"/>
              </w:rPr>
              <w:t>。</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1"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329"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项目采取尽量错开雨天进行地面施工，减少水土流失带来的环境影响。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1"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329"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①危废废物应储存于规范的危险废物贮存间；危险废物贮存间</w:t>
            </w:r>
            <w:r>
              <w:rPr>
                <w:rFonts w:hint="eastAsia" w:eastAsiaTheme="minorEastAsia"/>
                <w:color w:val="000000" w:themeColor="text1"/>
                <w:sz w:val="24"/>
                <w:szCs w:val="21"/>
              </w:rPr>
              <w:t>地面和裙墙应采用</w:t>
            </w:r>
            <w:r>
              <w:rPr>
                <w:rFonts w:eastAsiaTheme="minorEastAsia"/>
                <w:color w:val="000000" w:themeColor="text1"/>
                <w:sz w:val="24"/>
                <w:szCs w:val="21"/>
              </w:rPr>
              <w:t>不低于2mm厚的HDPE膜或其他人工防渗材料进行防渗，使其渗透系数≤10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r>
              <w:rPr>
                <w:rFonts w:hint="eastAsia" w:eastAsiaTheme="minorEastAsia"/>
                <w:color w:val="000000" w:themeColor="text1"/>
                <w:sz w:val="24"/>
                <w:szCs w:val="21"/>
              </w:rPr>
              <w:t>危险废物</w:t>
            </w:r>
            <w:r>
              <w:rPr>
                <w:rFonts w:eastAsiaTheme="minorEastAsia"/>
                <w:color w:val="000000" w:themeColor="text1"/>
                <w:sz w:val="24"/>
                <w:szCs w:val="21"/>
              </w:rPr>
              <w:t>入库时，严格检验物品质量、数量、包装情况、有无泄漏。</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②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③项目区配备相应品种的消防器材</w:t>
            </w:r>
            <w:r>
              <w:rPr>
                <w:rFonts w:hint="eastAsia" w:eastAsiaTheme="minorEastAsia"/>
                <w:color w:val="000000" w:themeColor="text1"/>
                <w:sz w:val="24"/>
                <w:szCs w:val="21"/>
              </w:rPr>
              <w:t>。</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④脱硫设施</w:t>
            </w:r>
            <w:r>
              <w:rPr>
                <w:rFonts w:eastAsiaTheme="minorEastAsia"/>
                <w:color w:val="000000" w:themeColor="text1"/>
                <w:sz w:val="24"/>
                <w:szCs w:val="21"/>
              </w:rPr>
              <w:t>配备有专业知识的技术人员，</w:t>
            </w:r>
            <w:r>
              <w:rPr>
                <w:rFonts w:hint="eastAsia" w:eastAsiaTheme="minorEastAsia"/>
                <w:color w:val="000000" w:themeColor="text1"/>
                <w:sz w:val="24"/>
                <w:szCs w:val="21"/>
              </w:rPr>
              <w:t>库房</w:t>
            </w:r>
            <w:r>
              <w:rPr>
                <w:rFonts w:eastAsiaTheme="minorEastAsia"/>
                <w:color w:val="000000" w:themeColor="text1"/>
                <w:sz w:val="24"/>
                <w:szCs w:val="21"/>
              </w:rPr>
              <w:t>及场所应设专人管理，管理人员必须配备可靠的个人安全防护用品。</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⑤次氯酸钠</w:t>
            </w:r>
            <w:r>
              <w:rPr>
                <w:rFonts w:eastAsiaTheme="minorEastAsia"/>
                <w:color w:val="000000" w:themeColor="text1"/>
                <w:sz w:val="24"/>
                <w:szCs w:val="21"/>
              </w:rPr>
              <w:t>入库时，严格检验物品质量、数量、包装情况、有无泄漏。入库后应采取适当的养护措施，在贮存期内，定期检查，发现其品质变化、包装破损、渗漏等，应及时处理。</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⑥库房</w:t>
            </w:r>
            <w:r>
              <w:rPr>
                <w:rFonts w:eastAsiaTheme="minorEastAsia"/>
                <w:color w:val="000000" w:themeColor="text1"/>
                <w:sz w:val="24"/>
                <w:szCs w:val="21"/>
              </w:rPr>
              <w:t>湿度应严格控制、经常检查，发现变化及时调整。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1"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329"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①</w:t>
            </w:r>
            <w:r>
              <w:rPr>
                <w:rFonts w:eastAsiaTheme="minorEastAsia"/>
                <w:color w:val="000000" w:themeColor="text1"/>
                <w:sz w:val="24"/>
                <w:szCs w:val="21"/>
              </w:rPr>
              <w:t>建设单位按照危险废物管理的规范要求，设置危险废物识别标志、环境保护图形标志。</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②</w:t>
            </w:r>
            <w:r>
              <w:rPr>
                <w:rFonts w:eastAsiaTheme="minorEastAsia"/>
                <w:color w:val="000000" w:themeColor="text1"/>
                <w:sz w:val="24"/>
                <w:szCs w:val="21"/>
              </w:rPr>
              <w:t>要求建设单位制定突发环境事件应急预案，报所在地县级以上环境保护行政主管部门备案并按照预案要求每年组织演练。</w:t>
            </w: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jc w:val="both"/>
              <w:rPr>
                <w:rFonts w:eastAsiaTheme="minorEastAsia"/>
                <w:color w:val="000000" w:themeColor="text1"/>
                <w:szCs w:val="21"/>
              </w:rPr>
            </w:pPr>
            <w:r>
              <w:rPr>
                <w:rFonts w:hint="eastAsia" w:eastAsiaTheme="minorEastAsia"/>
                <w:color w:val="000000" w:themeColor="text1"/>
                <w:sz w:val="24"/>
                <w:szCs w:val="21"/>
              </w:rPr>
              <w:t xml:space="preserve">  </w:t>
            </w: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北杏新型建材有限公司拟建设的昆明北杏新型建材有限公司年产7000万块页岩砖改扩建项目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984"/>
        <w:gridCol w:w="1560"/>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198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6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现有工程排放量（固体废物产生量）①</w:t>
            </w:r>
          </w:p>
        </w:tc>
        <w:tc>
          <w:tcPr>
            <w:tcW w:w="141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本项目排放量（固体废物产生量）④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本项目建成后全厂排放量（固体废物产生量）⑥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198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扬粉尘（颗粒物）</w:t>
            </w:r>
          </w:p>
        </w:tc>
        <w:tc>
          <w:tcPr>
            <w:tcW w:w="156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50.44t/a</w:t>
            </w:r>
          </w:p>
        </w:tc>
        <w:tc>
          <w:tcPr>
            <w:tcW w:w="141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50.44t/a</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13.26t/a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50.44t/a</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13.26t/a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-37.18t/a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烟尘（颗粒物）</w:t>
            </w:r>
          </w:p>
        </w:tc>
        <w:tc>
          <w:tcPr>
            <w:tcW w:w="1560" w:type="dxa"/>
            <w:vAlign w:val="center"/>
          </w:tcPr>
          <w:p>
            <w:pPr>
              <w:pStyle w:val="32"/>
              <w:spacing w:line="360" w:lineRule="exact"/>
              <w:rPr>
                <w:rFonts w:eastAsiaTheme="minorEastAsia"/>
                <w:color w:val="000000" w:themeColor="text1"/>
                <w:szCs w:val="21"/>
              </w:rPr>
            </w:pPr>
            <w:r>
              <w:rPr>
                <w:rFonts w:hint="eastAsia"/>
                <w:color w:val="000000" w:themeColor="text1"/>
                <w:szCs w:val="21"/>
              </w:rPr>
              <w:t>28.38t/a</w:t>
            </w:r>
          </w:p>
        </w:tc>
        <w:tc>
          <w:tcPr>
            <w:tcW w:w="1417" w:type="dxa"/>
            <w:vAlign w:val="center"/>
          </w:tcPr>
          <w:p>
            <w:pPr>
              <w:pStyle w:val="32"/>
              <w:spacing w:line="360" w:lineRule="exact"/>
              <w:rPr>
                <w:rFonts w:eastAsiaTheme="minorEastAsia"/>
                <w:color w:val="000000" w:themeColor="text1"/>
                <w:szCs w:val="21"/>
              </w:rPr>
            </w:pPr>
            <w:r>
              <w:rPr>
                <w:rFonts w:hint="eastAsia"/>
                <w:color w:val="000000" w:themeColor="text1"/>
                <w:szCs w:val="21"/>
              </w:rPr>
              <w:t>28.38t/a</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4.97</w:t>
            </w:r>
            <w:r>
              <w:rPr>
                <w:rFonts w:eastAsiaTheme="minorEastAsia"/>
                <w:color w:val="000000" w:themeColor="text1"/>
                <w:szCs w:val="21"/>
              </w:rPr>
              <w:t>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28.38t/a</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4.97</w:t>
            </w:r>
            <w:r>
              <w:rPr>
                <w:rFonts w:eastAsiaTheme="minorEastAsia"/>
                <w:color w:val="000000" w:themeColor="text1"/>
                <w:szCs w:val="21"/>
              </w:rPr>
              <w:t>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-23.41t/a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SO</w:t>
            </w:r>
            <w:r>
              <w:rPr>
                <w:rFonts w:eastAsiaTheme="minorEastAsia"/>
                <w:color w:val="000000" w:themeColor="text1"/>
                <w:szCs w:val="21"/>
                <w:vertAlign w:val="subscript"/>
              </w:rPr>
              <w:t>2</w:t>
            </w:r>
          </w:p>
        </w:tc>
        <w:tc>
          <w:tcPr>
            <w:tcW w:w="1560" w:type="dxa"/>
            <w:vAlign w:val="center"/>
          </w:tcPr>
          <w:p>
            <w:pPr>
              <w:pStyle w:val="32"/>
              <w:spacing w:line="360" w:lineRule="exact"/>
              <w:rPr>
                <w:rFonts w:eastAsiaTheme="minorEastAsia"/>
                <w:color w:val="000000" w:themeColor="text1"/>
                <w:szCs w:val="21"/>
              </w:rPr>
            </w:pPr>
            <w:r>
              <w:rPr>
                <w:rFonts w:hint="eastAsia"/>
                <w:color w:val="000000" w:themeColor="text1"/>
                <w:szCs w:val="21"/>
              </w:rPr>
              <w:t>88.8t/a</w:t>
            </w:r>
          </w:p>
        </w:tc>
        <w:tc>
          <w:tcPr>
            <w:tcW w:w="1417" w:type="dxa"/>
            <w:vAlign w:val="center"/>
          </w:tcPr>
          <w:p>
            <w:pPr>
              <w:pStyle w:val="32"/>
              <w:spacing w:line="360" w:lineRule="exact"/>
              <w:rPr>
                <w:rFonts w:eastAsiaTheme="minorEastAsia"/>
                <w:color w:val="000000" w:themeColor="text1"/>
                <w:szCs w:val="21"/>
              </w:rPr>
            </w:pPr>
            <w:r>
              <w:rPr>
                <w:rFonts w:hint="eastAsia"/>
                <w:color w:val="000000" w:themeColor="text1"/>
                <w:szCs w:val="21"/>
              </w:rPr>
              <w:t>88.8t/a</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10.36</w:t>
            </w:r>
            <w:r>
              <w:rPr>
                <w:rFonts w:eastAsiaTheme="minorEastAsia"/>
                <w:color w:val="000000" w:themeColor="text1"/>
                <w:szCs w:val="21"/>
              </w:rPr>
              <w:t>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88.8t/a</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10.36</w:t>
            </w:r>
            <w:r>
              <w:rPr>
                <w:rFonts w:eastAsiaTheme="minorEastAsia"/>
                <w:color w:val="000000" w:themeColor="text1"/>
                <w:szCs w:val="21"/>
              </w:rPr>
              <w:t>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-78.44t/a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NOx</w:t>
            </w:r>
          </w:p>
        </w:tc>
        <w:tc>
          <w:tcPr>
            <w:tcW w:w="1560" w:type="dxa"/>
            <w:vAlign w:val="center"/>
          </w:tcPr>
          <w:p>
            <w:pPr>
              <w:pStyle w:val="32"/>
              <w:spacing w:line="360" w:lineRule="exact"/>
              <w:rPr>
                <w:rFonts w:eastAsiaTheme="minorEastAsia"/>
                <w:color w:val="000000" w:themeColor="text1"/>
                <w:szCs w:val="21"/>
              </w:rPr>
            </w:pPr>
            <w:r>
              <w:rPr>
                <w:rFonts w:hint="eastAsia"/>
                <w:color w:val="000000" w:themeColor="text1"/>
                <w:szCs w:val="21"/>
              </w:rPr>
              <w:t>9.96t/a</w:t>
            </w:r>
          </w:p>
        </w:tc>
        <w:tc>
          <w:tcPr>
            <w:tcW w:w="1417" w:type="dxa"/>
            <w:vAlign w:val="center"/>
          </w:tcPr>
          <w:p>
            <w:pPr>
              <w:pStyle w:val="32"/>
              <w:spacing w:line="360" w:lineRule="exact"/>
              <w:rPr>
                <w:rFonts w:eastAsiaTheme="minorEastAsia"/>
                <w:color w:val="000000" w:themeColor="text1"/>
                <w:szCs w:val="21"/>
              </w:rPr>
            </w:pPr>
            <w:r>
              <w:rPr>
                <w:rFonts w:hint="eastAsia"/>
                <w:color w:val="000000" w:themeColor="text1"/>
                <w:szCs w:val="21"/>
              </w:rPr>
              <w:t>9.96t/a</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11.62</w:t>
            </w:r>
            <w:r>
              <w:rPr>
                <w:rFonts w:eastAsiaTheme="minorEastAsia"/>
                <w:color w:val="000000" w:themeColor="text1"/>
                <w:szCs w:val="21"/>
              </w:rPr>
              <w:t>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9.96t/a</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11.62</w:t>
            </w:r>
            <w:r>
              <w:rPr>
                <w:rFonts w:eastAsiaTheme="minorEastAsia"/>
                <w:color w:val="000000" w:themeColor="text1"/>
                <w:szCs w:val="21"/>
              </w:rPr>
              <w:t>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1.66t/a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氟化物</w:t>
            </w:r>
          </w:p>
        </w:tc>
        <w:tc>
          <w:tcPr>
            <w:tcW w:w="156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1.47</w:t>
            </w:r>
            <w:r>
              <w:rPr>
                <w:rFonts w:hint="eastAsia"/>
                <w:color w:val="000000" w:themeColor="text1"/>
                <w:szCs w:val="21"/>
              </w:rPr>
              <w:t>t/a</w:t>
            </w:r>
          </w:p>
        </w:tc>
        <w:tc>
          <w:tcPr>
            <w:tcW w:w="141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1.47</w:t>
            </w:r>
            <w:r>
              <w:rPr>
                <w:rFonts w:hint="eastAsia"/>
                <w:color w:val="000000" w:themeColor="text1"/>
                <w:szCs w:val="21"/>
              </w:rPr>
              <w:t>t/a</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0.51</w:t>
            </w:r>
            <w:r>
              <w:rPr>
                <w:rFonts w:hint="eastAsia" w:eastAsiaTheme="minorEastAsia"/>
                <w:color w:val="000000" w:themeColor="text1"/>
                <w:szCs w:val="21"/>
              </w:rPr>
              <w:t>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1.47</w:t>
            </w:r>
            <w:r>
              <w:rPr>
                <w:rFonts w:hint="eastAsia"/>
                <w:color w:val="000000" w:themeColor="text1"/>
                <w:szCs w:val="21"/>
              </w:rPr>
              <w:t>t/a</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0.51</w:t>
            </w:r>
            <w:r>
              <w:rPr>
                <w:rFonts w:hint="eastAsia" w:eastAsiaTheme="minorEastAsia"/>
                <w:color w:val="000000" w:themeColor="text1"/>
                <w:szCs w:val="21"/>
              </w:rPr>
              <w:t>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-0.96</w:t>
            </w:r>
            <w:r>
              <w:rPr>
                <w:rFonts w:hint="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总氮</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156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废砖坯及边角料</w:t>
            </w:r>
          </w:p>
        </w:tc>
        <w:tc>
          <w:tcPr>
            <w:tcW w:w="156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11.57t/a</w:t>
            </w:r>
          </w:p>
        </w:tc>
        <w:tc>
          <w:tcPr>
            <w:tcW w:w="141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13.5</w:t>
            </w:r>
            <w:r>
              <w:rPr>
                <w:rFonts w:eastAsiaTheme="minorEastAsia"/>
                <w:color w:val="000000" w:themeColor="text1"/>
                <w:szCs w:val="21"/>
              </w:rPr>
              <w:t>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11.57t/a</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13.5</w:t>
            </w:r>
            <w:r>
              <w:rPr>
                <w:rFonts w:eastAsiaTheme="minorEastAsia"/>
                <w:color w:val="000000" w:themeColor="text1"/>
                <w:szCs w:val="21"/>
              </w:rPr>
              <w:t>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1.93</w:t>
            </w:r>
            <w:r>
              <w:rPr>
                <w:rFonts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不合格的烧结砖</w:t>
            </w:r>
          </w:p>
        </w:tc>
        <w:tc>
          <w:tcPr>
            <w:tcW w:w="156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240t/a</w:t>
            </w:r>
          </w:p>
        </w:tc>
        <w:tc>
          <w:tcPr>
            <w:tcW w:w="141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280</w:t>
            </w:r>
            <w:r>
              <w:rPr>
                <w:rFonts w:eastAsiaTheme="minorEastAsia"/>
                <w:color w:val="000000" w:themeColor="text1"/>
                <w:szCs w:val="21"/>
              </w:rPr>
              <w:t>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240t/a</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280</w:t>
            </w:r>
            <w:r>
              <w:rPr>
                <w:rFonts w:eastAsiaTheme="minorEastAsia"/>
                <w:color w:val="000000" w:themeColor="text1"/>
                <w:szCs w:val="21"/>
              </w:rPr>
              <w:t>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40</w:t>
            </w:r>
            <w:r>
              <w:rPr>
                <w:rFonts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点火时产生的炉渣</w:t>
            </w:r>
          </w:p>
        </w:tc>
        <w:tc>
          <w:tcPr>
            <w:tcW w:w="156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193.7t/a</w:t>
            </w:r>
          </w:p>
        </w:tc>
        <w:tc>
          <w:tcPr>
            <w:tcW w:w="141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226kg/a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193.7t/a</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226kg/a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32.3</w:t>
            </w:r>
            <w:r>
              <w:rPr>
                <w:rFonts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脉冲布袋除尘器收集粉尘</w:t>
            </w:r>
          </w:p>
        </w:tc>
        <w:tc>
          <w:tcPr>
            <w:tcW w:w="156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7.6t/a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7.6t/a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脱硫除尘固废</w:t>
            </w:r>
          </w:p>
        </w:tc>
        <w:tc>
          <w:tcPr>
            <w:tcW w:w="156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767.95t/a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767.95t/a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767.95t/a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156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80kg/a</w:t>
            </w:r>
          </w:p>
        </w:tc>
        <w:tc>
          <w:tcPr>
            <w:tcW w:w="141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80kg/a</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6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10kg/a</w:t>
            </w:r>
          </w:p>
        </w:tc>
        <w:tc>
          <w:tcPr>
            <w:tcW w:w="141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10kg/a</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r>
    </w:tbl>
    <w:p>
      <w:pPr>
        <w:ind w:firstLine="420" w:firstLineChars="200"/>
        <w:jc w:val="left"/>
        <w:rPr>
          <w:rFonts w:ascii="Times New Roman" w:hAnsi="Times New Roman" w:cs="Times New Roman"/>
          <w:b/>
          <w:color w:val="000000" w:themeColor="text1"/>
        </w:rPr>
      </w:pPr>
      <w:r>
        <w:rPr>
          <w:rFonts w:ascii="Times New Roman" w:hAnsi="Times New Roman" w:cs="Times New Roman"/>
          <w:b/>
          <w:color w:val="000000" w:themeColor="text1"/>
        </w:rPr>
        <w:t>注：⑥=①+③+④-⑤；⑦=⑥-①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56</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PzACtSt/1W6ldxQYL4PMv2iyRsQ=" w:salt="ttKVEj4p3jaiZKAZE/lzS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10A49"/>
    <w:rsid w:val="00012C80"/>
    <w:rsid w:val="00013833"/>
    <w:rsid w:val="00014662"/>
    <w:rsid w:val="00021721"/>
    <w:rsid w:val="0002285A"/>
    <w:rsid w:val="00030115"/>
    <w:rsid w:val="00031A59"/>
    <w:rsid w:val="00031E6A"/>
    <w:rsid w:val="00032B08"/>
    <w:rsid w:val="000344EF"/>
    <w:rsid w:val="00034809"/>
    <w:rsid w:val="00035576"/>
    <w:rsid w:val="00035973"/>
    <w:rsid w:val="00040A28"/>
    <w:rsid w:val="00040D99"/>
    <w:rsid w:val="00046D9B"/>
    <w:rsid w:val="00050E55"/>
    <w:rsid w:val="00054F28"/>
    <w:rsid w:val="0005744F"/>
    <w:rsid w:val="00060FF4"/>
    <w:rsid w:val="00062FAD"/>
    <w:rsid w:val="00067BF4"/>
    <w:rsid w:val="00070F66"/>
    <w:rsid w:val="0007395E"/>
    <w:rsid w:val="00075FFD"/>
    <w:rsid w:val="000760FE"/>
    <w:rsid w:val="0008069A"/>
    <w:rsid w:val="00082602"/>
    <w:rsid w:val="0008625A"/>
    <w:rsid w:val="00092548"/>
    <w:rsid w:val="000954A9"/>
    <w:rsid w:val="000B04E4"/>
    <w:rsid w:val="000B35C4"/>
    <w:rsid w:val="000B6EE8"/>
    <w:rsid w:val="000B7547"/>
    <w:rsid w:val="000B7F0F"/>
    <w:rsid w:val="000C1655"/>
    <w:rsid w:val="000D1B94"/>
    <w:rsid w:val="000D4D91"/>
    <w:rsid w:val="000D6A48"/>
    <w:rsid w:val="000E445E"/>
    <w:rsid w:val="000E500A"/>
    <w:rsid w:val="000E6F05"/>
    <w:rsid w:val="000F31A2"/>
    <w:rsid w:val="000F5DE9"/>
    <w:rsid w:val="0010241D"/>
    <w:rsid w:val="001050AD"/>
    <w:rsid w:val="00111F14"/>
    <w:rsid w:val="00116200"/>
    <w:rsid w:val="00116546"/>
    <w:rsid w:val="00120973"/>
    <w:rsid w:val="00121AAE"/>
    <w:rsid w:val="00122036"/>
    <w:rsid w:val="001250CA"/>
    <w:rsid w:val="00125B5D"/>
    <w:rsid w:val="00126836"/>
    <w:rsid w:val="001307E7"/>
    <w:rsid w:val="00142600"/>
    <w:rsid w:val="0015464F"/>
    <w:rsid w:val="001555F5"/>
    <w:rsid w:val="00155F5D"/>
    <w:rsid w:val="0015799F"/>
    <w:rsid w:val="00162258"/>
    <w:rsid w:val="00166793"/>
    <w:rsid w:val="0017180C"/>
    <w:rsid w:val="001719D1"/>
    <w:rsid w:val="00171AF4"/>
    <w:rsid w:val="00172D3E"/>
    <w:rsid w:val="001731F9"/>
    <w:rsid w:val="001750E1"/>
    <w:rsid w:val="0017574F"/>
    <w:rsid w:val="0018089D"/>
    <w:rsid w:val="00182D5B"/>
    <w:rsid w:val="001864CE"/>
    <w:rsid w:val="00187B44"/>
    <w:rsid w:val="00190097"/>
    <w:rsid w:val="00197070"/>
    <w:rsid w:val="001977B7"/>
    <w:rsid w:val="00197C78"/>
    <w:rsid w:val="001A0AC4"/>
    <w:rsid w:val="001A70EF"/>
    <w:rsid w:val="001B4D27"/>
    <w:rsid w:val="001C0A81"/>
    <w:rsid w:val="001C3FC6"/>
    <w:rsid w:val="001D1FB1"/>
    <w:rsid w:val="001D3CCB"/>
    <w:rsid w:val="001E1D94"/>
    <w:rsid w:val="001F03FE"/>
    <w:rsid w:val="001F0A05"/>
    <w:rsid w:val="001F2DED"/>
    <w:rsid w:val="001F522D"/>
    <w:rsid w:val="00201D47"/>
    <w:rsid w:val="00203A93"/>
    <w:rsid w:val="00206762"/>
    <w:rsid w:val="0021020E"/>
    <w:rsid w:val="00210AC5"/>
    <w:rsid w:val="002171C9"/>
    <w:rsid w:val="0022106E"/>
    <w:rsid w:val="002210A0"/>
    <w:rsid w:val="002349BA"/>
    <w:rsid w:val="00245CA3"/>
    <w:rsid w:val="00252D41"/>
    <w:rsid w:val="00263EC2"/>
    <w:rsid w:val="002666BE"/>
    <w:rsid w:val="002735A4"/>
    <w:rsid w:val="002771FA"/>
    <w:rsid w:val="00277862"/>
    <w:rsid w:val="00283568"/>
    <w:rsid w:val="002909A1"/>
    <w:rsid w:val="002931E6"/>
    <w:rsid w:val="002963A7"/>
    <w:rsid w:val="00296512"/>
    <w:rsid w:val="002A1028"/>
    <w:rsid w:val="002A1BFA"/>
    <w:rsid w:val="002A1DB1"/>
    <w:rsid w:val="002B2BE4"/>
    <w:rsid w:val="002B394A"/>
    <w:rsid w:val="002B40E5"/>
    <w:rsid w:val="002B50B9"/>
    <w:rsid w:val="002B5B05"/>
    <w:rsid w:val="002C07C0"/>
    <w:rsid w:val="002C3853"/>
    <w:rsid w:val="002D0160"/>
    <w:rsid w:val="002E25DE"/>
    <w:rsid w:val="002E3C02"/>
    <w:rsid w:val="002E3E71"/>
    <w:rsid w:val="002E3F5D"/>
    <w:rsid w:val="002E4EE2"/>
    <w:rsid w:val="002F37F6"/>
    <w:rsid w:val="003012BB"/>
    <w:rsid w:val="00317F26"/>
    <w:rsid w:val="00322DCE"/>
    <w:rsid w:val="00323170"/>
    <w:rsid w:val="003271C9"/>
    <w:rsid w:val="00332BCA"/>
    <w:rsid w:val="0034317D"/>
    <w:rsid w:val="00354B52"/>
    <w:rsid w:val="00360F4E"/>
    <w:rsid w:val="00361CF9"/>
    <w:rsid w:val="003707A9"/>
    <w:rsid w:val="00371986"/>
    <w:rsid w:val="00371B13"/>
    <w:rsid w:val="00372641"/>
    <w:rsid w:val="00375E22"/>
    <w:rsid w:val="003852E6"/>
    <w:rsid w:val="00385DE6"/>
    <w:rsid w:val="003879AF"/>
    <w:rsid w:val="00390401"/>
    <w:rsid w:val="00394E91"/>
    <w:rsid w:val="003A0D2E"/>
    <w:rsid w:val="003A1A97"/>
    <w:rsid w:val="003A2C94"/>
    <w:rsid w:val="003A4F39"/>
    <w:rsid w:val="003B149E"/>
    <w:rsid w:val="003B2DB5"/>
    <w:rsid w:val="003B6B9D"/>
    <w:rsid w:val="003C4D0F"/>
    <w:rsid w:val="003D01EE"/>
    <w:rsid w:val="003D03A2"/>
    <w:rsid w:val="003D15BD"/>
    <w:rsid w:val="003D25E7"/>
    <w:rsid w:val="003D4831"/>
    <w:rsid w:val="003E1314"/>
    <w:rsid w:val="003E1A39"/>
    <w:rsid w:val="003E24A1"/>
    <w:rsid w:val="003E2878"/>
    <w:rsid w:val="003E4647"/>
    <w:rsid w:val="003F0CB4"/>
    <w:rsid w:val="003F2912"/>
    <w:rsid w:val="003F4B40"/>
    <w:rsid w:val="003F5310"/>
    <w:rsid w:val="004029F9"/>
    <w:rsid w:val="00405DB9"/>
    <w:rsid w:val="00411F09"/>
    <w:rsid w:val="00412056"/>
    <w:rsid w:val="0042165D"/>
    <w:rsid w:val="0042483F"/>
    <w:rsid w:val="004329BC"/>
    <w:rsid w:val="004369B4"/>
    <w:rsid w:val="004431BA"/>
    <w:rsid w:val="00444FBC"/>
    <w:rsid w:val="004459AB"/>
    <w:rsid w:val="00445CD5"/>
    <w:rsid w:val="004521CF"/>
    <w:rsid w:val="00452F00"/>
    <w:rsid w:val="00465080"/>
    <w:rsid w:val="00477A89"/>
    <w:rsid w:val="004840C4"/>
    <w:rsid w:val="00484777"/>
    <w:rsid w:val="00490ECA"/>
    <w:rsid w:val="004A0BC4"/>
    <w:rsid w:val="004A0E4C"/>
    <w:rsid w:val="004A1EEA"/>
    <w:rsid w:val="004A2FFF"/>
    <w:rsid w:val="004A37C5"/>
    <w:rsid w:val="004A4E36"/>
    <w:rsid w:val="004A7486"/>
    <w:rsid w:val="004C2E9F"/>
    <w:rsid w:val="004C7D2E"/>
    <w:rsid w:val="004D1330"/>
    <w:rsid w:val="004D3DA8"/>
    <w:rsid w:val="004D5133"/>
    <w:rsid w:val="004D5651"/>
    <w:rsid w:val="004D620C"/>
    <w:rsid w:val="004E0B6A"/>
    <w:rsid w:val="004F046C"/>
    <w:rsid w:val="004F79F0"/>
    <w:rsid w:val="004F7ED7"/>
    <w:rsid w:val="00505002"/>
    <w:rsid w:val="00511B6E"/>
    <w:rsid w:val="00512026"/>
    <w:rsid w:val="005164B3"/>
    <w:rsid w:val="00516F69"/>
    <w:rsid w:val="00531AD8"/>
    <w:rsid w:val="00531E5D"/>
    <w:rsid w:val="00533467"/>
    <w:rsid w:val="005340F1"/>
    <w:rsid w:val="005344D8"/>
    <w:rsid w:val="00542078"/>
    <w:rsid w:val="00543C10"/>
    <w:rsid w:val="00544F28"/>
    <w:rsid w:val="00551B30"/>
    <w:rsid w:val="00551E76"/>
    <w:rsid w:val="005528F5"/>
    <w:rsid w:val="0055331A"/>
    <w:rsid w:val="0055687A"/>
    <w:rsid w:val="005568AC"/>
    <w:rsid w:val="005571AA"/>
    <w:rsid w:val="00570AC5"/>
    <w:rsid w:val="00570B7C"/>
    <w:rsid w:val="00572A09"/>
    <w:rsid w:val="00582AD6"/>
    <w:rsid w:val="00586942"/>
    <w:rsid w:val="00595DFB"/>
    <w:rsid w:val="00595DFF"/>
    <w:rsid w:val="005A040B"/>
    <w:rsid w:val="005A468F"/>
    <w:rsid w:val="005A4E1D"/>
    <w:rsid w:val="005B2471"/>
    <w:rsid w:val="005B5075"/>
    <w:rsid w:val="005B60E2"/>
    <w:rsid w:val="005B6614"/>
    <w:rsid w:val="005C3240"/>
    <w:rsid w:val="005C358A"/>
    <w:rsid w:val="005C38F9"/>
    <w:rsid w:val="005C5209"/>
    <w:rsid w:val="005C568F"/>
    <w:rsid w:val="005C6ECF"/>
    <w:rsid w:val="005D1BB5"/>
    <w:rsid w:val="005D2878"/>
    <w:rsid w:val="005D2D5E"/>
    <w:rsid w:val="005D2DAC"/>
    <w:rsid w:val="005D40A7"/>
    <w:rsid w:val="005D6D94"/>
    <w:rsid w:val="005E43DF"/>
    <w:rsid w:val="005E7578"/>
    <w:rsid w:val="00607B6F"/>
    <w:rsid w:val="00612FB5"/>
    <w:rsid w:val="00613C50"/>
    <w:rsid w:val="00615657"/>
    <w:rsid w:val="00617A01"/>
    <w:rsid w:val="0062045F"/>
    <w:rsid w:val="00623A6B"/>
    <w:rsid w:val="0063583F"/>
    <w:rsid w:val="00635E7E"/>
    <w:rsid w:val="00636BF7"/>
    <w:rsid w:val="006379C6"/>
    <w:rsid w:val="00642D37"/>
    <w:rsid w:val="00653F5D"/>
    <w:rsid w:val="00655AAA"/>
    <w:rsid w:val="00663A36"/>
    <w:rsid w:val="00670600"/>
    <w:rsid w:val="00674BFA"/>
    <w:rsid w:val="006826DF"/>
    <w:rsid w:val="00685451"/>
    <w:rsid w:val="0068738A"/>
    <w:rsid w:val="00687D0A"/>
    <w:rsid w:val="006946BA"/>
    <w:rsid w:val="006952FD"/>
    <w:rsid w:val="006A0148"/>
    <w:rsid w:val="006A310F"/>
    <w:rsid w:val="006A5256"/>
    <w:rsid w:val="006A72E3"/>
    <w:rsid w:val="006A7586"/>
    <w:rsid w:val="006A78F8"/>
    <w:rsid w:val="006B30E2"/>
    <w:rsid w:val="006B4D33"/>
    <w:rsid w:val="006C0272"/>
    <w:rsid w:val="006C0B93"/>
    <w:rsid w:val="006C1364"/>
    <w:rsid w:val="006C1666"/>
    <w:rsid w:val="006C1D02"/>
    <w:rsid w:val="006C1FE2"/>
    <w:rsid w:val="006C52A7"/>
    <w:rsid w:val="006C58DC"/>
    <w:rsid w:val="006C640B"/>
    <w:rsid w:val="006D1F47"/>
    <w:rsid w:val="006D449A"/>
    <w:rsid w:val="006D469B"/>
    <w:rsid w:val="006E20AC"/>
    <w:rsid w:val="006E2C47"/>
    <w:rsid w:val="006E3BBE"/>
    <w:rsid w:val="006E4148"/>
    <w:rsid w:val="006E69D9"/>
    <w:rsid w:val="006F2742"/>
    <w:rsid w:val="006F31A9"/>
    <w:rsid w:val="006F404F"/>
    <w:rsid w:val="006F6817"/>
    <w:rsid w:val="00702658"/>
    <w:rsid w:val="00702A5D"/>
    <w:rsid w:val="00702CD6"/>
    <w:rsid w:val="00703AE9"/>
    <w:rsid w:val="00710575"/>
    <w:rsid w:val="00712452"/>
    <w:rsid w:val="00714EBC"/>
    <w:rsid w:val="00715081"/>
    <w:rsid w:val="00715F71"/>
    <w:rsid w:val="007201DF"/>
    <w:rsid w:val="007205B9"/>
    <w:rsid w:val="00720BA9"/>
    <w:rsid w:val="00734F3E"/>
    <w:rsid w:val="00740A4F"/>
    <w:rsid w:val="00743085"/>
    <w:rsid w:val="007431C8"/>
    <w:rsid w:val="00745C1E"/>
    <w:rsid w:val="00751732"/>
    <w:rsid w:val="0075551E"/>
    <w:rsid w:val="00756F3F"/>
    <w:rsid w:val="00760397"/>
    <w:rsid w:val="007620A6"/>
    <w:rsid w:val="00766AE0"/>
    <w:rsid w:val="00766AF2"/>
    <w:rsid w:val="00766D22"/>
    <w:rsid w:val="0077006B"/>
    <w:rsid w:val="007752A9"/>
    <w:rsid w:val="007809B0"/>
    <w:rsid w:val="00785FBC"/>
    <w:rsid w:val="00786705"/>
    <w:rsid w:val="0079096A"/>
    <w:rsid w:val="0079172D"/>
    <w:rsid w:val="007923CD"/>
    <w:rsid w:val="00793033"/>
    <w:rsid w:val="00793C8B"/>
    <w:rsid w:val="00795DF7"/>
    <w:rsid w:val="00797D3A"/>
    <w:rsid w:val="007A17E9"/>
    <w:rsid w:val="007A1811"/>
    <w:rsid w:val="007A6586"/>
    <w:rsid w:val="007B296B"/>
    <w:rsid w:val="007B2D0E"/>
    <w:rsid w:val="007B60C1"/>
    <w:rsid w:val="007B741C"/>
    <w:rsid w:val="007C0DE2"/>
    <w:rsid w:val="007C48B8"/>
    <w:rsid w:val="007C64DE"/>
    <w:rsid w:val="007D01C3"/>
    <w:rsid w:val="007D01EC"/>
    <w:rsid w:val="007D440B"/>
    <w:rsid w:val="007D66D8"/>
    <w:rsid w:val="007E68B1"/>
    <w:rsid w:val="007F4217"/>
    <w:rsid w:val="00800713"/>
    <w:rsid w:val="0080313A"/>
    <w:rsid w:val="008037FF"/>
    <w:rsid w:val="00804005"/>
    <w:rsid w:val="008140BC"/>
    <w:rsid w:val="00814387"/>
    <w:rsid w:val="0081475D"/>
    <w:rsid w:val="00820EEF"/>
    <w:rsid w:val="008278FC"/>
    <w:rsid w:val="00844558"/>
    <w:rsid w:val="00847A3B"/>
    <w:rsid w:val="00853681"/>
    <w:rsid w:val="0085784B"/>
    <w:rsid w:val="00857DB7"/>
    <w:rsid w:val="00862A78"/>
    <w:rsid w:val="00875620"/>
    <w:rsid w:val="00876278"/>
    <w:rsid w:val="0087758A"/>
    <w:rsid w:val="00877DC6"/>
    <w:rsid w:val="00881AE9"/>
    <w:rsid w:val="00883F24"/>
    <w:rsid w:val="00884880"/>
    <w:rsid w:val="008902AE"/>
    <w:rsid w:val="008948EB"/>
    <w:rsid w:val="00897E97"/>
    <w:rsid w:val="008A1159"/>
    <w:rsid w:val="008A6FD6"/>
    <w:rsid w:val="008B21E0"/>
    <w:rsid w:val="008B702B"/>
    <w:rsid w:val="008C08AB"/>
    <w:rsid w:val="008C1FB7"/>
    <w:rsid w:val="008C50F0"/>
    <w:rsid w:val="008C7652"/>
    <w:rsid w:val="008D15CE"/>
    <w:rsid w:val="008D164F"/>
    <w:rsid w:val="008E01DB"/>
    <w:rsid w:val="008E0774"/>
    <w:rsid w:val="008E375A"/>
    <w:rsid w:val="008E56A4"/>
    <w:rsid w:val="008F1331"/>
    <w:rsid w:val="008F3815"/>
    <w:rsid w:val="008F4CE6"/>
    <w:rsid w:val="008F5F3E"/>
    <w:rsid w:val="008F74C5"/>
    <w:rsid w:val="008F7AE0"/>
    <w:rsid w:val="00903A8B"/>
    <w:rsid w:val="009050A1"/>
    <w:rsid w:val="00913BBF"/>
    <w:rsid w:val="00920360"/>
    <w:rsid w:val="009206AC"/>
    <w:rsid w:val="009252EF"/>
    <w:rsid w:val="00925E63"/>
    <w:rsid w:val="00927433"/>
    <w:rsid w:val="00927C70"/>
    <w:rsid w:val="00931F67"/>
    <w:rsid w:val="00935E07"/>
    <w:rsid w:val="00936AFA"/>
    <w:rsid w:val="009371D8"/>
    <w:rsid w:val="00942D2C"/>
    <w:rsid w:val="00954268"/>
    <w:rsid w:val="009545F8"/>
    <w:rsid w:val="0095737E"/>
    <w:rsid w:val="00963844"/>
    <w:rsid w:val="00966221"/>
    <w:rsid w:val="00973DC5"/>
    <w:rsid w:val="00974646"/>
    <w:rsid w:val="009800F5"/>
    <w:rsid w:val="00985B1D"/>
    <w:rsid w:val="00985F41"/>
    <w:rsid w:val="00987D4A"/>
    <w:rsid w:val="0099505A"/>
    <w:rsid w:val="009A28F3"/>
    <w:rsid w:val="009A570D"/>
    <w:rsid w:val="009A6B88"/>
    <w:rsid w:val="009A6C5B"/>
    <w:rsid w:val="009B7740"/>
    <w:rsid w:val="009C091A"/>
    <w:rsid w:val="009C166B"/>
    <w:rsid w:val="009D27CC"/>
    <w:rsid w:val="009D368A"/>
    <w:rsid w:val="009D3A91"/>
    <w:rsid w:val="009D41A3"/>
    <w:rsid w:val="009D6702"/>
    <w:rsid w:val="009E1AE2"/>
    <w:rsid w:val="009E20A5"/>
    <w:rsid w:val="009E33D7"/>
    <w:rsid w:val="009E461F"/>
    <w:rsid w:val="009E4666"/>
    <w:rsid w:val="009E7307"/>
    <w:rsid w:val="009F1793"/>
    <w:rsid w:val="009F2273"/>
    <w:rsid w:val="009F2D07"/>
    <w:rsid w:val="00A05164"/>
    <w:rsid w:val="00A05998"/>
    <w:rsid w:val="00A06B38"/>
    <w:rsid w:val="00A158CC"/>
    <w:rsid w:val="00A2271E"/>
    <w:rsid w:val="00A22965"/>
    <w:rsid w:val="00A261F5"/>
    <w:rsid w:val="00A33875"/>
    <w:rsid w:val="00A37D8D"/>
    <w:rsid w:val="00A4202F"/>
    <w:rsid w:val="00A4354F"/>
    <w:rsid w:val="00A4616E"/>
    <w:rsid w:val="00A46859"/>
    <w:rsid w:val="00A46F3A"/>
    <w:rsid w:val="00A475BE"/>
    <w:rsid w:val="00A52AFE"/>
    <w:rsid w:val="00A536B3"/>
    <w:rsid w:val="00A53E67"/>
    <w:rsid w:val="00A62045"/>
    <w:rsid w:val="00A6574F"/>
    <w:rsid w:val="00A66BEE"/>
    <w:rsid w:val="00A707E4"/>
    <w:rsid w:val="00A719DE"/>
    <w:rsid w:val="00A77714"/>
    <w:rsid w:val="00A8003A"/>
    <w:rsid w:val="00A80A3E"/>
    <w:rsid w:val="00A923EE"/>
    <w:rsid w:val="00A92F34"/>
    <w:rsid w:val="00A96334"/>
    <w:rsid w:val="00AA09E6"/>
    <w:rsid w:val="00AA4EA6"/>
    <w:rsid w:val="00AA5A9C"/>
    <w:rsid w:val="00AA7709"/>
    <w:rsid w:val="00AB571D"/>
    <w:rsid w:val="00AB68A8"/>
    <w:rsid w:val="00AB6D1E"/>
    <w:rsid w:val="00AC07DE"/>
    <w:rsid w:val="00AC6D60"/>
    <w:rsid w:val="00AD1B30"/>
    <w:rsid w:val="00AD2BD7"/>
    <w:rsid w:val="00AD5086"/>
    <w:rsid w:val="00AD5A01"/>
    <w:rsid w:val="00AD70C8"/>
    <w:rsid w:val="00AE1FB4"/>
    <w:rsid w:val="00AE2950"/>
    <w:rsid w:val="00AE48A8"/>
    <w:rsid w:val="00AE6373"/>
    <w:rsid w:val="00AF0DF7"/>
    <w:rsid w:val="00AF5DE0"/>
    <w:rsid w:val="00AF7020"/>
    <w:rsid w:val="00B019EC"/>
    <w:rsid w:val="00B031F5"/>
    <w:rsid w:val="00B0393E"/>
    <w:rsid w:val="00B11487"/>
    <w:rsid w:val="00B12184"/>
    <w:rsid w:val="00B1263B"/>
    <w:rsid w:val="00B1473D"/>
    <w:rsid w:val="00B1487D"/>
    <w:rsid w:val="00B1596E"/>
    <w:rsid w:val="00B16599"/>
    <w:rsid w:val="00B20232"/>
    <w:rsid w:val="00B21DB0"/>
    <w:rsid w:val="00B26AB9"/>
    <w:rsid w:val="00B31882"/>
    <w:rsid w:val="00B33013"/>
    <w:rsid w:val="00B34787"/>
    <w:rsid w:val="00B40B29"/>
    <w:rsid w:val="00B44CAA"/>
    <w:rsid w:val="00B4575C"/>
    <w:rsid w:val="00B45987"/>
    <w:rsid w:val="00B45CFC"/>
    <w:rsid w:val="00B46E0F"/>
    <w:rsid w:val="00B5125D"/>
    <w:rsid w:val="00B53D4D"/>
    <w:rsid w:val="00B56333"/>
    <w:rsid w:val="00B620DD"/>
    <w:rsid w:val="00B7008E"/>
    <w:rsid w:val="00B75F10"/>
    <w:rsid w:val="00B77F51"/>
    <w:rsid w:val="00B80331"/>
    <w:rsid w:val="00B82AF0"/>
    <w:rsid w:val="00B83509"/>
    <w:rsid w:val="00B83528"/>
    <w:rsid w:val="00B846BB"/>
    <w:rsid w:val="00B8599C"/>
    <w:rsid w:val="00B87833"/>
    <w:rsid w:val="00B9657F"/>
    <w:rsid w:val="00BA39DB"/>
    <w:rsid w:val="00BA4DC1"/>
    <w:rsid w:val="00BA79D2"/>
    <w:rsid w:val="00BB5F36"/>
    <w:rsid w:val="00BC0A66"/>
    <w:rsid w:val="00BC42B9"/>
    <w:rsid w:val="00BC4C15"/>
    <w:rsid w:val="00BC5093"/>
    <w:rsid w:val="00BD0523"/>
    <w:rsid w:val="00BD0FFC"/>
    <w:rsid w:val="00BD317E"/>
    <w:rsid w:val="00BE0032"/>
    <w:rsid w:val="00BE2288"/>
    <w:rsid w:val="00BE4393"/>
    <w:rsid w:val="00BE716A"/>
    <w:rsid w:val="00BF0309"/>
    <w:rsid w:val="00BF0650"/>
    <w:rsid w:val="00BF117C"/>
    <w:rsid w:val="00BF5489"/>
    <w:rsid w:val="00BF592F"/>
    <w:rsid w:val="00BF739D"/>
    <w:rsid w:val="00BF7C1F"/>
    <w:rsid w:val="00C023BF"/>
    <w:rsid w:val="00C02EF3"/>
    <w:rsid w:val="00C11EC6"/>
    <w:rsid w:val="00C11F0E"/>
    <w:rsid w:val="00C21282"/>
    <w:rsid w:val="00C23DA0"/>
    <w:rsid w:val="00C2445F"/>
    <w:rsid w:val="00C31F22"/>
    <w:rsid w:val="00C323CA"/>
    <w:rsid w:val="00C337D6"/>
    <w:rsid w:val="00C36564"/>
    <w:rsid w:val="00C37163"/>
    <w:rsid w:val="00C37EB4"/>
    <w:rsid w:val="00C416AA"/>
    <w:rsid w:val="00C42ACA"/>
    <w:rsid w:val="00C458C4"/>
    <w:rsid w:val="00C466EA"/>
    <w:rsid w:val="00C46C54"/>
    <w:rsid w:val="00C47F54"/>
    <w:rsid w:val="00C54650"/>
    <w:rsid w:val="00C5657F"/>
    <w:rsid w:val="00C5703D"/>
    <w:rsid w:val="00C62458"/>
    <w:rsid w:val="00C6321B"/>
    <w:rsid w:val="00C63515"/>
    <w:rsid w:val="00C635BA"/>
    <w:rsid w:val="00C63B71"/>
    <w:rsid w:val="00C64149"/>
    <w:rsid w:val="00C71B72"/>
    <w:rsid w:val="00C72737"/>
    <w:rsid w:val="00C72DAD"/>
    <w:rsid w:val="00C77C13"/>
    <w:rsid w:val="00C83E72"/>
    <w:rsid w:val="00C85CB3"/>
    <w:rsid w:val="00C90CDE"/>
    <w:rsid w:val="00C91A59"/>
    <w:rsid w:val="00C92CDF"/>
    <w:rsid w:val="00C9314B"/>
    <w:rsid w:val="00CA1213"/>
    <w:rsid w:val="00CA4B4A"/>
    <w:rsid w:val="00CA4BB4"/>
    <w:rsid w:val="00CA4DD5"/>
    <w:rsid w:val="00CA6CE9"/>
    <w:rsid w:val="00CB20C7"/>
    <w:rsid w:val="00CB2F29"/>
    <w:rsid w:val="00CB6E12"/>
    <w:rsid w:val="00CC0808"/>
    <w:rsid w:val="00CC242F"/>
    <w:rsid w:val="00CC2BD0"/>
    <w:rsid w:val="00CC3974"/>
    <w:rsid w:val="00CC5962"/>
    <w:rsid w:val="00CD10E5"/>
    <w:rsid w:val="00CD34AD"/>
    <w:rsid w:val="00CD485D"/>
    <w:rsid w:val="00CD511C"/>
    <w:rsid w:val="00CE2306"/>
    <w:rsid w:val="00CE3245"/>
    <w:rsid w:val="00CE32C0"/>
    <w:rsid w:val="00CE4D56"/>
    <w:rsid w:val="00CF2AC6"/>
    <w:rsid w:val="00CF31B0"/>
    <w:rsid w:val="00CF51C9"/>
    <w:rsid w:val="00CF64FE"/>
    <w:rsid w:val="00CF7FB1"/>
    <w:rsid w:val="00D02159"/>
    <w:rsid w:val="00D1118C"/>
    <w:rsid w:val="00D11CB4"/>
    <w:rsid w:val="00D13852"/>
    <w:rsid w:val="00D1449F"/>
    <w:rsid w:val="00D2157C"/>
    <w:rsid w:val="00D21A6D"/>
    <w:rsid w:val="00D23738"/>
    <w:rsid w:val="00D2536F"/>
    <w:rsid w:val="00D33CC5"/>
    <w:rsid w:val="00D33F3C"/>
    <w:rsid w:val="00D35AA9"/>
    <w:rsid w:val="00D37AD4"/>
    <w:rsid w:val="00D426F0"/>
    <w:rsid w:val="00D4522A"/>
    <w:rsid w:val="00D51EA8"/>
    <w:rsid w:val="00D52226"/>
    <w:rsid w:val="00D54364"/>
    <w:rsid w:val="00D554CF"/>
    <w:rsid w:val="00D567D4"/>
    <w:rsid w:val="00D608C7"/>
    <w:rsid w:val="00D62262"/>
    <w:rsid w:val="00D625E0"/>
    <w:rsid w:val="00D66B7D"/>
    <w:rsid w:val="00D707F7"/>
    <w:rsid w:val="00D708CF"/>
    <w:rsid w:val="00D71E9C"/>
    <w:rsid w:val="00D72434"/>
    <w:rsid w:val="00D731D2"/>
    <w:rsid w:val="00D73B45"/>
    <w:rsid w:val="00D766E0"/>
    <w:rsid w:val="00D911B2"/>
    <w:rsid w:val="00D965D5"/>
    <w:rsid w:val="00DA1769"/>
    <w:rsid w:val="00DA2FBA"/>
    <w:rsid w:val="00DA6C99"/>
    <w:rsid w:val="00DA707D"/>
    <w:rsid w:val="00DB6353"/>
    <w:rsid w:val="00DB680A"/>
    <w:rsid w:val="00DC67B5"/>
    <w:rsid w:val="00DD0426"/>
    <w:rsid w:val="00DD7A9F"/>
    <w:rsid w:val="00DE4B23"/>
    <w:rsid w:val="00DF5A36"/>
    <w:rsid w:val="00E06BCD"/>
    <w:rsid w:val="00E1063F"/>
    <w:rsid w:val="00E122AF"/>
    <w:rsid w:val="00E2185D"/>
    <w:rsid w:val="00E27815"/>
    <w:rsid w:val="00E303D4"/>
    <w:rsid w:val="00E42FBC"/>
    <w:rsid w:val="00E519CE"/>
    <w:rsid w:val="00E51BFD"/>
    <w:rsid w:val="00E57CBF"/>
    <w:rsid w:val="00E63B58"/>
    <w:rsid w:val="00E66D1F"/>
    <w:rsid w:val="00E67620"/>
    <w:rsid w:val="00E7474A"/>
    <w:rsid w:val="00E75E2F"/>
    <w:rsid w:val="00E80A5E"/>
    <w:rsid w:val="00E8453C"/>
    <w:rsid w:val="00E87BC1"/>
    <w:rsid w:val="00E914AF"/>
    <w:rsid w:val="00E9156B"/>
    <w:rsid w:val="00E91797"/>
    <w:rsid w:val="00E964EA"/>
    <w:rsid w:val="00E9735A"/>
    <w:rsid w:val="00EA0CF8"/>
    <w:rsid w:val="00EA3639"/>
    <w:rsid w:val="00EA3913"/>
    <w:rsid w:val="00EA3E90"/>
    <w:rsid w:val="00EA7D37"/>
    <w:rsid w:val="00EB0DD5"/>
    <w:rsid w:val="00EB0E32"/>
    <w:rsid w:val="00EB1CB2"/>
    <w:rsid w:val="00EB297D"/>
    <w:rsid w:val="00EB4C21"/>
    <w:rsid w:val="00EB5E37"/>
    <w:rsid w:val="00EB6CFB"/>
    <w:rsid w:val="00EC0172"/>
    <w:rsid w:val="00EC0446"/>
    <w:rsid w:val="00EC1495"/>
    <w:rsid w:val="00ED22CC"/>
    <w:rsid w:val="00ED2EC4"/>
    <w:rsid w:val="00ED35F4"/>
    <w:rsid w:val="00ED3A56"/>
    <w:rsid w:val="00ED71D0"/>
    <w:rsid w:val="00EE14D0"/>
    <w:rsid w:val="00EE7659"/>
    <w:rsid w:val="00EF36F5"/>
    <w:rsid w:val="00EF3C0E"/>
    <w:rsid w:val="00EF4749"/>
    <w:rsid w:val="00EF62C3"/>
    <w:rsid w:val="00F003D2"/>
    <w:rsid w:val="00F02D22"/>
    <w:rsid w:val="00F057AE"/>
    <w:rsid w:val="00F12E9C"/>
    <w:rsid w:val="00F1433A"/>
    <w:rsid w:val="00F153FF"/>
    <w:rsid w:val="00F234D9"/>
    <w:rsid w:val="00F249CA"/>
    <w:rsid w:val="00F2526D"/>
    <w:rsid w:val="00F32629"/>
    <w:rsid w:val="00F41EA4"/>
    <w:rsid w:val="00F42462"/>
    <w:rsid w:val="00F440BB"/>
    <w:rsid w:val="00F44738"/>
    <w:rsid w:val="00F500E4"/>
    <w:rsid w:val="00F600C0"/>
    <w:rsid w:val="00F60F88"/>
    <w:rsid w:val="00F6192B"/>
    <w:rsid w:val="00F624A7"/>
    <w:rsid w:val="00F63B25"/>
    <w:rsid w:val="00F646F0"/>
    <w:rsid w:val="00F64760"/>
    <w:rsid w:val="00F66966"/>
    <w:rsid w:val="00F772AB"/>
    <w:rsid w:val="00F80C21"/>
    <w:rsid w:val="00F81460"/>
    <w:rsid w:val="00F82262"/>
    <w:rsid w:val="00F827AD"/>
    <w:rsid w:val="00F82C79"/>
    <w:rsid w:val="00F83B32"/>
    <w:rsid w:val="00F83F93"/>
    <w:rsid w:val="00F84044"/>
    <w:rsid w:val="00F879F6"/>
    <w:rsid w:val="00F91ABB"/>
    <w:rsid w:val="00F924C3"/>
    <w:rsid w:val="00F93088"/>
    <w:rsid w:val="00FA0B2F"/>
    <w:rsid w:val="00FA1481"/>
    <w:rsid w:val="00FA56BC"/>
    <w:rsid w:val="00FB01E5"/>
    <w:rsid w:val="00FB1246"/>
    <w:rsid w:val="00FB484A"/>
    <w:rsid w:val="00FB5B45"/>
    <w:rsid w:val="00FC1290"/>
    <w:rsid w:val="00FD2BFA"/>
    <w:rsid w:val="00FD675C"/>
    <w:rsid w:val="00FD7052"/>
    <w:rsid w:val="00FE27FD"/>
    <w:rsid w:val="00FE4015"/>
    <w:rsid w:val="00FE4AB5"/>
    <w:rsid w:val="00FE596E"/>
    <w:rsid w:val="00FF727E"/>
    <w:rsid w:val="5CA0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semiHidden="0"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qFormat="1" w:uiPriority="99" w:name="Document Map"/>
    <w:lsdException w:qFormat="1" w:unhideWhenUsed="0" w:uiPriority="5"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2"/>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9"/>
    <w:semiHidden/>
    <w:unhideWhenUsed/>
    <w:qFormat/>
    <w:uiPriority w:val="99"/>
    <w:rPr>
      <w:rFonts w:ascii="宋体" w:eastAsia="宋体"/>
      <w:sz w:val="20"/>
      <w:szCs w:val="18"/>
    </w:rPr>
  </w:style>
  <w:style w:type="paragraph" w:styleId="8">
    <w:name w:val="annotation text"/>
    <w:basedOn w:val="1"/>
    <w:link w:val="36"/>
    <w:unhideWhenUsed/>
    <w:uiPriority w:val="99"/>
    <w:pPr>
      <w:jc w:val="left"/>
    </w:pPr>
  </w:style>
  <w:style w:type="paragraph" w:styleId="9">
    <w:name w:val="Salutation"/>
    <w:basedOn w:val="1"/>
    <w:next w:val="1"/>
    <w:link w:val="61"/>
    <w:semiHidden/>
    <w:unhideWhenUsed/>
    <w:qFormat/>
    <w:uiPriority w:val="99"/>
  </w:style>
  <w:style w:type="paragraph" w:styleId="10">
    <w:name w:val="Body Text"/>
    <w:basedOn w:val="1"/>
    <w:link w:val="45"/>
    <w:semiHidden/>
    <w:unhideWhenUsed/>
    <w:uiPriority w:val="99"/>
    <w:pPr>
      <w:spacing w:after="120"/>
    </w:pPr>
  </w:style>
  <w:style w:type="paragraph" w:styleId="11">
    <w:name w:val="Plain Text"/>
    <w:basedOn w:val="1"/>
    <w:next w:val="9"/>
    <w:link w:val="59"/>
    <w:qFormat/>
    <w:uiPriority w:val="5"/>
    <w:pPr>
      <w:spacing w:line="360" w:lineRule="exact"/>
    </w:pPr>
    <w:rPr>
      <w:rFonts w:ascii="宋体" w:hAnsi="Courier New" w:eastAsia="宋体" w:cs="Times New Roman"/>
      <w:szCs w:val="20"/>
    </w:rPr>
  </w:style>
  <w:style w:type="paragraph" w:styleId="12">
    <w:name w:val="Balloon Text"/>
    <w:basedOn w:val="1"/>
    <w:link w:val="28"/>
    <w:unhideWhenUsed/>
    <w:qFormat/>
    <w:uiPriority w:val="99"/>
    <w:rPr>
      <w:sz w:val="18"/>
      <w:szCs w:val="18"/>
    </w:rPr>
  </w:style>
  <w:style w:type="paragraph" w:styleId="13">
    <w:name w:val="footer"/>
    <w:basedOn w:val="1"/>
    <w:link w:val="31"/>
    <w:semiHidden/>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szCs w:val="22"/>
    </w:rPr>
  </w:style>
  <w:style w:type="paragraph" w:styleId="16">
    <w:name w:val="Body Text Indent 3"/>
    <w:basedOn w:val="1"/>
    <w:link w:val="33"/>
    <w:qFormat/>
    <w:uiPriority w:val="0"/>
    <w:pPr>
      <w:spacing w:after="120"/>
      <w:ind w:left="420" w:leftChars="200"/>
    </w:pPr>
    <w:rPr>
      <w:rFonts w:ascii="Times New Roman" w:hAnsi="Times New Roman" w:eastAsia="宋体" w:cs="Times New Roman"/>
      <w:sz w:val="16"/>
      <w:szCs w:val="16"/>
    </w:rPr>
  </w:style>
  <w:style w:type="paragraph" w:styleId="1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index 1"/>
    <w:basedOn w:val="1"/>
    <w:next w:val="1"/>
    <w:qFormat/>
    <w:uiPriority w:val="0"/>
    <w:pPr>
      <w:ind w:left="560" w:hanging="560"/>
    </w:pPr>
    <w:rPr>
      <w:rFonts w:ascii="Times New Roman" w:hAnsi="宋体" w:eastAsia="宋体" w:cs="Times New Roman"/>
      <w:spacing w:val="10"/>
      <w:szCs w:val="24"/>
    </w:rPr>
  </w:style>
  <w:style w:type="paragraph" w:styleId="19">
    <w:name w:val="annotation subject"/>
    <w:basedOn w:val="8"/>
    <w:next w:val="8"/>
    <w:link w:val="37"/>
    <w:semiHidden/>
    <w:unhideWhenUsed/>
    <w:uiPriority w:val="99"/>
    <w:rPr>
      <w:b/>
      <w:bCs/>
    </w:rPr>
  </w:style>
  <w:style w:type="table" w:styleId="21">
    <w:name w:val="Table Grid"/>
    <w:basedOn w:val="2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uiPriority w:val="0"/>
  </w:style>
  <w:style w:type="character" w:styleId="25">
    <w:name w:val="Emphasis"/>
    <w:qFormat/>
    <w:uiPriority w:val="0"/>
    <w:rPr>
      <w:i/>
      <w:iCs/>
    </w:rPr>
  </w:style>
  <w:style w:type="character" w:styleId="26">
    <w:name w:val="Hyperlink"/>
    <w:basedOn w:val="22"/>
    <w:semiHidden/>
    <w:unhideWhenUsed/>
    <w:uiPriority w:val="99"/>
    <w:rPr>
      <w:color w:val="0000FF"/>
      <w:u w:val="single"/>
    </w:rPr>
  </w:style>
  <w:style w:type="character" w:styleId="27">
    <w:name w:val="annotation reference"/>
    <w:basedOn w:val="22"/>
    <w:semiHidden/>
    <w:unhideWhenUsed/>
    <w:qFormat/>
    <w:uiPriority w:val="99"/>
    <w:rPr>
      <w:sz w:val="21"/>
      <w:szCs w:val="21"/>
    </w:rPr>
  </w:style>
  <w:style w:type="character" w:customStyle="1" w:styleId="28">
    <w:name w:val="批注框文本 Char"/>
    <w:basedOn w:val="22"/>
    <w:link w:val="12"/>
    <w:qFormat/>
    <w:uiPriority w:val="99"/>
    <w:rPr>
      <w:sz w:val="18"/>
      <w:szCs w:val="18"/>
    </w:rPr>
  </w:style>
  <w:style w:type="character" w:customStyle="1" w:styleId="29">
    <w:name w:val="文档结构图 Char"/>
    <w:basedOn w:val="22"/>
    <w:link w:val="7"/>
    <w:semiHidden/>
    <w:qFormat/>
    <w:uiPriority w:val="99"/>
    <w:rPr>
      <w:rFonts w:ascii="宋体" w:eastAsia="宋体"/>
      <w:sz w:val="20"/>
      <w:szCs w:val="18"/>
    </w:rPr>
  </w:style>
  <w:style w:type="character" w:customStyle="1" w:styleId="30">
    <w:name w:val="页眉 Char"/>
    <w:basedOn w:val="22"/>
    <w:link w:val="14"/>
    <w:qFormat/>
    <w:uiPriority w:val="0"/>
    <w:rPr>
      <w:sz w:val="18"/>
      <w:szCs w:val="18"/>
    </w:rPr>
  </w:style>
  <w:style w:type="character" w:customStyle="1" w:styleId="31">
    <w:name w:val="页脚 Char"/>
    <w:basedOn w:val="22"/>
    <w:link w:val="13"/>
    <w:semiHidden/>
    <w:qFormat/>
    <w:uiPriority w:val="99"/>
    <w:rPr>
      <w:sz w:val="18"/>
      <w:szCs w:val="18"/>
    </w:rPr>
  </w:style>
  <w:style w:type="paragraph" w:customStyle="1" w:styleId="32">
    <w:name w:val="表体"/>
    <w:basedOn w:val="1"/>
    <w:link w:val="44"/>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3">
    <w:name w:val="正文文本缩进 3 Char"/>
    <w:basedOn w:val="22"/>
    <w:link w:val="16"/>
    <w:uiPriority w:val="0"/>
    <w:rPr>
      <w:rFonts w:ascii="Times New Roman" w:hAnsi="Times New Roman" w:eastAsia="宋体" w:cs="Times New Roman"/>
      <w:sz w:val="16"/>
      <w:szCs w:val="16"/>
    </w:rPr>
  </w:style>
  <w:style w:type="paragraph" w:customStyle="1" w:styleId="34">
    <w:name w:val="表头"/>
    <w:basedOn w:val="1"/>
    <w:link w:val="35"/>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5">
    <w:name w:val="表头 Char Char"/>
    <w:link w:val="34"/>
    <w:uiPriority w:val="0"/>
    <w:rPr>
      <w:rFonts w:ascii="Times New Roman" w:hAnsi="宋体" w:eastAsia="FangSong_GB2312" w:cs="Times New Roman"/>
      <w:b/>
      <w:kern w:val="0"/>
      <w:sz w:val="28"/>
      <w:szCs w:val="28"/>
    </w:rPr>
  </w:style>
  <w:style w:type="character" w:customStyle="1" w:styleId="36">
    <w:name w:val="批注文字 Char"/>
    <w:basedOn w:val="22"/>
    <w:link w:val="8"/>
    <w:uiPriority w:val="99"/>
  </w:style>
  <w:style w:type="character" w:customStyle="1" w:styleId="37">
    <w:name w:val="批注主题 Char"/>
    <w:basedOn w:val="36"/>
    <w:link w:val="19"/>
    <w:semiHidden/>
    <w:uiPriority w:val="99"/>
    <w:rPr>
      <w:b/>
      <w:bCs/>
    </w:rPr>
  </w:style>
  <w:style w:type="character" w:customStyle="1" w:styleId="38">
    <w:name w:val="题注1 Char"/>
    <w:link w:val="39"/>
    <w:uiPriority w:val="0"/>
    <w:rPr>
      <w:rFonts w:cs="宋体"/>
      <w:b/>
      <w:bCs/>
      <w:spacing w:val="10"/>
      <w:szCs w:val="24"/>
    </w:rPr>
  </w:style>
  <w:style w:type="paragraph" w:customStyle="1" w:styleId="39">
    <w:name w:val="题注1"/>
    <w:basedOn w:val="1"/>
    <w:link w:val="38"/>
    <w:qFormat/>
    <w:uiPriority w:val="0"/>
    <w:pPr>
      <w:spacing w:beforeLines="20" w:afterLines="20"/>
      <w:jc w:val="center"/>
    </w:pPr>
    <w:rPr>
      <w:rFonts w:cs="宋体"/>
      <w:b/>
      <w:bCs/>
      <w:spacing w:val="10"/>
      <w:szCs w:val="24"/>
    </w:rPr>
  </w:style>
  <w:style w:type="paragraph" w:customStyle="1" w:styleId="40">
    <w:name w:val="赵"/>
    <w:basedOn w:val="1"/>
    <w:link w:val="41"/>
    <w:uiPriority w:val="0"/>
    <w:pPr>
      <w:spacing w:line="360" w:lineRule="auto"/>
      <w:ind w:firstLine="200" w:firstLineChars="200"/>
    </w:pPr>
    <w:rPr>
      <w:rFonts w:ascii="Times New Roman" w:hAnsi="Times New Roman" w:eastAsia="宋体" w:cs="Times New Roman"/>
      <w:sz w:val="24"/>
      <w:szCs w:val="30"/>
    </w:rPr>
  </w:style>
  <w:style w:type="character" w:customStyle="1" w:styleId="41">
    <w:name w:val="赵 Char"/>
    <w:basedOn w:val="22"/>
    <w:link w:val="40"/>
    <w:uiPriority w:val="0"/>
    <w:rPr>
      <w:rFonts w:ascii="Times New Roman" w:hAnsi="Times New Roman" w:eastAsia="宋体" w:cs="Times New Roman"/>
      <w:sz w:val="24"/>
      <w:szCs w:val="30"/>
    </w:rPr>
  </w:style>
  <w:style w:type="paragraph" w:customStyle="1" w:styleId="42">
    <w:name w:val="【表头】"/>
    <w:basedOn w:val="1"/>
    <w:link w:val="43"/>
    <w:uiPriority w:val="0"/>
    <w:pPr>
      <w:jc w:val="center"/>
    </w:pPr>
    <w:rPr>
      <w:rFonts w:ascii="Times New Roman" w:hAnsi="Times New Roman" w:eastAsia="宋体" w:cs="Times New Roman"/>
      <w:b/>
      <w:szCs w:val="24"/>
    </w:rPr>
  </w:style>
  <w:style w:type="character" w:customStyle="1" w:styleId="43">
    <w:name w:val="【表头】 Char"/>
    <w:link w:val="42"/>
    <w:qFormat/>
    <w:uiPriority w:val="0"/>
    <w:rPr>
      <w:rFonts w:ascii="Times New Roman" w:hAnsi="Times New Roman" w:eastAsia="宋体" w:cs="Times New Roman"/>
      <w:b/>
      <w:szCs w:val="24"/>
    </w:rPr>
  </w:style>
  <w:style w:type="character" w:customStyle="1" w:styleId="44">
    <w:name w:val="表体 Char Char"/>
    <w:link w:val="32"/>
    <w:qFormat/>
    <w:locked/>
    <w:uiPriority w:val="0"/>
    <w:rPr>
      <w:rFonts w:ascii="Times New Roman" w:hAnsi="Times New Roman" w:eastAsia="宋体" w:cs="Times New Roman"/>
      <w:bCs/>
      <w:snapToGrid w:val="0"/>
      <w:color w:val="000000"/>
      <w:kern w:val="32"/>
      <w:szCs w:val="20"/>
      <w:lang w:val="zh-CN"/>
    </w:rPr>
  </w:style>
  <w:style w:type="character" w:customStyle="1" w:styleId="45">
    <w:name w:val="正文文本 Char"/>
    <w:basedOn w:val="22"/>
    <w:link w:val="10"/>
    <w:semiHidden/>
    <w:uiPriority w:val="99"/>
  </w:style>
  <w:style w:type="character" w:customStyle="1" w:styleId="46">
    <w:name w:val="标题 2 Char"/>
    <w:basedOn w:val="22"/>
    <w:link w:val="3"/>
    <w:uiPriority w:val="0"/>
    <w:rPr>
      <w:rFonts w:ascii="Times New Roman" w:hAnsi="Times New Roman" w:eastAsia="黑体" w:cs="Times New Roman"/>
      <w:color w:val="000000" w:themeColor="text1"/>
      <w:sz w:val="30"/>
      <w:szCs w:val="24"/>
    </w:rPr>
  </w:style>
  <w:style w:type="character" w:customStyle="1" w:styleId="47">
    <w:name w:val="表头 Char1"/>
    <w:basedOn w:val="22"/>
    <w:uiPriority w:val="0"/>
    <w:rPr>
      <w:rFonts w:ascii="Times New Roman" w:hAnsi="Times New Roman" w:eastAsia="宋体" w:cs="Times New Roman"/>
      <w:b/>
      <w:bCs/>
      <w:kern w:val="0"/>
      <w:szCs w:val="28"/>
    </w:rPr>
  </w:style>
  <w:style w:type="character" w:customStyle="1" w:styleId="48">
    <w:name w:val="标题 3 Char"/>
    <w:basedOn w:val="22"/>
    <w:link w:val="4"/>
    <w:semiHidden/>
    <w:uiPriority w:val="9"/>
    <w:rPr>
      <w:b/>
      <w:bCs/>
      <w:sz w:val="32"/>
      <w:szCs w:val="32"/>
    </w:rPr>
  </w:style>
  <w:style w:type="table" w:customStyle="1" w:styleId="49">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50">
    <w:name w:val="标题 8 Char"/>
    <w:basedOn w:val="22"/>
    <w:link w:val="5"/>
    <w:uiPriority w:val="99"/>
    <w:rPr>
      <w:rFonts w:asciiTheme="majorHAnsi" w:hAnsiTheme="majorHAnsi" w:eastAsiaTheme="majorEastAsia" w:cstheme="majorBidi"/>
      <w:sz w:val="24"/>
      <w:szCs w:val="24"/>
    </w:rPr>
  </w:style>
  <w:style w:type="paragraph" w:customStyle="1" w:styleId="51">
    <w:name w:val="表格正文"/>
    <w:basedOn w:val="1"/>
    <w:uiPriority w:val="0"/>
    <w:pPr>
      <w:adjustRightInd w:val="0"/>
      <w:spacing w:line="0" w:lineRule="atLeast"/>
      <w:textAlignment w:val="baseline"/>
    </w:pPr>
    <w:rPr>
      <w:rFonts w:ascii="Times New Roman" w:hAnsi="Times New Roman" w:eastAsia="宋体" w:cs="Times New Roman"/>
      <w:szCs w:val="20"/>
    </w:rPr>
  </w:style>
  <w:style w:type="character" w:customStyle="1" w:styleId="52">
    <w:name w:val="正文缩进 Char1"/>
    <w:link w:val="6"/>
    <w:qFormat/>
    <w:uiPriority w:val="99"/>
    <w:rPr>
      <w:rFonts w:ascii="Calibri" w:hAnsi="Calibri" w:eastAsia="宋体" w:cs="Times New Roman"/>
      <w:sz w:val="28"/>
      <w:szCs w:val="20"/>
    </w:rPr>
  </w:style>
  <w:style w:type="paragraph" w:customStyle="1" w:styleId="53">
    <w:name w:val="样式1"/>
    <w:basedOn w:val="1"/>
    <w:link w:val="54"/>
    <w:qFormat/>
    <w:uiPriority w:val="0"/>
    <w:pPr>
      <w:spacing w:line="360" w:lineRule="auto"/>
      <w:ind w:firstLine="510"/>
    </w:pPr>
    <w:rPr>
      <w:rFonts w:ascii="Times New Roman" w:hAnsi="Times New Roman" w:eastAsia="宋体" w:cs="Times New Roman"/>
      <w:sz w:val="24"/>
      <w:szCs w:val="20"/>
    </w:rPr>
  </w:style>
  <w:style w:type="character" w:customStyle="1" w:styleId="54">
    <w:name w:val="样式1 Char"/>
    <w:link w:val="53"/>
    <w:locked/>
    <w:uiPriority w:val="0"/>
    <w:rPr>
      <w:rFonts w:ascii="Times New Roman" w:hAnsi="Times New Roman" w:eastAsia="宋体" w:cs="Times New Roman"/>
      <w:sz w:val="24"/>
      <w:szCs w:val="20"/>
    </w:rPr>
  </w:style>
  <w:style w:type="paragraph" w:customStyle="1" w:styleId="5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56">
    <w:name w:val="标题 1 Char"/>
    <w:basedOn w:val="22"/>
    <w:link w:val="2"/>
    <w:qFormat/>
    <w:uiPriority w:val="9"/>
    <w:rPr>
      <w:b/>
      <w:bCs/>
      <w:kern w:val="44"/>
      <w:sz w:val="44"/>
      <w:szCs w:val="44"/>
    </w:rPr>
  </w:style>
  <w:style w:type="character" w:customStyle="1" w:styleId="57">
    <w:name w:val="title"/>
    <w:basedOn w:val="22"/>
    <w:qFormat/>
    <w:uiPriority w:val="0"/>
  </w:style>
  <w:style w:type="paragraph" w:customStyle="1" w:styleId="5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9">
    <w:name w:val="纯文本 Char"/>
    <w:basedOn w:val="22"/>
    <w:link w:val="11"/>
    <w:qFormat/>
    <w:uiPriority w:val="5"/>
    <w:rPr>
      <w:rFonts w:ascii="宋体" w:hAnsi="Courier New" w:eastAsia="宋体" w:cs="Times New Roman"/>
      <w:szCs w:val="20"/>
    </w:rPr>
  </w:style>
  <w:style w:type="character" w:customStyle="1" w:styleId="60">
    <w:name w:val="15"/>
    <w:qFormat/>
    <w:uiPriority w:val="0"/>
    <w:rPr>
      <w:rFonts w:hint="default" w:ascii="Calibri" w:hAnsi="Calibri"/>
      <w:sz w:val="21"/>
      <w:szCs w:val="21"/>
    </w:rPr>
  </w:style>
  <w:style w:type="character" w:customStyle="1" w:styleId="61">
    <w:name w:val="称呼 Char"/>
    <w:basedOn w:val="22"/>
    <w:link w:val="9"/>
    <w:semiHidden/>
    <w:qFormat/>
    <w:uiPriority w:val="99"/>
  </w:style>
  <w:style w:type="paragraph" w:customStyle="1" w:styleId="62">
    <w:name w:val="正文1"/>
    <w:basedOn w:val="1"/>
    <w:qFormat/>
    <w:uiPriority w:val="0"/>
    <w:pPr>
      <w:widowControl/>
    </w:pPr>
    <w:rPr>
      <w:rFonts w:ascii="Calibri" w:hAnsi="Calibri" w:eastAsia="宋体" w:cs="宋体"/>
    </w:rPr>
  </w:style>
  <w:style w:type="paragraph" w:customStyle="1" w:styleId="63">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64">
    <w:name w:val="表格文字 Char"/>
    <w:basedOn w:val="22"/>
    <w:link w:val="65"/>
    <w:qFormat/>
    <w:uiPriority w:val="0"/>
    <w:rPr>
      <w:rFonts w:eastAsia="宋体"/>
      <w:kern w:val="24"/>
      <w:sz w:val="24"/>
    </w:rPr>
  </w:style>
  <w:style w:type="paragraph" w:customStyle="1" w:styleId="65">
    <w:name w:val="表格文字"/>
    <w:basedOn w:val="1"/>
    <w:link w:val="64"/>
    <w:qFormat/>
    <w:uiPriority w:val="0"/>
    <w:pPr>
      <w:adjustRightInd w:val="0"/>
      <w:spacing w:line="400" w:lineRule="atLeast"/>
      <w:jc w:val="center"/>
    </w:pPr>
    <w:rPr>
      <w:rFonts w:eastAsia="宋体"/>
      <w:kern w:val="24"/>
      <w:sz w:val="24"/>
    </w:rPr>
  </w:style>
  <w:style w:type="character" w:customStyle="1" w:styleId="66">
    <w:name w:val="表格 Char Char"/>
    <w:basedOn w:val="22"/>
    <w:uiPriority w:val="0"/>
    <w:rPr>
      <w:sz w:val="21"/>
      <w:szCs w:val="21"/>
      <w:lang w:bidi="ar-SA"/>
    </w:rPr>
  </w:style>
  <w:style w:type="character" w:customStyle="1" w:styleId="6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emf"/><Relationship Id="rId21" Type="http://schemas.openxmlformats.org/officeDocument/2006/relationships/oleObject" Target="embeddings/oleObject9.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BA8EA-7093-413F-9F40-6B4092C933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112</Pages>
  <Words>12919</Words>
  <Characters>73642</Characters>
  <Lines>613</Lines>
  <Paragraphs>172</Paragraphs>
  <TotalTime>10239</TotalTime>
  <ScaleCrop>false</ScaleCrop>
  <LinksUpToDate>false</LinksUpToDate>
  <CharactersWithSpaces>86389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曹恩耒</cp:lastModifiedBy>
  <cp:lastPrinted>2021-08-16T02:08:00Z</cp:lastPrinted>
  <dcterms:modified xsi:type="dcterms:W3CDTF">2021-12-23T00:38:47Z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5AAFE45E00DB4224AB357B0A3B87DF8D</vt:lpwstr>
  </property>
</Properties>
</file>