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Times New Roman" w:hAnsi="Times New Roman" w:eastAsia="方正小标宋简体" w:cs="Times New Roman"/>
          <w:color w:val="FF0000"/>
          <w:w w:val="66"/>
          <w:sz w:val="112"/>
          <w:szCs w:val="112"/>
        </w:rPr>
      </w:pPr>
      <w:r>
        <w:rPr>
          <w:rFonts w:ascii="Times New Roman" w:hAnsi="Times New Roman" w:eastAsia="方正小标宋简体" w:cs="Times New Roman"/>
          <w:color w:val="FF0000"/>
          <w:w w:val="66"/>
          <w:sz w:val="112"/>
          <w:szCs w:val="112"/>
        </w:rPr>
        <w:t>昆明市东川区应急管理局</w:t>
      </w:r>
    </w:p>
    <w:p>
      <w:pPr>
        <w:spacing w:line="320" w:lineRule="exact"/>
        <w:jc w:val="center"/>
        <w:rPr>
          <w:rFonts w:ascii="Times New Roman" w:hAnsi="Times New Roman" w:eastAsia="方正小标宋简体" w:cs="Times New Roman"/>
          <w:color w:val="FF0000"/>
          <w:w w:val="66"/>
          <w:sz w:val="112"/>
          <w:szCs w:val="112"/>
        </w:rPr>
      </w:pPr>
    </w:p>
    <w:p>
      <w:pPr>
        <w:spacing w:line="320" w:lineRule="exact"/>
        <w:rPr>
          <w:rFonts w:ascii="Times New Roman" w:hAnsi="Times New Roman" w:cs="Times New Roman"/>
        </w:rPr>
      </w:pPr>
      <w:r>
        <w:rPr>
          <w:rFonts w:ascii="Times New Roman" w:hAnsi="Times New Roman" w:cs="Times New Roman"/>
        </w:rPr>
        <w:pict>
          <v:line id="_x0000_s1026" o:spid="_x0000_s1026" o:spt="20" style="position:absolute;left:0pt;margin-left:0pt;margin-top:-0.2pt;height:0pt;width:441pt;z-index:251658240;mso-width-relative:page;mso-height-relative:page;" stroked="t" coordsize="21600,21600">
            <v:path arrowok="t"/>
            <v:fill focussize="0,0"/>
            <v:stroke weight="2.25pt" color="#FF0000"/>
            <v:imagedata o:title=""/>
            <o:lock v:ext="edit"/>
          </v:line>
        </w:pict>
      </w:r>
    </w:p>
    <w:p>
      <w:pPr>
        <w:spacing w:line="240" w:lineRule="exact"/>
        <w:rPr>
          <w:rFonts w:ascii="Times New Roman" w:hAnsi="Times New Roman" w:eastAsia="方正小标宋简体" w:cs="Times New Roman"/>
          <w:sz w:val="44"/>
          <w:szCs w:val="44"/>
        </w:rPr>
      </w:pPr>
    </w:p>
    <w:p>
      <w:pPr>
        <w:spacing w:line="240" w:lineRule="exact"/>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关于</w:t>
      </w:r>
      <w:r>
        <w:rPr>
          <w:rFonts w:hint="eastAsia" w:ascii="方正小标宋_GBK" w:hAnsi="方正小标宋_GBK" w:eastAsia="方正小标宋_GBK" w:cs="方正小标宋_GBK"/>
          <w:color w:val="000000"/>
          <w:sz w:val="44"/>
          <w:szCs w:val="44"/>
          <w:lang w:val="en-US" w:eastAsia="zh-CN"/>
        </w:rPr>
        <w:t>印发东川区应急管理领域2021年度双随机、一公开部门联合及部门抽查计划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00000"/>
          <w:spacing w:val="-10"/>
          <w:sz w:val="44"/>
          <w:szCs w:val="44"/>
          <w:lang w:val="en-US" w:eastAsia="zh-CN"/>
        </w:rPr>
      </w:pPr>
      <w:r>
        <w:rPr>
          <w:rFonts w:hint="eastAsia" w:ascii="方正小标宋_GBK" w:hAnsi="方正小标宋_GBK" w:eastAsia="方正小标宋_GBK" w:cs="方正小标宋_GBK"/>
          <w:color w:val="00000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color w:val="000000"/>
          <w:spacing w:val="-1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政治处、</w:t>
      </w:r>
      <w:r>
        <w:rPr>
          <w:rFonts w:hint="eastAsia" w:ascii="仿宋_GB2312" w:hAnsi="仿宋_GB2312" w:eastAsia="仿宋_GB2312" w:cs="仿宋_GB2312"/>
          <w:color w:val="000000"/>
          <w:sz w:val="32"/>
          <w:szCs w:val="32"/>
        </w:rPr>
        <w:t>局属各科</w:t>
      </w:r>
      <w:r>
        <w:rPr>
          <w:rFonts w:hint="eastAsia" w:ascii="仿宋_GB2312" w:hAnsi="仿宋_GB2312" w:eastAsia="仿宋_GB2312" w:cs="仿宋_GB2312"/>
          <w:color w:val="000000"/>
          <w:sz w:val="32"/>
          <w:szCs w:val="32"/>
          <w:lang w:eastAsia="zh-CN"/>
        </w:rPr>
        <w:t>室，安全生产</w:t>
      </w:r>
      <w:r>
        <w:rPr>
          <w:rFonts w:hint="eastAsia" w:ascii="仿宋_GB2312" w:hAnsi="仿宋_GB2312" w:eastAsia="仿宋_GB2312" w:cs="仿宋_GB2312"/>
          <w:color w:val="000000"/>
          <w:sz w:val="32"/>
          <w:szCs w:val="32"/>
        </w:rPr>
        <w:t>监察大队</w:t>
      </w:r>
      <w:r>
        <w:rPr>
          <w:rFonts w:hint="eastAsia" w:ascii="仿宋_GB2312" w:hAnsi="仿宋_GB2312" w:eastAsia="仿宋_GB2312" w:cs="仿宋_GB2312"/>
          <w:color w:val="000000"/>
          <w:sz w:val="32"/>
          <w:szCs w:val="32"/>
          <w:lang w:eastAsia="zh-CN"/>
        </w:rPr>
        <w:t>、应急救援服务中心：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现将《东川区应急管理管领域2021年度“双随机、一公开”抽查计划》印发给你们，请认真抓好贯彻落实。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附件：1.东川区应急管理领域2021年度双随机、一公开部门联合抽查计划</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lang w:val="en-US" w:eastAsia="zh-CN"/>
        </w:rPr>
        <w:t>东川区应急管理领域2021年度双随机、一公开部门抽查计划</w:t>
      </w:r>
    </w:p>
    <w:p>
      <w:pPr>
        <w:keepNext w:val="0"/>
        <w:keepLines w:val="0"/>
        <w:pageBreakBefore w:val="0"/>
        <w:widowControl w:val="0"/>
        <w:tabs>
          <w:tab w:val="left" w:pos="603"/>
          <w:tab w:val="left" w:pos="7371"/>
        </w:tabs>
        <w:kinsoku/>
        <w:wordWrap/>
        <w:overflowPunct/>
        <w:topLinePunct w:val="0"/>
        <w:autoSpaceDE/>
        <w:autoSpaceDN/>
        <w:bidi w:val="0"/>
        <w:adjustRightInd w:val="0"/>
        <w:snapToGrid w:val="0"/>
        <w:spacing w:line="560" w:lineRule="exact"/>
        <w:ind w:firstLine="4800" w:firstLineChars="1500"/>
        <w:textAlignment w:val="auto"/>
        <w:rPr>
          <w:rFonts w:hint="eastAsia" w:eastAsia="仿宋_GB2312"/>
          <w:sz w:val="32"/>
          <w:szCs w:val="32"/>
        </w:rPr>
      </w:pPr>
    </w:p>
    <w:p>
      <w:pPr>
        <w:keepNext w:val="0"/>
        <w:keepLines w:val="0"/>
        <w:pageBreakBefore w:val="0"/>
        <w:widowControl w:val="0"/>
        <w:tabs>
          <w:tab w:val="left" w:pos="603"/>
          <w:tab w:val="left" w:pos="7371"/>
        </w:tabs>
        <w:kinsoku/>
        <w:wordWrap/>
        <w:overflowPunct/>
        <w:topLinePunct w:val="0"/>
        <w:autoSpaceDE/>
        <w:autoSpaceDN/>
        <w:bidi w:val="0"/>
        <w:adjustRightInd w:val="0"/>
        <w:snapToGrid w:val="0"/>
        <w:spacing w:line="560" w:lineRule="exact"/>
        <w:ind w:firstLine="4800" w:firstLineChars="1500"/>
        <w:textAlignment w:val="auto"/>
        <w:rPr>
          <w:rFonts w:hint="eastAsia" w:eastAsia="仿宋_GB2312"/>
          <w:sz w:val="32"/>
          <w:szCs w:val="32"/>
        </w:rPr>
      </w:pPr>
    </w:p>
    <w:p>
      <w:pPr>
        <w:keepNext w:val="0"/>
        <w:keepLines w:val="0"/>
        <w:pageBreakBefore w:val="0"/>
        <w:widowControl w:val="0"/>
        <w:tabs>
          <w:tab w:val="left" w:pos="603"/>
          <w:tab w:val="left" w:pos="7371"/>
        </w:tabs>
        <w:kinsoku/>
        <w:wordWrap/>
        <w:overflowPunct/>
        <w:topLinePunct w:val="0"/>
        <w:autoSpaceDE/>
        <w:autoSpaceDN/>
        <w:bidi w:val="0"/>
        <w:adjustRightInd w:val="0"/>
        <w:snapToGrid w:val="0"/>
        <w:spacing w:line="560" w:lineRule="exact"/>
        <w:ind w:firstLine="4800" w:firstLineChars="1500"/>
        <w:textAlignment w:val="auto"/>
        <w:rPr>
          <w:rFonts w:hint="eastAsia" w:eastAsia="仿宋_GB2312"/>
          <w:sz w:val="32"/>
          <w:szCs w:val="32"/>
        </w:rPr>
      </w:pPr>
    </w:p>
    <w:p>
      <w:pPr>
        <w:keepNext w:val="0"/>
        <w:keepLines w:val="0"/>
        <w:pageBreakBefore w:val="0"/>
        <w:widowControl w:val="0"/>
        <w:tabs>
          <w:tab w:val="left" w:pos="603"/>
          <w:tab w:val="left" w:pos="7371"/>
        </w:tabs>
        <w:kinsoku/>
        <w:wordWrap/>
        <w:overflowPunct/>
        <w:topLinePunct w:val="0"/>
        <w:autoSpaceDE/>
        <w:autoSpaceDN/>
        <w:bidi w:val="0"/>
        <w:adjustRightInd w:val="0"/>
        <w:snapToGrid w:val="0"/>
        <w:spacing w:line="560" w:lineRule="exact"/>
        <w:ind w:firstLine="4800" w:firstLineChars="1500"/>
        <w:textAlignment w:val="auto"/>
        <w:rPr>
          <w:rFonts w:hint="eastAsia" w:eastAsia="仿宋_GB2312"/>
          <w:sz w:val="32"/>
          <w:szCs w:val="32"/>
        </w:rPr>
      </w:pPr>
      <w:r>
        <w:rPr>
          <w:rFonts w:hint="eastAsia" w:eastAsia="仿宋_GB2312"/>
          <w:sz w:val="32"/>
          <w:szCs w:val="32"/>
        </w:rPr>
        <w:t>昆明市东川区应急管理局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2021年</w:t>
      </w:r>
      <w:r>
        <w:rPr>
          <w:rFonts w:hint="eastAsia" w:eastAsia="仿宋_GB2312"/>
          <w:sz w:val="32"/>
          <w:szCs w:val="32"/>
          <w:lang w:val="en-US" w:eastAsia="zh-CN"/>
        </w:rPr>
        <w:t>5</w:t>
      </w:r>
      <w:r>
        <w:rPr>
          <w:rFonts w:hint="eastAsia" w:eastAsia="仿宋_GB2312"/>
          <w:sz w:val="32"/>
          <w:szCs w:val="32"/>
        </w:rPr>
        <w:t>月</w:t>
      </w:r>
      <w:r>
        <w:rPr>
          <w:rFonts w:hint="eastAsia" w:eastAsia="仿宋_GB2312"/>
          <w:sz w:val="32"/>
          <w:szCs w:val="32"/>
          <w:lang w:val="en-US" w:eastAsia="zh-CN"/>
        </w:rPr>
        <w:t>18</w:t>
      </w:r>
      <w:r>
        <w:rPr>
          <w:rFonts w:hint="eastAsia"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 w:linePitch="318" w:charSpace="0"/>
        </w:sectPr>
      </w:pPr>
    </w:p>
    <w:tbl>
      <w:tblPr>
        <w:tblStyle w:val="8"/>
        <w:tblpPr w:leftFromText="180" w:rightFromText="180" w:vertAnchor="text" w:horzAnchor="page" w:tblpX="1591" w:tblpY="151"/>
        <w:tblOverlap w:val="never"/>
        <w:tblW w:w="144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1186"/>
        <w:gridCol w:w="1306"/>
        <w:gridCol w:w="1635"/>
        <w:gridCol w:w="2415"/>
        <w:gridCol w:w="1440"/>
        <w:gridCol w:w="1036"/>
        <w:gridCol w:w="1470"/>
        <w:gridCol w:w="1413"/>
        <w:gridCol w:w="1036"/>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4452" w:type="dxa"/>
            <w:gridSpan w:val="11"/>
            <w:tcBorders>
              <w:top w:val="nil"/>
              <w:left w:val="nil"/>
              <w:bottom w:val="nil"/>
              <w:right w:val="nil"/>
            </w:tcBorders>
            <w:noWrap/>
            <w:vAlign w:val="center"/>
          </w:tcPr>
          <w:p>
            <w:pPr>
              <w:keepNext w:val="0"/>
              <w:keepLines w:val="0"/>
              <w:widowControl/>
              <w:suppressLineNumbers w:val="0"/>
              <w:ind w:firstLine="1200" w:firstLineChars="300"/>
              <w:jc w:val="both"/>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2021年度东川区应急管理局部门</w:t>
            </w:r>
            <w:r>
              <w:rPr>
                <w:rFonts w:hint="eastAsia" w:ascii="方正小标宋_GBK" w:hAnsi="方正小标宋_GBK" w:eastAsia="方正小标宋_GBK" w:cs="方正小标宋_GBK"/>
                <w:i w:val="0"/>
                <w:iCs w:val="0"/>
                <w:color w:val="000000"/>
                <w:kern w:val="0"/>
                <w:sz w:val="40"/>
                <w:szCs w:val="40"/>
                <w:u w:val="none"/>
                <w:lang w:val="en-US" w:eastAsia="zh-CN" w:bidi="ar"/>
              </w:rPr>
              <w:t>联合</w:t>
            </w:r>
            <w:r>
              <w:rPr>
                <w:rFonts w:hint="default" w:ascii="方正小标宋_GBK" w:hAnsi="方正小标宋_GBK" w:eastAsia="方正小标宋_GBK" w:cs="方正小标宋_GBK"/>
                <w:i w:val="0"/>
                <w:iCs w:val="0"/>
                <w:color w:val="000000"/>
                <w:kern w:val="0"/>
                <w:sz w:val="40"/>
                <w:szCs w:val="40"/>
                <w:u w:val="none"/>
                <w:lang w:val="en-US" w:eastAsia="zh-CN" w:bidi="ar"/>
              </w:rPr>
              <w:t>“双随机、一公开”抽查计划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序号</w:t>
            </w:r>
          </w:p>
        </w:tc>
        <w:tc>
          <w:tcPr>
            <w:tcW w:w="11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发起部门</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配合部门</w:t>
            </w:r>
          </w:p>
        </w:tc>
        <w:tc>
          <w:tcPr>
            <w:tcW w:w="4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计划任务名称</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检查对象</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任务时间</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抽查比例/户数</w:t>
            </w:r>
          </w:p>
        </w:tc>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检查方式</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实施检查层级</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抽查领域</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抽查事项</w:t>
            </w: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东川区应急管理局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东川区市场监督管理局</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经营单位和应急管理的检查：1.对生产经营单位执行有关安全生产的法律、法规和国家标准或者行业标准的情况进行监督检查；2.对应急救援队伍建设情况的检查；3.对应急救援物资装备配备使用管理情况的检查；4.对应急预案管理情况的检查；5.对应急演练实施情况的检查。</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安全生产条件检查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工贸企业</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2021年4月—11月</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5户</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现场检查和书面检查</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bl>
    <w:tbl>
      <w:tblPr>
        <w:tblStyle w:val="8"/>
        <w:tblpPr w:leftFromText="180" w:rightFromText="180" w:vertAnchor="text" w:horzAnchor="page" w:tblpX="1186" w:tblpY="-53"/>
        <w:tblOverlap w:val="never"/>
        <w:tblW w:w="15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1186"/>
        <w:gridCol w:w="1517"/>
        <w:gridCol w:w="3734"/>
        <w:gridCol w:w="1036"/>
        <w:gridCol w:w="1472"/>
        <w:gridCol w:w="1036"/>
        <w:gridCol w:w="1156"/>
        <w:gridCol w:w="1658"/>
        <w:gridCol w:w="1036"/>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15292" w:type="dxa"/>
            <w:gridSpan w:val="11"/>
            <w:tcBorders>
              <w:top w:val="nil"/>
              <w:left w:val="nil"/>
              <w:bottom w:val="single" w:color="auto" w:sz="4" w:space="0"/>
              <w:right w:val="nil"/>
            </w:tcBorders>
            <w:noWrap/>
            <w:vAlign w:val="center"/>
          </w:tcPr>
          <w:p>
            <w:pPr>
              <w:keepNext w:val="0"/>
              <w:keepLines w:val="0"/>
              <w:widowControl/>
              <w:suppressLineNumbers w:val="0"/>
              <w:ind w:firstLine="2000" w:firstLineChars="500"/>
              <w:jc w:val="both"/>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2021年度东川区应急管理局“双随机、一公开”抽查计划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序号</w:t>
            </w:r>
          </w:p>
        </w:tc>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制定计划任务部门名称</w:t>
            </w:r>
          </w:p>
        </w:tc>
        <w:tc>
          <w:tcPr>
            <w:tcW w:w="52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计划任务名称</w:t>
            </w:r>
          </w:p>
        </w:tc>
        <w:tc>
          <w:tcPr>
            <w:tcW w:w="103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检查对象</w:t>
            </w:r>
          </w:p>
        </w:tc>
        <w:tc>
          <w:tcPr>
            <w:tcW w:w="147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抽查比例/户数</w:t>
            </w:r>
          </w:p>
        </w:tc>
        <w:tc>
          <w:tcPr>
            <w:tcW w:w="103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任务时间</w:t>
            </w:r>
          </w:p>
        </w:tc>
        <w:tc>
          <w:tcPr>
            <w:tcW w:w="11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检查方式</w:t>
            </w:r>
          </w:p>
        </w:tc>
        <w:tc>
          <w:tcPr>
            <w:tcW w:w="16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制定依据</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实施检查层级</w:t>
            </w:r>
          </w:p>
        </w:tc>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抽查领域</w:t>
            </w:r>
          </w:p>
        </w:tc>
        <w:tc>
          <w:tcPr>
            <w:tcW w:w="3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抽查事项</w:t>
            </w:r>
          </w:p>
        </w:tc>
        <w:tc>
          <w:tcPr>
            <w:tcW w:w="103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黑体_GBK" w:hAnsi="方正黑体_GBK" w:eastAsia="方正黑体_GBK" w:cs="方正黑体_GBK"/>
                <w:i w:val="0"/>
                <w:iCs w:val="0"/>
                <w:color w:val="000000"/>
                <w:sz w:val="20"/>
                <w:szCs w:val="20"/>
                <w:u w:val="none"/>
              </w:rPr>
            </w:pPr>
          </w:p>
        </w:tc>
        <w:tc>
          <w:tcPr>
            <w:tcW w:w="147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黑体_GBK" w:hAnsi="方正黑体_GBK" w:eastAsia="方正黑体_GBK" w:cs="方正黑体_GBK"/>
                <w:i w:val="0"/>
                <w:iCs w:val="0"/>
                <w:color w:val="000000"/>
                <w:sz w:val="20"/>
                <w:szCs w:val="20"/>
                <w:u w:val="none"/>
              </w:rPr>
            </w:pPr>
          </w:p>
        </w:tc>
        <w:tc>
          <w:tcPr>
            <w:tcW w:w="103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黑体_GBK" w:hAnsi="方正黑体_GBK" w:eastAsia="方正黑体_GBK" w:cs="方正黑体_GBK"/>
                <w:i w:val="0"/>
                <w:iCs w:val="0"/>
                <w:color w:val="000000"/>
                <w:sz w:val="20"/>
                <w:szCs w:val="20"/>
                <w:u w:val="none"/>
              </w:rPr>
            </w:pPr>
          </w:p>
        </w:tc>
        <w:tc>
          <w:tcPr>
            <w:tcW w:w="11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黑体_GBK" w:hAnsi="方正黑体_GBK" w:eastAsia="方正黑体_GBK" w:cs="方正黑体_GBK"/>
                <w:i w:val="0"/>
                <w:iCs w:val="0"/>
                <w:color w:val="000000"/>
                <w:sz w:val="20"/>
                <w:szCs w:val="20"/>
                <w:u w:val="none"/>
              </w:rPr>
            </w:pPr>
          </w:p>
        </w:tc>
        <w:tc>
          <w:tcPr>
            <w:tcW w:w="165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黑体_GBK" w:hAnsi="方正黑体_GBK" w:eastAsia="方正黑体_GBK" w:cs="方正黑体_GBK"/>
                <w:i w:val="0"/>
                <w:iCs w:val="0"/>
                <w:color w:val="000000"/>
                <w:sz w:val="20"/>
                <w:szCs w:val="20"/>
                <w:u w:val="none"/>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黑体_GBK" w:hAnsi="方正黑体_GBK" w:eastAsia="方正黑体_GBK" w:cs="方正黑体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东川区应急管理局</w:t>
            </w:r>
          </w:p>
        </w:tc>
        <w:tc>
          <w:tcPr>
            <w:tcW w:w="15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工业企业安全生产情况检查</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1.安全生产许可、安全生产条件检查;2.对事故报告和应急处置情况的检查。</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非煤矿山企业</w:t>
            </w:r>
          </w:p>
        </w:tc>
        <w:tc>
          <w:tcPr>
            <w:tcW w:w="14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6户</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2021年4月—11月</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现场检查和书面检查</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2.《矿山安全法》；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3.《云南省安全生产条例》；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4.《安全生产年度监督检查计划编制办法》；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5.《云南省安全生产专项整治三年行动计划》</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w:t>
            </w:r>
          </w:p>
        </w:tc>
        <w:tc>
          <w:tcPr>
            <w:tcW w:w="82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东川区应急管理局</w:t>
            </w:r>
          </w:p>
        </w:tc>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化工、危化品生产企业和管道企业的检查：1.对化工和危化品生产经营企业危险化学品安全技术说明书、安全标签及储存管理情况的检查；2.对化工和危化品企业人员和资质管理情况的检查；3.对化工和危化品工艺管理情况的检查；4.对化工和危化品设备设施管理情况的检查；5.对管道企业许可条件保持情况的检查；6.对管道企业安全设施竣工验收报告的检查。</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危险化学品企业 </w:t>
            </w:r>
          </w:p>
        </w:tc>
        <w:tc>
          <w:tcPr>
            <w:tcW w:w="14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3户</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2021年4月—11月</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现场检查和书面检查</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2.《云南省安全生产条例》；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3.《安全生产年度监督检查计划编制办法》；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4.《云南省安全生产专项整治三年行动计划》</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w:t>
            </w:r>
          </w:p>
        </w:tc>
        <w:tc>
          <w:tcPr>
            <w:tcW w:w="82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东川区应急管理局</w:t>
            </w:r>
          </w:p>
        </w:tc>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1.对烟花爆竹经营单位批发安全许可情况的检查；2.对烟花爆竹经营单位零售安全许可情况的检查；3.对烟花爆竹经营单位经营安全情况的检查。</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烟花爆竹经营单位</w:t>
            </w:r>
          </w:p>
        </w:tc>
        <w:tc>
          <w:tcPr>
            <w:tcW w:w="14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2户</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现场检查和书面检查</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《中华人民共和国安全生产法》第三十六条、六十二条；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《烟花爆竹安全管理条例》（国务院令第455号）第三条、第四条、第十七条、第十八条；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《烟花爆竹经营许可实施办法》（国家安全生产监督管理总局令第65号）第五条、第二十二条、第二十三条、第二十四条、第二十五条、第二十六条、第二十七条、第二十八条、第二十九条、第三十条</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w:t>
            </w:r>
          </w:p>
        </w:tc>
        <w:tc>
          <w:tcPr>
            <w:tcW w:w="82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东川区应急管理局</w:t>
            </w:r>
          </w:p>
        </w:tc>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1.对非药品类易制毒化学品生产经营企业许可（备案）情况的检查；2.对非药品类易制毒化学品生产经营企业管理情况的检查；3.</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非药品类易制毒化学品生产、经营企业</w:t>
            </w:r>
          </w:p>
        </w:tc>
        <w:tc>
          <w:tcPr>
            <w:tcW w:w="14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1户</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现场检查和书面检查</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《易制毒化学品管理条例》（国务院令第445号）第二条、第七条、第九条、第十三条、第三十二条；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《非药品类易制毒化学品生产、经营许可办法》；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（2006年国家安全生产监督管理总局令第5号)第三条、第五条、第六条、第十七条、第二十五条</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w:t>
            </w:r>
          </w:p>
        </w:tc>
        <w:tc>
          <w:tcPr>
            <w:tcW w:w="82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sz w:val="32"/>
          <w:szCs w:val="32"/>
          <w:lang w:val="en-US" w:eastAsia="zh-CN"/>
        </w:rPr>
      </w:pPr>
    </w:p>
    <w:sectPr>
      <w:footerReference r:id="rId9" w:type="default"/>
      <w:pgSz w:w="16838" w:h="11906" w:orient="landscape"/>
      <w:pgMar w:top="2098" w:right="1474" w:bottom="1984" w:left="1587" w:header="1020" w:footer="1644"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p>
    <w:pPr>
      <w:pStyle w:val="5"/>
      <w:ind w:right="360" w:firstLine="360"/>
    </w:pPr>
    <w:r>
      <w:pict>
        <v:shape id="文本框4" o:spid="_x0000_s2049" o:spt="202" type="#_x0000_t202" style="position:absolute;left:0pt;margin-left:401.7pt;margin-top:1.5pt;height:24.15pt;width:17.5pt;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ascii="宋体" w:hAnsi="宋体"/>
                    <w:sz w:val="28"/>
                    <w:szCs w:val="28"/>
                  </w:rPr>
                </w:pP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r>
      <w:pict>
        <v:shape id="文本框5" o:spid="_x0000_s2050" o:spt="202" type="#_x0000_t202" style="position:absolute;left:0pt;margin-top:0pt;height:32.2pt;width:37.35pt;mso-position-horizontal:outside;mso-position-horizontal-relative:margin;mso-wrap-style:none;z-index:251660288;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t>- 2 -</w:t>
                </w:r>
                <w:r>
                  <w:rPr>
                    <w:rFonts w:hint="eastAsia"/>
                    <w:sz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softHyphen/>
    </w:r>
    <w:r>
      <w:rPr>
        <w:rStyle w:val="11"/>
      </w:rPr>
      <w:softHyphen/>
    </w:r>
    <w:r>
      <w:rPr>
        <w:rStyle w:val="11"/>
        <w:rFonts w:ascii="宋体" w:hAnsi="宋体" w:cs="宋体"/>
        <w:sz w:val="28"/>
        <w:szCs w:val="28"/>
      </w:rPr>
      <w:t>—</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1</w:t>
    </w:r>
    <w:r>
      <w:rPr>
        <w:rStyle w:val="11"/>
        <w:rFonts w:ascii="宋体" w:hAnsi="宋体" w:cs="宋体"/>
        <w:sz w:val="28"/>
        <w:szCs w:val="28"/>
      </w:rPr>
      <w:fldChar w:fldCharType="end"/>
    </w:r>
    <w:r>
      <w:rPr>
        <w:rStyle w:val="11"/>
        <w:rFonts w:ascii="宋体" w:hAnsi="宋体" w:cs="宋体"/>
        <w:sz w:val="28"/>
        <w:szCs w:val="28"/>
      </w:rPr>
      <w:t>—</w:t>
    </w:r>
  </w:p>
  <w:p>
    <w:pPr>
      <w:pStyle w:val="5"/>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7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C3AFE"/>
    <w:rsid w:val="00001B69"/>
    <w:rsid w:val="00002873"/>
    <w:rsid w:val="00004E96"/>
    <w:rsid w:val="0001236F"/>
    <w:rsid w:val="00014BC0"/>
    <w:rsid w:val="00016A41"/>
    <w:rsid w:val="000262B8"/>
    <w:rsid w:val="00046121"/>
    <w:rsid w:val="00054913"/>
    <w:rsid w:val="000600C0"/>
    <w:rsid w:val="000602F1"/>
    <w:rsid w:val="00064808"/>
    <w:rsid w:val="00066AFF"/>
    <w:rsid w:val="0006774B"/>
    <w:rsid w:val="00072812"/>
    <w:rsid w:val="00082470"/>
    <w:rsid w:val="00083A04"/>
    <w:rsid w:val="00095796"/>
    <w:rsid w:val="000A42EA"/>
    <w:rsid w:val="000A5675"/>
    <w:rsid w:val="000B25B2"/>
    <w:rsid w:val="000C1120"/>
    <w:rsid w:val="000C3AFE"/>
    <w:rsid w:val="000C4612"/>
    <w:rsid w:val="000C48C8"/>
    <w:rsid w:val="000D3F5C"/>
    <w:rsid w:val="000D6D78"/>
    <w:rsid w:val="000E05A3"/>
    <w:rsid w:val="000E22FC"/>
    <w:rsid w:val="000E4B22"/>
    <w:rsid w:val="000E51B9"/>
    <w:rsid w:val="000E7F51"/>
    <w:rsid w:val="000F094C"/>
    <w:rsid w:val="000F2717"/>
    <w:rsid w:val="000F507C"/>
    <w:rsid w:val="00102B42"/>
    <w:rsid w:val="00107E5D"/>
    <w:rsid w:val="00110EFF"/>
    <w:rsid w:val="00111525"/>
    <w:rsid w:val="00113AEA"/>
    <w:rsid w:val="00116641"/>
    <w:rsid w:val="0012279B"/>
    <w:rsid w:val="00127603"/>
    <w:rsid w:val="00133F55"/>
    <w:rsid w:val="00140B4D"/>
    <w:rsid w:val="0015290C"/>
    <w:rsid w:val="00157F7F"/>
    <w:rsid w:val="00157F91"/>
    <w:rsid w:val="001609EA"/>
    <w:rsid w:val="0016539C"/>
    <w:rsid w:val="00167FC7"/>
    <w:rsid w:val="00171163"/>
    <w:rsid w:val="00171C0F"/>
    <w:rsid w:val="001733B3"/>
    <w:rsid w:val="00180DFF"/>
    <w:rsid w:val="001829EB"/>
    <w:rsid w:val="00183CE5"/>
    <w:rsid w:val="0018478A"/>
    <w:rsid w:val="00184FB9"/>
    <w:rsid w:val="001874ED"/>
    <w:rsid w:val="00197D6D"/>
    <w:rsid w:val="001A1057"/>
    <w:rsid w:val="001A4096"/>
    <w:rsid w:val="001A7CAF"/>
    <w:rsid w:val="001B2ABB"/>
    <w:rsid w:val="001B4530"/>
    <w:rsid w:val="001B6BDE"/>
    <w:rsid w:val="001C2005"/>
    <w:rsid w:val="001E3A2B"/>
    <w:rsid w:val="001F6544"/>
    <w:rsid w:val="002022A6"/>
    <w:rsid w:val="002049AA"/>
    <w:rsid w:val="00205BA7"/>
    <w:rsid w:val="00214A7F"/>
    <w:rsid w:val="00215B10"/>
    <w:rsid w:val="002228FB"/>
    <w:rsid w:val="00224A56"/>
    <w:rsid w:val="00226863"/>
    <w:rsid w:val="00227BCE"/>
    <w:rsid w:val="00230598"/>
    <w:rsid w:val="002319A6"/>
    <w:rsid w:val="002364AF"/>
    <w:rsid w:val="00237B39"/>
    <w:rsid w:val="0024320F"/>
    <w:rsid w:val="0025016E"/>
    <w:rsid w:val="00251F8D"/>
    <w:rsid w:val="00255035"/>
    <w:rsid w:val="00260DF4"/>
    <w:rsid w:val="00262E23"/>
    <w:rsid w:val="002632D0"/>
    <w:rsid w:val="00263730"/>
    <w:rsid w:val="00272561"/>
    <w:rsid w:val="00287264"/>
    <w:rsid w:val="0029501B"/>
    <w:rsid w:val="00295633"/>
    <w:rsid w:val="0029663B"/>
    <w:rsid w:val="002A14D7"/>
    <w:rsid w:val="002A3CAC"/>
    <w:rsid w:val="002B4A70"/>
    <w:rsid w:val="002C0AD3"/>
    <w:rsid w:val="002C342F"/>
    <w:rsid w:val="002C49CA"/>
    <w:rsid w:val="002C5A2A"/>
    <w:rsid w:val="002D1CCA"/>
    <w:rsid w:val="002D5870"/>
    <w:rsid w:val="002E0DC2"/>
    <w:rsid w:val="002E3B88"/>
    <w:rsid w:val="002F0923"/>
    <w:rsid w:val="002F10EB"/>
    <w:rsid w:val="002F73B7"/>
    <w:rsid w:val="002F766F"/>
    <w:rsid w:val="0030468F"/>
    <w:rsid w:val="00304A75"/>
    <w:rsid w:val="00306D14"/>
    <w:rsid w:val="00311BDF"/>
    <w:rsid w:val="00313907"/>
    <w:rsid w:val="00317699"/>
    <w:rsid w:val="00323DB9"/>
    <w:rsid w:val="003309BC"/>
    <w:rsid w:val="00336868"/>
    <w:rsid w:val="00342107"/>
    <w:rsid w:val="0034364F"/>
    <w:rsid w:val="003464C0"/>
    <w:rsid w:val="0035019C"/>
    <w:rsid w:val="0035554C"/>
    <w:rsid w:val="0035676B"/>
    <w:rsid w:val="00361BCD"/>
    <w:rsid w:val="0036466D"/>
    <w:rsid w:val="003674C8"/>
    <w:rsid w:val="00370104"/>
    <w:rsid w:val="003746C3"/>
    <w:rsid w:val="003747BA"/>
    <w:rsid w:val="00376828"/>
    <w:rsid w:val="00391A2E"/>
    <w:rsid w:val="00392313"/>
    <w:rsid w:val="0039390A"/>
    <w:rsid w:val="00394E8A"/>
    <w:rsid w:val="003A2805"/>
    <w:rsid w:val="003A5D80"/>
    <w:rsid w:val="003A5F13"/>
    <w:rsid w:val="003A7C1F"/>
    <w:rsid w:val="003B7C5B"/>
    <w:rsid w:val="003C5CAC"/>
    <w:rsid w:val="003D1A72"/>
    <w:rsid w:val="003D63A7"/>
    <w:rsid w:val="003D6605"/>
    <w:rsid w:val="003E3B9C"/>
    <w:rsid w:val="003F0746"/>
    <w:rsid w:val="003F2D06"/>
    <w:rsid w:val="003F4BF6"/>
    <w:rsid w:val="00400656"/>
    <w:rsid w:val="00405C6E"/>
    <w:rsid w:val="0041045F"/>
    <w:rsid w:val="00424666"/>
    <w:rsid w:val="00426669"/>
    <w:rsid w:val="00426B33"/>
    <w:rsid w:val="0042777E"/>
    <w:rsid w:val="004318B8"/>
    <w:rsid w:val="00432FE4"/>
    <w:rsid w:val="00435286"/>
    <w:rsid w:val="00441B39"/>
    <w:rsid w:val="00442FD2"/>
    <w:rsid w:val="00444C48"/>
    <w:rsid w:val="00444C66"/>
    <w:rsid w:val="0044756E"/>
    <w:rsid w:val="00453832"/>
    <w:rsid w:val="00453E74"/>
    <w:rsid w:val="00463F92"/>
    <w:rsid w:val="00465128"/>
    <w:rsid w:val="00466B3E"/>
    <w:rsid w:val="00466E13"/>
    <w:rsid w:val="004700D8"/>
    <w:rsid w:val="0047336A"/>
    <w:rsid w:val="0047383F"/>
    <w:rsid w:val="00477EBD"/>
    <w:rsid w:val="004B0D18"/>
    <w:rsid w:val="004B0D4C"/>
    <w:rsid w:val="004B1E2E"/>
    <w:rsid w:val="004B4103"/>
    <w:rsid w:val="004B4194"/>
    <w:rsid w:val="004B659F"/>
    <w:rsid w:val="004B6ADA"/>
    <w:rsid w:val="004C0737"/>
    <w:rsid w:val="004C3BEC"/>
    <w:rsid w:val="004C3E1A"/>
    <w:rsid w:val="004C425F"/>
    <w:rsid w:val="004C6E41"/>
    <w:rsid w:val="004D0C7A"/>
    <w:rsid w:val="004D3F3A"/>
    <w:rsid w:val="004D5272"/>
    <w:rsid w:val="004D7DD0"/>
    <w:rsid w:val="004E28CE"/>
    <w:rsid w:val="004E6342"/>
    <w:rsid w:val="004E6B4C"/>
    <w:rsid w:val="004F1228"/>
    <w:rsid w:val="004F38E2"/>
    <w:rsid w:val="004F4415"/>
    <w:rsid w:val="004F45CA"/>
    <w:rsid w:val="004F6946"/>
    <w:rsid w:val="004F7A80"/>
    <w:rsid w:val="004F7CE3"/>
    <w:rsid w:val="00503283"/>
    <w:rsid w:val="005047F6"/>
    <w:rsid w:val="00506E29"/>
    <w:rsid w:val="00513CA5"/>
    <w:rsid w:val="00521AD2"/>
    <w:rsid w:val="00530A89"/>
    <w:rsid w:val="005360F3"/>
    <w:rsid w:val="00537348"/>
    <w:rsid w:val="00537402"/>
    <w:rsid w:val="005402DD"/>
    <w:rsid w:val="005444D6"/>
    <w:rsid w:val="00545814"/>
    <w:rsid w:val="00555BCD"/>
    <w:rsid w:val="005576B3"/>
    <w:rsid w:val="00563154"/>
    <w:rsid w:val="00565BF8"/>
    <w:rsid w:val="00567660"/>
    <w:rsid w:val="005806FF"/>
    <w:rsid w:val="00581B95"/>
    <w:rsid w:val="005823DE"/>
    <w:rsid w:val="00586377"/>
    <w:rsid w:val="005901E8"/>
    <w:rsid w:val="00596ABD"/>
    <w:rsid w:val="005970A3"/>
    <w:rsid w:val="005B2224"/>
    <w:rsid w:val="005B279F"/>
    <w:rsid w:val="005C2F60"/>
    <w:rsid w:val="005C4C53"/>
    <w:rsid w:val="005C66DD"/>
    <w:rsid w:val="005C7CDA"/>
    <w:rsid w:val="005D16AD"/>
    <w:rsid w:val="005D1763"/>
    <w:rsid w:val="005F1556"/>
    <w:rsid w:val="0060133B"/>
    <w:rsid w:val="0060356E"/>
    <w:rsid w:val="00604125"/>
    <w:rsid w:val="006072E6"/>
    <w:rsid w:val="0061074D"/>
    <w:rsid w:val="00611BD7"/>
    <w:rsid w:val="006123E3"/>
    <w:rsid w:val="00615308"/>
    <w:rsid w:val="00622C90"/>
    <w:rsid w:val="00624D63"/>
    <w:rsid w:val="00624FD6"/>
    <w:rsid w:val="0064158C"/>
    <w:rsid w:val="00646CDE"/>
    <w:rsid w:val="00653908"/>
    <w:rsid w:val="006674F0"/>
    <w:rsid w:val="00667B92"/>
    <w:rsid w:val="00667C86"/>
    <w:rsid w:val="0067236C"/>
    <w:rsid w:val="006726EB"/>
    <w:rsid w:val="00687E75"/>
    <w:rsid w:val="00692EEB"/>
    <w:rsid w:val="006A0F06"/>
    <w:rsid w:val="006A3328"/>
    <w:rsid w:val="006A4FDA"/>
    <w:rsid w:val="006A7596"/>
    <w:rsid w:val="006A77D4"/>
    <w:rsid w:val="006B5000"/>
    <w:rsid w:val="006B6CE6"/>
    <w:rsid w:val="006C3E56"/>
    <w:rsid w:val="006C44C0"/>
    <w:rsid w:val="006C55D9"/>
    <w:rsid w:val="006C64A0"/>
    <w:rsid w:val="006C71CA"/>
    <w:rsid w:val="006C7923"/>
    <w:rsid w:val="006D0B0B"/>
    <w:rsid w:val="006E1485"/>
    <w:rsid w:val="006E3FD3"/>
    <w:rsid w:val="006E466D"/>
    <w:rsid w:val="006E7352"/>
    <w:rsid w:val="006E7D02"/>
    <w:rsid w:val="006E7E16"/>
    <w:rsid w:val="006F3569"/>
    <w:rsid w:val="006F5848"/>
    <w:rsid w:val="0070128D"/>
    <w:rsid w:val="00703357"/>
    <w:rsid w:val="00703562"/>
    <w:rsid w:val="007036CF"/>
    <w:rsid w:val="00717CC0"/>
    <w:rsid w:val="00721171"/>
    <w:rsid w:val="00722933"/>
    <w:rsid w:val="00733EB1"/>
    <w:rsid w:val="00734EFF"/>
    <w:rsid w:val="0074149C"/>
    <w:rsid w:val="00742CED"/>
    <w:rsid w:val="007534D3"/>
    <w:rsid w:val="00757E86"/>
    <w:rsid w:val="00773BC1"/>
    <w:rsid w:val="00773FF8"/>
    <w:rsid w:val="00780EE8"/>
    <w:rsid w:val="00782798"/>
    <w:rsid w:val="0079316E"/>
    <w:rsid w:val="007C1260"/>
    <w:rsid w:val="007C5156"/>
    <w:rsid w:val="007C76F3"/>
    <w:rsid w:val="007D250D"/>
    <w:rsid w:val="007D28C2"/>
    <w:rsid w:val="007E1DC5"/>
    <w:rsid w:val="007E3857"/>
    <w:rsid w:val="007E3B99"/>
    <w:rsid w:val="007E4848"/>
    <w:rsid w:val="007E51DB"/>
    <w:rsid w:val="007F0151"/>
    <w:rsid w:val="007F148B"/>
    <w:rsid w:val="007F24FC"/>
    <w:rsid w:val="00802FA0"/>
    <w:rsid w:val="00810F55"/>
    <w:rsid w:val="00814E97"/>
    <w:rsid w:val="00823424"/>
    <w:rsid w:val="00834804"/>
    <w:rsid w:val="008455B9"/>
    <w:rsid w:val="00851060"/>
    <w:rsid w:val="00853C28"/>
    <w:rsid w:val="008571A1"/>
    <w:rsid w:val="00860795"/>
    <w:rsid w:val="00863F9C"/>
    <w:rsid w:val="008677C1"/>
    <w:rsid w:val="008714CD"/>
    <w:rsid w:val="00872134"/>
    <w:rsid w:val="00881F8A"/>
    <w:rsid w:val="00883B98"/>
    <w:rsid w:val="00887A0D"/>
    <w:rsid w:val="0089175C"/>
    <w:rsid w:val="008A5799"/>
    <w:rsid w:val="008A623C"/>
    <w:rsid w:val="008B03A4"/>
    <w:rsid w:val="008B049F"/>
    <w:rsid w:val="008B0BA7"/>
    <w:rsid w:val="008B17FB"/>
    <w:rsid w:val="008B6588"/>
    <w:rsid w:val="008B789D"/>
    <w:rsid w:val="008C5E14"/>
    <w:rsid w:val="008D48CD"/>
    <w:rsid w:val="008D5210"/>
    <w:rsid w:val="008F2A98"/>
    <w:rsid w:val="008F5C88"/>
    <w:rsid w:val="008F72D8"/>
    <w:rsid w:val="00900D21"/>
    <w:rsid w:val="00900D58"/>
    <w:rsid w:val="00912331"/>
    <w:rsid w:val="009123AF"/>
    <w:rsid w:val="00912552"/>
    <w:rsid w:val="009137CD"/>
    <w:rsid w:val="00920DAF"/>
    <w:rsid w:val="00921A54"/>
    <w:rsid w:val="009259D8"/>
    <w:rsid w:val="00931C83"/>
    <w:rsid w:val="00932550"/>
    <w:rsid w:val="00946256"/>
    <w:rsid w:val="0094772A"/>
    <w:rsid w:val="00951289"/>
    <w:rsid w:val="0095153D"/>
    <w:rsid w:val="00952E93"/>
    <w:rsid w:val="00955F79"/>
    <w:rsid w:val="009565F4"/>
    <w:rsid w:val="009615FB"/>
    <w:rsid w:val="00963981"/>
    <w:rsid w:val="00963C80"/>
    <w:rsid w:val="00964E5D"/>
    <w:rsid w:val="00971426"/>
    <w:rsid w:val="0097350F"/>
    <w:rsid w:val="00981468"/>
    <w:rsid w:val="009835B4"/>
    <w:rsid w:val="00985364"/>
    <w:rsid w:val="00985817"/>
    <w:rsid w:val="00986B52"/>
    <w:rsid w:val="00997F94"/>
    <w:rsid w:val="009B28C4"/>
    <w:rsid w:val="009B32F6"/>
    <w:rsid w:val="009B47F9"/>
    <w:rsid w:val="009B58B6"/>
    <w:rsid w:val="009B773E"/>
    <w:rsid w:val="009B7A31"/>
    <w:rsid w:val="009C43E0"/>
    <w:rsid w:val="009C4EC7"/>
    <w:rsid w:val="009C53CD"/>
    <w:rsid w:val="009D1520"/>
    <w:rsid w:val="009D15F6"/>
    <w:rsid w:val="009E2334"/>
    <w:rsid w:val="009E24EF"/>
    <w:rsid w:val="009E2E26"/>
    <w:rsid w:val="009E7441"/>
    <w:rsid w:val="009F23C6"/>
    <w:rsid w:val="009F4FB7"/>
    <w:rsid w:val="009F4FFB"/>
    <w:rsid w:val="009F7210"/>
    <w:rsid w:val="00A035EE"/>
    <w:rsid w:val="00A10915"/>
    <w:rsid w:val="00A14C48"/>
    <w:rsid w:val="00A1525D"/>
    <w:rsid w:val="00A15B4E"/>
    <w:rsid w:val="00A24C3B"/>
    <w:rsid w:val="00A301AB"/>
    <w:rsid w:val="00A31D7E"/>
    <w:rsid w:val="00A358EC"/>
    <w:rsid w:val="00A379B5"/>
    <w:rsid w:val="00A41D1E"/>
    <w:rsid w:val="00A46E1D"/>
    <w:rsid w:val="00A5389B"/>
    <w:rsid w:val="00A55FAB"/>
    <w:rsid w:val="00A61421"/>
    <w:rsid w:val="00A67243"/>
    <w:rsid w:val="00A675C8"/>
    <w:rsid w:val="00A67E6A"/>
    <w:rsid w:val="00A73A92"/>
    <w:rsid w:val="00A82468"/>
    <w:rsid w:val="00A82F85"/>
    <w:rsid w:val="00A86952"/>
    <w:rsid w:val="00A95324"/>
    <w:rsid w:val="00A965C8"/>
    <w:rsid w:val="00AA2E40"/>
    <w:rsid w:val="00AA2F4B"/>
    <w:rsid w:val="00AA55DA"/>
    <w:rsid w:val="00AB0295"/>
    <w:rsid w:val="00AB5E6C"/>
    <w:rsid w:val="00AB7E23"/>
    <w:rsid w:val="00AD528D"/>
    <w:rsid w:val="00AD6E37"/>
    <w:rsid w:val="00AE2273"/>
    <w:rsid w:val="00AE56AD"/>
    <w:rsid w:val="00AE5732"/>
    <w:rsid w:val="00AE6E6E"/>
    <w:rsid w:val="00AE7760"/>
    <w:rsid w:val="00AF2E4C"/>
    <w:rsid w:val="00AF57B1"/>
    <w:rsid w:val="00AF57CE"/>
    <w:rsid w:val="00AF7747"/>
    <w:rsid w:val="00B00534"/>
    <w:rsid w:val="00B01EFC"/>
    <w:rsid w:val="00B045B7"/>
    <w:rsid w:val="00B11299"/>
    <w:rsid w:val="00B156FC"/>
    <w:rsid w:val="00B17C0F"/>
    <w:rsid w:val="00B33218"/>
    <w:rsid w:val="00B33637"/>
    <w:rsid w:val="00B33DE8"/>
    <w:rsid w:val="00B408F8"/>
    <w:rsid w:val="00B40F54"/>
    <w:rsid w:val="00B44E98"/>
    <w:rsid w:val="00B450E5"/>
    <w:rsid w:val="00B4717A"/>
    <w:rsid w:val="00B4793F"/>
    <w:rsid w:val="00B5398A"/>
    <w:rsid w:val="00B55049"/>
    <w:rsid w:val="00B570E4"/>
    <w:rsid w:val="00B6005D"/>
    <w:rsid w:val="00B65351"/>
    <w:rsid w:val="00B65B89"/>
    <w:rsid w:val="00B72449"/>
    <w:rsid w:val="00B7555F"/>
    <w:rsid w:val="00B75CA3"/>
    <w:rsid w:val="00B816CE"/>
    <w:rsid w:val="00B83751"/>
    <w:rsid w:val="00B87040"/>
    <w:rsid w:val="00B902ED"/>
    <w:rsid w:val="00B9039C"/>
    <w:rsid w:val="00B9173A"/>
    <w:rsid w:val="00B928CD"/>
    <w:rsid w:val="00BA773E"/>
    <w:rsid w:val="00BB2E3B"/>
    <w:rsid w:val="00BB5176"/>
    <w:rsid w:val="00BB521B"/>
    <w:rsid w:val="00BC00B3"/>
    <w:rsid w:val="00BC2CFB"/>
    <w:rsid w:val="00BC6CB8"/>
    <w:rsid w:val="00BC702C"/>
    <w:rsid w:val="00BD031D"/>
    <w:rsid w:val="00BD1A30"/>
    <w:rsid w:val="00BD32C1"/>
    <w:rsid w:val="00BD40B6"/>
    <w:rsid w:val="00BE3B9F"/>
    <w:rsid w:val="00BE47ED"/>
    <w:rsid w:val="00BE507C"/>
    <w:rsid w:val="00BE5D8B"/>
    <w:rsid w:val="00BE6324"/>
    <w:rsid w:val="00C03EFD"/>
    <w:rsid w:val="00C04029"/>
    <w:rsid w:val="00C11598"/>
    <w:rsid w:val="00C11F25"/>
    <w:rsid w:val="00C17021"/>
    <w:rsid w:val="00C21C98"/>
    <w:rsid w:val="00C25995"/>
    <w:rsid w:val="00C267CE"/>
    <w:rsid w:val="00C27FD9"/>
    <w:rsid w:val="00C33059"/>
    <w:rsid w:val="00C33684"/>
    <w:rsid w:val="00C40641"/>
    <w:rsid w:val="00C40791"/>
    <w:rsid w:val="00C42DE6"/>
    <w:rsid w:val="00C47B1A"/>
    <w:rsid w:val="00C47B77"/>
    <w:rsid w:val="00C5313B"/>
    <w:rsid w:val="00C56319"/>
    <w:rsid w:val="00C665DF"/>
    <w:rsid w:val="00C722AA"/>
    <w:rsid w:val="00C8190D"/>
    <w:rsid w:val="00C82F8A"/>
    <w:rsid w:val="00C90E56"/>
    <w:rsid w:val="00C92CE2"/>
    <w:rsid w:val="00C9518E"/>
    <w:rsid w:val="00CA1EA0"/>
    <w:rsid w:val="00CA3D4A"/>
    <w:rsid w:val="00CA4035"/>
    <w:rsid w:val="00CA5305"/>
    <w:rsid w:val="00CA741B"/>
    <w:rsid w:val="00CB6865"/>
    <w:rsid w:val="00CC504C"/>
    <w:rsid w:val="00CC52A4"/>
    <w:rsid w:val="00CD2159"/>
    <w:rsid w:val="00CD4B35"/>
    <w:rsid w:val="00CE5F52"/>
    <w:rsid w:val="00CE7F26"/>
    <w:rsid w:val="00CF1567"/>
    <w:rsid w:val="00CF3968"/>
    <w:rsid w:val="00CF4906"/>
    <w:rsid w:val="00CF52B1"/>
    <w:rsid w:val="00CF6C8A"/>
    <w:rsid w:val="00D06AA7"/>
    <w:rsid w:val="00D10D9D"/>
    <w:rsid w:val="00D11937"/>
    <w:rsid w:val="00D16A27"/>
    <w:rsid w:val="00D16E23"/>
    <w:rsid w:val="00D27920"/>
    <w:rsid w:val="00D330E9"/>
    <w:rsid w:val="00D33CAA"/>
    <w:rsid w:val="00D35A92"/>
    <w:rsid w:val="00D40AA5"/>
    <w:rsid w:val="00D4284D"/>
    <w:rsid w:val="00D45A0C"/>
    <w:rsid w:val="00D47497"/>
    <w:rsid w:val="00D505D2"/>
    <w:rsid w:val="00D537C7"/>
    <w:rsid w:val="00D57109"/>
    <w:rsid w:val="00D6004F"/>
    <w:rsid w:val="00D60E4D"/>
    <w:rsid w:val="00D60ED9"/>
    <w:rsid w:val="00D62206"/>
    <w:rsid w:val="00D635A3"/>
    <w:rsid w:val="00D6415E"/>
    <w:rsid w:val="00D66581"/>
    <w:rsid w:val="00D67173"/>
    <w:rsid w:val="00D7047C"/>
    <w:rsid w:val="00D7209A"/>
    <w:rsid w:val="00D73DD1"/>
    <w:rsid w:val="00D77150"/>
    <w:rsid w:val="00D82BA1"/>
    <w:rsid w:val="00D83C61"/>
    <w:rsid w:val="00D90E40"/>
    <w:rsid w:val="00D936FB"/>
    <w:rsid w:val="00D96CE7"/>
    <w:rsid w:val="00DA2F58"/>
    <w:rsid w:val="00DB2818"/>
    <w:rsid w:val="00DB5F22"/>
    <w:rsid w:val="00DB7FA5"/>
    <w:rsid w:val="00DD01DF"/>
    <w:rsid w:val="00DD0648"/>
    <w:rsid w:val="00DD130F"/>
    <w:rsid w:val="00DD42EF"/>
    <w:rsid w:val="00DD5D1F"/>
    <w:rsid w:val="00DD7F02"/>
    <w:rsid w:val="00DE1495"/>
    <w:rsid w:val="00DE1E43"/>
    <w:rsid w:val="00DE7A6E"/>
    <w:rsid w:val="00DF3230"/>
    <w:rsid w:val="00DF43DC"/>
    <w:rsid w:val="00DF4D3E"/>
    <w:rsid w:val="00E051A4"/>
    <w:rsid w:val="00E0637B"/>
    <w:rsid w:val="00E06CE2"/>
    <w:rsid w:val="00E077FF"/>
    <w:rsid w:val="00E10847"/>
    <w:rsid w:val="00E12282"/>
    <w:rsid w:val="00E13A97"/>
    <w:rsid w:val="00E16EE9"/>
    <w:rsid w:val="00E200D5"/>
    <w:rsid w:val="00E24BD4"/>
    <w:rsid w:val="00E25A3C"/>
    <w:rsid w:val="00E2769A"/>
    <w:rsid w:val="00E3280B"/>
    <w:rsid w:val="00E34F8F"/>
    <w:rsid w:val="00E453C6"/>
    <w:rsid w:val="00E4602C"/>
    <w:rsid w:val="00E51E3F"/>
    <w:rsid w:val="00E61EA9"/>
    <w:rsid w:val="00E635C0"/>
    <w:rsid w:val="00E64EA2"/>
    <w:rsid w:val="00E676B5"/>
    <w:rsid w:val="00E72512"/>
    <w:rsid w:val="00E747D3"/>
    <w:rsid w:val="00E747DB"/>
    <w:rsid w:val="00E75A13"/>
    <w:rsid w:val="00E825FF"/>
    <w:rsid w:val="00E832A3"/>
    <w:rsid w:val="00E83730"/>
    <w:rsid w:val="00E8495C"/>
    <w:rsid w:val="00E925E2"/>
    <w:rsid w:val="00E938F0"/>
    <w:rsid w:val="00E95F43"/>
    <w:rsid w:val="00E96528"/>
    <w:rsid w:val="00EA1E22"/>
    <w:rsid w:val="00EA3F41"/>
    <w:rsid w:val="00EA684F"/>
    <w:rsid w:val="00EA766F"/>
    <w:rsid w:val="00EB5DA4"/>
    <w:rsid w:val="00EB6AC8"/>
    <w:rsid w:val="00EC3A87"/>
    <w:rsid w:val="00EC4B60"/>
    <w:rsid w:val="00EC74E5"/>
    <w:rsid w:val="00ED07F9"/>
    <w:rsid w:val="00EE0316"/>
    <w:rsid w:val="00EE05A2"/>
    <w:rsid w:val="00EE0819"/>
    <w:rsid w:val="00EE140B"/>
    <w:rsid w:val="00EE5E69"/>
    <w:rsid w:val="00EE5F59"/>
    <w:rsid w:val="00EF251F"/>
    <w:rsid w:val="00EF443B"/>
    <w:rsid w:val="00F02D57"/>
    <w:rsid w:val="00F030DA"/>
    <w:rsid w:val="00F102EE"/>
    <w:rsid w:val="00F145C3"/>
    <w:rsid w:val="00F16DA3"/>
    <w:rsid w:val="00F17D6F"/>
    <w:rsid w:val="00F22DD1"/>
    <w:rsid w:val="00F23081"/>
    <w:rsid w:val="00F25DAA"/>
    <w:rsid w:val="00F32235"/>
    <w:rsid w:val="00F32A95"/>
    <w:rsid w:val="00F33C17"/>
    <w:rsid w:val="00F3412E"/>
    <w:rsid w:val="00F36E31"/>
    <w:rsid w:val="00F447D5"/>
    <w:rsid w:val="00F50D31"/>
    <w:rsid w:val="00F51A85"/>
    <w:rsid w:val="00F52C55"/>
    <w:rsid w:val="00F56DE8"/>
    <w:rsid w:val="00F635AB"/>
    <w:rsid w:val="00F80F81"/>
    <w:rsid w:val="00F83671"/>
    <w:rsid w:val="00F86607"/>
    <w:rsid w:val="00F97E21"/>
    <w:rsid w:val="00FA1255"/>
    <w:rsid w:val="00FA2000"/>
    <w:rsid w:val="00FA3FD3"/>
    <w:rsid w:val="00FA47AB"/>
    <w:rsid w:val="00FB1692"/>
    <w:rsid w:val="00FB279B"/>
    <w:rsid w:val="00FB2B5E"/>
    <w:rsid w:val="00FB3D80"/>
    <w:rsid w:val="00FB53F1"/>
    <w:rsid w:val="00FB649C"/>
    <w:rsid w:val="00FB7878"/>
    <w:rsid w:val="00FC7BA8"/>
    <w:rsid w:val="00FD30FA"/>
    <w:rsid w:val="00FD3502"/>
    <w:rsid w:val="00FD3C88"/>
    <w:rsid w:val="00FE42DE"/>
    <w:rsid w:val="00FE4BFD"/>
    <w:rsid w:val="00FE53BF"/>
    <w:rsid w:val="00FE563A"/>
    <w:rsid w:val="00FF205F"/>
    <w:rsid w:val="00FF5866"/>
    <w:rsid w:val="00FF7708"/>
    <w:rsid w:val="09B61DE1"/>
    <w:rsid w:val="1E1A1333"/>
    <w:rsid w:val="22BC7698"/>
    <w:rsid w:val="27F74D99"/>
    <w:rsid w:val="2AD17B82"/>
    <w:rsid w:val="2F3E4646"/>
    <w:rsid w:val="3338575E"/>
    <w:rsid w:val="3B100B04"/>
    <w:rsid w:val="3DD014D7"/>
    <w:rsid w:val="3F02035A"/>
    <w:rsid w:val="42E73A5B"/>
    <w:rsid w:val="45322161"/>
    <w:rsid w:val="46A0411D"/>
    <w:rsid w:val="4A147544"/>
    <w:rsid w:val="53BD21B2"/>
    <w:rsid w:val="57520D3F"/>
    <w:rsid w:val="5E6F527D"/>
    <w:rsid w:val="60E5367F"/>
    <w:rsid w:val="62EA144B"/>
    <w:rsid w:val="63857699"/>
    <w:rsid w:val="649276FA"/>
    <w:rsid w:val="65E578FE"/>
    <w:rsid w:val="69BF597D"/>
    <w:rsid w:val="758A578C"/>
    <w:rsid w:val="7C260091"/>
    <w:rsid w:val="7E5B1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9"/>
    <w:semiHidden/>
    <w:qFormat/>
    <w:uiPriority w:val="99"/>
    <w:pPr>
      <w:shd w:val="clear" w:color="auto" w:fill="000080"/>
    </w:pPr>
  </w:style>
  <w:style w:type="paragraph" w:styleId="3">
    <w:name w:val="Body Text"/>
    <w:basedOn w:val="1"/>
    <w:link w:val="17"/>
    <w:qFormat/>
    <w:uiPriority w:val="99"/>
    <w:pPr>
      <w:jc w:val="center"/>
    </w:pPr>
    <w:rPr>
      <w:rFonts w:ascii="Times New Roman" w:hAnsi="Times New Roman" w:cs="Times New Roman"/>
      <w:sz w:val="44"/>
      <w:szCs w:val="44"/>
    </w:rPr>
  </w:style>
  <w:style w:type="paragraph" w:styleId="4">
    <w:name w:val="Balloon Text"/>
    <w:basedOn w:val="1"/>
    <w:link w:val="22"/>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szCs w:val="24"/>
    </w:rPr>
  </w:style>
  <w:style w:type="table" w:styleId="9">
    <w:name w:val="Table Grid"/>
    <w:basedOn w:val="8"/>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页脚 Char"/>
    <w:basedOn w:val="10"/>
    <w:link w:val="5"/>
    <w:qFormat/>
    <w:locked/>
    <w:uiPriority w:val="99"/>
    <w:rPr>
      <w:rFonts w:cs="Times New Roman"/>
      <w:sz w:val="18"/>
      <w:szCs w:val="18"/>
    </w:rPr>
  </w:style>
  <w:style w:type="character" w:customStyle="1" w:styleId="13">
    <w:name w:val="页眉 Char"/>
    <w:basedOn w:val="10"/>
    <w:link w:val="6"/>
    <w:semiHidden/>
    <w:qFormat/>
    <w:locked/>
    <w:uiPriority w:val="99"/>
    <w:rPr>
      <w:rFonts w:cs="Times New Roman"/>
      <w:sz w:val="18"/>
      <w:szCs w:val="18"/>
    </w:rPr>
  </w:style>
  <w:style w:type="paragraph" w:customStyle="1" w:styleId="14">
    <w:name w:val="Char Char Char"/>
    <w:basedOn w:val="1"/>
    <w:qFormat/>
    <w:uiPriority w:val="99"/>
    <w:pPr>
      <w:widowControl/>
      <w:spacing w:after="160" w:line="240" w:lineRule="exact"/>
      <w:jc w:val="left"/>
    </w:pPr>
    <w:rPr>
      <w:rFonts w:ascii="Times New Roman" w:hAnsi="Times New Roman" w:cs="Times New Roman"/>
    </w:rPr>
  </w:style>
  <w:style w:type="paragraph" w:customStyle="1" w:styleId="15">
    <w:name w:val="Char Char Char Char Char Char Char Char Char Char Char Char Char Char Char Char"/>
    <w:basedOn w:val="1"/>
    <w:qFormat/>
    <w:uiPriority w:val="99"/>
    <w:pPr>
      <w:widowControl/>
      <w:spacing w:line="240" w:lineRule="exact"/>
      <w:jc w:val="left"/>
      <w:textAlignment w:val="baseline"/>
    </w:pPr>
    <w:rPr>
      <w:rFonts w:ascii="Times New Roman" w:hAnsi="Times New Roman" w:cs="Times New Roman"/>
    </w:rPr>
  </w:style>
  <w:style w:type="paragraph" w:customStyle="1" w:styleId="16">
    <w:name w:val="p0"/>
    <w:basedOn w:val="1"/>
    <w:qFormat/>
    <w:uiPriority w:val="99"/>
    <w:pPr>
      <w:widowControl/>
    </w:pPr>
    <w:rPr>
      <w:rFonts w:ascii="Times New Roman" w:hAnsi="Times New Roman" w:cs="Times New Roman"/>
      <w:kern w:val="0"/>
    </w:rPr>
  </w:style>
  <w:style w:type="character" w:customStyle="1" w:styleId="17">
    <w:name w:val="正文文本 Char"/>
    <w:basedOn w:val="10"/>
    <w:link w:val="3"/>
    <w:semiHidden/>
    <w:qFormat/>
    <w:locked/>
    <w:uiPriority w:val="99"/>
    <w:rPr>
      <w:rFonts w:cs="Times New Roman"/>
      <w:sz w:val="21"/>
      <w:szCs w:val="21"/>
    </w:rPr>
  </w:style>
  <w:style w:type="paragraph" w:customStyle="1" w:styleId="18">
    <w:name w:val="默认段落字体 Para Char Char Char Char Char Char Char Char Char1 Char Char Char Char Char Char Char"/>
    <w:basedOn w:val="2"/>
    <w:qFormat/>
    <w:uiPriority w:val="0"/>
    <w:pPr>
      <w:widowControl/>
    </w:pPr>
    <w:rPr>
      <w:rFonts w:ascii="Times New Roman" w:hAnsi="Times New Roman" w:cs="Times New Roman"/>
      <w:kern w:val="0"/>
      <w:sz w:val="32"/>
      <w:szCs w:val="32"/>
    </w:rPr>
  </w:style>
  <w:style w:type="character" w:customStyle="1" w:styleId="19">
    <w:name w:val="文档结构图 Char"/>
    <w:basedOn w:val="10"/>
    <w:link w:val="2"/>
    <w:semiHidden/>
    <w:qFormat/>
    <w:locked/>
    <w:uiPriority w:val="99"/>
    <w:rPr>
      <w:rFonts w:ascii="Times New Roman" w:hAnsi="Times New Roman" w:cs="Times New Roman"/>
      <w:sz w:val="2"/>
      <w:szCs w:val="2"/>
    </w:rPr>
  </w:style>
  <w:style w:type="paragraph" w:customStyle="1" w:styleId="20">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Times New Roman" w:hAnsi="Times New Roman" w:eastAsia="仿宋_GB2312" w:cs="Times New Roman"/>
      <w:sz w:val="32"/>
      <w:szCs w:val="32"/>
    </w:rPr>
  </w:style>
  <w:style w:type="paragraph" w:customStyle="1" w:styleId="21">
    <w:name w:val="实施方案正文"/>
    <w:basedOn w:val="1"/>
    <w:qFormat/>
    <w:uiPriority w:val="99"/>
    <w:pPr>
      <w:ind w:firstLine="566" w:firstLineChars="202"/>
    </w:pPr>
  </w:style>
  <w:style w:type="character" w:customStyle="1" w:styleId="22">
    <w:name w:val="批注框文本 Char"/>
    <w:basedOn w:val="10"/>
    <w:link w:val="4"/>
    <w:semiHidden/>
    <w:qFormat/>
    <w:locked/>
    <w:uiPriority w:val="99"/>
    <w:rPr>
      <w:rFonts w:cs="Times New Roman"/>
      <w:sz w:val="2"/>
      <w:szCs w:val="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Pages>
  <Words>49</Words>
  <Characters>281</Characters>
  <Lines>2</Lines>
  <Paragraphs>1</Paragraphs>
  <TotalTime>2</TotalTime>
  <ScaleCrop>false</ScaleCrop>
  <LinksUpToDate>false</LinksUpToDate>
  <CharactersWithSpaces>329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2020-12-01T01:15:00Z</dcterms:created>
  <dc:creator>ppuser</dc:creator>
  <cp:lastModifiedBy>东川区应急局</cp:lastModifiedBy>
  <cp:lastPrinted>2021-02-26T09:29:00Z</cp:lastPrinted>
  <dcterms:modified xsi:type="dcterms:W3CDTF">2021-12-16T08:59:56Z</dcterms:modified>
  <dc:title>东安监发〔2016〕99号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