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outlineLvl w:val="0"/>
        <w:rPr>
          <w:rFonts w:ascii="Times New Roman" w:hAnsi="Times New Roman" w:cs="Times New Roman"/>
          <w:b/>
          <w:color w:val="000000" w:themeColor="text1"/>
          <w:sz w:val="28"/>
          <w:szCs w:val="20"/>
        </w:rPr>
      </w:pPr>
      <w:bookmarkStart w:id="23" w:name="_GoBack"/>
      <w:bookmarkEnd w:id="23"/>
      <w:r>
        <w:rPr>
          <w:rFonts w:ascii="Times New Roman" w:hAnsi="Times New Roman" w:cs="Times New Roman"/>
          <w:b/>
          <w:color w:val="000000" w:themeColor="text1"/>
          <w:sz w:val="28"/>
          <w:szCs w:val="20"/>
        </w:rPr>
        <w:t>一</w:t>
      </w:r>
      <w:r>
        <w:rPr>
          <w:rFonts w:hint="eastAsia" w:ascii="Times New Roman" w:hAnsi="Times New Roman" w:cs="Times New Roman"/>
          <w:b/>
          <w:color w:val="000000" w:themeColor="text1"/>
          <w:sz w:val="28"/>
          <w:szCs w:val="20"/>
        </w:rPr>
        <w:t>、</w:t>
      </w:r>
      <w:r>
        <w:rPr>
          <w:rFonts w:ascii="Times New Roman" w:hAnsi="Times New Roman" w:cs="Times New Roman"/>
          <w:b/>
          <w:color w:val="000000" w:themeColor="text1"/>
          <w:sz w:val="28"/>
          <w:szCs w:val="20"/>
        </w:rPr>
        <w:t>建设项目基本情况</w:t>
      </w:r>
    </w:p>
    <w:tbl>
      <w:tblPr>
        <w:tblStyle w:val="20"/>
        <w:tblW w:w="92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30"/>
        <w:gridCol w:w="2410"/>
        <w:gridCol w:w="2409"/>
        <w:gridCol w:w="31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建设项目名称</w:t>
            </w:r>
          </w:p>
        </w:tc>
        <w:tc>
          <w:tcPr>
            <w:tcW w:w="7940" w:type="dxa"/>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洗衣机、电视机线物理拆解、分类收集改扩建项目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建设单位</w:t>
            </w:r>
          </w:p>
        </w:tc>
        <w:tc>
          <w:tcPr>
            <w:tcW w:w="7940" w:type="dxa"/>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云南华再新源环保产业发展有限公司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项目代码</w:t>
            </w:r>
          </w:p>
        </w:tc>
        <w:tc>
          <w:tcPr>
            <w:tcW w:w="7940" w:type="dxa"/>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2103-530113-89-02-910876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联系人</w:t>
            </w:r>
          </w:p>
        </w:tc>
        <w:tc>
          <w:tcPr>
            <w:tcW w:w="2410" w:type="dxa"/>
            <w:tcBorders>
              <w:right w:val="single" w:color="auto" w:sz="4" w:space="0"/>
            </w:tcBorders>
            <w:vAlign w:val="center"/>
          </w:tcPr>
          <w:p>
            <w:pPr>
              <w:spacing w:line="360" w:lineRule="auto"/>
              <w:jc w:val="center"/>
              <w:rPr>
                <w:rFonts w:hint="eastAsia" w:ascii="Times New Roman" w:hAnsi="Times New Roman" w:cs="Times New Roman" w:eastAsiaTheme="minorEastAsia"/>
                <w:color w:val="000000" w:themeColor="text1"/>
                <w:sz w:val="24"/>
                <w:szCs w:val="24"/>
                <w:lang w:eastAsia="zh-CN"/>
              </w:rPr>
            </w:pPr>
            <w:r>
              <w:rPr>
                <w:rFonts w:ascii="Times New Roman" w:hAnsi="Times New Roman" w:cs="Times New Roman"/>
                <w:color w:val="000000" w:themeColor="text1"/>
                <w:sz w:val="24"/>
                <w:szCs w:val="24"/>
              </w:rPr>
              <w:t>陈</w:t>
            </w:r>
            <w:r>
              <w:rPr>
                <w:rFonts w:hint="eastAsia" w:ascii="Times New Roman" w:hAnsi="Times New Roman" w:cs="Times New Roman"/>
                <w:color w:val="000000" w:themeColor="text1"/>
                <w:sz w:val="24"/>
                <w:szCs w:val="24"/>
                <w:lang w:val="en-US" w:eastAsia="zh-CN"/>
              </w:rPr>
              <w:t>*</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联系方式</w:t>
            </w:r>
          </w:p>
        </w:tc>
        <w:tc>
          <w:tcPr>
            <w:tcW w:w="3121" w:type="dxa"/>
            <w:tcBorders>
              <w:left w:val="single" w:color="auto" w:sz="4" w:space="0"/>
            </w:tcBorders>
            <w:vAlign w:val="center"/>
          </w:tcPr>
          <w:p>
            <w:pPr>
              <w:spacing w:line="360" w:lineRule="auto"/>
              <w:jc w:val="center"/>
              <w:rPr>
                <w:rFonts w:hint="default" w:ascii="Times New Roman" w:hAnsi="Times New Roman" w:cs="Times New Roman" w:eastAsiaTheme="minorEastAsia"/>
                <w:color w:val="000000" w:themeColor="text1"/>
                <w:sz w:val="24"/>
                <w:szCs w:val="24"/>
                <w:lang w:val="en-US" w:eastAsia="zh-CN"/>
              </w:rPr>
            </w:pPr>
            <w:r>
              <w:rPr>
                <w:rFonts w:ascii="Times New Roman" w:hAnsi="Times New Roman" w:cs="Times New Roman"/>
                <w:color w:val="000000" w:themeColor="text1"/>
                <w:sz w:val="24"/>
                <w:szCs w:val="24"/>
              </w:rPr>
              <w:t>138</w:t>
            </w:r>
            <w:r>
              <w:rPr>
                <w:rFonts w:hint="eastAsia" w:ascii="Times New Roman" w:hAnsi="Times New Roman" w:cs="Times New Roman"/>
                <w:color w:val="000000" w:themeColor="text1"/>
                <w:sz w:val="24"/>
                <w:szCs w:val="24"/>
                <w:lang w:val="en-US" w:eastAsia="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建设地点</w:t>
            </w:r>
          </w:p>
        </w:tc>
        <w:tc>
          <w:tcPr>
            <w:tcW w:w="7940" w:type="dxa"/>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昆明市东川区再就业特区天生桥特色产业园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地理坐标</w:t>
            </w:r>
          </w:p>
        </w:tc>
        <w:tc>
          <w:tcPr>
            <w:tcW w:w="7940" w:type="dxa"/>
            <w:gridSpan w:val="3"/>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东经103°15'11.934"，北纬26°38'23.384"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国民经济行业类别</w:t>
            </w:r>
          </w:p>
        </w:tc>
        <w:tc>
          <w:tcPr>
            <w:tcW w:w="241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4220 非金属废料和碎屑加工处理</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建设项目行业类别</w:t>
            </w:r>
          </w:p>
        </w:tc>
        <w:tc>
          <w:tcPr>
            <w:tcW w:w="3121" w:type="dxa"/>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废弃电器电子产品加工处理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建设性质</w:t>
            </w:r>
          </w:p>
        </w:tc>
        <w:tc>
          <w:tcPr>
            <w:tcW w:w="241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改扩建</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建设项目申报情形</w:t>
            </w:r>
          </w:p>
        </w:tc>
        <w:tc>
          <w:tcPr>
            <w:tcW w:w="3121" w:type="dxa"/>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首次申报项目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项目审批（核准/备案）部门（选填）</w:t>
            </w:r>
          </w:p>
        </w:tc>
        <w:tc>
          <w:tcPr>
            <w:tcW w:w="241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昆明市东川区发展和改革局</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项目审批（核准/备案）文号（选填）</w:t>
            </w:r>
          </w:p>
        </w:tc>
        <w:tc>
          <w:tcPr>
            <w:tcW w:w="3121" w:type="dxa"/>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投资项目备案证（项目代码：2103-530113-89-02-910876）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总投资（万元）</w:t>
            </w:r>
          </w:p>
        </w:tc>
        <w:tc>
          <w:tcPr>
            <w:tcW w:w="241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1050</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环保投资（万元）</w:t>
            </w:r>
          </w:p>
        </w:tc>
        <w:tc>
          <w:tcPr>
            <w:tcW w:w="3121" w:type="dxa"/>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环保投资占比</w:t>
            </w:r>
          </w:p>
        </w:tc>
        <w:tc>
          <w:tcPr>
            <w:tcW w:w="241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4.49%</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施工工期</w:t>
            </w:r>
          </w:p>
        </w:tc>
        <w:tc>
          <w:tcPr>
            <w:tcW w:w="3121" w:type="dxa"/>
            <w:tcBorders>
              <w:lef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个月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是否开工建设</w:t>
            </w:r>
          </w:p>
        </w:tc>
        <w:tc>
          <w:tcPr>
            <w:tcW w:w="241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否</w:t>
            </w:r>
          </w:p>
        </w:tc>
        <w:tc>
          <w:tcPr>
            <w:tcW w:w="2409" w:type="dxa"/>
            <w:tcBorders>
              <w:left w:val="single" w:color="auto" w:sz="4" w:space="0"/>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用地（用海）面积</w:t>
            </w:r>
          </w:p>
        </w:tc>
        <w:tc>
          <w:tcPr>
            <w:tcW w:w="3121" w:type="dxa"/>
            <w:tcBorders>
              <w:left w:val="single" w:color="auto" w:sz="4" w:space="0"/>
            </w:tcBorders>
            <w:vAlign w:val="center"/>
          </w:tcPr>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在现有厂房内改造，新增面积为0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tcBorders>
              <w:right w:val="single" w:color="auto" w:sz="4" w:space="0"/>
            </w:tcBorders>
            <w:vAlign w:val="center"/>
          </w:tcPr>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专项评价设置情况</w:t>
            </w:r>
          </w:p>
        </w:tc>
        <w:tc>
          <w:tcPr>
            <w:tcW w:w="7940" w:type="dxa"/>
            <w:gridSpan w:val="3"/>
            <w:vAlign w:val="center"/>
          </w:tcPr>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w:t>
            </w:r>
            <w:r>
              <w:rPr>
                <w:rFonts w:ascii="Times New Roman" w:hAnsi="Times New Roman" w:cs="Times New Roman"/>
                <w:color w:val="000000" w:themeColor="text1"/>
                <w:sz w:val="24"/>
                <w:szCs w:val="24"/>
              </w:rPr>
              <w:t>《建设项目环境影响报告表编制技术指南》（污染影响类）（试行）</w:t>
            </w:r>
            <w:r>
              <w:rPr>
                <w:rFonts w:hint="eastAsia" w:ascii="Times New Roman" w:hAnsi="Times New Roman" w:cs="Times New Roman"/>
                <w:color w:val="000000" w:themeColor="text1"/>
                <w:sz w:val="24"/>
                <w:szCs w:val="24"/>
              </w:rPr>
              <w:t>“表</w:t>
            </w:r>
            <w:r>
              <w:rPr>
                <w:rFonts w:ascii="Times New Roman" w:hAnsi="Times New Roman" w:cs="Times New Roman"/>
                <w:color w:val="000000" w:themeColor="text1"/>
                <w:sz w:val="24"/>
                <w:szCs w:val="24"/>
              </w:rPr>
              <w:t xml:space="preserve">1 </w:t>
            </w:r>
            <w:r>
              <w:rPr>
                <w:rFonts w:hint="eastAsia" w:ascii="Times New Roman" w:hAnsi="Times New Roman" w:cs="Times New Roman"/>
                <w:color w:val="000000" w:themeColor="text1"/>
                <w:sz w:val="24"/>
                <w:szCs w:val="24"/>
              </w:rPr>
              <w:t>专项评价设置原则表”</w:t>
            </w:r>
            <w:r>
              <w:rPr>
                <w:rFonts w:ascii="Times New Roman" w:hAnsi="Times New Roman" w:cs="Times New Roman"/>
                <w:color w:val="000000" w:themeColor="text1"/>
                <w:sz w:val="24"/>
                <w:szCs w:val="24"/>
              </w:rPr>
              <w:t>的要求，</w:t>
            </w:r>
            <w:r>
              <w:rPr>
                <w:rFonts w:hint="eastAsia" w:ascii="Times New Roman" w:hAnsi="Times New Roman" w:cs="Times New Roman"/>
                <w:color w:val="000000" w:themeColor="text1"/>
                <w:sz w:val="24"/>
                <w:szCs w:val="24"/>
              </w:rPr>
              <w:t xml:space="preserve">本项目专项评价设置情况具体如下表所示。 </w:t>
            </w:r>
          </w:p>
          <w:p>
            <w:pPr>
              <w:jc w:val="center"/>
              <w:rPr>
                <w:rFonts w:ascii="Times New Roman" w:cs="Times New Roman" w:hAnsiTheme="minorEastAsia"/>
                <w:b/>
                <w:color w:val="000000" w:themeColor="text1"/>
              </w:rPr>
            </w:pPr>
            <w:r>
              <w:rPr>
                <w:rFonts w:hint="eastAsia" w:ascii="Times New Roman" w:cs="Times New Roman" w:hAnsiTheme="minorEastAsia"/>
                <w:b/>
                <w:color w:val="000000" w:themeColor="text1"/>
              </w:rPr>
              <w:t>表1-1 专项评价设置情况分析表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40"/>
              <w:gridCol w:w="3023"/>
              <w:gridCol w:w="3302"/>
              <w:gridCol w:w="6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0"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环境影响因素</w:t>
                  </w:r>
                </w:p>
              </w:tc>
              <w:tc>
                <w:tcPr>
                  <w:tcW w:w="2984"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专项设置原则</w:t>
                  </w:r>
                </w:p>
              </w:tc>
              <w:tc>
                <w:tcPr>
                  <w:tcW w:w="3260"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本项目情况</w:t>
                  </w:r>
                </w:p>
              </w:tc>
              <w:tc>
                <w:tcPr>
                  <w:tcW w:w="641"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是否设置专项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0"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大气</w:t>
                  </w:r>
                </w:p>
              </w:tc>
              <w:tc>
                <w:tcPr>
                  <w:tcW w:w="2984"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 xml:space="preserve"> 排放废气含有《有毒有害大气污染物名录》的污染物（不包括无排放标准的污染物）、二噁英、苯并</w:t>
                  </w:r>
                  <w:r>
                    <w:rPr>
                      <w:color w:val="000000" w:themeColor="text1"/>
                      <w:szCs w:val="21"/>
                    </w:rPr>
                    <w:t>[a]</w:t>
                  </w:r>
                  <w:r>
                    <w:rPr>
                      <w:rFonts w:hint="eastAsia"/>
                      <w:color w:val="000000" w:themeColor="text1"/>
                      <w:szCs w:val="21"/>
                    </w:rPr>
                    <w:t>芘、氰化物、氯气且厂界外</w:t>
                  </w:r>
                  <w:r>
                    <w:rPr>
                      <w:color w:val="000000" w:themeColor="text1"/>
                      <w:szCs w:val="21"/>
                    </w:rPr>
                    <w:t xml:space="preserve">500 </w:t>
                  </w:r>
                  <w:r>
                    <w:rPr>
                      <w:rFonts w:hint="eastAsia"/>
                      <w:color w:val="000000" w:themeColor="text1"/>
                      <w:szCs w:val="21"/>
                    </w:rPr>
                    <w:t>米范围内有环境空气保护目标的建设项目。</w:t>
                  </w:r>
                </w:p>
              </w:tc>
              <w:tc>
                <w:tcPr>
                  <w:tcW w:w="3260" w:type="dxa"/>
                  <w:vAlign w:val="center"/>
                </w:tcPr>
                <w:p>
                  <w:pPr>
                    <w:pStyle w:val="30"/>
                    <w:spacing w:line="360" w:lineRule="exact"/>
                    <w:ind w:firstLine="210" w:firstLineChars="100"/>
                    <w:jc w:val="both"/>
                    <w:rPr>
                      <w:color w:val="000000" w:themeColor="text1"/>
                      <w:szCs w:val="21"/>
                    </w:rPr>
                  </w:pPr>
                  <w:r>
                    <w:rPr>
                      <w:color w:val="000000" w:themeColor="text1"/>
                      <w:szCs w:val="21"/>
                    </w:rPr>
                    <w:t>本改扩建项目排放的大气污染物</w:t>
                  </w:r>
                  <w:r>
                    <w:rPr>
                      <w:rFonts w:hint="eastAsia"/>
                      <w:color w:val="000000" w:themeColor="text1"/>
                      <w:szCs w:val="21"/>
                    </w:rPr>
                    <w:t>中DA002排气筒排放污染物中含有铅及其化合物，DA001排气筒排放污染物中含有汞及其化合物，上述两类污染物属于</w:t>
                  </w:r>
                  <w:r>
                    <w:rPr>
                      <w:color w:val="000000" w:themeColor="text1"/>
                      <w:szCs w:val="21"/>
                    </w:rPr>
                    <w:t>《有毒有害大气污染物名录》</w:t>
                  </w:r>
                  <w:r>
                    <w:rPr>
                      <w:rFonts w:hint="eastAsia"/>
                      <w:color w:val="000000" w:themeColor="text1"/>
                      <w:szCs w:val="21"/>
                    </w:rPr>
                    <w:t>有排放标准的污染物，应因此环评设置大气专项评价。</w:t>
                  </w:r>
                </w:p>
              </w:tc>
              <w:tc>
                <w:tcPr>
                  <w:tcW w:w="641" w:type="dxa"/>
                  <w:vAlign w:val="center"/>
                </w:tcPr>
                <w:p>
                  <w:pPr>
                    <w:pStyle w:val="30"/>
                    <w:spacing w:line="360" w:lineRule="exact"/>
                    <w:rPr>
                      <w:rFonts w:hAnsiTheme="minorEastAsia" w:eastAsiaTheme="minorEastAsia"/>
                      <w:color w:val="000000" w:themeColor="text1"/>
                      <w:szCs w:val="21"/>
                      <w:lang w:val="en-US"/>
                    </w:rPr>
                  </w:pPr>
                  <w:r>
                    <w:rPr>
                      <w:rFonts w:hint="eastAsia" w:hAnsiTheme="minorEastAsia" w:eastAsiaTheme="minorEastAsia"/>
                      <w:color w:val="000000" w:themeColor="text1"/>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0"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地表水</w:t>
                  </w:r>
                </w:p>
              </w:tc>
              <w:tc>
                <w:tcPr>
                  <w:tcW w:w="2984"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新增工业废水直排建设项目（槽罐车外送污水处理厂的除外）；新增废水直排的污水集中处理厂。</w:t>
                  </w:r>
                </w:p>
              </w:tc>
              <w:tc>
                <w:tcPr>
                  <w:tcW w:w="3260" w:type="dxa"/>
                  <w:vAlign w:val="center"/>
                </w:tcPr>
                <w:p>
                  <w:pPr>
                    <w:pStyle w:val="30"/>
                    <w:spacing w:line="360" w:lineRule="exact"/>
                    <w:ind w:firstLine="210" w:firstLineChars="100"/>
                    <w:jc w:val="both"/>
                    <w:rPr>
                      <w:color w:val="000000" w:themeColor="text1"/>
                      <w:szCs w:val="21"/>
                    </w:rPr>
                  </w:pPr>
                  <w:r>
                    <w:rPr>
                      <w:color w:val="000000" w:themeColor="text1"/>
                      <w:szCs w:val="21"/>
                    </w:rPr>
                    <w:t>本改扩建项目产生的废水类型包括</w:t>
                  </w:r>
                  <w:r>
                    <w:rPr>
                      <w:rFonts w:hint="eastAsia"/>
                      <w:color w:val="000000" w:themeColor="text1"/>
                      <w:szCs w:val="21"/>
                    </w:rPr>
                    <w:t>盐水</w:t>
                  </w:r>
                  <w:r>
                    <w:rPr>
                      <w:color w:val="000000" w:themeColor="text1"/>
                      <w:szCs w:val="21"/>
                    </w:rPr>
                    <w:t>、生活污水和初期雨水，均各经配套的设施处理后回用于绿化，不外排；因此不设置地表水专项评价。</w:t>
                  </w:r>
                </w:p>
              </w:tc>
              <w:tc>
                <w:tcPr>
                  <w:tcW w:w="641"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0" w:type="dxa"/>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环境风险</w:t>
                  </w:r>
                </w:p>
              </w:tc>
              <w:tc>
                <w:tcPr>
                  <w:tcW w:w="2984"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有毒有害和易燃易爆危险物质存储量超过临界量的建设项目。</w:t>
                  </w:r>
                </w:p>
              </w:tc>
              <w:tc>
                <w:tcPr>
                  <w:tcW w:w="3260" w:type="dxa"/>
                  <w:vAlign w:val="center"/>
                </w:tcPr>
                <w:p>
                  <w:pPr>
                    <w:pStyle w:val="30"/>
                    <w:spacing w:line="360" w:lineRule="exact"/>
                    <w:ind w:firstLine="210" w:firstLineChars="100"/>
                    <w:jc w:val="both"/>
                    <w:rPr>
                      <w:color w:val="000000" w:themeColor="text1"/>
                      <w:szCs w:val="21"/>
                    </w:rPr>
                  </w:pPr>
                  <w:r>
                    <w:rPr>
                      <w:color w:val="000000" w:themeColor="text1"/>
                      <w:szCs w:val="21"/>
                    </w:rPr>
                    <w:t>本改扩建项目涉及的危险物质包括</w:t>
                  </w:r>
                  <w:r>
                    <w:rPr>
                      <w:rFonts w:hint="eastAsia"/>
                      <w:color w:val="000000" w:themeColor="text1"/>
                      <w:szCs w:val="21"/>
                    </w:rPr>
                    <w:t>：一体化污水处理设施使用的消毒剂次氯酸钠0.05</w:t>
                  </w:r>
                  <w:r>
                    <w:rPr>
                      <w:color w:val="000000" w:themeColor="text1"/>
                      <w:szCs w:val="21"/>
                    </w:rPr>
                    <w:t>t</w:t>
                  </w:r>
                  <w:r>
                    <w:rPr>
                      <w:rFonts w:hint="eastAsia"/>
                      <w:color w:val="000000" w:themeColor="text1"/>
                      <w:szCs w:val="21"/>
                    </w:rPr>
                    <w:t>/a（临界量5t），项目产生的废矿物油</w:t>
                  </w:r>
                  <w:r>
                    <w:rPr>
                      <w:color w:val="000000" w:themeColor="text1"/>
                      <w:szCs w:val="21"/>
                    </w:rPr>
                    <w:t>27.41t</w:t>
                  </w:r>
                  <w:r>
                    <w:rPr>
                      <w:rFonts w:hint="eastAsia"/>
                      <w:color w:val="000000" w:themeColor="text1"/>
                      <w:szCs w:val="21"/>
                    </w:rPr>
                    <w:t>/a（临界量2500t），以及没有临界量的废电路板、含汞灯管、背光模组、废弃的阴极射线管（锥玻璃）、荧光粉、废活性炭（吸附有机废气）、废活性炭（吸附汞及其化合物）、收集含铅粉尘等无临界量的危险废物。存储物质未超过临界量</w:t>
                  </w:r>
                  <w:r>
                    <w:rPr>
                      <w:color w:val="000000" w:themeColor="text1"/>
                      <w:szCs w:val="21"/>
                    </w:rPr>
                    <w:t>，因此不需设置环境风险评价等级。</w:t>
                  </w:r>
                </w:p>
              </w:tc>
              <w:tc>
                <w:tcPr>
                  <w:tcW w:w="641"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0" w:type="dxa"/>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生态</w:t>
                  </w:r>
                </w:p>
              </w:tc>
              <w:tc>
                <w:tcPr>
                  <w:tcW w:w="2984"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取水口下游</w:t>
                  </w:r>
                  <w:r>
                    <w:rPr>
                      <w:color w:val="000000" w:themeColor="text1"/>
                      <w:szCs w:val="21"/>
                    </w:rPr>
                    <w:t xml:space="preserve">500 </w:t>
                  </w:r>
                  <w:r>
                    <w:rPr>
                      <w:rFonts w:hint="eastAsia"/>
                      <w:color w:val="000000" w:themeColor="text1"/>
                      <w:szCs w:val="21"/>
                    </w:rPr>
                    <w:t>米范围内有重要水生生物的自然产卵场、索饵场、越冬场和洄游通道的新增河道取水的污染类建设项目。</w:t>
                  </w:r>
                </w:p>
              </w:tc>
              <w:tc>
                <w:tcPr>
                  <w:tcW w:w="3260" w:type="dxa"/>
                  <w:vAlign w:val="center"/>
                </w:tcPr>
                <w:p>
                  <w:pPr>
                    <w:pStyle w:val="30"/>
                    <w:spacing w:line="360" w:lineRule="exact"/>
                    <w:ind w:firstLine="210" w:firstLineChars="100"/>
                    <w:jc w:val="both"/>
                    <w:rPr>
                      <w:color w:val="000000" w:themeColor="text1"/>
                      <w:szCs w:val="21"/>
                    </w:rPr>
                  </w:pPr>
                  <w:r>
                    <w:rPr>
                      <w:color w:val="000000" w:themeColor="text1"/>
                      <w:szCs w:val="21"/>
                    </w:rPr>
                    <w:t>本改扩建项目用水使用自来水</w:t>
                  </w:r>
                  <w:r>
                    <w:rPr>
                      <w:rFonts w:hint="eastAsia"/>
                      <w:color w:val="000000" w:themeColor="text1"/>
                      <w:szCs w:val="21"/>
                    </w:rPr>
                    <w:t>，</w:t>
                  </w:r>
                  <w:r>
                    <w:rPr>
                      <w:color w:val="000000" w:themeColor="text1"/>
                      <w:szCs w:val="21"/>
                    </w:rPr>
                    <w:t>不涉及河道取水，因此不设置生态专项评价。</w:t>
                  </w:r>
                </w:p>
              </w:tc>
              <w:tc>
                <w:tcPr>
                  <w:tcW w:w="641" w:type="dxa"/>
                  <w:vAlign w:val="center"/>
                </w:tcPr>
                <w:p>
                  <w:pPr>
                    <w:pStyle w:val="30"/>
                    <w:spacing w:line="360" w:lineRule="exact"/>
                    <w:rPr>
                      <w:rFonts w:hAnsiTheme="minorEastAsia" w:eastAsiaTheme="minorEastAsia"/>
                      <w:color w:val="000000" w:themeColor="text1"/>
                      <w:szCs w:val="21"/>
                      <w:lang w:val="en-US"/>
                    </w:rPr>
                  </w:pPr>
                  <w:r>
                    <w:rPr>
                      <w:rFonts w:hint="eastAsia" w:hAnsiTheme="minorEastAsia" w:eastAsiaTheme="minorEastAsia"/>
                      <w:color w:val="000000" w:themeColor="text1"/>
                      <w:szCs w:val="21"/>
                      <w:lang w:val="en-US"/>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0" w:type="dxa"/>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海洋</w:t>
                  </w:r>
                </w:p>
              </w:tc>
              <w:tc>
                <w:tcPr>
                  <w:tcW w:w="2984" w:type="dxa"/>
                  <w:vAlign w:val="center"/>
                </w:tcPr>
                <w:p>
                  <w:pPr>
                    <w:pStyle w:val="30"/>
                    <w:spacing w:line="360" w:lineRule="exact"/>
                    <w:ind w:firstLine="210" w:firstLineChars="100"/>
                    <w:jc w:val="both"/>
                    <w:rPr>
                      <w:color w:val="000000" w:themeColor="text1"/>
                      <w:szCs w:val="21"/>
                    </w:rPr>
                  </w:pPr>
                  <w:r>
                    <w:rPr>
                      <w:color w:val="000000" w:themeColor="text1"/>
                      <w:szCs w:val="21"/>
                    </w:rPr>
                    <w:t>直接向海排放污染物的海洋工程建设项目。</w:t>
                  </w:r>
                </w:p>
              </w:tc>
              <w:tc>
                <w:tcPr>
                  <w:tcW w:w="3260" w:type="dxa"/>
                  <w:vAlign w:val="center"/>
                </w:tcPr>
                <w:p>
                  <w:pPr>
                    <w:pStyle w:val="30"/>
                    <w:spacing w:line="360" w:lineRule="exact"/>
                    <w:ind w:firstLine="210" w:firstLineChars="100"/>
                    <w:jc w:val="both"/>
                    <w:rPr>
                      <w:color w:val="000000" w:themeColor="text1"/>
                      <w:szCs w:val="21"/>
                    </w:rPr>
                  </w:pPr>
                  <w:r>
                    <w:rPr>
                      <w:color w:val="000000" w:themeColor="text1"/>
                      <w:szCs w:val="21"/>
                    </w:rPr>
                    <w:t>本改扩建项目不涉及海洋，因此不设置海洋专项评价。</w:t>
                  </w:r>
                </w:p>
              </w:tc>
              <w:tc>
                <w:tcPr>
                  <w:tcW w:w="641" w:type="dxa"/>
                  <w:vAlign w:val="center"/>
                </w:tcPr>
                <w:p>
                  <w:pPr>
                    <w:pStyle w:val="30"/>
                    <w:spacing w:line="360" w:lineRule="exact"/>
                    <w:rPr>
                      <w:rFonts w:hAnsiTheme="minorEastAsia" w:eastAsiaTheme="minorEastAsia"/>
                      <w:color w:val="000000" w:themeColor="text1"/>
                      <w:szCs w:val="21"/>
                      <w:lang w:val="en-US"/>
                    </w:rPr>
                  </w:pPr>
                  <w:r>
                    <w:rPr>
                      <w:rFonts w:hint="eastAsia" w:hAnsiTheme="minorEastAsia" w:eastAsiaTheme="minorEastAsia"/>
                      <w:color w:val="000000" w:themeColor="text1"/>
                      <w:szCs w:val="21"/>
                      <w:lang w:val="en-US"/>
                    </w:rPr>
                    <w:t>否</w:t>
                  </w:r>
                </w:p>
              </w:tc>
            </w:tr>
          </w:tbl>
          <w:p>
            <w:pPr>
              <w:spacing w:beforeLines="50"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由上表可知，本项目不设置专项评价。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000000" w:themeColor="text1"/>
                <w:sz w:val="24"/>
                <w:szCs w:val="24"/>
              </w:rPr>
            </w:pPr>
            <w:r>
              <w:rPr>
                <w:rFonts w:ascii="Times New Roman" w:hAnsi="微软雅黑" w:eastAsia="微软雅黑" w:cs="Times New Roman"/>
                <w:b/>
                <w:color w:val="000000" w:themeColor="text1"/>
                <w:sz w:val="24"/>
                <w:szCs w:val="24"/>
              </w:rPr>
              <w:t>规划情况</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项目位于云南省东川再就业特区天生桥特色产业园，该区域已规划为工业园区，该园区名称为云南省东川再就业特色产业园，园区代码为S539017，该园区批准时间为2004年4月，审批机关为云南省工信厅，主导产业为：金属加工、再生资源利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000000" w:themeColor="text1"/>
                <w:sz w:val="24"/>
                <w:szCs w:val="24"/>
              </w:rPr>
            </w:pPr>
            <w:r>
              <w:rPr>
                <w:rFonts w:ascii="Times New Roman" w:hAnsi="微软雅黑" w:eastAsia="微软雅黑" w:cs="Times New Roman"/>
                <w:b/>
                <w:color w:val="000000" w:themeColor="text1"/>
                <w:sz w:val="24"/>
                <w:szCs w:val="24"/>
              </w:rPr>
              <w:t>规划环境影响评价情况</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云南省东川再就业特区天生桥产业园总体规划（2010-2030）》，云南省东川再就业特区天生桥特色产业园的产业功能定位为以报废汽车拆解回收利用类项目、报废家电回收利用类项目、废旧轮胎回收利用项目等再生资源回收利用为主的静脉产业、轻工产业、材料加工、有色金属深加工等四大基础性产业为主的工业园区。</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云南省东川再就业特区管理委员会组织编制了《云南省东川再就业特区天生桥特色产业园总体规划环境影响报告书》；2012年3月24日，由云南省环境保护局（现云南省生态环境厅）和云南省工业和信息化委员会召集了有关部门和专家组对该规划环评进行审查，2012年9月24日云南省环境保护局（现云南省生态环境厅）下发了《关于云南省东川再就业特区天生桥特色产业园总体规划环境影响报告书审查意见的函》（云环函【2012】340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000000" w:themeColor="text1"/>
                <w:sz w:val="24"/>
                <w:szCs w:val="24"/>
              </w:rPr>
            </w:pPr>
            <w:r>
              <w:rPr>
                <w:rFonts w:ascii="Times New Roman" w:hAnsi="微软雅黑" w:eastAsia="微软雅黑" w:cs="Times New Roman"/>
                <w:b/>
                <w:color w:val="000000" w:themeColor="text1"/>
                <w:sz w:val="24"/>
                <w:szCs w:val="24"/>
              </w:rPr>
              <w:t>规划及规划环境影响评价符合性分析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根据《建设项目环境影响报告表编制技术指南》（污染影响类）（试行）的要求，从以下几个方面进行规划及规划环境影响评价符合性分析</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（1）相关规划符合性分析</w:t>
            </w:r>
          </w:p>
          <w:p>
            <w:pPr>
              <w:spacing w:line="360" w:lineRule="auto"/>
              <w:ind w:firstLine="482" w:firstLineChars="200"/>
              <w:rPr>
                <w:rFonts w:ascii="Times New Roman" w:hAnsi="Times New Roman" w:eastAsia="宋体" w:cs="Times New Roman"/>
                <w:b/>
                <w:color w:val="000000" w:themeColor="text1"/>
                <w:sz w:val="24"/>
                <w:szCs w:val="24"/>
              </w:rPr>
            </w:pPr>
            <w:r>
              <w:rPr>
                <w:rFonts w:ascii="Times New Roman" w:hAnsi="宋体" w:eastAsia="宋体" w:cs="Times New Roman"/>
                <w:b/>
                <w:color w:val="000000" w:themeColor="text1"/>
                <w:sz w:val="24"/>
                <w:szCs w:val="24"/>
              </w:rPr>
              <w:t>①</w:t>
            </w:r>
            <w:r>
              <w:rPr>
                <w:rFonts w:ascii="Times New Roman" w:hAnsi="Times New Roman" w:eastAsia="宋体" w:cs="Times New Roman"/>
                <w:b/>
                <w:color w:val="000000" w:themeColor="text1"/>
                <w:sz w:val="24"/>
                <w:szCs w:val="24"/>
              </w:rPr>
              <w:t>规划环评的产业定位</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本改扩建项目位于云南省东川再就业特区天生桥特色产业园，根据《云南省东川再就业特区天生桥产业园总体规划（2010-2030）》，天生桥产业园区的产业功能定位为以报废汽车拆解回收利用类项目、报废家电回收利用类项目、废旧轮胎回收利用项目等再生资源回收利用为主的静脉产业、轻工产业、材料加工、有色金属深加工等四大基础性产业为主的工业园区，充分利用当地及周边的资源及区位优势，积极打造成为昆明市乃至云南省的资源型城市转型可持续发展示范基地。</w:t>
            </w:r>
          </w:p>
          <w:p>
            <w:pPr>
              <w:spacing w:line="360" w:lineRule="auto"/>
              <w:ind w:firstLine="482" w:firstLineChars="200"/>
              <w:rPr>
                <w:rFonts w:ascii="Times New Roman" w:hAnsi="Times New Roman" w:eastAsia="宋体" w:cs="Times New Roman"/>
                <w:b/>
                <w:color w:val="000000" w:themeColor="text1"/>
                <w:sz w:val="24"/>
                <w:szCs w:val="24"/>
              </w:rPr>
            </w:pPr>
            <w:r>
              <w:rPr>
                <w:rFonts w:ascii="Times New Roman" w:hAnsi="宋体" w:eastAsia="宋体" w:cs="Times New Roman"/>
                <w:b/>
                <w:color w:val="000000" w:themeColor="text1"/>
                <w:sz w:val="24"/>
                <w:szCs w:val="24"/>
              </w:rPr>
              <w:t>②</w:t>
            </w:r>
            <w:r>
              <w:rPr>
                <w:rFonts w:ascii="Times New Roman" w:hAnsi="Times New Roman" w:eastAsia="宋体" w:cs="Times New Roman"/>
                <w:b/>
                <w:color w:val="000000" w:themeColor="text1"/>
                <w:sz w:val="24"/>
                <w:szCs w:val="24"/>
              </w:rPr>
              <w:t>规划环评审查意见的产业定位</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规划环评审查意见的园区产业定位和规划环评一致。</w:t>
            </w:r>
          </w:p>
          <w:p>
            <w:pPr>
              <w:spacing w:line="360" w:lineRule="auto"/>
              <w:ind w:firstLine="482" w:firstLineChars="200"/>
              <w:rPr>
                <w:rFonts w:ascii="Times New Roman" w:hAnsi="Times New Roman" w:eastAsia="宋体" w:cs="Times New Roman"/>
                <w:b/>
                <w:color w:val="000000" w:themeColor="text1"/>
                <w:sz w:val="24"/>
                <w:szCs w:val="24"/>
              </w:rPr>
            </w:pPr>
            <w:r>
              <w:rPr>
                <w:rFonts w:ascii="Times New Roman" w:hAnsi="宋体" w:eastAsia="宋体" w:cs="Times New Roman"/>
                <w:b/>
                <w:color w:val="000000" w:themeColor="text1"/>
                <w:sz w:val="24"/>
                <w:szCs w:val="24"/>
              </w:rPr>
              <w:t>③</w:t>
            </w:r>
            <w:r>
              <w:rPr>
                <w:rFonts w:ascii="Times New Roman" w:hAnsi="Times New Roman" w:eastAsia="宋体" w:cs="Times New Roman"/>
                <w:b/>
                <w:color w:val="000000" w:themeColor="text1"/>
                <w:sz w:val="24"/>
                <w:szCs w:val="24"/>
              </w:rPr>
              <w:t>项目基本情况</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根据附图5 天生桥特色产业园功能区划图可知，本改扩建项目位于云南省东川再就业特区天生桥产业园北片区工业南区组团（静脉产业园），本改扩建项目属于报废家电回收类项目</w:t>
            </w:r>
            <w:r>
              <w:rPr>
                <w:rFonts w:hint="eastAsia"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东川再就业特色产业园区管理委员会于2013年1月30日下发了《东川再就业特色产业园区管理委员会关于同意云南华再新源环保产业发展有限公司入驻天生桥特色产业园的批复》（云东天管【2013】3号）</w:t>
            </w:r>
            <w:r>
              <w:rPr>
                <w:rFonts w:hint="eastAsia" w:ascii="Times New Roman" w:hAnsi="Times New Roman" w:eastAsia="宋体" w:cs="Times New Roman"/>
                <w:color w:val="000000" w:themeColor="text1"/>
                <w:sz w:val="24"/>
                <w:szCs w:val="24"/>
              </w:rPr>
              <w:t>，项</w:t>
            </w:r>
            <w:r>
              <w:rPr>
                <w:rFonts w:ascii="Times New Roman" w:hAnsi="Times New Roman" w:eastAsia="宋体" w:cs="Times New Roman"/>
                <w:color w:val="000000" w:themeColor="text1"/>
                <w:sz w:val="24"/>
                <w:szCs w:val="24"/>
              </w:rPr>
              <w:t>目符合昆明市东川区再就业特区天生桥特色产业园的产业定位。</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（2）规划环境影响评价结论及审查意见符合性分析</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规划环评结论及其审查意见的要求，园区引进企业必须要满足园区产业定位、环保措施和准入条件的要求。根据上述分析，项目建设符合园区的产业定位。因此环评重点从项目与园区环保措施和园区准入条件的符合性两方面进行项目与规划环境影响评价结论及审查意见符合性分析。具体如下：</w:t>
            </w:r>
          </w:p>
          <w:p>
            <w:pPr>
              <w:spacing w:line="360" w:lineRule="auto"/>
              <w:ind w:firstLine="482" w:firstLineChars="200"/>
              <w:rPr>
                <w:rFonts w:ascii="Times New Roman" w:hAnsi="Times New Roman" w:cs="Times New Roman"/>
                <w:b/>
                <w:color w:val="000000" w:themeColor="text1"/>
                <w:sz w:val="24"/>
              </w:rPr>
            </w:pPr>
            <w:r>
              <w:rPr>
                <w:rFonts w:cs="Times New Roman" w:asciiTheme="minorEastAsia" w:hAnsiTheme="minorEastAsia"/>
                <w:b/>
                <w:color w:val="000000" w:themeColor="text1"/>
                <w:sz w:val="24"/>
              </w:rPr>
              <w:t>①</w:t>
            </w:r>
            <w:r>
              <w:rPr>
                <w:rFonts w:ascii="Times New Roman" w:hAnsi="Times New Roman" w:cs="Times New Roman"/>
                <w:b/>
                <w:color w:val="000000" w:themeColor="text1"/>
                <w:sz w:val="24"/>
              </w:rPr>
              <w:t>与园区环保措施要求的符合性分析</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查阅《云南省东川再就业特区天生桥特色产业园总体规划环境影响报告书》及其审查意见（云环函【2012】340号），针对园区环保措施要求，重点提出了废水和固废处置的要，具体符合性分析如下表所示。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表1-1 与园区环保措施要求的符合性分析</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92"/>
              <w:gridCol w:w="3402"/>
              <w:gridCol w:w="3997"/>
              <w:gridCol w:w="8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要求</w:t>
                  </w:r>
                </w:p>
              </w:tc>
              <w:tc>
                <w:tcPr>
                  <w:tcW w:w="340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规划环评及审查意见污染物控制要求</w:t>
                  </w:r>
                </w:p>
              </w:tc>
              <w:tc>
                <w:tcPr>
                  <w:tcW w:w="3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项目实际情况</w:t>
                  </w:r>
                </w:p>
              </w:tc>
              <w:tc>
                <w:tcPr>
                  <w:tcW w:w="85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30"/>
                    <w:spacing w:line="360" w:lineRule="exact"/>
                    <w:rPr>
                      <w:rFonts w:eastAsiaTheme="minorEastAsia"/>
                      <w:color w:val="000000" w:themeColor="text1"/>
                      <w:szCs w:val="21"/>
                    </w:rPr>
                  </w:pPr>
                  <w:r>
                    <w:rPr>
                      <w:color w:val="000000" w:themeColor="text1"/>
                      <w:szCs w:val="21"/>
                    </w:rPr>
                    <w:t>关于园区污水处理及排放问题</w:t>
                  </w:r>
                </w:p>
              </w:tc>
              <w:tc>
                <w:tcPr>
                  <w:tcW w:w="3402" w:type="dxa"/>
                  <w:vAlign w:val="center"/>
                </w:tcPr>
                <w:p>
                  <w:pPr>
                    <w:pStyle w:val="30"/>
                    <w:spacing w:line="360" w:lineRule="exact"/>
                    <w:ind w:firstLine="210" w:firstLineChars="100"/>
                    <w:jc w:val="both"/>
                    <w:rPr>
                      <w:color w:val="000000" w:themeColor="text1"/>
                      <w:szCs w:val="21"/>
                    </w:rPr>
                  </w:pPr>
                  <w:r>
                    <w:rPr>
                      <w:color w:val="000000" w:themeColor="text1"/>
                      <w:szCs w:val="21"/>
                    </w:rPr>
                    <w:t>天生桥产业园区涉及到牛栏江流域和小江流域，牛栏江流域和小江流域都应规划建设全覆盖的生活污水收集处理管网系统、区域再生水贮存和回用管网系统。原则上入驻牛栏江流域片区企业的生活污水应通过专用管道全部送入设置在小江流域片区的园区污水集中处理厂处理，送入园区集中污染处理厂的生活污水须处理达到《污水排入城镇下水道水质标准》（CJ343-2010）。</w:t>
                  </w:r>
                </w:p>
              </w:tc>
              <w:tc>
                <w:tcPr>
                  <w:tcW w:w="3997" w:type="dxa"/>
                  <w:vAlign w:val="center"/>
                </w:tcPr>
                <w:p>
                  <w:pPr>
                    <w:pStyle w:val="30"/>
                    <w:spacing w:line="360" w:lineRule="exact"/>
                    <w:ind w:firstLine="210" w:firstLineChars="100"/>
                    <w:jc w:val="both"/>
                    <w:rPr>
                      <w:color w:val="000000" w:themeColor="text1"/>
                      <w:szCs w:val="21"/>
                    </w:rPr>
                  </w:pPr>
                  <w:r>
                    <w:rPr>
                      <w:color w:val="000000" w:themeColor="text1"/>
                      <w:szCs w:val="21"/>
                    </w:rPr>
                    <w:t>根据附图6 项目所在流域位置图可知，本改扩建项目位于小江流域，</w:t>
                  </w:r>
                  <w:r>
                    <w:rPr>
                      <w:rFonts w:hint="eastAsia"/>
                      <w:color w:val="000000" w:themeColor="text1"/>
                      <w:szCs w:val="21"/>
                    </w:rPr>
                    <w:t>项目废水主要包括平衡盐水、初期雨水和生活污水；项目平衡盐水按1：8的比例稀释后回用于绿化；初期雨水经收集沉淀处理后</w:t>
                  </w:r>
                  <w:r>
                    <w:rPr>
                      <w:color w:val="000000" w:themeColor="text1"/>
                      <w:szCs w:val="21"/>
                    </w:rPr>
                    <w:t>回用于项目区绿化</w:t>
                  </w:r>
                  <w:r>
                    <w:rPr>
                      <w:rFonts w:hint="eastAsia"/>
                      <w:color w:val="000000" w:themeColor="text1"/>
                      <w:szCs w:val="21"/>
                    </w:rPr>
                    <w:t>；</w:t>
                  </w:r>
                  <w:r>
                    <w:rPr>
                      <w:color w:val="000000" w:themeColor="text1"/>
                      <w:szCs w:val="21"/>
                    </w:rPr>
                    <w:t>根据调查，目前规划的东川再就业特区天生桥特色产业园污水处理厂还未建成，因此项目生活污水近期（园区污水处理厂建成前），项目产生的生活污水通过隔油池、化粪池和一体化污水处理设施处理后，达到《城市污水再生利用 城市杂用水水质》（GB/T18920-2020）城市绿化标准回用于绿化不外排；远期（园区污水处理厂建成后），项目产生的生活污水通过化粪池预处理达到《污水排入城镇下水道水质标准》（GB/T31962-2015）中B级标准后，进入东川再就业特区天生桥特色产业园污水处理厂集中处理</w:t>
                  </w:r>
                  <w:r>
                    <w:rPr>
                      <w:rFonts w:hint="eastAsia"/>
                      <w:color w:val="000000" w:themeColor="text1"/>
                      <w:szCs w:val="21"/>
                    </w:rPr>
                    <w:t>；</w:t>
                  </w:r>
                  <w:r>
                    <w:rPr>
                      <w:color w:val="000000" w:themeColor="text1"/>
                      <w:szCs w:val="21"/>
                    </w:rPr>
                    <w:t>符合园污水处理及排放管理相关要求。</w:t>
                  </w:r>
                </w:p>
              </w:tc>
              <w:tc>
                <w:tcPr>
                  <w:tcW w:w="85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92" w:type="dxa"/>
                  <w:vAlign w:val="center"/>
                </w:tcPr>
                <w:p>
                  <w:pPr>
                    <w:pStyle w:val="30"/>
                    <w:spacing w:line="360" w:lineRule="exact"/>
                    <w:rPr>
                      <w:rFonts w:eastAsiaTheme="minorEastAsia"/>
                      <w:color w:val="000000" w:themeColor="text1"/>
                      <w:szCs w:val="21"/>
                    </w:rPr>
                  </w:pPr>
                  <w:r>
                    <w:rPr>
                      <w:color w:val="000000" w:themeColor="text1"/>
                      <w:szCs w:val="21"/>
                    </w:rPr>
                    <w:t>关于固废处置问题</w:t>
                  </w:r>
                </w:p>
              </w:tc>
              <w:tc>
                <w:tcPr>
                  <w:tcW w:w="3402" w:type="dxa"/>
                  <w:vAlign w:val="center"/>
                </w:tcPr>
                <w:p>
                  <w:pPr>
                    <w:pStyle w:val="30"/>
                    <w:spacing w:line="360" w:lineRule="exact"/>
                    <w:ind w:firstLine="210" w:firstLineChars="100"/>
                    <w:jc w:val="both"/>
                    <w:rPr>
                      <w:color w:val="000000" w:themeColor="text1"/>
                      <w:szCs w:val="21"/>
                    </w:rPr>
                  </w:pPr>
                  <w:r>
                    <w:rPr>
                      <w:color w:val="000000" w:themeColor="text1"/>
                      <w:szCs w:val="21"/>
                    </w:rPr>
                    <w:t>园区内不得设置生活垃圾填埋场，规划范围内的生活垃圾应全部清运至寻甸县城市垃圾集中处理系统进行统一处置。园区内不得规划建设工业固废堆场，为确保入园企业的固体废物处置达到无害化要求，应在牛栏江流域外做好工业固废堆场选址的水文地质调查和选址建设工作。</w:t>
                  </w:r>
                </w:p>
              </w:tc>
              <w:tc>
                <w:tcPr>
                  <w:tcW w:w="3997" w:type="dxa"/>
                  <w:vAlign w:val="center"/>
                </w:tcPr>
                <w:p>
                  <w:pPr>
                    <w:pStyle w:val="30"/>
                    <w:spacing w:line="360" w:lineRule="exact"/>
                    <w:ind w:firstLine="210" w:firstLineChars="100"/>
                    <w:jc w:val="both"/>
                    <w:rPr>
                      <w:color w:val="000000" w:themeColor="text1"/>
                      <w:szCs w:val="21"/>
                    </w:rPr>
                  </w:pPr>
                  <w:r>
                    <w:rPr>
                      <w:color w:val="000000" w:themeColor="text1"/>
                      <w:szCs w:val="21"/>
                    </w:rPr>
                    <w:t>本改扩建项目建成后不新增劳动定员，生活垃圾按现有处理方式委托环卫部门处理，本改扩建项目产生的工业固废，均严格按照其固废属性分类进行收集，其中危险废物分别委托有资质的单位处理，而一般工业固废委托相关有处理能力的单位进行处置。项目固体废物处置率为100%，符合园区固体废物管理相关要求。</w:t>
                  </w:r>
                </w:p>
              </w:tc>
              <w:tc>
                <w:tcPr>
                  <w:tcW w:w="85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符合</w:t>
                  </w: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由上表可知，本改扩建项目符合云南省东川再就业特区天生桥特色产业园环保措施要求。</w:t>
            </w:r>
          </w:p>
          <w:p>
            <w:pPr>
              <w:spacing w:line="360" w:lineRule="auto"/>
              <w:ind w:firstLine="482" w:firstLineChars="200"/>
              <w:rPr>
                <w:rFonts w:ascii="Times New Roman" w:hAnsi="Times New Roman" w:cs="Times New Roman"/>
                <w:b/>
                <w:color w:val="000000" w:themeColor="text1"/>
                <w:sz w:val="24"/>
              </w:rPr>
            </w:pPr>
            <w:r>
              <w:rPr>
                <w:rFonts w:cs="Times New Roman" w:asciiTheme="minorEastAsia" w:hAnsiTheme="minorEastAsia"/>
                <w:b/>
                <w:color w:val="000000" w:themeColor="text1"/>
                <w:sz w:val="24"/>
              </w:rPr>
              <w:t>②</w:t>
            </w:r>
            <w:r>
              <w:rPr>
                <w:rFonts w:ascii="Times New Roman" w:hAnsi="Times New Roman" w:cs="Times New Roman"/>
                <w:b/>
                <w:color w:val="000000" w:themeColor="text1"/>
                <w:sz w:val="24"/>
              </w:rPr>
              <w:t>与园区准入要求的符合性分析</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本改扩建项目与云南省东川再就业特区天生桥特色产业园准入要求的符合性分析如下表所示。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表1-2 与园区准入要求的符合性分析</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573"/>
              <w:gridCol w:w="4615"/>
              <w:gridCol w:w="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7" w:type="dxa"/>
                  <w:vAlign w:val="center"/>
                </w:tcPr>
                <w:p>
                  <w:pPr>
                    <w:pStyle w:val="30"/>
                    <w:spacing w:before="78" w:line="360" w:lineRule="exact"/>
                    <w:rPr>
                      <w:rFonts w:eastAsiaTheme="minorEastAsia"/>
                      <w:color w:val="000000" w:themeColor="text1"/>
                      <w:szCs w:val="21"/>
                    </w:rPr>
                  </w:pPr>
                  <w:r>
                    <w:rPr>
                      <w:rFonts w:eastAsiaTheme="minorEastAsia"/>
                      <w:color w:val="000000" w:themeColor="text1"/>
                      <w:szCs w:val="21"/>
                    </w:rPr>
                    <w:t>规划环评及审查意见准入要求</w:t>
                  </w:r>
                </w:p>
              </w:tc>
              <w:tc>
                <w:tcPr>
                  <w:tcW w:w="4247" w:type="dxa"/>
                  <w:vAlign w:val="center"/>
                </w:tcPr>
                <w:p>
                  <w:pPr>
                    <w:pStyle w:val="30"/>
                    <w:spacing w:before="78" w:line="360" w:lineRule="exact"/>
                    <w:rPr>
                      <w:rFonts w:eastAsiaTheme="minorEastAsia"/>
                      <w:color w:val="000000" w:themeColor="text1"/>
                      <w:szCs w:val="21"/>
                    </w:rPr>
                  </w:pPr>
                  <w:r>
                    <w:rPr>
                      <w:rFonts w:eastAsiaTheme="minorEastAsia"/>
                      <w:color w:val="000000" w:themeColor="text1"/>
                      <w:szCs w:val="21"/>
                    </w:rPr>
                    <w:t>项目实际情况</w:t>
                  </w:r>
                </w:p>
              </w:tc>
              <w:tc>
                <w:tcPr>
                  <w:tcW w:w="788" w:type="dxa"/>
                  <w:vAlign w:val="center"/>
                </w:tcPr>
                <w:p>
                  <w:pPr>
                    <w:pStyle w:val="30"/>
                    <w:spacing w:before="78" w:line="360" w:lineRule="exact"/>
                    <w:rPr>
                      <w:rFonts w:eastAsiaTheme="minorEastAsia"/>
                      <w:color w:val="000000" w:themeColor="text1"/>
                      <w:szCs w:val="21"/>
                    </w:rPr>
                  </w:pPr>
                  <w:r>
                    <w:rPr>
                      <w:rFonts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7" w:type="dxa"/>
                  <w:vAlign w:val="center"/>
                </w:tcPr>
                <w:p>
                  <w:pPr>
                    <w:pStyle w:val="30"/>
                    <w:spacing w:line="360" w:lineRule="exact"/>
                    <w:ind w:firstLine="210" w:firstLineChars="100"/>
                    <w:jc w:val="both"/>
                    <w:rPr>
                      <w:rFonts w:eastAsiaTheme="minorEastAsia"/>
                      <w:color w:val="000000" w:themeColor="text1"/>
                      <w:szCs w:val="21"/>
                    </w:rPr>
                  </w:pPr>
                  <w:r>
                    <w:rPr>
                      <w:color w:val="000000" w:themeColor="text1"/>
                      <w:szCs w:val="21"/>
                    </w:rPr>
                    <w:t>加强入园企业的控制，对不符合园区功能定位的企业和项目禁止入园。入园企业须满足国家产业政策和环境准入条件，坚持使用清洁能源，严格执行污染物达标排放和总量控制要求。</w:t>
                  </w:r>
                </w:p>
              </w:tc>
              <w:tc>
                <w:tcPr>
                  <w:tcW w:w="4247" w:type="dxa"/>
                  <w:vAlign w:val="center"/>
                </w:tcPr>
                <w:p>
                  <w:pPr>
                    <w:pStyle w:val="30"/>
                    <w:spacing w:line="360" w:lineRule="exact"/>
                    <w:ind w:firstLine="210" w:firstLineChars="100"/>
                    <w:jc w:val="both"/>
                    <w:rPr>
                      <w:color w:val="000000" w:themeColor="text1"/>
                      <w:szCs w:val="21"/>
                    </w:rPr>
                  </w:pPr>
                  <w:r>
                    <w:rPr>
                      <w:color w:val="000000" w:themeColor="text1"/>
                      <w:szCs w:val="21"/>
                    </w:rPr>
                    <w:t>根据《东川再就业特色产业园区管理委员会关于同意云南华再新源环保产业发展有限公司入驻天生桥特色产业园的批复》（云东天管【2013】3号），本改扩建项目符合园区功能定位，符合国家产业政策和环境准入条件。</w:t>
                  </w:r>
                  <w:r>
                    <w:rPr>
                      <w:rFonts w:hint="eastAsia"/>
                      <w:color w:val="000000" w:themeColor="text1"/>
                      <w:szCs w:val="21"/>
                    </w:rPr>
                    <w:t>同时污染物可达标排放，无总量控制指标要求。满足园区政策管理相关要求。</w:t>
                  </w:r>
                </w:p>
              </w:tc>
              <w:tc>
                <w:tcPr>
                  <w:tcW w:w="788" w:type="dxa"/>
                  <w:vAlign w:val="center"/>
                </w:tcPr>
                <w:p>
                  <w:pPr>
                    <w:pStyle w:val="30"/>
                    <w:spacing w:before="78" w:line="360" w:lineRule="exact"/>
                    <w:rPr>
                      <w:rFonts w:eastAsiaTheme="minorEastAsia"/>
                      <w:color w:val="000000" w:themeColor="text1"/>
                      <w:szCs w:val="21"/>
                    </w:rPr>
                  </w:pPr>
                  <w:r>
                    <w:rPr>
                      <w:rFonts w:eastAsiaTheme="minorEastAsia"/>
                      <w:color w:val="000000" w:themeColor="text1"/>
                      <w:szCs w:val="21"/>
                    </w:rPr>
                    <w:t>符合</w:t>
                  </w: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由上表可知，本改扩建项目符合云南省东川再就业特区天生桥特色产业园环准入要求。</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通过上述分析，本改扩建项目建设符合《云南省东川再就业特区天生桥特色产业园总体规划环境影响报告书》及《云南省生态环境厅关于云南省东川再就业特区天生桥特色产业园总体规划环境影响报告书审查意见的函》（云环函【2012】340号）的管理要求；符合园区的总体规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0" w:type="dxa"/>
            <w:gridSpan w:val="4"/>
            <w:vAlign w:val="center"/>
          </w:tcPr>
          <w:p>
            <w:pPr>
              <w:spacing w:line="360" w:lineRule="auto"/>
              <w:ind w:firstLine="360" w:firstLineChars="150"/>
              <w:rPr>
                <w:rFonts w:ascii="Times New Roman" w:hAnsi="Times New Roman" w:eastAsia="微软雅黑" w:cs="Times New Roman"/>
                <w:b/>
                <w:color w:val="000000" w:themeColor="text1"/>
                <w:sz w:val="24"/>
                <w:szCs w:val="24"/>
              </w:rPr>
            </w:pPr>
            <w:r>
              <w:rPr>
                <w:rFonts w:ascii="Times New Roman" w:hAnsi="微软雅黑" w:eastAsia="微软雅黑" w:cs="Times New Roman"/>
                <w:b/>
                <w:color w:val="000000" w:themeColor="text1"/>
                <w:sz w:val="24"/>
                <w:szCs w:val="24"/>
              </w:rPr>
              <w:t>其他符合性分析</w:t>
            </w:r>
          </w:p>
          <w:p>
            <w:pPr>
              <w:spacing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根据《建设项目环境影响报告表编制技术指南》（污染影响类）（试行）的要求，其他符合性包括“三线一单”符合性、生态环境保护法律法规政策符合性和生态环境保护规划的符合性，具体如下：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（1）“三线一单”符合性分析</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昆明市人民政府已发布《昆明市人民政府关于昆明市“三线一单” 生态环境分区管控的实施意见》，本项目符合性分析具体如下：</w:t>
            </w:r>
          </w:p>
          <w:p>
            <w:pPr>
              <w:spacing w:line="360" w:lineRule="auto"/>
              <w:ind w:firstLine="482" w:firstLineChars="200"/>
              <w:rPr>
                <w:rFonts w:ascii="Times New Roman" w:cs="Times New Roman" w:hAnsiTheme="minorEastAsia"/>
                <w:b/>
                <w:color w:val="000000" w:themeColor="text1"/>
                <w:sz w:val="24"/>
                <w:szCs w:val="24"/>
              </w:rPr>
            </w:pPr>
            <w:r>
              <w:rPr>
                <w:rFonts w:hint="eastAsia" w:ascii="Times New Roman" w:cs="Times New Roman" w:hAnsiTheme="minorEastAsia"/>
                <w:b/>
                <w:color w:val="000000" w:themeColor="text1"/>
                <w:sz w:val="24"/>
                <w:szCs w:val="24"/>
              </w:rPr>
              <w:t>①</w:t>
            </w:r>
            <w:r>
              <w:rPr>
                <w:rFonts w:ascii="Times New Roman" w:cs="Times New Roman" w:hAnsiTheme="minorEastAsia"/>
                <w:b/>
                <w:color w:val="000000" w:themeColor="text1"/>
                <w:sz w:val="24"/>
                <w:szCs w:val="24"/>
              </w:rPr>
              <w:t>生态保护红线和一般生态空间</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根据《云南省人民政府关于发布云南省生态保护红线的通知》（云政发〔2018〕32号）文，云南省生态红线主要包括包含生物多样性维护、水源涵养、水土保持三大红线类型，11个分区。其中和昆明行政区划内有关的分区有4个，项目位于云南省东川再就业特区天生桥特色产业园，不涉及生态红线。又《昆明市人民政府关于昆明市“三线一单” 生态环境分区管控的实施意见》明确将“</w:t>
            </w:r>
            <w:r>
              <w:rPr>
                <w:rFonts w:ascii="Times New Roman" w:cs="Times New Roman" w:hAnsiTheme="minorEastAsia"/>
                <w:color w:val="000000" w:themeColor="text1"/>
                <w:sz w:val="24"/>
              </w:rPr>
              <w:t>将未划入生态保护红线的自然保护地、饮用水水源保护区、重要湿地、基本草原、生态公益林、天然林等生态功能重要、生态环境敏感区域划为一般生态空间</w:t>
            </w:r>
            <w:r>
              <w:rPr>
                <w:rFonts w:hint="eastAsia" w:ascii="Times New Roman" w:cs="Times New Roman" w:hAnsiTheme="minorEastAsia"/>
                <w:color w:val="000000" w:themeColor="text1"/>
                <w:sz w:val="24"/>
              </w:rPr>
              <w:t>”，本项目位于</w:t>
            </w:r>
            <w:r>
              <w:rPr>
                <w:rFonts w:ascii="Times New Roman" w:cs="Times New Roman" w:hAnsiTheme="minorEastAsia"/>
                <w:color w:val="000000" w:themeColor="text1"/>
                <w:sz w:val="24"/>
              </w:rPr>
              <w:t>云南省东川再就业特区天生桥特色产业园</w:t>
            </w:r>
            <w:r>
              <w:rPr>
                <w:rFonts w:hint="eastAsia" w:ascii="Times New Roman" w:cs="Times New Roman" w:hAnsiTheme="minorEastAsia"/>
                <w:color w:val="000000" w:themeColor="text1"/>
                <w:sz w:val="24"/>
              </w:rPr>
              <w:t>，项目所在地不涉及</w:t>
            </w:r>
            <w:r>
              <w:rPr>
                <w:rFonts w:ascii="Times New Roman" w:cs="Times New Roman" w:hAnsiTheme="minorEastAsia"/>
                <w:color w:val="000000" w:themeColor="text1"/>
                <w:sz w:val="24"/>
              </w:rPr>
              <w:t>自然保护地、饮用水水源保护区、重要湿地、基本草原、生态公益林、天然林等生态功能重要、生态环境敏感区</w:t>
            </w:r>
            <w:r>
              <w:rPr>
                <w:rFonts w:hint="eastAsia" w:ascii="Times New Roman" w:cs="Times New Roman" w:hAnsiTheme="minorEastAsia"/>
                <w:color w:val="000000" w:themeColor="text1"/>
                <w:sz w:val="24"/>
              </w:rPr>
              <w:t>；因此项目建设不涉及一般生态空间。</w:t>
            </w:r>
          </w:p>
          <w:p>
            <w:pPr>
              <w:spacing w:line="360" w:lineRule="auto"/>
              <w:ind w:firstLine="482" w:firstLineChars="200"/>
              <w:rPr>
                <w:rFonts w:ascii="Times New Roman" w:cs="Times New Roman" w:hAnsiTheme="minorEastAsia"/>
                <w:b/>
                <w:color w:val="000000" w:themeColor="text1"/>
                <w:sz w:val="24"/>
                <w:szCs w:val="24"/>
              </w:rPr>
            </w:pPr>
            <w:r>
              <w:rPr>
                <w:rFonts w:hint="eastAsia" w:ascii="Times New Roman" w:cs="Times New Roman" w:hAnsiTheme="minorEastAsia"/>
                <w:b/>
                <w:color w:val="000000" w:themeColor="text1"/>
                <w:sz w:val="24"/>
                <w:szCs w:val="24"/>
              </w:rPr>
              <w:t>②</w:t>
            </w:r>
            <w:r>
              <w:rPr>
                <w:rFonts w:ascii="Times New Roman" w:cs="Times New Roman" w:hAnsiTheme="minorEastAsia"/>
                <w:b/>
                <w:color w:val="000000" w:themeColor="text1"/>
                <w:sz w:val="24"/>
                <w:szCs w:val="24"/>
              </w:rPr>
              <w:t>环境质量底线</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《昆明市人民政府关于昆明市“三线一单” 生态环境分区管控的实施意见》对环境质量底线设定了2025年和2035年两个目标，本项目位于</w:t>
            </w:r>
            <w:r>
              <w:rPr>
                <w:rFonts w:ascii="Times New Roman" w:cs="Times New Roman" w:hAnsiTheme="minorEastAsia"/>
                <w:color w:val="000000" w:themeColor="text1"/>
                <w:sz w:val="24"/>
              </w:rPr>
              <w:t>云南省东川再就业特区天生桥特色产业园</w:t>
            </w:r>
            <w:r>
              <w:rPr>
                <w:rFonts w:hint="eastAsia" w:ascii="Times New Roman" w:cs="Times New Roman" w:hAnsiTheme="minorEastAsia"/>
                <w:color w:val="000000" w:themeColor="text1"/>
                <w:sz w:val="24"/>
              </w:rPr>
              <w:t>，环境质量底线和本项目相关的要求及符合性分析如下：</w:t>
            </w:r>
          </w:p>
          <w:p>
            <w:pPr>
              <w:spacing w:line="360" w:lineRule="auto"/>
              <w:ind w:firstLine="482" w:firstLineChars="200"/>
              <w:rPr>
                <w:rFonts w:ascii="Times New Roman" w:cs="Times New Roman" w:hAnsiTheme="minorEastAsia"/>
                <w:b/>
                <w:color w:val="000000" w:themeColor="text1"/>
                <w:sz w:val="24"/>
              </w:rPr>
            </w:pPr>
            <w:r>
              <w:rPr>
                <w:rFonts w:ascii="Times New Roman" w:cs="Times New Roman" w:hAnsiTheme="minorEastAsia"/>
                <w:b/>
                <w:color w:val="000000" w:themeColor="text1"/>
                <w:sz w:val="24"/>
              </w:rPr>
              <w:fldChar w:fldCharType="begin"/>
            </w:r>
            <w:r>
              <w:rPr>
                <w:rFonts w:ascii="Times New Roman" w:cs="Times New Roman" w:hAnsiTheme="minorEastAsia"/>
                <w:b/>
                <w:color w:val="000000" w:themeColor="text1"/>
                <w:sz w:val="24"/>
              </w:rPr>
              <w:instrText xml:space="preserve"> </w:instrText>
            </w:r>
            <w:r>
              <w:rPr>
                <w:rFonts w:hint="eastAsia" w:ascii="Times New Roman" w:cs="Times New Roman" w:hAnsiTheme="minorEastAsia"/>
                <w:b/>
                <w:color w:val="000000" w:themeColor="text1"/>
                <w:sz w:val="24"/>
              </w:rPr>
              <w:instrText xml:space="preserve">= 1 \* GB2</w:instrText>
            </w:r>
            <w:r>
              <w:rPr>
                <w:rFonts w:ascii="Times New Roman" w:cs="Times New Roman" w:hAnsiTheme="minorEastAsia"/>
                <w:b/>
                <w:color w:val="000000" w:themeColor="text1"/>
                <w:sz w:val="24"/>
              </w:rPr>
              <w:instrText xml:space="preserve"> </w:instrText>
            </w:r>
            <w:r>
              <w:rPr>
                <w:rFonts w:ascii="Times New Roman" w:cs="Times New Roman" w:hAnsiTheme="minorEastAsia"/>
                <w:b/>
                <w:color w:val="000000" w:themeColor="text1"/>
                <w:sz w:val="24"/>
              </w:rPr>
              <w:fldChar w:fldCharType="separate"/>
            </w:r>
            <w:r>
              <w:rPr>
                <w:rFonts w:hint="eastAsia" w:ascii="Times New Roman" w:cs="Times New Roman" w:hAnsiTheme="minorEastAsia"/>
                <w:b/>
                <w:color w:val="000000" w:themeColor="text1"/>
                <w:sz w:val="24"/>
              </w:rPr>
              <w:t>⑴</w:t>
            </w:r>
            <w:r>
              <w:rPr>
                <w:rFonts w:ascii="Times New Roman" w:cs="Times New Roman" w:hAnsiTheme="minorEastAsia"/>
                <w:b/>
                <w:color w:val="000000" w:themeColor="text1"/>
                <w:sz w:val="24"/>
              </w:rPr>
              <w:fldChar w:fldCharType="end"/>
            </w:r>
            <w:r>
              <w:rPr>
                <w:rFonts w:hint="eastAsia" w:ascii="Times New Roman" w:cs="Times New Roman" w:hAnsiTheme="minorEastAsia"/>
                <w:b/>
                <w:color w:val="000000" w:themeColor="text1"/>
                <w:sz w:val="24"/>
              </w:rPr>
              <w:t>生态环境质量</w:t>
            </w:r>
            <w:r>
              <w:rPr>
                <w:rFonts w:ascii="Times New Roman" w:cs="Times New Roman" w:hAnsiTheme="minorEastAsia"/>
                <w:b/>
                <w:color w:val="000000" w:themeColor="text1"/>
                <w:sz w:val="24"/>
              </w:rPr>
              <w:t>底线</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“实施意见”要求：</w:t>
            </w:r>
            <w:r>
              <w:rPr>
                <w:rFonts w:ascii="Times New Roman" w:cs="Times New Roman" w:hAnsiTheme="minorEastAsia"/>
                <w:color w:val="000000" w:themeColor="text1"/>
                <w:sz w:val="24"/>
              </w:rPr>
              <w:t>到2025年，全市生态环境质量持续改善，生态空间得到优化和有效保护，区域生态安全屏障更加牢固。到2035年，全市生态环境质量实现根本好转，生态功能显著提升，区域生态安全得到全面保障。</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根据调查，项目的建设不涉及到</w:t>
            </w:r>
            <w:r>
              <w:rPr>
                <w:rFonts w:ascii="Times New Roman" w:cs="Times New Roman" w:hAnsiTheme="minorEastAsia"/>
                <w:color w:val="000000" w:themeColor="text1"/>
                <w:sz w:val="24"/>
              </w:rPr>
              <w:t>生态保护红线和一般生态空间</w:t>
            </w:r>
            <w:r>
              <w:rPr>
                <w:rFonts w:hint="eastAsia" w:ascii="Times New Roman" w:cs="Times New Roman" w:hAnsiTheme="minorEastAsia"/>
                <w:color w:val="000000" w:themeColor="text1"/>
                <w:sz w:val="24"/>
              </w:rPr>
              <w:t>，因此项目建设和生态环境质量底线不冲突。因此，项目建设</w:t>
            </w:r>
            <w:r>
              <w:rPr>
                <w:rFonts w:ascii="Times New Roman" w:cs="Times New Roman" w:hAnsiTheme="minorEastAsia"/>
                <w:color w:val="000000" w:themeColor="text1"/>
                <w:sz w:val="24"/>
              </w:rPr>
              <w:t>不会改变区域</w:t>
            </w:r>
            <w:r>
              <w:rPr>
                <w:rFonts w:hint="eastAsia" w:ascii="Times New Roman" w:cs="Times New Roman" w:hAnsiTheme="minorEastAsia"/>
                <w:color w:val="000000" w:themeColor="text1"/>
                <w:sz w:val="24"/>
              </w:rPr>
              <w:t>生态</w:t>
            </w:r>
            <w:r>
              <w:rPr>
                <w:rFonts w:ascii="Times New Roman" w:cs="Times New Roman" w:hAnsiTheme="minorEastAsia"/>
                <w:color w:val="000000" w:themeColor="text1"/>
                <w:sz w:val="24"/>
              </w:rPr>
              <w:t>环境质量功能要求。</w:t>
            </w:r>
          </w:p>
          <w:p>
            <w:pPr>
              <w:spacing w:line="360" w:lineRule="auto"/>
              <w:ind w:firstLine="482" w:firstLineChars="200"/>
              <w:rPr>
                <w:rFonts w:ascii="Times New Roman" w:cs="Times New Roman" w:hAnsiTheme="minorEastAsia"/>
                <w:b/>
                <w:color w:val="000000" w:themeColor="text1"/>
                <w:sz w:val="24"/>
              </w:rPr>
            </w:pPr>
            <w:r>
              <w:rPr>
                <w:rFonts w:ascii="Times New Roman" w:cs="Times New Roman" w:hAnsiTheme="minorEastAsia"/>
                <w:b/>
                <w:color w:val="000000" w:themeColor="text1"/>
                <w:sz w:val="24"/>
              </w:rPr>
              <w:fldChar w:fldCharType="begin"/>
            </w:r>
            <w:r>
              <w:rPr>
                <w:rFonts w:ascii="Times New Roman" w:cs="Times New Roman" w:hAnsiTheme="minorEastAsia"/>
                <w:b/>
                <w:color w:val="000000" w:themeColor="text1"/>
                <w:sz w:val="24"/>
              </w:rPr>
              <w:instrText xml:space="preserve"> </w:instrText>
            </w:r>
            <w:r>
              <w:rPr>
                <w:rFonts w:hint="eastAsia" w:ascii="Times New Roman" w:cs="Times New Roman" w:hAnsiTheme="minorEastAsia"/>
                <w:b/>
                <w:color w:val="000000" w:themeColor="text1"/>
                <w:sz w:val="24"/>
              </w:rPr>
              <w:instrText xml:space="preserve">= 2 \* GB2</w:instrText>
            </w:r>
            <w:r>
              <w:rPr>
                <w:rFonts w:ascii="Times New Roman" w:cs="Times New Roman" w:hAnsiTheme="minorEastAsia"/>
                <w:b/>
                <w:color w:val="000000" w:themeColor="text1"/>
                <w:sz w:val="24"/>
              </w:rPr>
              <w:instrText xml:space="preserve"> </w:instrText>
            </w:r>
            <w:r>
              <w:rPr>
                <w:rFonts w:ascii="Times New Roman" w:cs="Times New Roman" w:hAnsiTheme="minorEastAsia"/>
                <w:b/>
                <w:color w:val="000000" w:themeColor="text1"/>
                <w:sz w:val="24"/>
              </w:rPr>
              <w:fldChar w:fldCharType="separate"/>
            </w:r>
            <w:r>
              <w:rPr>
                <w:rFonts w:hint="eastAsia" w:ascii="Times New Roman" w:cs="Times New Roman" w:hAnsiTheme="minorEastAsia"/>
                <w:b/>
                <w:color w:val="000000" w:themeColor="text1"/>
                <w:sz w:val="24"/>
              </w:rPr>
              <w:t>⑵</w:t>
            </w:r>
            <w:r>
              <w:rPr>
                <w:rFonts w:ascii="Times New Roman" w:cs="Times New Roman" w:hAnsiTheme="minorEastAsia"/>
                <w:b/>
                <w:color w:val="000000" w:themeColor="text1"/>
                <w:sz w:val="24"/>
              </w:rPr>
              <w:fldChar w:fldCharType="end"/>
            </w:r>
            <w:r>
              <w:rPr>
                <w:rFonts w:hint="eastAsia" w:ascii="Times New Roman" w:cs="Times New Roman" w:hAnsiTheme="minorEastAsia"/>
                <w:b/>
                <w:color w:val="000000" w:themeColor="text1"/>
                <w:sz w:val="24"/>
              </w:rPr>
              <w:t>环境空气环境质量</w:t>
            </w:r>
            <w:r>
              <w:rPr>
                <w:rFonts w:ascii="Times New Roman" w:cs="Times New Roman" w:hAnsiTheme="minorEastAsia"/>
                <w:b/>
                <w:color w:val="000000" w:themeColor="text1"/>
                <w:sz w:val="24"/>
              </w:rPr>
              <w:t>底线</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“实施意见”要求：</w:t>
            </w:r>
            <w:r>
              <w:rPr>
                <w:rFonts w:ascii="Times New Roman" w:cs="Times New Roman" w:hAnsiTheme="minorEastAsia"/>
                <w:color w:val="000000" w:themeColor="text1"/>
                <w:sz w:val="24"/>
              </w:rPr>
              <w:t>到2025年，全市环境空气质量总体保持优良，主城建成区空气质量优良天数占比达99%以上，二氧化硫（SO</w:t>
            </w:r>
            <w:r>
              <w:rPr>
                <w:rFonts w:ascii="Times New Roman" w:cs="Times New Roman" w:hAnsiTheme="minorEastAsia"/>
                <w:color w:val="000000" w:themeColor="text1"/>
                <w:sz w:val="24"/>
                <w:vertAlign w:val="subscript"/>
              </w:rPr>
              <w:t>2</w:t>
            </w:r>
            <w:r>
              <w:rPr>
                <w:rFonts w:ascii="Times New Roman" w:cs="Times New Roman" w:hAnsiTheme="minorEastAsia"/>
                <w:color w:val="000000" w:themeColor="text1"/>
                <w:sz w:val="24"/>
              </w:rPr>
              <w:t>）和氮氧化物（NO</w:t>
            </w:r>
            <w:r>
              <w:rPr>
                <w:rFonts w:hint="eastAsia" w:ascii="Times New Roman" w:cs="Times New Roman" w:hAnsiTheme="minorEastAsia"/>
                <w:color w:val="000000" w:themeColor="text1"/>
                <w:sz w:val="24"/>
              </w:rPr>
              <w:t>x</w:t>
            </w:r>
            <w:r>
              <w:rPr>
                <w:rFonts w:ascii="Times New Roman" w:cs="Times New Roman" w:hAnsiTheme="minorEastAsia"/>
                <w:color w:val="000000" w:themeColor="text1"/>
                <w:sz w:val="24"/>
              </w:rPr>
              <w:t>）排放总量控制在省下达的目标以内，主城区空气中颗粒物（PM</w:t>
            </w:r>
            <w:r>
              <w:rPr>
                <w:rFonts w:ascii="Times New Roman" w:cs="Times New Roman" w:hAnsiTheme="minorEastAsia"/>
                <w:color w:val="000000" w:themeColor="text1"/>
                <w:sz w:val="24"/>
                <w:vertAlign w:val="subscript"/>
              </w:rPr>
              <w:t>10</w:t>
            </w:r>
            <w:r>
              <w:rPr>
                <w:rFonts w:ascii="Times New Roman" w:cs="Times New Roman" w:hAnsiTheme="minorEastAsia"/>
                <w:color w:val="000000" w:themeColor="text1"/>
                <w:sz w:val="24"/>
              </w:rPr>
              <w:t>、PM</w:t>
            </w:r>
            <w:r>
              <w:rPr>
                <w:rFonts w:ascii="Times New Roman" w:cs="Times New Roman" w:hAnsiTheme="minorEastAsia"/>
                <w:color w:val="000000" w:themeColor="text1"/>
                <w:sz w:val="24"/>
                <w:vertAlign w:val="subscript"/>
              </w:rPr>
              <w:t>2.5</w:t>
            </w:r>
            <w:r>
              <w:rPr>
                <w:rFonts w:ascii="Times New Roman" w:cs="Times New Roman" w:hAnsiTheme="minorEastAsia"/>
                <w:color w:val="000000" w:themeColor="text1"/>
                <w:sz w:val="24"/>
              </w:rPr>
              <w:t>）稳定达《环境空气质量标准》二级标准以上。到2035年，全市环境空气质量全面改善，各县（市）区、开发（度假）区环境空气质量稳定达到国家二级标准。</w:t>
            </w:r>
          </w:p>
          <w:p>
            <w:pPr>
              <w:spacing w:line="360" w:lineRule="auto"/>
              <w:ind w:firstLine="480" w:firstLineChars="200"/>
              <w:rPr>
                <w:rFonts w:ascii="Times New Roman" w:cs="Times New Roman" w:hAnsiTheme="minorEastAsia"/>
                <w:color w:val="000000" w:themeColor="text1"/>
                <w:sz w:val="24"/>
              </w:rPr>
            </w:pPr>
            <w:r>
              <w:rPr>
                <w:rFonts w:ascii="Times New Roman" w:cs="Times New Roman" w:hAnsiTheme="minorEastAsia"/>
                <w:color w:val="000000" w:themeColor="text1"/>
                <w:sz w:val="24"/>
              </w:rPr>
              <w:t>根据调查，现目选址区域空气环境可达到《环境空气质量标准》（GB3095-2012）二级标准，属于空气达标区</w:t>
            </w:r>
            <w:r>
              <w:rPr>
                <w:rFonts w:hint="eastAsia" w:ascii="Times New Roman" w:cs="Times New Roman" w:hAnsiTheme="minorEastAsia"/>
                <w:color w:val="000000" w:themeColor="text1"/>
                <w:sz w:val="24"/>
              </w:rPr>
              <w:t>，</w:t>
            </w:r>
            <w:r>
              <w:rPr>
                <w:rFonts w:ascii="Times New Roman" w:cs="Times New Roman" w:hAnsiTheme="minorEastAsia"/>
                <w:color w:val="000000" w:themeColor="text1"/>
                <w:sz w:val="24"/>
              </w:rPr>
              <w:t>且本项目的建设不会改变区域环境</w:t>
            </w:r>
            <w:r>
              <w:rPr>
                <w:rFonts w:hint="eastAsia" w:ascii="Times New Roman" w:cs="Times New Roman" w:hAnsiTheme="minorEastAsia"/>
                <w:color w:val="000000" w:themeColor="text1"/>
                <w:sz w:val="24"/>
              </w:rPr>
              <w:t>空气</w:t>
            </w:r>
            <w:r>
              <w:rPr>
                <w:rFonts w:ascii="Times New Roman" w:cs="Times New Roman" w:hAnsiTheme="minorEastAsia"/>
                <w:color w:val="000000" w:themeColor="text1"/>
                <w:sz w:val="24"/>
              </w:rPr>
              <w:t>质量功能要求。</w:t>
            </w:r>
          </w:p>
          <w:p>
            <w:pPr>
              <w:spacing w:line="360" w:lineRule="auto"/>
              <w:ind w:firstLine="482" w:firstLineChars="200"/>
              <w:rPr>
                <w:rFonts w:ascii="Times New Roman" w:cs="Times New Roman" w:hAnsiTheme="minorEastAsia"/>
                <w:b/>
                <w:color w:val="000000" w:themeColor="text1"/>
                <w:sz w:val="24"/>
              </w:rPr>
            </w:pPr>
            <w:r>
              <w:rPr>
                <w:rFonts w:ascii="Times New Roman" w:cs="Times New Roman" w:hAnsiTheme="minorEastAsia"/>
                <w:b/>
                <w:color w:val="000000" w:themeColor="text1"/>
                <w:sz w:val="24"/>
              </w:rPr>
              <w:fldChar w:fldCharType="begin"/>
            </w:r>
            <w:r>
              <w:rPr>
                <w:rFonts w:ascii="Times New Roman" w:cs="Times New Roman" w:hAnsiTheme="minorEastAsia"/>
                <w:b/>
                <w:color w:val="000000" w:themeColor="text1"/>
                <w:sz w:val="24"/>
              </w:rPr>
              <w:instrText xml:space="preserve"> </w:instrText>
            </w:r>
            <w:r>
              <w:rPr>
                <w:rFonts w:hint="eastAsia" w:ascii="Times New Roman" w:cs="Times New Roman" w:hAnsiTheme="minorEastAsia"/>
                <w:b/>
                <w:color w:val="000000" w:themeColor="text1"/>
                <w:sz w:val="24"/>
              </w:rPr>
              <w:instrText xml:space="preserve">= 3 \* GB2</w:instrText>
            </w:r>
            <w:r>
              <w:rPr>
                <w:rFonts w:ascii="Times New Roman" w:cs="Times New Roman" w:hAnsiTheme="minorEastAsia"/>
                <w:b/>
                <w:color w:val="000000" w:themeColor="text1"/>
                <w:sz w:val="24"/>
              </w:rPr>
              <w:instrText xml:space="preserve"> </w:instrText>
            </w:r>
            <w:r>
              <w:rPr>
                <w:rFonts w:ascii="Times New Roman" w:cs="Times New Roman" w:hAnsiTheme="minorEastAsia"/>
                <w:b/>
                <w:color w:val="000000" w:themeColor="text1"/>
                <w:sz w:val="24"/>
              </w:rPr>
              <w:fldChar w:fldCharType="separate"/>
            </w:r>
            <w:r>
              <w:rPr>
                <w:rFonts w:hint="eastAsia" w:ascii="Times New Roman" w:cs="Times New Roman" w:hAnsiTheme="minorEastAsia"/>
                <w:b/>
                <w:color w:val="000000" w:themeColor="text1"/>
                <w:sz w:val="24"/>
              </w:rPr>
              <w:t>⑶</w:t>
            </w:r>
            <w:r>
              <w:rPr>
                <w:rFonts w:ascii="Times New Roman" w:cs="Times New Roman" w:hAnsiTheme="minorEastAsia"/>
                <w:b/>
                <w:color w:val="000000" w:themeColor="text1"/>
                <w:sz w:val="24"/>
              </w:rPr>
              <w:fldChar w:fldCharType="end"/>
            </w:r>
            <w:r>
              <w:rPr>
                <w:rFonts w:hint="eastAsia" w:ascii="Times New Roman" w:cs="Times New Roman" w:hAnsiTheme="minorEastAsia"/>
                <w:b/>
                <w:color w:val="000000" w:themeColor="text1"/>
                <w:sz w:val="24"/>
              </w:rPr>
              <w:t>地表水环境质量</w:t>
            </w:r>
            <w:r>
              <w:rPr>
                <w:rFonts w:ascii="Times New Roman" w:cs="Times New Roman" w:hAnsiTheme="minorEastAsia"/>
                <w:b/>
                <w:color w:val="000000" w:themeColor="text1"/>
                <w:sz w:val="24"/>
              </w:rPr>
              <w:t>底线</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“实施意见”要求：</w:t>
            </w:r>
            <w:r>
              <w:rPr>
                <w:rFonts w:ascii="Times New Roman" w:cs="Times New Roman" w:hAnsiTheme="minorEastAsia"/>
                <w:color w:val="000000" w:themeColor="text1"/>
                <w:sz w:val="24"/>
              </w:rPr>
              <w:t>到2025年，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到2035年，地表水体水质优良率全面提升，各监测断面水质达到水环境功能要求，消除劣</w:t>
            </w:r>
            <w:r>
              <w:rPr>
                <w:rFonts w:hint="eastAsia" w:ascii="Times New Roman" w:cs="Times New Roman" w:hAnsiTheme="minorEastAsia"/>
                <w:color w:val="000000" w:themeColor="text1"/>
                <w:sz w:val="24"/>
              </w:rPr>
              <w:t>V</w:t>
            </w:r>
            <w:r>
              <w:rPr>
                <w:rFonts w:ascii="Times New Roman" w:cs="Times New Roman" w:hAnsiTheme="minorEastAsia"/>
                <w:color w:val="000000" w:themeColor="text1"/>
                <w:sz w:val="24"/>
              </w:rPr>
              <w:t>类水体，集中式饮用水水源水质稳定达标。</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根据调查，本项目</w:t>
            </w:r>
            <w:r>
              <w:rPr>
                <w:rFonts w:ascii="Times New Roman" w:cs="Times New Roman" w:hAnsiTheme="minorEastAsia"/>
                <w:color w:val="000000" w:themeColor="text1"/>
                <w:sz w:val="24"/>
              </w:rPr>
              <w:t>地表水体小江姑海断面水质可达到《地表水环境质量标准》（GB3838-2002）I</w:t>
            </w:r>
            <w:r>
              <w:rPr>
                <w:rFonts w:hint="eastAsia" w:ascii="Times New Roman" w:cs="Times New Roman" w:hAnsiTheme="minorEastAsia"/>
                <w:color w:val="000000" w:themeColor="text1"/>
                <w:sz w:val="24"/>
              </w:rPr>
              <w:t>II</w:t>
            </w:r>
            <w:r>
              <w:rPr>
                <w:rFonts w:ascii="Times New Roman" w:cs="Times New Roman" w:hAnsiTheme="minorEastAsia"/>
                <w:color w:val="000000" w:themeColor="text1"/>
                <w:sz w:val="24"/>
              </w:rPr>
              <w:t>类标准；</w:t>
            </w:r>
            <w:r>
              <w:rPr>
                <w:rFonts w:hint="eastAsia" w:ascii="Times New Roman" w:cs="Times New Roman" w:hAnsiTheme="minorEastAsia"/>
                <w:color w:val="000000" w:themeColor="text1"/>
                <w:sz w:val="24"/>
              </w:rPr>
              <w:t>且项目运行期间无废水外排入环境，</w:t>
            </w:r>
            <w:r>
              <w:rPr>
                <w:rFonts w:ascii="Times New Roman" w:cs="Times New Roman" w:hAnsiTheme="minorEastAsia"/>
                <w:color w:val="000000" w:themeColor="text1"/>
                <w:sz w:val="24"/>
              </w:rPr>
              <w:t>不会改变区域</w:t>
            </w:r>
            <w:r>
              <w:rPr>
                <w:rFonts w:hint="eastAsia" w:ascii="Times New Roman" w:cs="Times New Roman" w:hAnsiTheme="minorEastAsia"/>
                <w:color w:val="000000" w:themeColor="text1"/>
                <w:sz w:val="24"/>
              </w:rPr>
              <w:t>地表水</w:t>
            </w:r>
            <w:r>
              <w:rPr>
                <w:rFonts w:ascii="Times New Roman" w:cs="Times New Roman" w:hAnsiTheme="minorEastAsia"/>
                <w:color w:val="000000" w:themeColor="text1"/>
                <w:sz w:val="24"/>
              </w:rPr>
              <w:t>环境质量功能要求。</w:t>
            </w:r>
          </w:p>
          <w:p>
            <w:pPr>
              <w:spacing w:line="360" w:lineRule="auto"/>
              <w:ind w:firstLine="482" w:firstLineChars="200"/>
              <w:rPr>
                <w:rFonts w:ascii="Times New Roman" w:cs="Times New Roman" w:hAnsiTheme="minorEastAsia"/>
                <w:b/>
                <w:color w:val="000000" w:themeColor="text1"/>
                <w:sz w:val="24"/>
              </w:rPr>
            </w:pPr>
            <w:r>
              <w:rPr>
                <w:rFonts w:ascii="Times New Roman" w:cs="Times New Roman" w:hAnsiTheme="minorEastAsia"/>
                <w:b/>
                <w:color w:val="000000" w:themeColor="text1"/>
                <w:sz w:val="24"/>
              </w:rPr>
              <w:fldChar w:fldCharType="begin"/>
            </w:r>
            <w:r>
              <w:rPr>
                <w:rFonts w:ascii="Times New Roman" w:cs="Times New Roman" w:hAnsiTheme="minorEastAsia"/>
                <w:b/>
                <w:color w:val="000000" w:themeColor="text1"/>
                <w:sz w:val="24"/>
              </w:rPr>
              <w:instrText xml:space="preserve"> </w:instrText>
            </w:r>
            <w:r>
              <w:rPr>
                <w:rFonts w:hint="eastAsia" w:ascii="Times New Roman" w:cs="Times New Roman" w:hAnsiTheme="minorEastAsia"/>
                <w:b/>
                <w:color w:val="000000" w:themeColor="text1"/>
                <w:sz w:val="24"/>
              </w:rPr>
              <w:instrText xml:space="preserve">= 4 \* GB2</w:instrText>
            </w:r>
            <w:r>
              <w:rPr>
                <w:rFonts w:ascii="Times New Roman" w:cs="Times New Roman" w:hAnsiTheme="minorEastAsia"/>
                <w:b/>
                <w:color w:val="000000" w:themeColor="text1"/>
                <w:sz w:val="24"/>
              </w:rPr>
              <w:instrText xml:space="preserve"> </w:instrText>
            </w:r>
            <w:r>
              <w:rPr>
                <w:rFonts w:ascii="Times New Roman" w:cs="Times New Roman" w:hAnsiTheme="minorEastAsia"/>
                <w:b/>
                <w:color w:val="000000" w:themeColor="text1"/>
                <w:sz w:val="24"/>
              </w:rPr>
              <w:fldChar w:fldCharType="separate"/>
            </w:r>
            <w:r>
              <w:rPr>
                <w:rFonts w:hint="eastAsia" w:ascii="Times New Roman" w:cs="Times New Roman" w:hAnsiTheme="minorEastAsia"/>
                <w:b/>
                <w:color w:val="000000" w:themeColor="text1"/>
                <w:sz w:val="24"/>
              </w:rPr>
              <w:t>⑷</w:t>
            </w:r>
            <w:r>
              <w:rPr>
                <w:rFonts w:ascii="Times New Roman" w:cs="Times New Roman" w:hAnsiTheme="minorEastAsia"/>
                <w:b/>
                <w:color w:val="000000" w:themeColor="text1"/>
                <w:sz w:val="24"/>
              </w:rPr>
              <w:fldChar w:fldCharType="end"/>
            </w:r>
            <w:r>
              <w:rPr>
                <w:rFonts w:hint="eastAsia" w:ascii="Times New Roman" w:cs="Times New Roman" w:hAnsiTheme="minorEastAsia"/>
                <w:b/>
                <w:color w:val="000000" w:themeColor="text1"/>
                <w:sz w:val="24"/>
              </w:rPr>
              <w:t>土壤环境质量底线</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“实施意见”要求：</w:t>
            </w:r>
            <w:r>
              <w:rPr>
                <w:rFonts w:ascii="Times New Roman" w:cs="Times New Roman" w:hAnsiTheme="minorEastAsia"/>
                <w:color w:val="000000" w:themeColor="text1"/>
                <w:sz w:val="24"/>
              </w:rPr>
              <w:t>到2025年，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土壤环境质量稳中向好，农用地和建设用地土壤环境安全得到有效保障，土壤环境风险得到全面管控。</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根据调查，项目建设对土壤环境影响较小，只要严格执行相应的土壤环境保护措施，项目建设</w:t>
            </w:r>
            <w:r>
              <w:rPr>
                <w:rFonts w:ascii="Times New Roman" w:cs="Times New Roman" w:hAnsiTheme="minorEastAsia"/>
                <w:color w:val="000000" w:themeColor="text1"/>
                <w:sz w:val="24"/>
              </w:rPr>
              <w:t>不会改变区域</w:t>
            </w:r>
            <w:r>
              <w:rPr>
                <w:rFonts w:hint="eastAsia" w:ascii="Times New Roman" w:cs="Times New Roman" w:hAnsiTheme="minorEastAsia"/>
                <w:color w:val="000000" w:themeColor="text1"/>
                <w:sz w:val="24"/>
              </w:rPr>
              <w:t>土壤</w:t>
            </w:r>
            <w:r>
              <w:rPr>
                <w:rFonts w:ascii="Times New Roman" w:cs="Times New Roman" w:hAnsiTheme="minorEastAsia"/>
                <w:color w:val="000000" w:themeColor="text1"/>
                <w:sz w:val="24"/>
              </w:rPr>
              <w:t>环境质量功能要求。</w:t>
            </w:r>
          </w:p>
          <w:p>
            <w:pPr>
              <w:spacing w:line="360" w:lineRule="auto"/>
              <w:ind w:firstLine="482" w:firstLineChars="200"/>
              <w:rPr>
                <w:rFonts w:ascii="Times New Roman" w:hAnsi="Times New Roman" w:cs="Times New Roman"/>
                <w:b/>
                <w:color w:val="000000" w:themeColor="text1"/>
                <w:sz w:val="24"/>
              </w:rPr>
            </w:pPr>
            <w:r>
              <w:rPr>
                <w:rFonts w:hint="eastAsia" w:cs="Times New Roman" w:asciiTheme="minorEastAsia" w:hAnsiTheme="minorEastAsia"/>
                <w:b/>
                <w:color w:val="000000" w:themeColor="text1"/>
                <w:sz w:val="24"/>
                <w:szCs w:val="24"/>
              </w:rPr>
              <w:t>③</w:t>
            </w:r>
            <w:r>
              <w:rPr>
                <w:rFonts w:ascii="Times New Roman" w:cs="Times New Roman" w:hAnsiTheme="minorEastAsia"/>
                <w:b/>
                <w:color w:val="000000" w:themeColor="text1"/>
                <w:sz w:val="24"/>
                <w:szCs w:val="24"/>
              </w:rPr>
              <w:t>资源利用上线</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《昆明市人民政府关于昆明市“三线一单” 生态环境分区管控的实施意见》对资源利用上限的要求为：</w:t>
            </w:r>
            <w:r>
              <w:rPr>
                <w:rFonts w:ascii="Times New Roman" w:cs="Times New Roman" w:hAnsiTheme="minorEastAsia"/>
                <w:color w:val="000000" w:themeColor="text1"/>
                <w:sz w:val="24"/>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根据调查，项目主要用水环节为生活用水，用水量较全市工业用水量占比极小；项目选址位于工业园区，租用厂房建设，不涉及耕地、基本农田等土地资源，项目能耗较低；因此</w:t>
            </w:r>
            <w:r>
              <w:rPr>
                <w:rFonts w:ascii="Times New Roman" w:cs="Times New Roman" w:hAnsiTheme="minorEastAsia"/>
                <w:color w:val="000000" w:themeColor="text1"/>
                <w:sz w:val="24"/>
              </w:rPr>
              <w:t>项目资源利用符合国家相关要求。</w:t>
            </w:r>
          </w:p>
          <w:p>
            <w:pPr>
              <w:spacing w:line="360" w:lineRule="auto"/>
              <w:ind w:firstLine="482" w:firstLineChars="200"/>
              <w:rPr>
                <w:rFonts w:ascii="Times New Roman" w:hAnsi="Times New Roman" w:cs="Times New Roman"/>
                <w:b/>
                <w:color w:val="000000" w:themeColor="text1"/>
                <w:sz w:val="24"/>
                <w:szCs w:val="24"/>
              </w:rPr>
            </w:pPr>
            <w:r>
              <w:rPr>
                <w:rFonts w:cs="Times New Roman" w:asciiTheme="minorEastAsia" w:hAnsiTheme="minorEastAsia"/>
                <w:b/>
                <w:color w:val="000000" w:themeColor="text1"/>
                <w:sz w:val="24"/>
                <w:szCs w:val="24"/>
              </w:rPr>
              <w:t>④</w:t>
            </w:r>
            <w:r>
              <w:rPr>
                <w:rFonts w:ascii="Times New Roman" w:cs="Times New Roman" w:hAnsiTheme="minorEastAsia"/>
                <w:b/>
                <w:color w:val="000000" w:themeColor="text1"/>
                <w:sz w:val="24"/>
              </w:rPr>
              <w:t>环境准入负面清单</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《昆明市人民政府关于昆明市“三线一单” 生态环境分区管控的实施意见》提出严格落实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p>
            <w:pPr>
              <w:spacing w:line="360" w:lineRule="auto"/>
              <w:ind w:firstLine="480" w:firstLineChars="200"/>
              <w:rPr>
                <w:rFonts w:ascii="Times New Roman" w:cs="Times New Roman" w:hAnsiTheme="minorEastAsia"/>
                <w:color w:val="000000" w:themeColor="text1"/>
                <w:sz w:val="24"/>
              </w:rPr>
            </w:pPr>
            <w:r>
              <w:rPr>
                <w:rFonts w:hint="eastAsia" w:ascii="Times New Roman" w:cs="Times New Roman" w:hAnsiTheme="minorEastAsia"/>
                <w:color w:val="000000" w:themeColor="text1"/>
                <w:sz w:val="24"/>
              </w:rPr>
              <w:t>根据调查，本项目位于本项目位于</w:t>
            </w:r>
            <w:r>
              <w:rPr>
                <w:rFonts w:ascii="Times New Roman" w:cs="Times New Roman" w:hAnsiTheme="minorEastAsia"/>
                <w:color w:val="000000" w:themeColor="text1"/>
                <w:sz w:val="24"/>
              </w:rPr>
              <w:t>云南省东川再就业特区天生桥特色产业园</w:t>
            </w:r>
            <w:r>
              <w:rPr>
                <w:rFonts w:hint="eastAsia" w:ascii="Times New Roman" w:cs="Times New Roman" w:hAnsiTheme="minorEastAsia"/>
                <w:color w:val="000000" w:themeColor="text1"/>
                <w:sz w:val="24"/>
              </w:rPr>
              <w:t>，项目所在地属于</w:t>
            </w:r>
            <w:r>
              <w:rPr>
                <w:rFonts w:ascii="Times New Roman" w:cs="Times New Roman" w:hAnsiTheme="minorEastAsia"/>
                <w:color w:val="000000" w:themeColor="text1"/>
                <w:sz w:val="24"/>
              </w:rPr>
              <w:t>云南东川再就业特色产业园区重点管控单元</w:t>
            </w:r>
            <w:r>
              <w:rPr>
                <w:rFonts w:hint="eastAsia" w:ascii="Times New Roman" w:cs="Times New Roman" w:hAnsiTheme="minorEastAsia"/>
                <w:color w:val="000000" w:themeColor="text1"/>
                <w:sz w:val="24"/>
              </w:rPr>
              <w:t>，根据</w:t>
            </w:r>
            <w:r>
              <w:rPr>
                <w:rFonts w:ascii="Times New Roman" w:cs="Times New Roman" w:hAnsiTheme="minorEastAsia"/>
                <w:color w:val="000000" w:themeColor="text1"/>
                <w:sz w:val="24"/>
              </w:rPr>
              <w:t>东川区环境管控单元生态环境准入清单</w:t>
            </w:r>
            <w:r>
              <w:rPr>
                <w:rFonts w:hint="eastAsia" w:ascii="Times New Roman" w:cs="Times New Roman" w:hAnsiTheme="minorEastAsia"/>
                <w:color w:val="000000" w:themeColor="text1"/>
                <w:sz w:val="24"/>
              </w:rPr>
              <w:t>的管理要求，本项目</w:t>
            </w:r>
            <w:r>
              <w:rPr>
                <w:rFonts w:ascii="Times New Roman" w:cs="Times New Roman" w:hAnsiTheme="minorEastAsia"/>
                <w:color w:val="000000" w:themeColor="text1"/>
                <w:sz w:val="24"/>
              </w:rPr>
              <w:t>环境准入负面清单</w:t>
            </w:r>
            <w:r>
              <w:rPr>
                <w:rFonts w:hint="eastAsia" w:ascii="Times New Roman" w:cs="Times New Roman" w:hAnsiTheme="minorEastAsia"/>
                <w:color w:val="000000" w:themeColor="text1"/>
                <w:sz w:val="24"/>
              </w:rPr>
              <w:t>符合性具体下表所示。</w:t>
            </w:r>
          </w:p>
          <w:p>
            <w:pPr>
              <w:jc w:val="center"/>
              <w:rPr>
                <w:rFonts w:ascii="Times New Roman" w:cs="Times New Roman" w:hAnsiTheme="minorEastAsia"/>
                <w:b/>
                <w:color w:val="000000" w:themeColor="text1"/>
              </w:rPr>
            </w:pPr>
            <w:r>
              <w:rPr>
                <w:rFonts w:hint="eastAsia" w:ascii="Times New Roman" w:cs="Times New Roman" w:hAnsiTheme="minorEastAsia"/>
                <w:b/>
                <w:color w:val="000000" w:themeColor="text1"/>
              </w:rPr>
              <w:t>表1-4</w:t>
            </w:r>
            <w:r>
              <w:rPr>
                <w:rFonts w:ascii="Times New Roman" w:cs="Times New Roman" w:hAnsiTheme="minorEastAsia"/>
                <w:b/>
                <w:color w:val="000000" w:themeColor="text1"/>
              </w:rPr>
              <w:t xml:space="preserve"> </w:t>
            </w:r>
            <w:r>
              <w:rPr>
                <w:rFonts w:hint="eastAsia" w:ascii="Times New Roman" w:cs="Times New Roman" w:hAnsiTheme="minorEastAsia"/>
                <w:b/>
                <w:color w:val="000000" w:themeColor="text1"/>
              </w:rPr>
              <w:t>与</w:t>
            </w:r>
            <w:r>
              <w:rPr>
                <w:rFonts w:ascii="Times New Roman" w:cs="Times New Roman" w:hAnsiTheme="minorEastAsia"/>
                <w:b/>
                <w:color w:val="000000" w:themeColor="text1"/>
              </w:rPr>
              <w:t>东川区环境管控单元生态环境准入清单</w:t>
            </w:r>
            <w:r>
              <w:rPr>
                <w:rFonts w:hint="eastAsia" w:ascii="Times New Roman" w:cs="Times New Roman" w:hAnsiTheme="minorEastAsia"/>
                <w:b/>
                <w:color w:val="000000" w:themeColor="text1"/>
              </w:rPr>
              <w:t>符合性分析一览表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2"/>
              <w:gridCol w:w="659"/>
              <w:gridCol w:w="3518"/>
              <w:gridCol w:w="3365"/>
              <w:gridCol w:w="7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08"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单元名称</w:t>
                  </w:r>
                </w:p>
              </w:tc>
              <w:tc>
                <w:tcPr>
                  <w:tcW w:w="3936" w:type="dxa"/>
                  <w:gridSpan w:val="2"/>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管控要求</w:t>
                  </w:r>
                </w:p>
              </w:tc>
              <w:tc>
                <w:tcPr>
                  <w:tcW w:w="3171"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项目实际情况</w:t>
                  </w:r>
                </w:p>
              </w:tc>
              <w:tc>
                <w:tcPr>
                  <w:tcW w:w="707"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8" w:type="dxa"/>
                  <w:vMerge w:val="restart"/>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重点管控单元</w:t>
                  </w:r>
                </w:p>
              </w:tc>
              <w:tc>
                <w:tcPr>
                  <w:tcW w:w="621" w:type="dxa"/>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空间布局约束</w:t>
                  </w:r>
                </w:p>
              </w:tc>
              <w:tc>
                <w:tcPr>
                  <w:tcW w:w="3315" w:type="dxa"/>
                  <w:vAlign w:val="center"/>
                </w:tcPr>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重点发展重化工、有色冶金、铸造、有色金属和稀贵金属加工、机械制造、机电设备、黄金精加工、建筑建材以及食品加工、生物医药行业。</w:t>
                  </w:r>
                </w:p>
              </w:tc>
              <w:tc>
                <w:tcPr>
                  <w:tcW w:w="3171" w:type="dxa"/>
                  <w:vAlign w:val="center"/>
                </w:tcPr>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本项目</w:t>
                  </w:r>
                  <w:r>
                    <w:rPr>
                      <w:rFonts w:hint="eastAsia" w:hAnsiTheme="minorEastAsia" w:eastAsiaTheme="minorEastAsia"/>
                      <w:color w:val="000000" w:themeColor="text1"/>
                    </w:rPr>
                    <w:t>为</w:t>
                  </w:r>
                  <w:r>
                    <w:rPr>
                      <w:rFonts w:hAnsiTheme="minorEastAsia" w:eastAsiaTheme="minorEastAsia"/>
                      <w:color w:val="000000" w:themeColor="text1"/>
                    </w:rPr>
                    <w:t>报废家电（电子垃圾）回收利用类项目</w:t>
                  </w:r>
                  <w:r>
                    <w:rPr>
                      <w:rFonts w:hint="eastAsia" w:hAnsiTheme="minorEastAsia" w:eastAsiaTheme="minorEastAsia"/>
                      <w:color w:val="000000" w:themeColor="text1"/>
                    </w:rPr>
                    <w:t>，项目已取得</w:t>
                  </w:r>
                  <w:r>
                    <w:rPr>
                      <w:rFonts w:hAnsiTheme="minorEastAsia" w:eastAsiaTheme="minorEastAsia"/>
                      <w:color w:val="000000" w:themeColor="text1"/>
                      <w:sz w:val="20"/>
                    </w:rPr>
                    <w:t>东川再就业特色产业园区管理委员会于2013年1月30日下发</w:t>
                  </w:r>
                  <w:r>
                    <w:rPr>
                      <w:rFonts w:hint="eastAsia" w:hAnsiTheme="minorEastAsia" w:eastAsiaTheme="minorEastAsia"/>
                      <w:color w:val="000000" w:themeColor="text1"/>
                      <w:sz w:val="20"/>
                    </w:rPr>
                    <w:t>的</w:t>
                  </w:r>
                  <w:r>
                    <w:rPr>
                      <w:rFonts w:hAnsiTheme="minorEastAsia" w:eastAsiaTheme="minorEastAsia"/>
                      <w:color w:val="000000" w:themeColor="text1"/>
                      <w:sz w:val="20"/>
                    </w:rPr>
                    <w:t>《东川再就业特色产业园区管理委员会关于同意云南华再新源环保产业发展有限公司入驻天生桥特色产业园的批复》（云东天管【2013】3号）</w:t>
                  </w:r>
                  <w:r>
                    <w:rPr>
                      <w:rFonts w:hAnsiTheme="minorEastAsia" w:eastAsiaTheme="minorEastAsia"/>
                      <w:color w:val="000000" w:themeColor="text1"/>
                    </w:rPr>
                    <w:t>，</w:t>
                  </w:r>
                  <w:r>
                    <w:rPr>
                      <w:rFonts w:hint="eastAsia" w:hAnsiTheme="minorEastAsia" w:eastAsiaTheme="minorEastAsia"/>
                      <w:color w:val="000000" w:themeColor="text1"/>
                    </w:rPr>
                    <w:t>符合园区规划。</w:t>
                  </w:r>
                </w:p>
              </w:tc>
              <w:tc>
                <w:tcPr>
                  <w:tcW w:w="707"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8" w:type="dxa"/>
                  <w:vMerge w:val="continue"/>
                  <w:vAlign w:val="center"/>
                </w:tcPr>
                <w:p>
                  <w:pPr>
                    <w:pStyle w:val="30"/>
                    <w:spacing w:line="360" w:lineRule="exact"/>
                    <w:rPr>
                      <w:rFonts w:hAnsiTheme="minorEastAsia" w:eastAsiaTheme="minorEastAsia"/>
                      <w:color w:val="000000" w:themeColor="text1"/>
                      <w:szCs w:val="21"/>
                    </w:rPr>
                  </w:pPr>
                </w:p>
              </w:tc>
              <w:tc>
                <w:tcPr>
                  <w:tcW w:w="621" w:type="dxa"/>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污染物排放管控</w:t>
                  </w:r>
                </w:p>
              </w:tc>
              <w:tc>
                <w:tcPr>
                  <w:tcW w:w="3315" w:type="dxa"/>
                  <w:vAlign w:val="center"/>
                </w:tcPr>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1.四方地组团禁止再安排重污染企业，防止加重该区域的环境污染。</w:t>
                  </w:r>
                </w:p>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2.碧谷片区靠近城区一侧安排居住及轻污染的工业项目，该地区地势较低，不得布置空气污染较重的项目。</w:t>
                  </w:r>
                </w:p>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3.对门山片区不宜作为工业片区，作为城市服务功能区，靠近城区一侧应营造绿化带和布置低噪声影响项目。</w:t>
                  </w:r>
                </w:p>
                <w:p>
                  <w:pPr>
                    <w:pStyle w:val="30"/>
                    <w:spacing w:line="360" w:lineRule="exact"/>
                    <w:ind w:firstLine="210" w:firstLineChars="100"/>
                    <w:jc w:val="both"/>
                    <w:rPr>
                      <w:rFonts w:hAnsiTheme="minorEastAsia" w:eastAsiaTheme="minorEastAsia"/>
                      <w:color w:val="000000" w:themeColor="text1"/>
                      <w:szCs w:val="21"/>
                    </w:rPr>
                  </w:pPr>
                  <w:r>
                    <w:rPr>
                      <w:rFonts w:hAnsiTheme="minorEastAsia" w:eastAsiaTheme="minorEastAsia"/>
                      <w:color w:val="000000" w:themeColor="text1"/>
                    </w:rPr>
                    <w:t>4.阿旺片区不宜布局空气污染大的项目</w:t>
                  </w:r>
                  <w:r>
                    <w:rPr>
                      <w:rFonts w:hAnsiTheme="minorEastAsia" w:eastAsiaTheme="minorEastAsia"/>
                      <w:color w:val="000000" w:themeColor="text1"/>
                      <w:sz w:val="20"/>
                    </w:rPr>
                    <w:t>。</w:t>
                  </w:r>
                </w:p>
              </w:tc>
              <w:tc>
                <w:tcPr>
                  <w:tcW w:w="3171" w:type="dxa"/>
                  <w:vAlign w:val="center"/>
                </w:tcPr>
                <w:p>
                  <w:pPr>
                    <w:pStyle w:val="30"/>
                    <w:spacing w:line="360" w:lineRule="exact"/>
                    <w:ind w:firstLine="200" w:firstLineChars="100"/>
                    <w:jc w:val="both"/>
                    <w:rPr>
                      <w:rFonts w:hAnsiTheme="minorEastAsia" w:eastAsiaTheme="minorEastAsia"/>
                      <w:color w:val="000000" w:themeColor="text1"/>
                      <w:szCs w:val="21"/>
                    </w:rPr>
                  </w:pPr>
                  <w:r>
                    <w:rPr>
                      <w:rFonts w:hint="eastAsia" w:hAnsiTheme="minorEastAsia" w:eastAsiaTheme="minorEastAsia"/>
                      <w:color w:val="000000" w:themeColor="text1"/>
                      <w:sz w:val="20"/>
                    </w:rPr>
                    <w:t>本项目位于</w:t>
                  </w:r>
                  <w:r>
                    <w:rPr>
                      <w:rFonts w:hAnsiTheme="minorEastAsia" w:eastAsiaTheme="minorEastAsia"/>
                      <w:color w:val="000000" w:themeColor="text1"/>
                      <w:sz w:val="20"/>
                    </w:rPr>
                    <w:t>云南省东川再就业特区天生桥特色产业园</w:t>
                  </w:r>
                  <w:r>
                    <w:rPr>
                      <w:rFonts w:hint="eastAsia" w:hAnsiTheme="minorEastAsia" w:eastAsiaTheme="minorEastAsia"/>
                      <w:color w:val="000000" w:themeColor="text1"/>
                      <w:sz w:val="20"/>
                    </w:rPr>
                    <w:t>，不在</w:t>
                  </w:r>
                  <w:r>
                    <w:rPr>
                      <w:rFonts w:hAnsiTheme="minorEastAsia" w:eastAsiaTheme="minorEastAsia"/>
                      <w:color w:val="000000" w:themeColor="text1"/>
                    </w:rPr>
                    <w:t>四方地组团</w:t>
                  </w:r>
                  <w:r>
                    <w:rPr>
                      <w:rFonts w:hint="eastAsia" w:hAnsiTheme="minorEastAsia" w:eastAsiaTheme="minorEastAsia"/>
                      <w:color w:val="000000" w:themeColor="text1"/>
                    </w:rPr>
                    <w:t>、</w:t>
                  </w:r>
                  <w:r>
                    <w:rPr>
                      <w:rFonts w:hAnsiTheme="minorEastAsia" w:eastAsiaTheme="minorEastAsia"/>
                      <w:color w:val="000000" w:themeColor="text1"/>
                    </w:rPr>
                    <w:t>碧谷片区</w:t>
                  </w:r>
                  <w:r>
                    <w:rPr>
                      <w:rFonts w:hint="eastAsia" w:hAnsiTheme="minorEastAsia" w:eastAsiaTheme="minorEastAsia"/>
                      <w:color w:val="000000" w:themeColor="text1"/>
                    </w:rPr>
                    <w:t>、</w:t>
                  </w:r>
                  <w:r>
                    <w:rPr>
                      <w:rFonts w:hAnsiTheme="minorEastAsia" w:eastAsiaTheme="minorEastAsia"/>
                      <w:color w:val="000000" w:themeColor="text1"/>
                    </w:rPr>
                    <w:t>对门山片区</w:t>
                  </w:r>
                  <w:r>
                    <w:rPr>
                      <w:rFonts w:hint="eastAsia" w:hAnsiTheme="minorEastAsia" w:eastAsiaTheme="minorEastAsia"/>
                      <w:color w:val="000000" w:themeColor="text1"/>
                    </w:rPr>
                    <w:t>和</w:t>
                  </w:r>
                  <w:r>
                    <w:rPr>
                      <w:rFonts w:hAnsiTheme="minorEastAsia" w:eastAsiaTheme="minorEastAsia"/>
                      <w:color w:val="000000" w:themeColor="text1"/>
                    </w:rPr>
                    <w:t>阿旺片区</w:t>
                  </w:r>
                  <w:r>
                    <w:rPr>
                      <w:rFonts w:hint="eastAsia" w:hAnsiTheme="minorEastAsia" w:eastAsiaTheme="minorEastAsia"/>
                      <w:color w:val="000000" w:themeColor="text1"/>
                    </w:rPr>
                    <w:t>。</w:t>
                  </w:r>
                </w:p>
              </w:tc>
              <w:tc>
                <w:tcPr>
                  <w:tcW w:w="707"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8" w:type="dxa"/>
                  <w:vMerge w:val="continue"/>
                  <w:vAlign w:val="center"/>
                </w:tcPr>
                <w:p>
                  <w:pPr>
                    <w:pStyle w:val="30"/>
                    <w:spacing w:line="360" w:lineRule="exact"/>
                    <w:rPr>
                      <w:rFonts w:hAnsiTheme="minorEastAsia" w:eastAsiaTheme="minorEastAsia"/>
                      <w:color w:val="000000" w:themeColor="text1"/>
                      <w:szCs w:val="21"/>
                    </w:rPr>
                  </w:pPr>
                </w:p>
              </w:tc>
              <w:tc>
                <w:tcPr>
                  <w:tcW w:w="621" w:type="dxa"/>
                  <w:vAlign w:val="center"/>
                </w:tcPr>
                <w:p>
                  <w:pPr>
                    <w:pStyle w:val="30"/>
                    <w:spacing w:line="360" w:lineRule="exact"/>
                    <w:rPr>
                      <w:rFonts w:hAnsiTheme="minorEastAsia" w:eastAsiaTheme="minorEastAsia"/>
                      <w:color w:val="000000" w:themeColor="text1"/>
                      <w:szCs w:val="21"/>
                    </w:rPr>
                  </w:pPr>
                  <w:r>
                    <w:rPr>
                      <w:rFonts w:hAnsiTheme="minorEastAsia" w:eastAsiaTheme="minorEastAsia"/>
                      <w:color w:val="000000" w:themeColor="text1"/>
                      <w:szCs w:val="21"/>
                    </w:rPr>
                    <w:t>环境风险防控</w:t>
                  </w:r>
                </w:p>
              </w:tc>
              <w:tc>
                <w:tcPr>
                  <w:tcW w:w="3315" w:type="dxa"/>
                  <w:vAlign w:val="center"/>
                </w:tcPr>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对门山片区发展生物制药及食品加工业时不得使用氨冷冻方式，以免氨泄露造成风险。</w:t>
                  </w:r>
                </w:p>
              </w:tc>
              <w:tc>
                <w:tcPr>
                  <w:tcW w:w="3171" w:type="dxa"/>
                  <w:vAlign w:val="center"/>
                </w:tcPr>
                <w:p>
                  <w:pPr>
                    <w:pStyle w:val="30"/>
                    <w:spacing w:line="360" w:lineRule="exact"/>
                    <w:ind w:firstLine="200" w:firstLineChars="100"/>
                    <w:jc w:val="both"/>
                    <w:rPr>
                      <w:color w:val="000000" w:themeColor="text1"/>
                    </w:rPr>
                  </w:pPr>
                  <w:r>
                    <w:rPr>
                      <w:rFonts w:hint="eastAsia" w:hAnsiTheme="minorEastAsia" w:eastAsiaTheme="minorEastAsia"/>
                      <w:color w:val="000000" w:themeColor="text1"/>
                      <w:sz w:val="20"/>
                    </w:rPr>
                    <w:t>本项目位于</w:t>
                  </w:r>
                  <w:r>
                    <w:rPr>
                      <w:rFonts w:hAnsiTheme="minorEastAsia" w:eastAsiaTheme="minorEastAsia"/>
                      <w:color w:val="000000" w:themeColor="text1"/>
                      <w:sz w:val="20"/>
                    </w:rPr>
                    <w:t>云南省东川再就业特区天生桥特色产业园</w:t>
                  </w:r>
                  <w:r>
                    <w:rPr>
                      <w:rFonts w:hint="eastAsia" w:hAnsiTheme="minorEastAsia" w:eastAsiaTheme="minorEastAsia"/>
                      <w:color w:val="000000" w:themeColor="text1"/>
                      <w:sz w:val="20"/>
                    </w:rPr>
                    <w:t>，不在</w:t>
                  </w:r>
                  <w:r>
                    <w:rPr>
                      <w:rFonts w:hAnsiTheme="minorEastAsia" w:eastAsiaTheme="minorEastAsia"/>
                      <w:color w:val="000000" w:themeColor="text1"/>
                    </w:rPr>
                    <w:t>对门山片区</w:t>
                  </w:r>
                  <w:r>
                    <w:rPr>
                      <w:rFonts w:hint="eastAsia" w:hAnsiTheme="minorEastAsia" w:eastAsiaTheme="minorEastAsia"/>
                      <w:color w:val="000000" w:themeColor="text1"/>
                    </w:rPr>
                    <w:t>。</w:t>
                  </w:r>
                </w:p>
              </w:tc>
              <w:tc>
                <w:tcPr>
                  <w:tcW w:w="707"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8" w:type="dxa"/>
                  <w:vMerge w:val="continue"/>
                  <w:vAlign w:val="center"/>
                </w:tcPr>
                <w:p>
                  <w:pPr>
                    <w:pStyle w:val="30"/>
                    <w:spacing w:line="360" w:lineRule="exact"/>
                    <w:rPr>
                      <w:rFonts w:hAnsiTheme="minorEastAsia" w:eastAsiaTheme="minorEastAsia"/>
                      <w:color w:val="000000" w:themeColor="text1"/>
                      <w:szCs w:val="21"/>
                    </w:rPr>
                  </w:pPr>
                </w:p>
              </w:tc>
              <w:tc>
                <w:tcPr>
                  <w:tcW w:w="621" w:type="dxa"/>
                  <w:vAlign w:val="center"/>
                </w:tcPr>
                <w:p>
                  <w:pPr>
                    <w:pStyle w:val="30"/>
                    <w:spacing w:line="360" w:lineRule="exact"/>
                    <w:rPr>
                      <w:rFonts w:hAnsiTheme="minorEastAsia" w:eastAsiaTheme="minorEastAsia"/>
                      <w:bCs w:val="0"/>
                      <w:snapToGrid/>
                      <w:color w:val="000000" w:themeColor="text1"/>
                    </w:rPr>
                  </w:pPr>
                  <w:r>
                    <w:rPr>
                      <w:rFonts w:hAnsiTheme="minorEastAsia" w:eastAsiaTheme="minorEastAsia"/>
                      <w:color w:val="000000" w:themeColor="text1"/>
                      <w:szCs w:val="21"/>
                    </w:rPr>
                    <w:t>资源开发效率要求</w:t>
                  </w:r>
                </w:p>
              </w:tc>
              <w:tc>
                <w:tcPr>
                  <w:tcW w:w="3315" w:type="dxa"/>
                  <w:vAlign w:val="center"/>
                </w:tcPr>
                <w:p>
                  <w:pPr>
                    <w:pStyle w:val="30"/>
                    <w:spacing w:line="360" w:lineRule="exact"/>
                    <w:ind w:firstLine="210" w:firstLineChars="100"/>
                    <w:jc w:val="both"/>
                    <w:rPr>
                      <w:rFonts w:hAnsiTheme="minorEastAsia" w:eastAsiaTheme="minorEastAsia"/>
                      <w:color w:val="000000" w:themeColor="text1"/>
                    </w:rPr>
                  </w:pPr>
                  <w:r>
                    <w:rPr>
                      <w:rFonts w:hAnsiTheme="minorEastAsia" w:eastAsiaTheme="minorEastAsia"/>
                      <w:color w:val="000000" w:themeColor="text1"/>
                    </w:rPr>
                    <w:t>城市污水再生利用率在20%以上。工业污水处理达标率达到100%。</w:t>
                  </w:r>
                </w:p>
              </w:tc>
              <w:tc>
                <w:tcPr>
                  <w:tcW w:w="3171" w:type="dxa"/>
                  <w:vAlign w:val="center"/>
                </w:tcPr>
                <w:p>
                  <w:pPr>
                    <w:pStyle w:val="30"/>
                    <w:spacing w:line="360" w:lineRule="exact"/>
                    <w:ind w:firstLine="210" w:firstLineChars="100"/>
                    <w:jc w:val="both"/>
                    <w:rPr>
                      <w:rFonts w:hAnsiTheme="minorEastAsia" w:eastAsiaTheme="minorEastAsia"/>
                      <w:color w:val="000000" w:themeColor="text1"/>
                      <w:szCs w:val="21"/>
                    </w:rPr>
                  </w:pPr>
                  <w:r>
                    <w:rPr>
                      <w:rFonts w:hint="eastAsia" w:hAnsiTheme="minorEastAsia" w:eastAsiaTheme="minorEastAsia"/>
                      <w:color w:val="000000" w:themeColor="text1"/>
                      <w:szCs w:val="21"/>
                    </w:rPr>
                    <w:t>项目无工业废水外排。</w:t>
                  </w:r>
                </w:p>
              </w:tc>
              <w:tc>
                <w:tcPr>
                  <w:tcW w:w="707"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符合</w:t>
                  </w:r>
                </w:p>
              </w:tc>
            </w:tr>
          </w:tbl>
          <w:p>
            <w:pPr>
              <w:spacing w:beforeLines="50" w:line="360" w:lineRule="auto"/>
              <w:ind w:firstLine="480" w:firstLineChars="200"/>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由上表可知，项目建设满足</w:t>
            </w:r>
            <w:r>
              <w:rPr>
                <w:rFonts w:ascii="Times New Roman" w:cs="Times New Roman" w:hAnsiTheme="minorEastAsia"/>
                <w:color w:val="000000" w:themeColor="text1"/>
                <w:sz w:val="24"/>
                <w:szCs w:val="24"/>
              </w:rPr>
              <w:t>东川区环境管控单元生态环境准入清单</w:t>
            </w:r>
            <w:r>
              <w:rPr>
                <w:rFonts w:hint="eastAsia" w:ascii="Times New Roman" w:cs="Times New Roman" w:hAnsiTheme="minorEastAsia"/>
                <w:color w:val="000000" w:themeColor="text1"/>
                <w:sz w:val="24"/>
                <w:szCs w:val="24"/>
              </w:rPr>
              <w:t>的相关要求。</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综上分析，项目建设符合“三线一单”要求。</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（2）与《中华人民共和国长江保护法》</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《中华人民共和国长江保护法》重点从空间管控、规划等方面提出了长江保护的相关要求，保护法提出的具体建设项目的措施符合性具体如下表所示。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表1-3 与《中华人民共和国长江保护法》符合性分析一览表</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8"/>
              <w:gridCol w:w="3180"/>
              <w:gridCol w:w="4539"/>
              <w:gridCol w:w="7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51" w:type="dxa"/>
                  <w:vAlign w:val="center"/>
                </w:tcPr>
                <w:p>
                  <w:pPr>
                    <w:pStyle w:val="30"/>
                    <w:spacing w:line="360" w:lineRule="exact"/>
                    <w:rPr>
                      <w:color w:val="000000" w:themeColor="text1"/>
                      <w:kern w:val="0"/>
                      <w:szCs w:val="21"/>
                    </w:rPr>
                  </w:pPr>
                  <w:r>
                    <w:rPr>
                      <w:color w:val="000000" w:themeColor="text1"/>
                      <w:kern w:val="0"/>
                      <w:szCs w:val="21"/>
                    </w:rPr>
                    <w:t>序号</w:t>
                  </w:r>
                </w:p>
              </w:tc>
              <w:tc>
                <w:tcPr>
                  <w:tcW w:w="3211" w:type="dxa"/>
                  <w:vAlign w:val="center"/>
                </w:tcPr>
                <w:p>
                  <w:pPr>
                    <w:pStyle w:val="30"/>
                    <w:spacing w:line="360" w:lineRule="exact"/>
                    <w:rPr>
                      <w:color w:val="000000" w:themeColor="text1"/>
                      <w:kern w:val="0"/>
                      <w:szCs w:val="21"/>
                    </w:rPr>
                  </w:pPr>
                  <w:r>
                    <w:rPr>
                      <w:color w:val="000000" w:themeColor="text1"/>
                      <w:kern w:val="0"/>
                      <w:szCs w:val="21"/>
                    </w:rPr>
                    <w:t>中华人民共和国长江保护法要求</w:t>
                  </w:r>
                </w:p>
              </w:tc>
              <w:tc>
                <w:tcPr>
                  <w:tcW w:w="4585" w:type="dxa"/>
                  <w:vAlign w:val="center"/>
                </w:tcPr>
                <w:p>
                  <w:pPr>
                    <w:pStyle w:val="30"/>
                    <w:spacing w:line="360" w:lineRule="exact"/>
                    <w:rPr>
                      <w:color w:val="000000" w:themeColor="text1"/>
                      <w:kern w:val="0"/>
                      <w:szCs w:val="21"/>
                    </w:rPr>
                  </w:pPr>
                  <w:r>
                    <w:rPr>
                      <w:color w:val="000000" w:themeColor="text1"/>
                      <w:kern w:val="0"/>
                      <w:szCs w:val="21"/>
                    </w:rPr>
                    <w:t>本改扩建项目实际情况</w:t>
                  </w:r>
                </w:p>
              </w:tc>
              <w:tc>
                <w:tcPr>
                  <w:tcW w:w="783" w:type="dxa"/>
                  <w:vAlign w:val="center"/>
                </w:tcPr>
                <w:p>
                  <w:pPr>
                    <w:pStyle w:val="30"/>
                    <w:spacing w:line="360" w:lineRule="exact"/>
                    <w:rPr>
                      <w:color w:val="000000" w:themeColor="text1"/>
                      <w:kern w:val="0"/>
                      <w:szCs w:val="21"/>
                    </w:rPr>
                  </w:pPr>
                  <w:r>
                    <w:rPr>
                      <w:color w:val="000000" w:themeColor="text1"/>
                      <w:kern w:val="0"/>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51" w:type="dxa"/>
                  <w:vAlign w:val="center"/>
                </w:tcPr>
                <w:p>
                  <w:pPr>
                    <w:pStyle w:val="30"/>
                    <w:spacing w:line="360" w:lineRule="exact"/>
                    <w:rPr>
                      <w:color w:val="000000" w:themeColor="text1"/>
                      <w:kern w:val="0"/>
                      <w:szCs w:val="21"/>
                    </w:rPr>
                  </w:pPr>
                  <w:r>
                    <w:rPr>
                      <w:color w:val="000000" w:themeColor="text1"/>
                      <w:kern w:val="0"/>
                      <w:szCs w:val="21"/>
                    </w:rPr>
                    <w:t>1</w:t>
                  </w:r>
                </w:p>
              </w:tc>
              <w:tc>
                <w:tcPr>
                  <w:tcW w:w="3211" w:type="dxa"/>
                  <w:vAlign w:val="center"/>
                </w:tcPr>
                <w:p>
                  <w:pPr>
                    <w:pStyle w:val="30"/>
                    <w:spacing w:line="360" w:lineRule="exact"/>
                    <w:ind w:firstLine="210" w:firstLineChars="100"/>
                    <w:jc w:val="both"/>
                    <w:rPr>
                      <w:color w:val="000000" w:themeColor="text1"/>
                      <w:kern w:val="0"/>
                      <w:szCs w:val="21"/>
                    </w:rPr>
                  </w:pPr>
                  <w:r>
                    <w:rPr>
                      <w:color w:val="000000" w:themeColor="text1"/>
                      <w:kern w:val="0"/>
                      <w:szCs w:val="21"/>
                    </w:rPr>
                    <w:t>禁止在长江干支流岸线一公里范围内新建、扩建化工园区和化工项目。</w:t>
                  </w:r>
                </w:p>
              </w:tc>
              <w:tc>
                <w:tcPr>
                  <w:tcW w:w="4585" w:type="dxa"/>
                  <w:vAlign w:val="center"/>
                </w:tcPr>
                <w:p>
                  <w:pPr>
                    <w:pStyle w:val="30"/>
                    <w:spacing w:line="360" w:lineRule="exact"/>
                    <w:ind w:firstLine="210" w:firstLineChars="100"/>
                    <w:jc w:val="both"/>
                    <w:rPr>
                      <w:color w:val="000000" w:themeColor="text1"/>
                      <w:kern w:val="0"/>
                      <w:szCs w:val="21"/>
                    </w:rPr>
                  </w:pPr>
                  <w:r>
                    <w:rPr>
                      <w:color w:val="000000" w:themeColor="text1"/>
                      <w:kern w:val="0"/>
                      <w:szCs w:val="21"/>
                    </w:rPr>
                    <w:t>本改扩建项目</w:t>
                  </w:r>
                  <w:r>
                    <w:rPr>
                      <w:rFonts w:hint="eastAsia"/>
                      <w:color w:val="000000" w:themeColor="text1"/>
                      <w:kern w:val="0"/>
                      <w:szCs w:val="21"/>
                    </w:rPr>
                    <w:t>属于废弃电器电子产品物理拆解、分类收集项目，</w:t>
                  </w:r>
                  <w:r>
                    <w:rPr>
                      <w:color w:val="000000" w:themeColor="text1"/>
                      <w:kern w:val="0"/>
                      <w:szCs w:val="21"/>
                    </w:rPr>
                    <w:t>不属于化工项目。</w:t>
                  </w:r>
                </w:p>
              </w:tc>
              <w:tc>
                <w:tcPr>
                  <w:tcW w:w="783" w:type="dxa"/>
                  <w:vAlign w:val="center"/>
                </w:tcPr>
                <w:p>
                  <w:pPr>
                    <w:pStyle w:val="30"/>
                    <w:spacing w:line="360" w:lineRule="exact"/>
                    <w:rPr>
                      <w:color w:val="000000" w:themeColor="text1"/>
                      <w:kern w:val="0"/>
                      <w:szCs w:val="21"/>
                    </w:rPr>
                  </w:pPr>
                  <w:r>
                    <w:rPr>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51" w:type="dxa"/>
                  <w:vAlign w:val="center"/>
                </w:tcPr>
                <w:p>
                  <w:pPr>
                    <w:pStyle w:val="30"/>
                    <w:spacing w:line="360" w:lineRule="exact"/>
                    <w:rPr>
                      <w:color w:val="000000" w:themeColor="text1"/>
                      <w:kern w:val="0"/>
                      <w:szCs w:val="21"/>
                    </w:rPr>
                  </w:pPr>
                  <w:r>
                    <w:rPr>
                      <w:color w:val="000000" w:themeColor="text1"/>
                      <w:kern w:val="0"/>
                      <w:szCs w:val="21"/>
                    </w:rPr>
                    <w:t>2</w:t>
                  </w:r>
                </w:p>
              </w:tc>
              <w:tc>
                <w:tcPr>
                  <w:tcW w:w="3211" w:type="dxa"/>
                  <w:vAlign w:val="center"/>
                </w:tcPr>
                <w:p>
                  <w:pPr>
                    <w:pStyle w:val="30"/>
                    <w:spacing w:line="360" w:lineRule="exact"/>
                    <w:ind w:firstLine="210" w:firstLineChars="100"/>
                    <w:jc w:val="both"/>
                    <w:rPr>
                      <w:color w:val="000000" w:themeColor="text1"/>
                      <w:kern w:val="0"/>
                      <w:szCs w:val="21"/>
                    </w:rPr>
                  </w:pPr>
                  <w:r>
                    <w:rPr>
                      <w:color w:val="000000" w:themeColor="text1"/>
                      <w:kern w:val="0"/>
                      <w:szCs w:val="21"/>
                    </w:rPr>
                    <w:t>严格控制高耗水项目建设。</w:t>
                  </w:r>
                </w:p>
              </w:tc>
              <w:tc>
                <w:tcPr>
                  <w:tcW w:w="4585" w:type="dxa"/>
                  <w:vAlign w:val="center"/>
                </w:tcPr>
                <w:p>
                  <w:pPr>
                    <w:pStyle w:val="30"/>
                    <w:pBdr>
                      <w:bottom w:val="single" w:color="DDDDDD" w:sz="6" w:space="7"/>
                    </w:pBdr>
                    <w:spacing w:line="360" w:lineRule="exact"/>
                    <w:ind w:firstLine="210" w:firstLineChars="100"/>
                    <w:jc w:val="both"/>
                    <w:rPr>
                      <w:color w:val="000000" w:themeColor="text1"/>
                      <w:kern w:val="0"/>
                      <w:szCs w:val="21"/>
                    </w:rPr>
                  </w:pPr>
                  <w:r>
                    <w:rPr>
                      <w:color w:val="000000" w:themeColor="text1"/>
                      <w:kern w:val="0"/>
                      <w:szCs w:val="21"/>
                    </w:rPr>
                    <w:t>水利部发布18项传统高耗水行业包括：钢铁、火力发电、石油炼制、选煤、罐头食品、食糖、毛皮、皮革、核电、氨纶、锦纶、聚酯涤纶、维纶、再生涤纶、多晶硅、离子型稀土矿冶炼分离、对二甲苯、精对二甲苯。</w:t>
                  </w:r>
                </w:p>
                <w:p>
                  <w:pPr>
                    <w:pStyle w:val="30"/>
                    <w:pBdr>
                      <w:bottom w:val="single" w:color="DDDDDD" w:sz="6" w:space="7"/>
                    </w:pBdr>
                    <w:spacing w:line="360" w:lineRule="exact"/>
                    <w:ind w:firstLine="210" w:firstLineChars="100"/>
                    <w:jc w:val="both"/>
                    <w:rPr>
                      <w:color w:val="000000" w:themeColor="text1"/>
                      <w:kern w:val="0"/>
                      <w:szCs w:val="21"/>
                    </w:rPr>
                  </w:pPr>
                  <w:r>
                    <w:rPr>
                      <w:color w:val="000000" w:themeColor="text1"/>
                      <w:kern w:val="0"/>
                      <w:szCs w:val="21"/>
                    </w:rPr>
                    <w:t>本改扩建项目</w:t>
                  </w:r>
                  <w:r>
                    <w:rPr>
                      <w:rFonts w:hint="eastAsia"/>
                      <w:color w:val="000000" w:themeColor="text1"/>
                      <w:kern w:val="0"/>
                      <w:szCs w:val="21"/>
                    </w:rPr>
                    <w:t>属于废弃电器电子产品物理拆解、分类收集项目</w:t>
                  </w:r>
                  <w:r>
                    <w:rPr>
                      <w:color w:val="000000" w:themeColor="text1"/>
                      <w:kern w:val="0"/>
                      <w:szCs w:val="21"/>
                    </w:rPr>
                    <w:t>，不属于水利部发布18项传统高耗水行业。</w:t>
                  </w:r>
                </w:p>
              </w:tc>
              <w:tc>
                <w:tcPr>
                  <w:tcW w:w="783" w:type="dxa"/>
                  <w:vAlign w:val="center"/>
                </w:tcPr>
                <w:p>
                  <w:pPr>
                    <w:pStyle w:val="30"/>
                    <w:spacing w:line="360" w:lineRule="exact"/>
                    <w:rPr>
                      <w:color w:val="000000" w:themeColor="text1"/>
                      <w:kern w:val="0"/>
                      <w:szCs w:val="21"/>
                    </w:rPr>
                  </w:pPr>
                  <w:r>
                    <w:rPr>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51" w:type="dxa"/>
                  <w:vAlign w:val="center"/>
                </w:tcPr>
                <w:p>
                  <w:pPr>
                    <w:pStyle w:val="30"/>
                    <w:spacing w:line="360" w:lineRule="exact"/>
                    <w:rPr>
                      <w:color w:val="000000" w:themeColor="text1"/>
                      <w:kern w:val="0"/>
                      <w:szCs w:val="21"/>
                    </w:rPr>
                  </w:pPr>
                  <w:r>
                    <w:rPr>
                      <w:color w:val="000000" w:themeColor="text1"/>
                      <w:kern w:val="0"/>
                      <w:szCs w:val="21"/>
                    </w:rPr>
                    <w:t>3</w:t>
                  </w:r>
                </w:p>
              </w:tc>
              <w:tc>
                <w:tcPr>
                  <w:tcW w:w="3211" w:type="dxa"/>
                  <w:vAlign w:val="center"/>
                </w:tcPr>
                <w:p>
                  <w:pPr>
                    <w:pStyle w:val="30"/>
                    <w:spacing w:line="360" w:lineRule="exact"/>
                    <w:ind w:firstLine="210" w:firstLineChars="100"/>
                    <w:jc w:val="both"/>
                    <w:rPr>
                      <w:color w:val="000000" w:themeColor="text1"/>
                      <w:kern w:val="0"/>
                      <w:szCs w:val="21"/>
                    </w:rPr>
                  </w:pPr>
                  <w:r>
                    <w:rPr>
                      <w:color w:val="000000" w:themeColor="text1"/>
                      <w:kern w:val="0"/>
                      <w:szCs w:val="21"/>
                    </w:rPr>
                    <w:t>禁止在长江流域河湖管理范围内倾倒、填埋、堆放、弃置、处理固体废物。</w:t>
                  </w:r>
                </w:p>
              </w:tc>
              <w:tc>
                <w:tcPr>
                  <w:tcW w:w="4585" w:type="dxa"/>
                  <w:vAlign w:val="center"/>
                </w:tcPr>
                <w:p>
                  <w:pPr>
                    <w:pStyle w:val="30"/>
                    <w:spacing w:line="360" w:lineRule="exact"/>
                    <w:ind w:firstLine="210" w:firstLineChars="100"/>
                    <w:jc w:val="both"/>
                    <w:rPr>
                      <w:color w:val="000000" w:themeColor="text1"/>
                      <w:kern w:val="0"/>
                      <w:szCs w:val="21"/>
                    </w:rPr>
                  </w:pPr>
                  <w:r>
                    <w:rPr>
                      <w:color w:val="000000" w:themeColor="text1"/>
                      <w:kern w:val="0"/>
                      <w:szCs w:val="21"/>
                    </w:rPr>
                    <w:t>项目位于昆明市东川区再就业特区天生桥特色产业园，该区域不属于长江流域河湖管理范围。</w:t>
                  </w:r>
                </w:p>
              </w:tc>
              <w:tc>
                <w:tcPr>
                  <w:tcW w:w="783" w:type="dxa"/>
                  <w:vAlign w:val="center"/>
                </w:tcPr>
                <w:p>
                  <w:pPr>
                    <w:pStyle w:val="30"/>
                    <w:spacing w:line="360" w:lineRule="exact"/>
                    <w:rPr>
                      <w:color w:val="000000" w:themeColor="text1"/>
                      <w:kern w:val="0"/>
                      <w:szCs w:val="21"/>
                    </w:rPr>
                  </w:pPr>
                  <w:r>
                    <w:rPr>
                      <w:color w:val="000000" w:themeColor="text1"/>
                      <w:kern w:val="0"/>
                      <w:szCs w:val="21"/>
                    </w:rPr>
                    <w:t>符合</w:t>
                  </w:r>
                </w:p>
              </w:tc>
            </w:tr>
          </w:tbl>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综上，项目建设符合</w:t>
            </w:r>
            <w:r>
              <w:rPr>
                <w:rFonts w:ascii="Times New Roman" w:hAnsi="Times New Roman" w:cs="Times New Roman"/>
                <w:color w:val="000000" w:themeColor="text1"/>
                <w:sz w:val="24"/>
                <w:szCs w:val="24"/>
              </w:rPr>
              <w:t>《中华人民共和国长江保护法》</w:t>
            </w:r>
            <w:r>
              <w:rPr>
                <w:rFonts w:hint="eastAsia" w:ascii="Times New Roman" w:hAnsi="Times New Roman" w:cs="Times New Roman"/>
                <w:color w:val="000000" w:themeColor="text1"/>
                <w:sz w:val="24"/>
                <w:szCs w:val="24"/>
              </w:rPr>
              <w:t>的相关要求。</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（3）与《长江经济带发展负面清单指南》（试行）的符合性分析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2019年1月12日，推动长江经济带发展领导小组办公室发布了《关于发布长江经济带发展负面清单指南（试行）的通知》（第89号），项目位于昆明市东川区再就业特区天生桥特色产业园，项目所在地的纳污水体为小江（清水海-入金沙江口段），小江属于长江的上游主要支流。因此，本环评须分析本改扩建项目与《长江经济带发展负面清单指南（试行）》的符合性。</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具体分析如下表所示。</w:t>
            </w:r>
          </w:p>
          <w:p>
            <w:pPr>
              <w:pStyle w:val="15"/>
              <w:spacing w:after="0"/>
              <w:ind w:left="0" w:leftChars="0"/>
              <w:jc w:val="center"/>
              <w:rPr>
                <w:rFonts w:eastAsiaTheme="minorEastAsia"/>
                <w:b/>
                <w:color w:val="000000" w:themeColor="text1"/>
                <w:sz w:val="21"/>
                <w:szCs w:val="21"/>
              </w:rPr>
            </w:pPr>
            <w:r>
              <w:rPr>
                <w:rFonts w:eastAsiaTheme="minorEastAsia"/>
                <w:b/>
                <w:color w:val="000000" w:themeColor="text1"/>
                <w:sz w:val="21"/>
                <w:szCs w:val="21"/>
              </w:rPr>
              <w:t>表1-4 与《长江经济带发展负面清单指南（试行）》符合性分析一览表</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48"/>
              <w:gridCol w:w="3787"/>
              <w:gridCol w:w="3969"/>
              <w:gridCol w:w="7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序号</w:t>
                  </w:r>
                </w:p>
              </w:tc>
              <w:tc>
                <w:tcPr>
                  <w:tcW w:w="3787"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szCs w:val="21"/>
                    </w:rPr>
                    <w:t>长江经济带发展负面清单指南（试行）要求</w:t>
                  </w:r>
                </w:p>
              </w:tc>
              <w:tc>
                <w:tcPr>
                  <w:tcW w:w="3969"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本改扩建项目实际情况</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1</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禁止建设不符合全国和省级港口布局规划以及港口总体规划的码头项目，禁止建设不符合《长江干线过江通道布局规划》的过江通道项目。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项目位于昆明市东川区再就业特区天生桥特色产业园，不涉及码头及过江通道。</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2</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禁止在自然保护区核心区、缓冲区的岸线和河段范围内投资建设旅游和生产经营项目。禁止在风景名胜区核心景区的岸线和河段范围内投资建设与风景名胜资源保护无关的项目；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项目位于昆明市东川区再就业特区天生桥特色产业园，不涉及自然保护区核心区、风景名胜区等特殊敏感区。</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3</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项目位于昆明市东川区再就业特区天生桥特色产业园，</w:t>
                  </w:r>
                  <w:r>
                    <w:rPr>
                      <w:color w:val="000000" w:themeColor="text1"/>
                      <w:kern w:val="0"/>
                      <w:szCs w:val="21"/>
                    </w:rPr>
                    <w:t>不涉及到饮用水水源地的一级保护区或二级保护区。</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4</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在水产种植资源保护区的岸线和河段范围内新建排放口，以及围湖造田、围海造地或填海等投资建设项目。禁止在国家湿地公园的岸线和河段范围内挖沙、采矿，以及任何不符合主体功能定位的投资建设项目。</w:t>
                  </w:r>
                </w:p>
              </w:tc>
              <w:tc>
                <w:tcPr>
                  <w:tcW w:w="3969" w:type="dxa"/>
                  <w:vAlign w:val="center"/>
                </w:tcPr>
                <w:p>
                  <w:pPr>
                    <w:pStyle w:val="30"/>
                    <w:spacing w:line="360" w:lineRule="exact"/>
                    <w:ind w:firstLine="210" w:firstLineChars="100"/>
                    <w:jc w:val="both"/>
                    <w:rPr>
                      <w:color w:val="000000" w:themeColor="text1"/>
                      <w:kern w:val="0"/>
                      <w:szCs w:val="21"/>
                    </w:rPr>
                  </w:pPr>
                  <w:r>
                    <w:rPr>
                      <w:color w:val="000000" w:themeColor="text1"/>
                      <w:kern w:val="0"/>
                      <w:szCs w:val="21"/>
                    </w:rPr>
                    <w:t>本改扩建项目</w:t>
                  </w:r>
                  <w:r>
                    <w:rPr>
                      <w:rFonts w:hint="eastAsia"/>
                      <w:color w:val="000000" w:themeColor="text1"/>
                      <w:kern w:val="0"/>
                      <w:szCs w:val="21"/>
                    </w:rPr>
                    <w:t>属于废弃电器电子产品物理拆解、分类收集项目</w:t>
                  </w:r>
                  <w:r>
                    <w:rPr>
                      <w:color w:val="000000" w:themeColor="text1"/>
                      <w:kern w:val="0"/>
                      <w:szCs w:val="21"/>
                    </w:rPr>
                    <w:t>，项目建设符合主体功能定位，项目所在地的纳污水体为小江（清水海-入金沙江口段），不属于水产种植资源保护区的岸线和河段范围。</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5</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以及保护生态环境、已建重要枢纽工程以外的项目，禁止在《全国重要江河湖泊水功能区划》划定的河段保护区、保留区内投资建设不利于水资源及自然生态保护的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项目位于昆明市东川区再就业特区天生桥特色产业园，项目所在地的纳污水体为黑泥沟河，该河段不属于《长江岸线保护和开发利用总体规划》划定的岸线保护区，也不属于全国重要江河湖泊水功能区划》划定的河段保护区、保留区。</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6</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禁止在生态保护红线和永久基本农田范围内投资建设除国家重大战略资源勘查项目、生态保护修复合环境治理项目、重大基础设施项目、军事国防项目以及农牧民基本生产生活等必要的民生项目以外的项目。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项目位于昆明市东川区再就业特区天生桥特色产业园，</w:t>
                  </w:r>
                  <w:r>
                    <w:rPr>
                      <w:rFonts w:eastAsiaTheme="minorEastAsia"/>
                      <w:color w:val="000000" w:themeColor="text1"/>
                      <w:szCs w:val="21"/>
                    </w:rPr>
                    <w:t>项目建设</w:t>
                  </w:r>
                  <w:r>
                    <w:rPr>
                      <w:rFonts w:eastAsiaTheme="minorEastAsia"/>
                      <w:color w:val="000000" w:themeColor="text1"/>
                      <w:kern w:val="0"/>
                      <w:szCs w:val="21"/>
                    </w:rPr>
                    <w:t>不涉及生态保护红线和永久基本农田。</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7</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禁止在长江干支流1公里范围内新建、扩建化工园区和化工项目。禁止在合规园区外新建、扩建钢铁、石化、化工、焦化、建材、有色等高污染项目。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项目位于昆明市东川区再就业特区天生桥特色产业园，根据周边关系可知，距离小江超过10km，项目所在区域不属于禁建范围。</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8</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禁止新建、扩建不符合国家石化、现代煤化工等产业布局规划的项目。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color w:val="000000" w:themeColor="text1"/>
                      <w:kern w:val="0"/>
                      <w:szCs w:val="21"/>
                    </w:rPr>
                    <w:t>本改扩建项目</w:t>
                  </w:r>
                  <w:r>
                    <w:rPr>
                      <w:rFonts w:hint="eastAsia"/>
                      <w:color w:val="000000" w:themeColor="text1"/>
                      <w:kern w:val="0"/>
                      <w:szCs w:val="21"/>
                    </w:rPr>
                    <w:t>属于废弃电器电子产品物理拆解、分类收集项目</w:t>
                  </w:r>
                  <w:r>
                    <w:rPr>
                      <w:color w:val="000000" w:themeColor="text1"/>
                      <w:kern w:val="0"/>
                      <w:szCs w:val="21"/>
                    </w:rPr>
                    <w:t>，</w:t>
                  </w:r>
                  <w:r>
                    <w:rPr>
                      <w:rFonts w:eastAsiaTheme="minorEastAsia"/>
                      <w:color w:val="000000" w:themeColor="text1"/>
                      <w:kern w:val="0"/>
                      <w:szCs w:val="21"/>
                    </w:rPr>
                    <w:t>不属于不符合国家石化、现代煤化工等产业布局规划的项目。</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9</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禁止新建、扩建法律法规和相关政策明令禁止的落后产能项目。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本改扩建项目属于废弃电器电子产品物理拆解、分类收集项目，不属于《产业结构调整指导目录（2019年本）》中淘汰类或限制类项目，不属于法律法规和相关政策明令禁止的落后产能项目。</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8"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10</w:t>
                  </w:r>
                </w:p>
              </w:tc>
              <w:tc>
                <w:tcPr>
                  <w:tcW w:w="3787"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禁止新建、扩建不符合国家产能置换要求的严重过剩产能行业的项目。</w:t>
                  </w:r>
                </w:p>
              </w:tc>
              <w:tc>
                <w:tcPr>
                  <w:tcW w:w="3969" w:type="dxa"/>
                  <w:vAlign w:val="center"/>
                </w:tcPr>
                <w:p>
                  <w:pPr>
                    <w:pStyle w:val="30"/>
                    <w:spacing w:line="360" w:lineRule="exact"/>
                    <w:ind w:firstLine="210" w:firstLineChars="100"/>
                    <w:jc w:val="both"/>
                    <w:rPr>
                      <w:rFonts w:eastAsiaTheme="minorEastAsia"/>
                      <w:color w:val="000000" w:themeColor="text1"/>
                      <w:kern w:val="0"/>
                      <w:szCs w:val="21"/>
                    </w:rPr>
                  </w:pPr>
                  <w:r>
                    <w:rPr>
                      <w:rFonts w:eastAsiaTheme="minorEastAsia"/>
                      <w:color w:val="000000" w:themeColor="text1"/>
                      <w:kern w:val="0"/>
                      <w:szCs w:val="21"/>
                    </w:rPr>
                    <w:t>本改扩建项目属于废弃电器电子产品物理拆解、分类收集项目，不属于国家产能置换要求的严重过剩产能行业的项目。</w:t>
                  </w:r>
                </w:p>
              </w:tc>
              <w:tc>
                <w:tcPr>
                  <w:tcW w:w="740" w:type="dxa"/>
                  <w:vAlign w:val="center"/>
                </w:tcPr>
                <w:p>
                  <w:pPr>
                    <w:pStyle w:val="30"/>
                    <w:spacing w:line="360" w:lineRule="exact"/>
                    <w:rPr>
                      <w:rFonts w:eastAsiaTheme="minorEastAsia"/>
                      <w:color w:val="000000" w:themeColor="text1"/>
                      <w:kern w:val="0"/>
                      <w:szCs w:val="21"/>
                    </w:rPr>
                  </w:pPr>
                  <w:r>
                    <w:rPr>
                      <w:rFonts w:eastAsiaTheme="minorEastAsia"/>
                      <w:color w:val="000000" w:themeColor="text1"/>
                      <w:kern w:val="0"/>
                      <w:szCs w:val="21"/>
                    </w:rPr>
                    <w:t>符合</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由上表可知，本改扩建项目的建设符合《长江经济带发展负面清单指南（试行）》的要求。</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（4）与《长江经济带生态环境保护规划》符合性分析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长江经济带生态环境保护规划》，项目所在地为长江经济带上游区，规划中指出，长江经济带上游区包括重庆、四川、贵州、云南等省市，区域水土流失、荒漠化严重，矿产资源开发等带来的环境污染和生态破坏问题突出，大城市及周边污染形势严峻。应重点加强水源涵养、水土保持、生物多样性维护和高原湖泊湿地保护，强化自然保护区建设和管护，合理开发利用水资源，禁止煤炭、有色金属、磷矿等资源的无序开发，加大湖库、湿地等敏感区的保护力度，加强云贵川喀斯特地区、金沙江中下游、嘉陵江流域、沱江流域、乌江中上游、三峡库区等区域水土流失治理与生态恢复，推进成渝城市群环境质量持续改善。</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本改扩建项目属于废弃电器电子产品物理拆解、分类收集项目，本改扩建项目的建设与《长江经济带生态环境保护规划》的相关要求不相冲突。</w:t>
            </w:r>
          </w:p>
          <w:p>
            <w:pPr>
              <w:spacing w:line="360" w:lineRule="auto"/>
              <w:ind w:firstLine="480" w:firstLineChars="200"/>
              <w:rPr>
                <w:rFonts w:ascii="Times New Roman" w:hAnsi="Times New Roman" w:cs="Times New Roman"/>
                <w:color w:val="000000" w:themeColor="text1"/>
                <w:sz w:val="24"/>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二、建设项目工程分析</w:t>
      </w:r>
    </w:p>
    <w:tbl>
      <w:tblPr>
        <w:tblStyle w:val="20"/>
        <w:tblW w:w="92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建设内容</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根据项目基本情况，</w:t>
            </w:r>
            <w:r>
              <w:rPr>
                <w:rFonts w:ascii="Times New Roman" w:hAnsi="Times New Roman" w:cs="Times New Roman"/>
                <w:color w:val="000000" w:themeColor="text1"/>
                <w:sz w:val="24"/>
                <w:szCs w:val="24"/>
              </w:rPr>
              <w:t>云南华再新源环保产业发展有限公司</w:t>
            </w:r>
            <w:r>
              <w:rPr>
                <w:rFonts w:hint="eastAsia" w:ascii="Times New Roman" w:hAnsi="Times New Roman" w:cs="Times New Roman"/>
                <w:color w:val="000000" w:themeColor="text1"/>
                <w:sz w:val="24"/>
                <w:szCs w:val="24"/>
              </w:rPr>
              <w:t>综合拆解车间内，实际建成了5条废旧家电处理线，分别为1条废旧冰箱处理线、1条废旧洗衣机处理线、1条空调/小家电/废手机及其视听设备消费电子产品处理线和2条废旧电视处理线（命名为：1号废旧电视机（CRT）处理线、2号废旧电视机（液晶电视）处理线）。根据调查，目前5条废旧家电处理线的基本情况如下：</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（1）废旧冰箱处理线</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根据调查，废旧冰箱处理线原处理规模为</w:t>
            </w:r>
            <w:r>
              <w:rPr>
                <w:rFonts w:ascii="Times New Roman" w:hAnsi="Times New Roman" w:cs="Times New Roman"/>
                <w:color w:val="000000" w:themeColor="text1"/>
                <w:sz w:val="24"/>
                <w:szCs w:val="24"/>
              </w:rPr>
              <w:t>60台/h，已不能满足废旧冰箱的处理要求，因此建设单位</w:t>
            </w:r>
            <w:r>
              <w:rPr>
                <w:rFonts w:hint="eastAsia" w:ascii="Times New Roman" w:hAnsi="Times New Roman" w:cs="Times New Roman"/>
                <w:color w:val="000000" w:themeColor="text1"/>
                <w:sz w:val="24"/>
                <w:szCs w:val="24"/>
              </w:rPr>
              <w:t>已于2020年对废旧冰箱处理线通过更换设备的方式进行了</w:t>
            </w:r>
            <w:r>
              <w:rPr>
                <w:rFonts w:ascii="Times New Roman" w:hAnsi="Times New Roman" w:cs="Times New Roman"/>
                <w:color w:val="000000" w:themeColor="text1"/>
                <w:sz w:val="24"/>
                <w:szCs w:val="24"/>
              </w:rPr>
              <w:t>升级改造</w:t>
            </w:r>
            <w:r>
              <w:rPr>
                <w:rFonts w:hint="eastAsia" w:ascii="Times New Roman" w:hAnsi="Times New Roman" w:cs="Times New Roman"/>
                <w:color w:val="000000" w:themeColor="text1"/>
                <w:sz w:val="24"/>
                <w:szCs w:val="24"/>
              </w:rPr>
              <w:t>，将其处理能力提升至了100台/h（30万台/a），该项目已于2020年6月22日取得昆明市生态环境局东川分局下发的《关于对冰箱线物理拆解、分类收集改扩建项目环境影响报告表的批复》（昆生环（东）复【2020】19号），项目取得批复后开始建设，现已建设完成，并于2021年5月28日完成自主竣工验收。</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废旧冰箱处理线废气通过项目区DA003排气筒外排。</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（2）废旧洗衣机处理线</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根据调查，项目正常运营期间，废旧洗衣机处理线的废旧洗衣机现有拆解工位6个，实际处理能力为90台/h；</w:t>
            </w:r>
            <w:r>
              <w:rPr>
                <w:rFonts w:ascii="Times New Roman" w:hAnsi="Times New Roman" w:cs="Times New Roman"/>
                <w:color w:val="000000" w:themeColor="text1"/>
                <w:sz w:val="24"/>
                <w:szCs w:val="24"/>
              </w:rPr>
              <w:t>随着企业的发展，</w:t>
            </w:r>
            <w:r>
              <w:rPr>
                <w:rFonts w:hint="eastAsia" w:ascii="Times New Roman" w:hAnsi="Times New Roman" w:cs="Times New Roman"/>
                <w:color w:val="000000" w:themeColor="text1"/>
                <w:sz w:val="24"/>
                <w:szCs w:val="24"/>
              </w:rPr>
              <w:t>市场废旧洗衣机量的增加，现有的废旧洗衣机处理线</w:t>
            </w:r>
            <w:r>
              <w:rPr>
                <w:rFonts w:ascii="Times New Roman" w:hAnsi="Times New Roman" w:cs="Times New Roman"/>
                <w:color w:val="000000" w:themeColor="text1"/>
                <w:sz w:val="24"/>
                <w:szCs w:val="24"/>
              </w:rPr>
              <w:t>已不能满足废旧冰箱的处理要求，</w:t>
            </w:r>
            <w:r>
              <w:rPr>
                <w:rFonts w:hint="eastAsia" w:ascii="Times New Roman" w:hAnsi="Times New Roman" w:cs="Times New Roman"/>
                <w:color w:val="000000" w:themeColor="text1"/>
                <w:sz w:val="24"/>
                <w:szCs w:val="24"/>
              </w:rPr>
              <w:t>因此项目拟对该生产线进行改扩建，具体方案为拟新增4个拆解工位，使废旧洗衣机的实际处理能力达到150台/h（30万台/a），同时对其传输平台进行升级，并在现有危险废物贮存间上方设置一个塑料分选平台，将废旧洗衣机拆解的塑料进行分选出</w:t>
            </w:r>
            <w:r>
              <w:rPr>
                <w:rFonts w:ascii="Times New Roman" w:hAnsi="Times New Roman" w:cs="Times New Roman"/>
                <w:color w:val="000000" w:themeColor="text1"/>
                <w:sz w:val="24"/>
                <w:szCs w:val="24"/>
              </w:rPr>
              <w:t>ABS、PS两大类塑料</w:t>
            </w:r>
            <w:r>
              <w:rPr>
                <w:rFonts w:hint="eastAsia" w:ascii="Times New Roman" w:hAnsi="Times New Roman" w:cs="Times New Roman"/>
                <w:color w:val="000000" w:themeColor="text1"/>
                <w:sz w:val="24"/>
                <w:szCs w:val="24"/>
              </w:rPr>
              <w:t>，并在厂房外围的大棚内设置两台破碎机，分别对</w:t>
            </w:r>
            <w:r>
              <w:rPr>
                <w:rFonts w:ascii="Times New Roman" w:hAnsi="Times New Roman" w:cs="Times New Roman"/>
                <w:color w:val="000000" w:themeColor="text1"/>
                <w:sz w:val="24"/>
                <w:szCs w:val="24"/>
              </w:rPr>
              <w:t>ABS、PS两大类塑料</w:t>
            </w:r>
            <w:r>
              <w:rPr>
                <w:rFonts w:hint="eastAsia" w:ascii="Times New Roman" w:hAnsi="Times New Roman" w:cs="Times New Roman"/>
                <w:color w:val="000000" w:themeColor="text1"/>
                <w:sz w:val="24"/>
                <w:szCs w:val="24"/>
              </w:rPr>
              <w:t>进行破碎。</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废旧洗衣机处理线废气通过项目区DA003排气筒外排；但由于本次技改后废旧洗衣机线新增了4个拆解工位和2套破碎设备，其风量将增大，为了方便管理，拟新增1根15m排气筒（DA005）单独排放废旧洗衣机处理线废气。</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（3）空调/小家电/废手机及其视听设备消费电子产品处理线</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现有工程环评，空调/小家电/废手机及其视听设备消费电子产品处理线共设置了1个喷吹室、6个工位和1套空调制冷剂回收系统，对空调/小家电/废手机及其视听设备电子产品进行拆解，拆解废旧空调50台/h（20万台/a），拆解废旧电脑主机50台/h（20万台/a），拆解废旧手机及其视听设备电子产品50台/h（20万台/a）；根据项目实际情况，仅对电脑主机进行了拆解，其他废旧电器均未拆解，因此其冷媒回收机、抽氟机等设备已拆除，因此建设单位拟按原环评及批复对其拆除设备进行恢复，不改变拆解工艺和规模。</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空调/小家电/废手机及其视听设备消费电子产品处理线废气通过项目区DA001排气筒外排。</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（4）1号废旧电视机（CRT）处理线</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根据调查，项目正常运营期间，主要拆除的废旧电视主要以老式的CRT电视为主，该生产线运行正常，其拆解能力为90台/h（45万台/a） ，此次技改不对其进行升级改造，该生产线按原方式进行生产。</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1号废旧电视机（CRT）处理线普通粉尘通过DA001排气筒外排；1号废旧电视机（CRT）处理线含铅粉尘通过DA002排气筒外排。</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（5）2号废旧电视机（液晶电视）处理线</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目前2号废旧电视机（液晶电视）处理线未正常运行，主要原因为整个废旧市场中液晶电视的报废率较低，项目运营期间，基本没有回收到废旧液晶电视进行拆除，以至于现有设备闲置损坏，根据建设单位的市场调研，液晶电视的报废率开始增加，因此，建设单位拟对该生产线进行升级改造，以满足液晶电视的处理需求。其主要升级改造方案为：对2号废旧电视机（液晶电视）处理线增加2台荧光灯管背光模组负压拆解工作台及其环保设施，达到拆解处理液晶电视机、显示器的能力，最终实现拆解90台/h（45万台/a）液晶电视机液晶显示器的能力。最终实现拆解显示设备（含CRT、液晶电视、电脑液晶显示器）90万台/年的拆解处理能力。</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2号废旧电视机（液晶电视）处理线废气通过DA001排气筒外排。</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建设内容及规模</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（1）建设规模</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次技改主要对项目5条拆解线中的2两条拆解线进行技改，技改后废旧冰箱处理线处理规模不变为100台/h（30万台/a）、废旧洗衣机处理线规模由90台/h（18万台/a）提高至150台/h（30万台/a），并增加了塑料破碎系统、空调/小家电/废手机及其视听设备消费电子产品处理线处理规模不变为拆解废旧空调50台/h（20万台/a），拆解废旧电脑主机50台/h（20万台/a），拆解废旧手机及其视听设备电子产品50台/h（20万台/a）、1号废旧电视机（CRT）处理线处理规模不变为拆解能力为90台/h（45万台/a）、2号废旧电视机（液晶电视）处理线处理规模不变为拆解液晶电视机（液晶显示器）90台/h（45万台/a），但增加了2台荧光灯管背光模组负压拆解工作台及其环保设施。</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（2）建设内容</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根据设计，</w:t>
            </w:r>
            <w:r>
              <w:rPr>
                <w:rFonts w:hint="eastAsia" w:ascii="Times New Roman" w:hAnsi="Times New Roman" w:cs="Times New Roman"/>
                <w:color w:val="000000" w:themeColor="text1"/>
                <w:sz w:val="24"/>
                <w:szCs w:val="24"/>
              </w:rPr>
              <w:t>本次技改项目废旧冰箱处理线和1号废旧电视机（CRT）处理线不变，主要建设内容为对废旧洗衣机处理线拟新增4个拆解工位，并在现有危险废物贮存间上方设置一个塑料分选平台，将废旧洗衣机拆解的塑料进行分选出</w:t>
            </w:r>
            <w:r>
              <w:rPr>
                <w:rFonts w:ascii="Times New Roman" w:hAnsi="Times New Roman" w:cs="Times New Roman"/>
                <w:color w:val="000000" w:themeColor="text1"/>
                <w:sz w:val="24"/>
                <w:szCs w:val="24"/>
              </w:rPr>
              <w:t>ABS、PS两大类塑料</w:t>
            </w:r>
            <w:r>
              <w:rPr>
                <w:rFonts w:hint="eastAsia" w:ascii="Times New Roman" w:hAnsi="Times New Roman" w:cs="Times New Roman"/>
                <w:color w:val="000000" w:themeColor="text1"/>
                <w:sz w:val="24"/>
                <w:szCs w:val="24"/>
              </w:rPr>
              <w:t>，并在厂房外围的大棚内设置两台破碎机，分别对</w:t>
            </w:r>
            <w:r>
              <w:rPr>
                <w:rFonts w:ascii="Times New Roman" w:hAnsi="Times New Roman" w:cs="Times New Roman"/>
                <w:color w:val="000000" w:themeColor="text1"/>
                <w:sz w:val="24"/>
                <w:szCs w:val="24"/>
              </w:rPr>
              <w:t>ABS、PS两大类塑料</w:t>
            </w:r>
            <w:r>
              <w:rPr>
                <w:rFonts w:hint="eastAsia" w:ascii="Times New Roman" w:hAnsi="Times New Roman" w:cs="Times New Roman"/>
                <w:color w:val="000000" w:themeColor="text1"/>
                <w:sz w:val="24"/>
                <w:szCs w:val="24"/>
              </w:rPr>
              <w:t>进行破碎；对2号废旧电视机（液晶电视）处理线增加了2台荧光灯管背光模组负压拆解工作台及其环保设施；将恢复空调/小家电/废手机及其视听设备消费电子产品处理线原有设施。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项目主要工程内容如下表所示。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000000" w:themeColor="text1"/>
                <w:sz w:val="21"/>
                <w:szCs w:val="21"/>
              </w:rPr>
            </w:pPr>
            <w:r>
              <w:rPr>
                <w:rFonts w:hAnsi="Times New Roman" w:eastAsiaTheme="minorEastAsia"/>
                <w:bCs/>
                <w:snapToGrid w:val="0"/>
                <w:color w:val="000000" w:themeColor="text1"/>
                <w:sz w:val="21"/>
                <w:szCs w:val="21"/>
              </w:rPr>
              <w:t>表2.1-1 项目建设内容组成一览表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58"/>
              <w:gridCol w:w="1125"/>
              <w:gridCol w:w="5273"/>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pPr>
                    <w:pStyle w:val="30"/>
                    <w:spacing w:line="360" w:lineRule="exact"/>
                    <w:rPr>
                      <w:color w:val="000000" w:themeColor="text1"/>
                      <w:szCs w:val="21"/>
                    </w:rPr>
                  </w:pPr>
                  <w:r>
                    <w:rPr>
                      <w:color w:val="000000" w:themeColor="text1"/>
                      <w:szCs w:val="21"/>
                    </w:rPr>
                    <w:t>类别</w:t>
                  </w:r>
                </w:p>
              </w:tc>
              <w:tc>
                <w:tcPr>
                  <w:tcW w:w="1041" w:type="pct"/>
                  <w:gridSpan w:val="2"/>
                  <w:vAlign w:val="center"/>
                </w:tcPr>
                <w:p>
                  <w:pPr>
                    <w:pStyle w:val="30"/>
                    <w:spacing w:line="360" w:lineRule="exact"/>
                    <w:rPr>
                      <w:color w:val="000000" w:themeColor="text1"/>
                      <w:szCs w:val="21"/>
                    </w:rPr>
                  </w:pPr>
                  <w:r>
                    <w:rPr>
                      <w:color w:val="000000" w:themeColor="text1"/>
                      <w:szCs w:val="21"/>
                    </w:rPr>
                    <w:t>工程内容</w:t>
                  </w:r>
                </w:p>
              </w:tc>
              <w:tc>
                <w:tcPr>
                  <w:tcW w:w="2915" w:type="pct"/>
                  <w:vAlign w:val="center"/>
                </w:tcPr>
                <w:p>
                  <w:pPr>
                    <w:pStyle w:val="30"/>
                    <w:spacing w:line="360" w:lineRule="exact"/>
                    <w:rPr>
                      <w:color w:val="000000" w:themeColor="text1"/>
                      <w:szCs w:val="21"/>
                    </w:rPr>
                  </w:pPr>
                  <w:r>
                    <w:rPr>
                      <w:color w:val="000000" w:themeColor="text1"/>
                      <w:szCs w:val="21"/>
                    </w:rPr>
                    <w:t>建筑内容及规模</w:t>
                  </w:r>
                </w:p>
              </w:tc>
              <w:tc>
                <w:tcPr>
                  <w:tcW w:w="618" w:type="pct"/>
                  <w:vAlign w:val="center"/>
                </w:tcPr>
                <w:p>
                  <w:pPr>
                    <w:pStyle w:val="30"/>
                    <w:spacing w:line="360" w:lineRule="exact"/>
                    <w:rPr>
                      <w:color w:val="000000" w:themeColor="text1"/>
                      <w:szCs w:val="21"/>
                    </w:rPr>
                  </w:pPr>
                  <w:r>
                    <w:rPr>
                      <w:color w:val="000000" w:themeColor="text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vAlign w:val="center"/>
                </w:tcPr>
                <w:p>
                  <w:pPr>
                    <w:pStyle w:val="30"/>
                    <w:spacing w:line="360" w:lineRule="exact"/>
                    <w:rPr>
                      <w:color w:val="000000" w:themeColor="text1"/>
                      <w:szCs w:val="21"/>
                    </w:rPr>
                  </w:pPr>
                  <w:r>
                    <w:rPr>
                      <w:color w:val="000000" w:themeColor="text1"/>
                      <w:szCs w:val="21"/>
                    </w:rPr>
                    <w:t>主体工程</w:t>
                  </w:r>
                </w:p>
              </w:tc>
              <w:tc>
                <w:tcPr>
                  <w:tcW w:w="419" w:type="pct"/>
                  <w:vMerge w:val="restart"/>
                  <w:vAlign w:val="center"/>
                </w:tcPr>
                <w:p>
                  <w:pPr>
                    <w:pStyle w:val="30"/>
                    <w:spacing w:line="360" w:lineRule="exact"/>
                    <w:rPr>
                      <w:color w:val="000000" w:themeColor="text1"/>
                      <w:szCs w:val="21"/>
                    </w:rPr>
                  </w:pPr>
                  <w:r>
                    <w:rPr>
                      <w:rFonts w:hint="eastAsia"/>
                      <w:color w:val="000000" w:themeColor="text1"/>
                      <w:szCs w:val="21"/>
                    </w:rPr>
                    <w:t>生产车间</w:t>
                  </w:r>
                </w:p>
              </w:tc>
              <w:tc>
                <w:tcPr>
                  <w:tcW w:w="622" w:type="pct"/>
                  <w:vAlign w:val="center"/>
                </w:tcPr>
                <w:p>
                  <w:pPr>
                    <w:pStyle w:val="30"/>
                    <w:spacing w:line="360" w:lineRule="exact"/>
                    <w:rPr>
                      <w:color w:val="000000" w:themeColor="text1"/>
                      <w:szCs w:val="21"/>
                    </w:rPr>
                  </w:pPr>
                  <w:r>
                    <w:rPr>
                      <w:rFonts w:hint="eastAsia"/>
                      <w:color w:val="000000" w:themeColor="text1"/>
                      <w:szCs w:val="21"/>
                    </w:rPr>
                    <w:t>废旧冰箱处理线</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项目废旧冰箱处理线的占地面积约为</w:t>
                  </w:r>
                  <w:r>
                    <w:rPr>
                      <w:rFonts w:hint="eastAsia"/>
                      <w:color w:val="000000" w:themeColor="text1"/>
                      <w:szCs w:val="21"/>
                    </w:rPr>
                    <w:t>120</w:t>
                  </w:r>
                  <w:r>
                    <w:rPr>
                      <w:color w:val="000000" w:themeColor="text1"/>
                      <w:szCs w:val="21"/>
                    </w:rPr>
                    <w:t>0m²，废旧冰箱处理线</w:t>
                  </w:r>
                  <w:r>
                    <w:rPr>
                      <w:rFonts w:hint="eastAsia"/>
                      <w:color w:val="000000" w:themeColor="text1"/>
                      <w:szCs w:val="21"/>
                    </w:rPr>
                    <w:t>配套设置</w:t>
                  </w:r>
                  <w:r>
                    <w:rPr>
                      <w:color w:val="000000" w:themeColor="text1"/>
                      <w:szCs w:val="21"/>
                    </w:rPr>
                    <w:t>预处理工序</w:t>
                  </w:r>
                  <w:r>
                    <w:rPr>
                      <w:rFonts w:hint="eastAsia"/>
                      <w:color w:val="000000" w:themeColor="text1"/>
                      <w:szCs w:val="21"/>
                    </w:rPr>
                    <w:t>、</w:t>
                  </w:r>
                  <w:r>
                    <w:rPr>
                      <w:color w:val="000000" w:themeColor="text1"/>
                      <w:szCs w:val="21"/>
                    </w:rPr>
                    <w:t>破碎工序</w:t>
                  </w:r>
                  <w:r>
                    <w:rPr>
                      <w:rFonts w:hint="eastAsia"/>
                      <w:color w:val="000000" w:themeColor="text1"/>
                      <w:szCs w:val="21"/>
                    </w:rPr>
                    <w:t>和</w:t>
                  </w:r>
                  <w:r>
                    <w:rPr>
                      <w:color w:val="000000" w:themeColor="text1"/>
                      <w:szCs w:val="21"/>
                    </w:rPr>
                    <w:t>分选工序</w:t>
                  </w:r>
                  <w:r>
                    <w:rPr>
                      <w:rFonts w:hint="eastAsia"/>
                      <w:color w:val="000000" w:themeColor="text1"/>
                      <w:szCs w:val="21"/>
                    </w:rPr>
                    <w:t>等设施区域，处理废旧冰箱100台/h，该生产线的工作制度为年生产300d，每天生产10h，可处理废旧冰箱30万台/a。</w:t>
                  </w:r>
                </w:p>
                <w:p>
                  <w:pPr>
                    <w:pStyle w:val="30"/>
                    <w:spacing w:line="360" w:lineRule="exact"/>
                    <w:ind w:firstLine="210" w:firstLineChars="100"/>
                    <w:jc w:val="both"/>
                    <w:rPr>
                      <w:color w:val="000000" w:themeColor="text1"/>
                      <w:szCs w:val="21"/>
                    </w:rPr>
                  </w:pPr>
                  <w:r>
                    <w:rPr>
                      <w:rFonts w:hint="eastAsia"/>
                      <w:color w:val="000000" w:themeColor="text1"/>
                      <w:szCs w:val="21"/>
                    </w:rPr>
                    <w:t>废旧冰箱处理线产生的粉尘及有机废气经集气罩收集、管道运输至旋风除尘+3#脉冲除尘器+有机废气处理装置处理后，单独通过DA003排气筒外排。</w:t>
                  </w:r>
                </w:p>
                <w:p>
                  <w:pPr>
                    <w:pStyle w:val="30"/>
                    <w:spacing w:line="360" w:lineRule="exact"/>
                    <w:ind w:firstLine="210" w:firstLineChars="100"/>
                    <w:jc w:val="both"/>
                    <w:rPr>
                      <w:color w:val="000000" w:themeColor="text1"/>
                      <w:szCs w:val="21"/>
                    </w:rPr>
                  </w:pPr>
                  <w:r>
                    <w:rPr>
                      <w:rFonts w:hint="eastAsia"/>
                      <w:color w:val="000000" w:themeColor="text1"/>
                      <w:szCs w:val="21"/>
                    </w:rPr>
                    <w:t>该生产线已于2020年6月22日取得昆明市生态环境局东川分局下发的《关于对冰箱线物理拆解、分类收集改扩建项目环境影响报告表的批复》（昆生环（东）复【2020】19号），项目取得批复后开始建设，现已建设完成，并于2021年5月28日完成自主竣工验收。</w:t>
                  </w:r>
                </w:p>
                <w:p>
                  <w:pPr>
                    <w:pStyle w:val="30"/>
                    <w:spacing w:line="360" w:lineRule="exact"/>
                    <w:ind w:firstLine="210" w:firstLineChars="100"/>
                    <w:jc w:val="both"/>
                    <w:rPr>
                      <w:color w:val="000000" w:themeColor="text1"/>
                      <w:szCs w:val="21"/>
                    </w:rPr>
                  </w:pPr>
                  <w:r>
                    <w:rPr>
                      <w:rFonts w:hint="eastAsia"/>
                      <w:color w:val="000000" w:themeColor="text1"/>
                      <w:szCs w:val="21"/>
                    </w:rPr>
                    <w:t>本次技改不涉及该生产线，该生产线环保手续齐全。</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已建成，正常运行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color w:val="000000" w:themeColor="text1"/>
                      <w:szCs w:val="21"/>
                    </w:rPr>
                    <w:t>废旧洗衣机处理线</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项目废旧洗衣机处理线的占地面积约为</w:t>
                  </w:r>
                  <w:r>
                    <w:rPr>
                      <w:rFonts w:hint="eastAsia"/>
                      <w:color w:val="000000" w:themeColor="text1"/>
                      <w:szCs w:val="21"/>
                    </w:rPr>
                    <w:t>90</w:t>
                  </w:r>
                  <w:r>
                    <w:rPr>
                      <w:color w:val="000000" w:themeColor="text1"/>
                      <w:szCs w:val="21"/>
                    </w:rPr>
                    <w:t>0m²，废旧洗衣机处理线</w:t>
                  </w:r>
                  <w:r>
                    <w:rPr>
                      <w:rFonts w:hint="eastAsia"/>
                      <w:color w:val="000000" w:themeColor="text1"/>
                      <w:szCs w:val="21"/>
                    </w:rPr>
                    <w:t>属于单工位拆解，即每个工位即可对每台废旧洗衣机主要组成结构进行拆解，目前项目已设置了6个拆解工位，拟新增4个拆解工位，合计设置10个拆解工位和1台液压杵；同时对其传输平台进行升级，并在现有危险废物贮存间上方设置一个塑料手工分选平台，将废旧洗衣机拆解的塑料进行分选出</w:t>
                  </w:r>
                  <w:r>
                    <w:rPr>
                      <w:color w:val="000000" w:themeColor="text1"/>
                      <w:szCs w:val="21"/>
                    </w:rPr>
                    <w:t>ABS、PS两大类塑料</w:t>
                  </w:r>
                  <w:r>
                    <w:rPr>
                      <w:rFonts w:hint="eastAsia"/>
                      <w:color w:val="000000" w:themeColor="text1"/>
                      <w:szCs w:val="21"/>
                    </w:rPr>
                    <w:t>，并在厂房外围的大棚内设置两台破碎机，分别对</w:t>
                  </w:r>
                  <w:r>
                    <w:rPr>
                      <w:color w:val="000000" w:themeColor="text1"/>
                      <w:szCs w:val="21"/>
                    </w:rPr>
                    <w:t>ABS、PS两大类塑料</w:t>
                  </w:r>
                  <w:r>
                    <w:rPr>
                      <w:rFonts w:hint="eastAsia"/>
                      <w:color w:val="000000" w:themeColor="text1"/>
                      <w:szCs w:val="21"/>
                    </w:rPr>
                    <w:t>进行破碎。</w:t>
                  </w:r>
                  <w:r>
                    <w:rPr>
                      <w:color w:val="000000" w:themeColor="text1"/>
                      <w:szCs w:val="21"/>
                    </w:rPr>
                    <w:t>废旧洗衣机处理线处理能力达到150台/h，该生产线工作制度为年生产200d，每天生产10h，可处理废旧洗衣机30万台/a。</w:t>
                  </w:r>
                </w:p>
                <w:p>
                  <w:pPr>
                    <w:pStyle w:val="30"/>
                    <w:spacing w:line="360" w:lineRule="exact"/>
                    <w:ind w:firstLine="210" w:firstLineChars="100"/>
                    <w:jc w:val="both"/>
                    <w:rPr>
                      <w:color w:val="000000" w:themeColor="text1"/>
                      <w:szCs w:val="21"/>
                    </w:rPr>
                  </w:pPr>
                  <w:r>
                    <w:rPr>
                      <w:rFonts w:hint="eastAsia"/>
                      <w:color w:val="000000" w:themeColor="text1"/>
                      <w:szCs w:val="21"/>
                    </w:rPr>
                    <w:t>废旧洗衣机处理线产生的粉尘通过集气罩收集、管道运输后进入4#脉冲除尘器处理后，单独通过DA005排气筒外排。</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本次技改线，未技改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项目空调/小家电/废手机及其视听设备消费电子产品处理线的占地面积约为</w:t>
                  </w:r>
                  <w:r>
                    <w:rPr>
                      <w:rFonts w:hint="eastAsia"/>
                      <w:color w:val="000000" w:themeColor="text1"/>
                      <w:szCs w:val="21"/>
                    </w:rPr>
                    <w:t>60</w:t>
                  </w:r>
                  <w:r>
                    <w:rPr>
                      <w:color w:val="000000" w:themeColor="text1"/>
                      <w:szCs w:val="21"/>
                    </w:rPr>
                    <w:t>0m²，</w:t>
                  </w:r>
                  <w:r>
                    <w:rPr>
                      <w:rFonts w:hint="eastAsia"/>
                      <w:color w:val="000000" w:themeColor="text1"/>
                      <w:szCs w:val="21"/>
                    </w:rPr>
                    <w:t>根据现有工程环评，空调/小家电/废手机及其视听设备消费电子产品处理线共设置了1个喷吹室、6个工位和1套空调制冷剂回收系统，对空调/小家电/废手机及其视听设备电子产品进行拆解，拆解废旧空调50台/h（20万台/a），拆解废旧电脑主机50台/h（20万台/a），拆解废旧手机及其视听设备电子产品50台/h（20万台/a）；根据项目实际情况，仅对电脑主机进行了拆解，其他废旧电器均未拆解，因此其1套空调制冷剂回收系统（冷媒回收机、抽氟机）已拆除，因此建设单位拟按原环评及批复对其拆除设备进行恢复，不改变拆解工艺和规模。</w:t>
                  </w:r>
                </w:p>
                <w:p>
                  <w:pPr>
                    <w:pStyle w:val="30"/>
                    <w:spacing w:line="360" w:lineRule="exact"/>
                    <w:ind w:firstLine="210" w:firstLineChars="100"/>
                    <w:jc w:val="both"/>
                    <w:rPr>
                      <w:color w:val="000000" w:themeColor="text1"/>
                      <w:szCs w:val="21"/>
                    </w:rPr>
                  </w:pPr>
                  <w:r>
                    <w:rPr>
                      <w:rFonts w:hint="eastAsia"/>
                      <w:color w:val="000000" w:themeColor="text1"/>
                      <w:szCs w:val="21"/>
                    </w:rPr>
                    <w:t>空调/小家电/废手机及其视听设备消费电子产品处理线产生的粉尘通过集气罩收集、管道输送至1#脉冲除尘器处理后通过DA001排气筒外排。</w:t>
                  </w:r>
                </w:p>
                <w:p>
                  <w:pPr>
                    <w:pStyle w:val="30"/>
                    <w:spacing w:line="360" w:lineRule="exact"/>
                    <w:ind w:firstLine="210" w:firstLineChars="100"/>
                    <w:jc w:val="both"/>
                    <w:rPr>
                      <w:color w:val="000000" w:themeColor="text1"/>
                      <w:szCs w:val="21"/>
                    </w:rPr>
                  </w:pPr>
                  <w:r>
                    <w:rPr>
                      <w:rFonts w:hint="eastAsia"/>
                      <w:color w:val="000000" w:themeColor="text1"/>
                      <w:szCs w:val="21"/>
                    </w:rPr>
                    <w:t>本次技改不涉及该生产线，该生产线环保手续齐全。</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恢复现有工程生产线，本次技改工程不涉及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color w:val="000000" w:themeColor="text1"/>
                      <w:szCs w:val="21"/>
                    </w:rPr>
                    <w:t>1号废旧电视机（CRT）处理线</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项目1号废旧电视机（CRT）处理线的占地面积约为</w:t>
                  </w:r>
                  <w:r>
                    <w:rPr>
                      <w:rFonts w:hint="eastAsia"/>
                      <w:color w:val="000000" w:themeColor="text1"/>
                      <w:szCs w:val="21"/>
                    </w:rPr>
                    <w:t>100</w:t>
                  </w:r>
                  <w:r>
                    <w:rPr>
                      <w:color w:val="000000" w:themeColor="text1"/>
                      <w:szCs w:val="21"/>
                    </w:rPr>
                    <w:t>0m²，1号废旧电视机（CRT）处理线</w:t>
                  </w:r>
                  <w:r>
                    <w:rPr>
                      <w:rFonts w:hint="eastAsia"/>
                      <w:color w:val="000000" w:themeColor="text1"/>
                      <w:szCs w:val="21"/>
                    </w:rPr>
                    <w:t>配套设置有1个后壳拆除区、1个破碎区、2个人工喷吹室、1条人工拆解线工作台、1个防爆带切割区和1间阴极射线管（CRT）拆解区（含7个阴极射线管（CRT）拆解工作台），处理废旧CRT电视机90台/h，该生产线的工作制度为年生产300d，每天生产10h，可处理废旧CRT电视机45万台/a。</w:t>
                  </w:r>
                </w:p>
                <w:p>
                  <w:pPr>
                    <w:pStyle w:val="30"/>
                    <w:spacing w:line="360" w:lineRule="exact"/>
                    <w:ind w:firstLine="210" w:firstLineChars="100"/>
                    <w:jc w:val="both"/>
                    <w:rPr>
                      <w:color w:val="000000" w:themeColor="text1"/>
                      <w:szCs w:val="21"/>
                    </w:rPr>
                  </w:pPr>
                  <w:r>
                    <w:rPr>
                      <w:rFonts w:hint="eastAsia"/>
                      <w:color w:val="000000" w:themeColor="text1"/>
                      <w:szCs w:val="21"/>
                    </w:rPr>
                    <w:t>1号废旧电视机（CRT）处理线阴极射线管（CRT）拆解前端的粉尘为普通粉尘，通过集气罩收集、管道输送至1#脉冲除尘器处理后通过DA001排气筒外排、而阴极射线管（CRT）拆解产生的粉尘为含铅粉尘单独经集气罩收集、管道输送至2#脉冲除尘器处理后通过DA002排气筒外排。</w:t>
                  </w:r>
                </w:p>
                <w:p>
                  <w:pPr>
                    <w:pStyle w:val="30"/>
                    <w:spacing w:line="360" w:lineRule="exact"/>
                    <w:ind w:firstLine="210" w:firstLineChars="100"/>
                    <w:jc w:val="both"/>
                    <w:rPr>
                      <w:color w:val="000000" w:themeColor="text1"/>
                      <w:szCs w:val="21"/>
                    </w:rPr>
                  </w:pPr>
                  <w:r>
                    <w:rPr>
                      <w:rFonts w:hint="eastAsia"/>
                      <w:color w:val="000000" w:themeColor="text1"/>
                      <w:szCs w:val="21"/>
                    </w:rPr>
                    <w:t>本次技改不涉及该生产线，该生产线环保手续齐全。</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已建成，正常运行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rFonts w:hint="eastAsia"/>
                      <w:color w:val="000000" w:themeColor="text1"/>
                      <w:szCs w:val="21"/>
                    </w:rPr>
                    <w:t>2号废旧电视机（液晶电视）处理线</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项目2号废旧电视机（液晶电视）处理线的占地面积约为</w:t>
                  </w:r>
                  <w:r>
                    <w:rPr>
                      <w:rFonts w:hint="eastAsia"/>
                      <w:color w:val="000000" w:themeColor="text1"/>
                      <w:szCs w:val="21"/>
                    </w:rPr>
                    <w:t>80</w:t>
                  </w:r>
                  <w:r>
                    <w:rPr>
                      <w:color w:val="000000" w:themeColor="text1"/>
                      <w:szCs w:val="21"/>
                    </w:rPr>
                    <w:t>0m²，</w:t>
                  </w:r>
                  <w:r>
                    <w:rPr>
                      <w:rFonts w:hint="eastAsia"/>
                      <w:color w:val="000000" w:themeColor="text1"/>
                      <w:szCs w:val="21"/>
                    </w:rPr>
                    <w:t>2号废旧电视机（液晶电视）处理线属于单工位拆解，即每个工位即可对每台废旧洗衣机主要组成结构进行拆解，目前项目已设置了6个拆解工位，此次技改拟增加2台荧光灯管背光模组负压拆解工作台及其环保设施，该生产线的工作制度为年生产300d，每天生产10h，可处理废旧液晶电视（液晶显示器）45万台/a。</w:t>
                  </w:r>
                </w:p>
                <w:p>
                  <w:pPr>
                    <w:pStyle w:val="30"/>
                    <w:spacing w:line="360" w:lineRule="exact"/>
                    <w:ind w:firstLine="210" w:firstLineChars="100"/>
                    <w:jc w:val="both"/>
                    <w:rPr>
                      <w:color w:val="000000" w:themeColor="text1"/>
                      <w:szCs w:val="21"/>
                    </w:rPr>
                  </w:pPr>
                  <w:r>
                    <w:rPr>
                      <w:rFonts w:hint="eastAsia"/>
                      <w:color w:val="000000" w:themeColor="text1"/>
                      <w:szCs w:val="21"/>
                    </w:rPr>
                    <w:t>正常情况下背光模组含汞灯管不会破碎，但为了防治含汞灯管破碎汞溢出，则将2台荧光灯管背光模组负压拆解工作台设置为密封式透明负压拆解工作台，人在负压拆解工作台外，手伸入负压工作台内对荧光灯管背光模组进行手工拆解；并配套设置汞及其化合物处理装置对汞及其化合物进行处理，处理后和该拆解线经集气罩收集的粉尘一起经管道运输后进入1#脉冲除尘器处理后通过DA001排气筒外排。</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本次技改线，未技改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shd w:val="clear" w:color="auto" w:fill="auto"/>
                  <w:vAlign w:val="center"/>
                </w:tcPr>
                <w:p>
                  <w:pPr>
                    <w:pStyle w:val="30"/>
                    <w:spacing w:line="360" w:lineRule="exact"/>
                    <w:rPr>
                      <w:color w:val="000000" w:themeColor="text1"/>
                      <w:szCs w:val="21"/>
                    </w:rPr>
                  </w:pPr>
                  <w:r>
                    <w:rPr>
                      <w:color w:val="000000" w:themeColor="text1"/>
                      <w:szCs w:val="21"/>
                    </w:rPr>
                    <w:t>储运工程</w:t>
                  </w:r>
                </w:p>
              </w:tc>
              <w:tc>
                <w:tcPr>
                  <w:tcW w:w="1041" w:type="pct"/>
                  <w:gridSpan w:val="2"/>
                  <w:vAlign w:val="center"/>
                </w:tcPr>
                <w:p>
                  <w:pPr>
                    <w:pStyle w:val="30"/>
                    <w:spacing w:line="360" w:lineRule="exact"/>
                    <w:rPr>
                      <w:color w:val="000000" w:themeColor="text1"/>
                      <w:szCs w:val="21"/>
                    </w:rPr>
                  </w:pPr>
                  <w:r>
                    <w:rPr>
                      <w:color w:val="000000" w:themeColor="text1"/>
                      <w:szCs w:val="21"/>
                    </w:rPr>
                    <w:t>仓储库房</w:t>
                  </w:r>
                </w:p>
              </w:tc>
              <w:tc>
                <w:tcPr>
                  <w:tcW w:w="2915" w:type="pct"/>
                  <w:shd w:val="clear" w:color="auto" w:fill="auto"/>
                  <w:vAlign w:val="center"/>
                </w:tcPr>
                <w:p>
                  <w:pPr>
                    <w:pStyle w:val="30"/>
                    <w:spacing w:line="360" w:lineRule="exact"/>
                    <w:ind w:firstLine="210" w:firstLineChars="100"/>
                    <w:jc w:val="both"/>
                    <w:rPr>
                      <w:color w:val="000000" w:themeColor="text1"/>
                      <w:szCs w:val="21"/>
                    </w:rPr>
                  </w:pPr>
                  <w:r>
                    <w:rPr>
                      <w:color w:val="000000" w:themeColor="text1"/>
                      <w:szCs w:val="21"/>
                    </w:rPr>
                    <w:t>根据设计，该改扩建项目仅对生产线进行技改和扩建，不对储存仓库等设施进行改造，根据调查，项目目前已设置有7300m²的仓库已进行环评和竣工验收，可满足该改扩建项目的原料及拆解后的产品储存要求。</w:t>
                  </w:r>
                </w:p>
              </w:tc>
              <w:tc>
                <w:tcPr>
                  <w:tcW w:w="618" w:type="pct"/>
                  <w:vAlign w:val="center"/>
                </w:tcPr>
                <w:p>
                  <w:pPr>
                    <w:pStyle w:val="30"/>
                    <w:spacing w:line="360" w:lineRule="exact"/>
                    <w:ind w:firstLine="210" w:firstLineChars="100"/>
                    <w:jc w:val="both"/>
                    <w:rPr>
                      <w:color w:val="000000" w:themeColor="text1"/>
                      <w:szCs w:val="21"/>
                    </w:rPr>
                  </w:pPr>
                  <w:r>
                    <w:rPr>
                      <w:color w:val="000000" w:themeColor="text1"/>
                      <w:szCs w:val="21"/>
                    </w:rPr>
                    <w:t>沿用、满足要求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shd w:val="clear" w:color="auto" w:fill="auto"/>
                  <w:vAlign w:val="center"/>
                </w:tcPr>
                <w:p>
                  <w:pPr>
                    <w:pStyle w:val="30"/>
                    <w:spacing w:line="360" w:lineRule="exact"/>
                    <w:rPr>
                      <w:color w:val="000000" w:themeColor="text1"/>
                      <w:szCs w:val="21"/>
                    </w:rPr>
                  </w:pPr>
                  <w:r>
                    <w:rPr>
                      <w:rFonts w:hint="eastAsia"/>
                      <w:color w:val="000000" w:themeColor="text1"/>
                      <w:szCs w:val="21"/>
                    </w:rPr>
                    <w:t>配套工程</w:t>
                  </w:r>
                </w:p>
              </w:tc>
              <w:tc>
                <w:tcPr>
                  <w:tcW w:w="1041" w:type="pct"/>
                  <w:gridSpan w:val="2"/>
                  <w:vAlign w:val="center"/>
                </w:tcPr>
                <w:p>
                  <w:pPr>
                    <w:pStyle w:val="30"/>
                    <w:spacing w:line="360" w:lineRule="exact"/>
                    <w:rPr>
                      <w:color w:val="000000" w:themeColor="text1"/>
                      <w:szCs w:val="21"/>
                    </w:rPr>
                  </w:pPr>
                  <w:r>
                    <w:rPr>
                      <w:color w:val="000000" w:themeColor="text1"/>
                      <w:szCs w:val="21"/>
                    </w:rPr>
                    <w:t>办公生活设施</w:t>
                  </w:r>
                </w:p>
              </w:tc>
              <w:tc>
                <w:tcPr>
                  <w:tcW w:w="2915" w:type="pct"/>
                  <w:shd w:val="clear" w:color="auto" w:fill="auto"/>
                  <w:vAlign w:val="center"/>
                </w:tcPr>
                <w:p>
                  <w:pPr>
                    <w:pStyle w:val="30"/>
                    <w:spacing w:line="360" w:lineRule="exact"/>
                    <w:ind w:firstLine="210" w:firstLineChars="100"/>
                    <w:jc w:val="both"/>
                    <w:rPr>
                      <w:color w:val="000000" w:themeColor="text1"/>
                      <w:szCs w:val="21"/>
                    </w:rPr>
                  </w:pPr>
                  <w:r>
                    <w:rPr>
                      <w:color w:val="000000" w:themeColor="text1"/>
                      <w:szCs w:val="21"/>
                    </w:rPr>
                    <w:t>根据设计，虽然该改扩建项目产能扩大，</w:t>
                  </w:r>
                  <w:r>
                    <w:rPr>
                      <w:rFonts w:hint="eastAsia"/>
                      <w:color w:val="000000" w:themeColor="text1"/>
                      <w:szCs w:val="21"/>
                    </w:rPr>
                    <w:t>但项目现有员工可满足生产线的生产要求，</w:t>
                  </w:r>
                  <w:r>
                    <w:rPr>
                      <w:color w:val="000000" w:themeColor="text1"/>
                      <w:szCs w:val="21"/>
                    </w:rPr>
                    <w:t>因此项目生产线不新增员工，其办公生活设施依然沿用现有办公及生活设施，可满足使用要求。</w:t>
                  </w:r>
                </w:p>
              </w:tc>
              <w:tc>
                <w:tcPr>
                  <w:tcW w:w="618" w:type="pct"/>
                  <w:vAlign w:val="center"/>
                </w:tcPr>
                <w:p>
                  <w:pPr>
                    <w:pStyle w:val="30"/>
                    <w:spacing w:line="360" w:lineRule="exact"/>
                    <w:rPr>
                      <w:color w:val="000000" w:themeColor="text1"/>
                      <w:szCs w:val="21"/>
                    </w:rPr>
                  </w:pPr>
                  <w:r>
                    <w:rPr>
                      <w:color w:val="000000" w:themeColor="text1"/>
                      <w:szCs w:val="21"/>
                    </w:rPr>
                    <w:t>沿用、满足要求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vAlign w:val="center"/>
                </w:tcPr>
                <w:p>
                  <w:pPr>
                    <w:pStyle w:val="30"/>
                    <w:spacing w:line="360" w:lineRule="exact"/>
                    <w:rPr>
                      <w:color w:val="000000" w:themeColor="text1"/>
                      <w:szCs w:val="21"/>
                    </w:rPr>
                  </w:pPr>
                  <w:r>
                    <w:rPr>
                      <w:color w:val="000000" w:themeColor="text1"/>
                      <w:szCs w:val="21"/>
                    </w:rPr>
                    <w:t>公用工程</w:t>
                  </w:r>
                </w:p>
              </w:tc>
              <w:tc>
                <w:tcPr>
                  <w:tcW w:w="1041" w:type="pct"/>
                  <w:gridSpan w:val="2"/>
                  <w:vAlign w:val="center"/>
                </w:tcPr>
                <w:p>
                  <w:pPr>
                    <w:pStyle w:val="30"/>
                    <w:spacing w:line="360" w:lineRule="exact"/>
                    <w:rPr>
                      <w:color w:val="000000" w:themeColor="text1"/>
                      <w:szCs w:val="21"/>
                    </w:rPr>
                  </w:pPr>
                  <w:r>
                    <w:rPr>
                      <w:color w:val="000000" w:themeColor="text1"/>
                      <w:szCs w:val="21"/>
                    </w:rPr>
                    <w:t>供电</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该项目供电由昆明市东川区再就业特区天生桥特色产业园供电系统接入。</w:t>
                  </w:r>
                </w:p>
              </w:tc>
              <w:tc>
                <w:tcPr>
                  <w:tcW w:w="618" w:type="pct"/>
                  <w:vAlign w:val="center"/>
                </w:tcPr>
                <w:p>
                  <w:pPr>
                    <w:pStyle w:val="30"/>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1041" w:type="pct"/>
                  <w:gridSpan w:val="2"/>
                  <w:vAlign w:val="center"/>
                </w:tcPr>
                <w:p>
                  <w:pPr>
                    <w:pStyle w:val="30"/>
                    <w:spacing w:line="360" w:lineRule="exact"/>
                    <w:rPr>
                      <w:color w:val="000000" w:themeColor="text1"/>
                      <w:szCs w:val="21"/>
                    </w:rPr>
                  </w:pPr>
                  <w:r>
                    <w:rPr>
                      <w:color w:val="000000" w:themeColor="text1"/>
                      <w:szCs w:val="21"/>
                    </w:rPr>
                    <w:t>给水</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（1）生产用水</w:t>
                  </w:r>
                </w:p>
                <w:p>
                  <w:pPr>
                    <w:pStyle w:val="30"/>
                    <w:spacing w:line="360" w:lineRule="exact"/>
                    <w:ind w:firstLine="210" w:firstLineChars="100"/>
                    <w:jc w:val="both"/>
                    <w:rPr>
                      <w:color w:val="000000" w:themeColor="text1"/>
                      <w:szCs w:val="21"/>
                    </w:rPr>
                  </w:pPr>
                  <w:r>
                    <w:rPr>
                      <w:rFonts w:hint="eastAsia"/>
                      <w:color w:val="000000" w:themeColor="text1"/>
                      <w:szCs w:val="21"/>
                    </w:rPr>
                    <w:t>本次技改项目不使用生产用水。</w:t>
                  </w:r>
                </w:p>
                <w:p>
                  <w:pPr>
                    <w:pStyle w:val="30"/>
                    <w:spacing w:line="360" w:lineRule="exact"/>
                    <w:ind w:firstLine="210" w:firstLineChars="100"/>
                    <w:jc w:val="both"/>
                    <w:rPr>
                      <w:color w:val="000000" w:themeColor="text1"/>
                      <w:szCs w:val="21"/>
                    </w:rPr>
                  </w:pPr>
                  <w:r>
                    <w:rPr>
                      <w:color w:val="000000" w:themeColor="text1"/>
                      <w:szCs w:val="21"/>
                    </w:rPr>
                    <w:t>（2）生活用水</w:t>
                  </w:r>
                </w:p>
                <w:p>
                  <w:pPr>
                    <w:pStyle w:val="30"/>
                    <w:spacing w:line="360" w:lineRule="exact"/>
                    <w:ind w:firstLine="210" w:firstLineChars="100"/>
                    <w:jc w:val="both"/>
                    <w:rPr>
                      <w:color w:val="000000" w:themeColor="text1"/>
                      <w:szCs w:val="21"/>
                    </w:rPr>
                  </w:pPr>
                  <w:r>
                    <w:rPr>
                      <w:color w:val="000000" w:themeColor="text1"/>
                      <w:szCs w:val="21"/>
                    </w:rPr>
                    <w:t>生活用水沿用现生活设施使用，使用自来水。</w:t>
                  </w:r>
                </w:p>
              </w:tc>
              <w:tc>
                <w:tcPr>
                  <w:tcW w:w="618" w:type="pct"/>
                  <w:vAlign w:val="center"/>
                </w:tcPr>
                <w:p>
                  <w:pPr>
                    <w:pStyle w:val="30"/>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1041" w:type="pct"/>
                  <w:gridSpan w:val="2"/>
                  <w:vAlign w:val="center"/>
                </w:tcPr>
                <w:p>
                  <w:pPr>
                    <w:pStyle w:val="30"/>
                    <w:spacing w:line="360" w:lineRule="exact"/>
                    <w:rPr>
                      <w:color w:val="000000" w:themeColor="text1"/>
                      <w:szCs w:val="21"/>
                    </w:rPr>
                  </w:pPr>
                  <w:r>
                    <w:rPr>
                      <w:color w:val="000000" w:themeColor="text1"/>
                      <w:szCs w:val="21"/>
                    </w:rPr>
                    <w:t>排水</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该项目采取雨污分流；根据调查，项目区标准厂房及生活办公区均已配套设置了雨水管网及污水管网，可满足雨污分流要求。</w:t>
                  </w:r>
                </w:p>
                <w:p>
                  <w:pPr>
                    <w:pStyle w:val="30"/>
                    <w:spacing w:line="360" w:lineRule="exact"/>
                    <w:ind w:firstLine="210" w:firstLineChars="100"/>
                    <w:jc w:val="both"/>
                    <w:rPr>
                      <w:color w:val="000000" w:themeColor="text1"/>
                      <w:szCs w:val="21"/>
                    </w:rPr>
                  </w:pPr>
                  <w:r>
                    <w:rPr>
                      <w:color w:val="000000" w:themeColor="text1"/>
                      <w:szCs w:val="21"/>
                    </w:rPr>
                    <w:t>（1）生活污水：根据调查，项目针对办公生活区，已配套设置了1个2m³的隔油池、3个5m³的化粪池和1</w:t>
                  </w:r>
                  <w:r>
                    <w:rPr>
                      <w:rFonts w:hint="eastAsia"/>
                      <w:color w:val="000000" w:themeColor="text1"/>
                      <w:szCs w:val="21"/>
                    </w:rPr>
                    <w:t>个</w:t>
                  </w:r>
                  <w:r>
                    <w:rPr>
                      <w:color w:val="000000" w:themeColor="text1"/>
                      <w:szCs w:val="21"/>
                    </w:rPr>
                    <w:t>10m³/d的</w:t>
                  </w:r>
                  <w:r>
                    <w:rPr>
                      <w:rFonts w:hint="eastAsia"/>
                      <w:color w:val="000000" w:themeColor="text1"/>
                      <w:szCs w:val="21"/>
                    </w:rPr>
                    <w:t>污水收集池对生活污水进行处理，处理后回用于绿化不外排；为满足项目区生活污水达标回用，现项目拟建设1套处理能力为30m³/d的一体化污水处理设施对生活污水进行处理。</w:t>
                  </w:r>
                </w:p>
                <w:p>
                  <w:pPr>
                    <w:pStyle w:val="30"/>
                    <w:spacing w:line="360" w:lineRule="exact"/>
                    <w:ind w:firstLine="210" w:firstLineChars="100"/>
                    <w:jc w:val="both"/>
                    <w:rPr>
                      <w:color w:val="000000" w:themeColor="text1"/>
                      <w:szCs w:val="21"/>
                    </w:rPr>
                  </w:pPr>
                  <w:r>
                    <w:rPr>
                      <w:color w:val="000000" w:themeColor="text1"/>
                      <w:szCs w:val="21"/>
                    </w:rPr>
                    <w:t>目前规划的东川再就业特区天生桥特色产业园污水处理厂还未建成，因此项目生活污水近期（园区污水处理厂建成前），项目产生的生活污水通过隔油池、化粪池和一体化污水处理设施处理后，达到《城市污水再生利用 城市杂用水水质》（GB/T18920-2020）城市绿化标准回用于绿化不外排；远期（园区污水处理厂建成后），项目产生的生活污水通过化粪池预处理达到《污水排入城镇下水道水质标准》（GB/T31962-2015）中B级标准后，进入东川再就业特区天生桥特色产业园污水处理厂集中处理；</w:t>
                  </w:r>
                </w:p>
                <w:p>
                  <w:pPr>
                    <w:pStyle w:val="30"/>
                    <w:spacing w:line="360" w:lineRule="exact"/>
                    <w:ind w:firstLine="210" w:firstLineChars="100"/>
                    <w:jc w:val="both"/>
                    <w:rPr>
                      <w:color w:val="000000" w:themeColor="text1"/>
                      <w:szCs w:val="21"/>
                    </w:rPr>
                  </w:pPr>
                  <w:r>
                    <w:rPr>
                      <w:color w:val="000000" w:themeColor="text1"/>
                      <w:szCs w:val="21"/>
                    </w:rPr>
                    <w:t>（2）生产废水：</w:t>
                  </w:r>
                  <w:r>
                    <w:rPr>
                      <w:rFonts w:hint="eastAsia"/>
                      <w:color w:val="000000" w:themeColor="text1"/>
                      <w:szCs w:val="21"/>
                    </w:rPr>
                    <w:t>项目区主要生产废水为</w:t>
                  </w:r>
                  <w:r>
                    <w:rPr>
                      <w:color w:val="000000" w:themeColor="text1"/>
                      <w:szCs w:val="21"/>
                    </w:rPr>
                    <w:t>废旧洗衣机处理线</w:t>
                  </w:r>
                  <w:r>
                    <w:rPr>
                      <w:rFonts w:hint="eastAsia"/>
                      <w:color w:val="000000" w:themeColor="text1"/>
                      <w:szCs w:val="21"/>
                    </w:rPr>
                    <w:t>全自动洗衣机拆解过程中产生的平衡盐水，根据建设单位实际统计，现有工程正常运行期平衡盐水产生量为</w:t>
                  </w:r>
                  <w:r>
                    <w:rPr>
                      <w:color w:val="000000" w:themeColor="text1"/>
                      <w:szCs w:val="21"/>
                    </w:rPr>
                    <w:t>0.15m³/月（0.005m³/d），改扩建后其产生量约为0.008m³/d</w:t>
                  </w:r>
                  <w:r>
                    <w:rPr>
                      <w:rFonts w:hint="eastAsia"/>
                      <w:color w:val="000000" w:themeColor="text1"/>
                      <w:szCs w:val="21"/>
                    </w:rPr>
                    <w:t>，按1:8的比例稀释后，回用于绿化，不外排。</w:t>
                  </w:r>
                </w:p>
                <w:p>
                  <w:pPr>
                    <w:pStyle w:val="30"/>
                    <w:spacing w:line="360" w:lineRule="exact"/>
                    <w:ind w:firstLine="210" w:firstLineChars="100"/>
                    <w:jc w:val="both"/>
                    <w:rPr>
                      <w:color w:val="000000" w:themeColor="text1"/>
                      <w:szCs w:val="21"/>
                    </w:rPr>
                  </w:pPr>
                  <w:r>
                    <w:rPr>
                      <w:rFonts w:hint="eastAsia"/>
                      <w:color w:val="000000" w:themeColor="text1"/>
                      <w:szCs w:val="21"/>
                    </w:rPr>
                    <w:t>（3）初期雨水：整改后</w:t>
                  </w:r>
                  <w:r>
                    <w:rPr>
                      <w:color w:val="000000" w:themeColor="text1"/>
                      <w:szCs w:val="21"/>
                    </w:rPr>
                    <w:t>拟建设1个30m³的初期雨水收集池，对厂区的初期雨水进行收集；收集沉淀处理后回用于项目区绿化，不外排。</w:t>
                  </w:r>
                </w:p>
              </w:tc>
              <w:tc>
                <w:tcPr>
                  <w:tcW w:w="618" w:type="pct"/>
                  <w:vAlign w:val="center"/>
                </w:tcPr>
                <w:p>
                  <w:pPr>
                    <w:pStyle w:val="30"/>
                    <w:spacing w:line="360" w:lineRule="exact"/>
                    <w:rPr>
                      <w:color w:val="000000" w:themeColor="text1"/>
                      <w:szCs w:val="21"/>
                    </w:rPr>
                  </w:pPr>
                  <w:r>
                    <w:rPr>
                      <w:rFonts w:hint="eastAsia"/>
                      <w:color w:val="000000" w:themeColor="text1"/>
                      <w:szCs w:val="21"/>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vAlign w:val="center"/>
                </w:tcPr>
                <w:p>
                  <w:pPr>
                    <w:pStyle w:val="30"/>
                    <w:spacing w:line="360" w:lineRule="exact"/>
                    <w:rPr>
                      <w:color w:val="000000" w:themeColor="text1"/>
                      <w:szCs w:val="21"/>
                    </w:rPr>
                  </w:pPr>
                  <w:r>
                    <w:rPr>
                      <w:color w:val="000000" w:themeColor="text1"/>
                      <w:szCs w:val="21"/>
                    </w:rPr>
                    <w:t>环保工程</w:t>
                  </w:r>
                </w:p>
              </w:tc>
              <w:tc>
                <w:tcPr>
                  <w:tcW w:w="419" w:type="pct"/>
                  <w:vMerge w:val="restart"/>
                  <w:vAlign w:val="center"/>
                </w:tcPr>
                <w:p>
                  <w:pPr>
                    <w:pStyle w:val="30"/>
                    <w:spacing w:line="360" w:lineRule="exact"/>
                    <w:rPr>
                      <w:color w:val="000000" w:themeColor="text1"/>
                      <w:szCs w:val="21"/>
                    </w:rPr>
                  </w:pPr>
                  <w:r>
                    <w:rPr>
                      <w:color w:val="000000" w:themeColor="text1"/>
                      <w:szCs w:val="21"/>
                    </w:rPr>
                    <w:t>废气</w:t>
                  </w:r>
                </w:p>
              </w:tc>
              <w:tc>
                <w:tcPr>
                  <w:tcW w:w="622" w:type="pct"/>
                  <w:vAlign w:val="center"/>
                </w:tcPr>
                <w:p>
                  <w:pPr>
                    <w:pStyle w:val="30"/>
                    <w:spacing w:line="360" w:lineRule="exact"/>
                    <w:rPr>
                      <w:color w:val="000000" w:themeColor="text1"/>
                      <w:szCs w:val="21"/>
                    </w:rPr>
                  </w:pPr>
                  <w:r>
                    <w:rPr>
                      <w:rFonts w:hint="eastAsia"/>
                      <w:color w:val="000000" w:themeColor="text1"/>
                      <w:szCs w:val="21"/>
                    </w:rPr>
                    <w:t>废旧冰箱处理线废气处理设施</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根据调查，废旧冰箱处理线产生的废气主要为非甲烷总烃和粉尘，针对废旧冰箱处理线废气，项目已设置集气效率不低于90%的集气罩、</w:t>
                  </w:r>
                  <w:r>
                    <w:rPr>
                      <w:color w:val="000000" w:themeColor="text1"/>
                      <w:szCs w:val="21"/>
                    </w:rPr>
                    <w:t>1套</w:t>
                  </w:r>
                  <w:r>
                    <w:rPr>
                      <w:rFonts w:hint="eastAsia"/>
                      <w:color w:val="000000" w:themeColor="text1"/>
                      <w:szCs w:val="21"/>
                    </w:rPr>
                    <w:t>去除效率不低于70%的</w:t>
                  </w:r>
                  <w:r>
                    <w:rPr>
                      <w:color w:val="000000" w:themeColor="text1"/>
                      <w:szCs w:val="21"/>
                    </w:rPr>
                    <w:t>旋风除尘器</w:t>
                  </w:r>
                  <w:r>
                    <w:rPr>
                      <w:rFonts w:hint="eastAsia"/>
                      <w:color w:val="000000" w:themeColor="text1"/>
                      <w:szCs w:val="21"/>
                    </w:rPr>
                    <w:t>、</w:t>
                  </w:r>
                  <w:r>
                    <w:rPr>
                      <w:color w:val="000000" w:themeColor="text1"/>
                      <w:szCs w:val="21"/>
                    </w:rPr>
                    <w:t>1套</w:t>
                  </w:r>
                  <w:r>
                    <w:rPr>
                      <w:rFonts w:hint="eastAsia"/>
                      <w:color w:val="000000" w:themeColor="text1"/>
                      <w:szCs w:val="21"/>
                    </w:rPr>
                    <w:t>去除效率不低于95%的</w:t>
                  </w:r>
                  <w:r>
                    <w:rPr>
                      <w:color w:val="000000" w:themeColor="text1"/>
                      <w:szCs w:val="21"/>
                    </w:rPr>
                    <w:t>脉冲除尘器</w:t>
                  </w:r>
                  <w:r>
                    <w:rPr>
                      <w:rFonts w:hint="eastAsia"/>
                      <w:color w:val="000000" w:themeColor="text1"/>
                      <w:szCs w:val="21"/>
                    </w:rPr>
                    <w:t>（3#）、</w:t>
                  </w:r>
                  <w:r>
                    <w:rPr>
                      <w:color w:val="000000" w:themeColor="text1"/>
                      <w:szCs w:val="21"/>
                    </w:rPr>
                    <w:t>1套</w:t>
                  </w:r>
                  <w:r>
                    <w:rPr>
                      <w:rFonts w:hint="eastAsia"/>
                      <w:color w:val="000000" w:themeColor="text1"/>
                      <w:szCs w:val="21"/>
                    </w:rPr>
                    <w:t>去除效率不低于80%的</w:t>
                  </w:r>
                  <w:r>
                    <w:rPr>
                      <w:color w:val="000000" w:themeColor="text1"/>
                      <w:szCs w:val="21"/>
                    </w:rPr>
                    <w:t>有机废气处理装置</w:t>
                  </w:r>
                  <w:r>
                    <w:rPr>
                      <w:rFonts w:hint="eastAsia"/>
                      <w:color w:val="000000" w:themeColor="text1"/>
                      <w:szCs w:val="21"/>
                    </w:rPr>
                    <w:t>（</w:t>
                  </w:r>
                  <w:r>
                    <w:rPr>
                      <w:color w:val="000000" w:themeColor="text1"/>
                      <w:szCs w:val="21"/>
                    </w:rPr>
                    <w:t>采用UV光氧裂解+活性炭吸附</w:t>
                  </w:r>
                  <w:r>
                    <w:rPr>
                      <w:rFonts w:hint="eastAsia"/>
                      <w:color w:val="000000" w:themeColor="text1"/>
                      <w:szCs w:val="21"/>
                    </w:rPr>
                    <w:t>）对其进行处理，处理后通过和1</w:t>
                  </w:r>
                  <w:r>
                    <w:rPr>
                      <w:color w:val="000000" w:themeColor="text1"/>
                      <w:szCs w:val="21"/>
                    </w:rPr>
                    <w:t>根Φ0.5m、高15m的排气筒</w:t>
                  </w:r>
                  <w:r>
                    <w:rPr>
                      <w:rFonts w:hint="eastAsia"/>
                      <w:color w:val="000000" w:themeColor="text1"/>
                      <w:szCs w:val="21"/>
                    </w:rPr>
                    <w:t>（DA003）外排。废旧冰箱处理线废气风量为20000</w:t>
                  </w:r>
                  <w:r>
                    <w:rPr>
                      <w:color w:val="000000" w:themeColor="text1"/>
                      <w:szCs w:val="21"/>
                    </w:rPr>
                    <w:t>m³/</w:t>
                  </w:r>
                  <w:r>
                    <w:rPr>
                      <w:rFonts w:hint="eastAsia"/>
                      <w:color w:val="000000" w:themeColor="text1"/>
                      <w:szCs w:val="21"/>
                    </w:rPr>
                    <w:t>h。</w:t>
                  </w:r>
                </w:p>
                <w:p>
                  <w:pPr>
                    <w:pStyle w:val="30"/>
                    <w:spacing w:line="360" w:lineRule="exact"/>
                    <w:ind w:firstLine="210" w:firstLineChars="100"/>
                    <w:jc w:val="both"/>
                    <w:rPr>
                      <w:color w:val="000000" w:themeColor="text1"/>
                      <w:szCs w:val="21"/>
                      <w:lang w:val="en-US"/>
                    </w:rPr>
                  </w:pPr>
                  <w:r>
                    <w:rPr>
                      <w:rFonts w:hint="eastAsia"/>
                      <w:color w:val="000000" w:themeColor="text1"/>
                      <w:szCs w:val="21"/>
                    </w:rPr>
                    <w:t>此次技改不涉及。</w:t>
                  </w:r>
                </w:p>
              </w:tc>
              <w:tc>
                <w:tcPr>
                  <w:tcW w:w="618" w:type="pct"/>
                  <w:vAlign w:val="center"/>
                </w:tcPr>
                <w:p>
                  <w:pPr>
                    <w:pStyle w:val="30"/>
                    <w:spacing w:line="360" w:lineRule="exact"/>
                    <w:rPr>
                      <w:color w:val="000000" w:themeColor="text1"/>
                      <w:szCs w:val="21"/>
                    </w:rPr>
                  </w:pPr>
                  <w:r>
                    <w:rPr>
                      <w:rFonts w:hint="eastAsia"/>
                      <w:color w:val="000000" w:themeColor="text1"/>
                      <w:szCs w:val="21"/>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color w:val="000000" w:themeColor="text1"/>
                      <w:szCs w:val="21"/>
                    </w:rPr>
                    <w:t>废旧洗衣机处理线</w:t>
                  </w:r>
                  <w:r>
                    <w:rPr>
                      <w:rFonts w:hint="eastAsia"/>
                      <w:color w:val="000000" w:themeColor="text1"/>
                      <w:szCs w:val="21"/>
                    </w:rPr>
                    <w:t>废气处理设施</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根据设计，废旧洗衣机处理线的主要废气为颗粒物，产生节点主要为10个拆解工位和两台破碎机，项目拟设置的措施如下：</w:t>
                  </w:r>
                </w:p>
                <w:p>
                  <w:pPr>
                    <w:pStyle w:val="30"/>
                    <w:spacing w:line="360" w:lineRule="exact"/>
                    <w:ind w:firstLine="210" w:firstLineChars="100"/>
                    <w:jc w:val="both"/>
                    <w:rPr>
                      <w:color w:val="000000" w:themeColor="text1"/>
                      <w:szCs w:val="21"/>
                    </w:rPr>
                  </w:pPr>
                  <w:r>
                    <w:rPr>
                      <w:rFonts w:hint="eastAsia"/>
                      <w:color w:val="000000" w:themeColor="text1"/>
                      <w:szCs w:val="21"/>
                    </w:rPr>
                    <w:t>（1）集气罩</w:t>
                  </w:r>
                </w:p>
                <w:p>
                  <w:pPr>
                    <w:pStyle w:val="30"/>
                    <w:spacing w:line="360" w:lineRule="exact"/>
                    <w:ind w:firstLine="210" w:firstLineChars="100"/>
                    <w:jc w:val="both"/>
                    <w:rPr>
                      <w:color w:val="000000" w:themeColor="text1"/>
                      <w:szCs w:val="21"/>
                    </w:rPr>
                  </w:pPr>
                  <w:r>
                    <w:rPr>
                      <w:rFonts w:hint="eastAsia"/>
                      <w:color w:val="000000" w:themeColor="text1"/>
                      <w:szCs w:val="21"/>
                    </w:rPr>
                    <w:t>项目分别对设置10个拆解工位和两台破碎机设置集气罩，集气罩的集气效率不低于90%；其中拆解工位的集气罩风量为1000</w:t>
                  </w:r>
                  <w:r>
                    <w:rPr>
                      <w:color w:val="000000" w:themeColor="text1"/>
                      <w:szCs w:val="21"/>
                    </w:rPr>
                    <w:t>m³/</w:t>
                  </w:r>
                  <w:r>
                    <w:rPr>
                      <w:rFonts w:hint="eastAsia"/>
                      <w:color w:val="000000" w:themeColor="text1"/>
                      <w:szCs w:val="21"/>
                    </w:rPr>
                    <w:t>h·个，合计10个；两台破碎机集气罩的风量为5000</w:t>
                  </w:r>
                  <w:r>
                    <w:rPr>
                      <w:color w:val="000000" w:themeColor="text1"/>
                      <w:szCs w:val="21"/>
                    </w:rPr>
                    <w:t>m³/</w:t>
                  </w:r>
                  <w:r>
                    <w:rPr>
                      <w:rFonts w:hint="eastAsia"/>
                      <w:color w:val="000000" w:themeColor="text1"/>
                      <w:szCs w:val="21"/>
                    </w:rPr>
                    <w:t>h·个，合计2个，则</w:t>
                  </w:r>
                  <w:r>
                    <w:rPr>
                      <w:color w:val="000000" w:themeColor="text1"/>
                      <w:szCs w:val="21"/>
                    </w:rPr>
                    <w:t>废旧洗衣机处理线</w:t>
                  </w:r>
                  <w:r>
                    <w:rPr>
                      <w:rFonts w:hint="eastAsia"/>
                      <w:color w:val="000000" w:themeColor="text1"/>
                      <w:szCs w:val="21"/>
                    </w:rPr>
                    <w:t>合计风量为20000</w:t>
                  </w:r>
                  <w:r>
                    <w:rPr>
                      <w:color w:val="000000" w:themeColor="text1"/>
                      <w:szCs w:val="21"/>
                    </w:rPr>
                    <w:t>m³/</w:t>
                  </w:r>
                  <w:r>
                    <w:rPr>
                      <w:rFonts w:hint="eastAsia"/>
                      <w:color w:val="000000" w:themeColor="text1"/>
                      <w:szCs w:val="21"/>
                    </w:rPr>
                    <w:t>h。</w:t>
                  </w:r>
                </w:p>
                <w:p>
                  <w:pPr>
                    <w:pStyle w:val="30"/>
                    <w:spacing w:line="360" w:lineRule="exact"/>
                    <w:ind w:firstLine="210" w:firstLineChars="100"/>
                    <w:jc w:val="both"/>
                    <w:rPr>
                      <w:color w:val="000000" w:themeColor="text1"/>
                      <w:szCs w:val="21"/>
                    </w:rPr>
                  </w:pPr>
                  <w:r>
                    <w:rPr>
                      <w:rFonts w:hint="eastAsia"/>
                      <w:color w:val="000000" w:themeColor="text1"/>
                      <w:szCs w:val="21"/>
                    </w:rPr>
                    <w:t>（2）脉冲除尘</w:t>
                  </w:r>
                </w:p>
                <w:p>
                  <w:pPr>
                    <w:pStyle w:val="30"/>
                    <w:spacing w:line="360" w:lineRule="exact"/>
                    <w:ind w:firstLine="210" w:firstLineChars="100"/>
                    <w:jc w:val="both"/>
                    <w:rPr>
                      <w:color w:val="000000" w:themeColor="text1"/>
                      <w:szCs w:val="21"/>
                    </w:rPr>
                  </w:pPr>
                  <w:r>
                    <w:rPr>
                      <w:rFonts w:hint="eastAsia"/>
                      <w:color w:val="000000" w:themeColor="text1"/>
                      <w:szCs w:val="21"/>
                    </w:rPr>
                    <w:t>项目拟设置1个处理效率不低于95%的4#脉冲除尘器对</w:t>
                  </w:r>
                  <w:r>
                    <w:rPr>
                      <w:color w:val="000000" w:themeColor="text1"/>
                      <w:szCs w:val="21"/>
                    </w:rPr>
                    <w:t>废旧洗衣机处理线</w:t>
                  </w:r>
                  <w:r>
                    <w:rPr>
                      <w:rFonts w:hint="eastAsia"/>
                      <w:color w:val="000000" w:themeColor="text1"/>
                      <w:szCs w:val="21"/>
                    </w:rPr>
                    <w:t>产生的废气进行处理。</w:t>
                  </w:r>
                </w:p>
                <w:p>
                  <w:pPr>
                    <w:pStyle w:val="30"/>
                    <w:spacing w:line="360" w:lineRule="exact"/>
                    <w:ind w:firstLine="210" w:firstLineChars="100"/>
                    <w:jc w:val="both"/>
                    <w:rPr>
                      <w:color w:val="000000" w:themeColor="text1"/>
                      <w:szCs w:val="21"/>
                    </w:rPr>
                  </w:pPr>
                  <w:r>
                    <w:rPr>
                      <w:rFonts w:hint="eastAsia"/>
                      <w:color w:val="000000" w:themeColor="text1"/>
                      <w:szCs w:val="21"/>
                    </w:rPr>
                    <w:t>（3）排气筒（DA005）</w:t>
                  </w:r>
                </w:p>
                <w:p>
                  <w:pPr>
                    <w:pStyle w:val="30"/>
                    <w:spacing w:line="360" w:lineRule="exact"/>
                    <w:ind w:firstLine="210" w:firstLineChars="100"/>
                    <w:jc w:val="both"/>
                    <w:rPr>
                      <w:color w:val="000000" w:themeColor="text1"/>
                      <w:szCs w:val="21"/>
                    </w:rPr>
                  </w:pPr>
                  <w:r>
                    <w:rPr>
                      <w:rFonts w:hint="eastAsia"/>
                      <w:color w:val="000000" w:themeColor="text1"/>
                      <w:szCs w:val="21"/>
                    </w:rPr>
                    <w:t>项目拟设置1根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（DA005）外排。</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设计提出，对现有项目环保设施进行改造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空调/小家电/废手机及其视听设备消费电子产品处理线废气处理设施</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根据调查，空调/小家电/废手机及其视听设备消费电子产品处理线产生的废气主要在喷吹室，项目已对喷吹室进行密闭，设置1个集气罩对其进行收集，集气罩的集气效率不低于90%；集气罩风量为5000</w:t>
                  </w:r>
                  <w:r>
                    <w:rPr>
                      <w:color w:val="000000" w:themeColor="text1"/>
                      <w:szCs w:val="21"/>
                    </w:rPr>
                    <w:t>m³/</w:t>
                  </w:r>
                  <w:r>
                    <w:rPr>
                      <w:rFonts w:hint="eastAsia"/>
                      <w:color w:val="000000" w:themeColor="text1"/>
                      <w:szCs w:val="21"/>
                    </w:rPr>
                    <w:t>h，收集后统一进入1个处理效率不低于95%的1#脉冲除尘器对其进行处理后通过1根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已验收，本次恢复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color w:val="000000" w:themeColor="text1"/>
                      <w:szCs w:val="21"/>
                    </w:rPr>
                    <w:t>1号废旧电视机（CRT）处理线</w:t>
                  </w:r>
                  <w:r>
                    <w:rPr>
                      <w:rFonts w:hint="eastAsia"/>
                      <w:color w:val="000000" w:themeColor="text1"/>
                      <w:szCs w:val="21"/>
                    </w:rPr>
                    <w:t>废气处理设施</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w:t>
                  </w:r>
                  <w:r>
                    <w:rPr>
                      <w:color w:val="000000" w:themeColor="text1"/>
                      <w:szCs w:val="21"/>
                    </w:rPr>
                    <w:t>1号废旧电视机（CRT）处理线</w:t>
                  </w:r>
                  <w:r>
                    <w:rPr>
                      <w:rFonts w:hint="eastAsia"/>
                      <w:color w:val="000000" w:themeColor="text1"/>
                      <w:szCs w:val="21"/>
                    </w:rPr>
                    <w:t>产生的废气主要为粉尘，包括阴极射线管（CRT）拆解前端的粉尘为普通粉尘和阴极射线管（CRT）拆解产生的含铅粉尘。项目已采取了下列措施：</w:t>
                  </w:r>
                </w:p>
                <w:p>
                  <w:pPr>
                    <w:pStyle w:val="30"/>
                    <w:spacing w:line="360" w:lineRule="exact"/>
                    <w:ind w:firstLine="210" w:firstLineChars="100"/>
                    <w:jc w:val="both"/>
                    <w:rPr>
                      <w:color w:val="000000" w:themeColor="text1"/>
                      <w:szCs w:val="21"/>
                    </w:rPr>
                  </w:pPr>
                  <w:r>
                    <w:rPr>
                      <w:rFonts w:hint="eastAsia"/>
                      <w:color w:val="000000" w:themeColor="text1"/>
                      <w:szCs w:val="21"/>
                    </w:rPr>
                    <w:t>（1）普通粉尘处理措施</w:t>
                  </w:r>
                </w:p>
                <w:p>
                  <w:pPr>
                    <w:pStyle w:val="30"/>
                    <w:spacing w:line="360" w:lineRule="exact"/>
                    <w:ind w:firstLine="210" w:firstLineChars="100"/>
                    <w:jc w:val="both"/>
                    <w:rPr>
                      <w:color w:val="000000" w:themeColor="text1"/>
                      <w:szCs w:val="21"/>
                    </w:rPr>
                  </w:pPr>
                  <w:r>
                    <w:rPr>
                      <w:rFonts w:hint="eastAsia"/>
                      <w:color w:val="000000" w:themeColor="text1"/>
                      <w:szCs w:val="21"/>
                    </w:rPr>
                    <w:t>根据调查，项目已分别在1个破碎区、2个人工喷吹室、1条人工拆解线工作台分别设置了集气效率不低于90%的集气罩，其中破碎区集气罩风量为5000m³/h；2个人工喷吹室集气罩风量为2000</w:t>
                  </w:r>
                  <w:r>
                    <w:rPr>
                      <w:color w:val="000000" w:themeColor="text1"/>
                      <w:szCs w:val="21"/>
                    </w:rPr>
                    <w:t>m³/</w:t>
                  </w:r>
                  <w:r>
                    <w:rPr>
                      <w:rFonts w:hint="eastAsia"/>
                      <w:color w:val="000000" w:themeColor="text1"/>
                      <w:szCs w:val="21"/>
                    </w:rPr>
                    <w:t>h·个（合计4000</w:t>
                  </w:r>
                  <w:r>
                    <w:rPr>
                      <w:color w:val="000000" w:themeColor="text1"/>
                      <w:szCs w:val="21"/>
                    </w:rPr>
                    <w:t>m³/</w:t>
                  </w:r>
                  <w:r>
                    <w:rPr>
                      <w:rFonts w:hint="eastAsia"/>
                      <w:color w:val="000000" w:themeColor="text1"/>
                      <w:szCs w:val="21"/>
                    </w:rPr>
                    <w:t>h·个）；人工拆解工作台设置4个集气罩，该集气罩的风量为2000</w:t>
                  </w:r>
                  <w:r>
                    <w:rPr>
                      <w:color w:val="000000" w:themeColor="text1"/>
                      <w:szCs w:val="21"/>
                    </w:rPr>
                    <w:t>m³/</w:t>
                  </w:r>
                  <w:r>
                    <w:rPr>
                      <w:rFonts w:hint="eastAsia"/>
                      <w:color w:val="000000" w:themeColor="text1"/>
                      <w:szCs w:val="21"/>
                    </w:rPr>
                    <w:t>h·个（合计8000</w:t>
                  </w:r>
                  <w:r>
                    <w:rPr>
                      <w:color w:val="000000" w:themeColor="text1"/>
                      <w:szCs w:val="21"/>
                    </w:rPr>
                    <w:t>m³/</w:t>
                  </w:r>
                  <w:r>
                    <w:rPr>
                      <w:rFonts w:hint="eastAsia"/>
                      <w:color w:val="000000" w:themeColor="text1"/>
                      <w:szCs w:val="21"/>
                    </w:rPr>
                    <w:t>h），合计</w:t>
                  </w:r>
                  <w:r>
                    <w:rPr>
                      <w:color w:val="000000" w:themeColor="text1"/>
                      <w:szCs w:val="21"/>
                    </w:rPr>
                    <w:t>1号废旧电视机（CRT）处理线</w:t>
                  </w:r>
                  <w:r>
                    <w:rPr>
                      <w:rFonts w:hint="eastAsia"/>
                      <w:color w:val="000000" w:themeColor="text1"/>
                      <w:szCs w:val="21"/>
                    </w:rPr>
                    <w:t>风量为17000</w:t>
                  </w:r>
                  <w:r>
                    <w:rPr>
                      <w:color w:val="000000" w:themeColor="text1"/>
                      <w:szCs w:val="21"/>
                    </w:rPr>
                    <w:t>m³/</w:t>
                  </w:r>
                  <w:r>
                    <w:rPr>
                      <w:rFonts w:hint="eastAsia"/>
                      <w:color w:val="000000" w:themeColor="text1"/>
                      <w:szCs w:val="21"/>
                    </w:rPr>
                    <w:t>h。收集后统一进入1个处理效率不低于95%的1#脉冲除尘器对其进行处理后通过1根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p>
                  <w:pPr>
                    <w:pStyle w:val="30"/>
                    <w:spacing w:line="360" w:lineRule="exact"/>
                    <w:ind w:firstLine="210" w:firstLineChars="100"/>
                    <w:jc w:val="both"/>
                    <w:rPr>
                      <w:color w:val="000000" w:themeColor="text1"/>
                      <w:szCs w:val="21"/>
                    </w:rPr>
                  </w:pPr>
                  <w:r>
                    <w:rPr>
                      <w:rFonts w:hint="eastAsia"/>
                      <w:color w:val="000000" w:themeColor="text1"/>
                      <w:szCs w:val="21"/>
                    </w:rPr>
                    <w:t>（2）含铅粉尘处理措施</w:t>
                  </w:r>
                </w:p>
                <w:p>
                  <w:pPr>
                    <w:pStyle w:val="30"/>
                    <w:spacing w:line="360" w:lineRule="exact"/>
                    <w:ind w:firstLine="210" w:firstLineChars="100"/>
                    <w:jc w:val="both"/>
                    <w:rPr>
                      <w:color w:val="000000" w:themeColor="text1"/>
                      <w:szCs w:val="21"/>
                    </w:rPr>
                  </w:pPr>
                  <w:r>
                    <w:rPr>
                      <w:rFonts w:hint="eastAsia"/>
                      <w:color w:val="000000" w:themeColor="text1"/>
                      <w:szCs w:val="21"/>
                    </w:rPr>
                    <w:t>根据调查，1间阴极射线管（CRT）拆解区产生的粉尘为含铅粉尘，阴极射线管（CRT）拆解区为密闭式拆解区设置7个阴极射线管（CRT）拆解工作台，项目分别对7个阴极射线管（CRT）拆解工作台设置集气效率不低于95%的集气罩；集气罩风量为3000</w:t>
                  </w:r>
                  <w:r>
                    <w:rPr>
                      <w:color w:val="000000" w:themeColor="text1"/>
                      <w:szCs w:val="21"/>
                    </w:rPr>
                    <w:t>m³/</w:t>
                  </w:r>
                  <w:r>
                    <w:rPr>
                      <w:rFonts w:hint="eastAsia"/>
                      <w:color w:val="000000" w:themeColor="text1"/>
                      <w:szCs w:val="21"/>
                    </w:rPr>
                    <w:t>h·个，合计风量为21000</w:t>
                  </w:r>
                  <w:r>
                    <w:rPr>
                      <w:color w:val="000000" w:themeColor="text1"/>
                      <w:szCs w:val="21"/>
                    </w:rPr>
                    <w:t>m³/</w:t>
                  </w:r>
                  <w:r>
                    <w:rPr>
                      <w:rFonts w:hint="eastAsia"/>
                      <w:color w:val="000000" w:themeColor="text1"/>
                      <w:szCs w:val="21"/>
                    </w:rPr>
                    <w:t>h；收集后统一进入1个处理效率不低于95%的2#脉冲除尘器对其进行处理，处理后通过1根Φ0.5m、高15m的排气筒（DA002）外排。</w:t>
                  </w:r>
                </w:p>
              </w:tc>
              <w:tc>
                <w:tcPr>
                  <w:tcW w:w="618" w:type="pct"/>
                  <w:vAlign w:val="center"/>
                </w:tcPr>
                <w:p>
                  <w:pPr>
                    <w:pStyle w:val="30"/>
                    <w:spacing w:line="360" w:lineRule="exact"/>
                    <w:rPr>
                      <w:color w:val="000000" w:themeColor="text1"/>
                      <w:szCs w:val="21"/>
                    </w:rPr>
                  </w:pPr>
                  <w:r>
                    <w:rPr>
                      <w:rFonts w:hint="eastAsia"/>
                      <w:color w:val="000000" w:themeColor="text1"/>
                      <w:szCs w:val="21"/>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rFonts w:hint="eastAsia"/>
                      <w:color w:val="000000" w:themeColor="text1"/>
                      <w:szCs w:val="21"/>
                    </w:rPr>
                    <w:t>2号废旧电视机（液晶电视）处理线废气处理设施</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根据设计，2号废旧电视机（液晶电视）处理线产生的废气主要为粉尘，包括拆解工作台产生的粉尘和荧光灯管背光模组拆解过程产生的汞及其化合物。拟采取的措施如下：</w:t>
                  </w:r>
                </w:p>
                <w:p>
                  <w:pPr>
                    <w:pStyle w:val="30"/>
                    <w:spacing w:line="360" w:lineRule="exact"/>
                    <w:ind w:firstLine="210" w:firstLineChars="100"/>
                    <w:jc w:val="both"/>
                    <w:rPr>
                      <w:color w:val="000000" w:themeColor="text1"/>
                      <w:szCs w:val="21"/>
                    </w:rPr>
                  </w:pPr>
                  <w:r>
                    <w:rPr>
                      <w:rFonts w:hint="eastAsia"/>
                      <w:color w:val="000000" w:themeColor="text1"/>
                      <w:szCs w:val="21"/>
                    </w:rPr>
                    <w:t>（1）普通粉尘处理措施</w:t>
                  </w:r>
                </w:p>
                <w:p>
                  <w:pPr>
                    <w:pStyle w:val="30"/>
                    <w:spacing w:line="360" w:lineRule="exact"/>
                    <w:ind w:firstLine="210" w:firstLineChars="100"/>
                    <w:jc w:val="both"/>
                    <w:rPr>
                      <w:color w:val="000000" w:themeColor="text1"/>
                      <w:szCs w:val="21"/>
                    </w:rPr>
                  </w:pPr>
                  <w:r>
                    <w:rPr>
                      <w:color w:val="000000" w:themeColor="text1"/>
                      <w:szCs w:val="21"/>
                    </w:rPr>
                    <w:t>项目2号废旧电视机（液晶电视）处理线</w:t>
                  </w:r>
                  <w:r>
                    <w:rPr>
                      <w:rFonts w:hint="eastAsia"/>
                      <w:color w:val="000000" w:themeColor="text1"/>
                      <w:szCs w:val="21"/>
                    </w:rPr>
                    <w:t>已设置了6个拆解工位，拟对每个工位设置集气罩，集气效率不低于90%，集气罩风量为1000</w:t>
                  </w:r>
                  <w:r>
                    <w:rPr>
                      <w:color w:val="000000" w:themeColor="text1"/>
                      <w:szCs w:val="21"/>
                    </w:rPr>
                    <w:t>m³/</w:t>
                  </w:r>
                  <w:r>
                    <w:rPr>
                      <w:rFonts w:hint="eastAsia"/>
                      <w:color w:val="000000" w:themeColor="text1"/>
                      <w:szCs w:val="21"/>
                    </w:rPr>
                    <w:t>h·个（合计6000</w:t>
                  </w:r>
                  <w:r>
                    <w:rPr>
                      <w:color w:val="000000" w:themeColor="text1"/>
                      <w:szCs w:val="21"/>
                    </w:rPr>
                    <w:t>m³/</w:t>
                  </w:r>
                  <w:r>
                    <w:rPr>
                      <w:rFonts w:hint="eastAsia"/>
                      <w:color w:val="000000" w:themeColor="text1"/>
                      <w:szCs w:val="21"/>
                    </w:rPr>
                    <w:t>h）；收集后统一进入1个处理效率不低于95%的1#脉冲除尘器对其进行处理后通过1根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 xml:space="preserve">（DA001）外排。 </w:t>
                  </w:r>
                </w:p>
                <w:p>
                  <w:pPr>
                    <w:pStyle w:val="30"/>
                    <w:spacing w:line="360" w:lineRule="exact"/>
                    <w:ind w:firstLine="210" w:firstLineChars="100"/>
                    <w:jc w:val="both"/>
                    <w:rPr>
                      <w:color w:val="000000" w:themeColor="text1"/>
                      <w:szCs w:val="21"/>
                    </w:rPr>
                  </w:pPr>
                  <w:r>
                    <w:rPr>
                      <w:rFonts w:hint="eastAsia"/>
                      <w:color w:val="000000" w:themeColor="text1"/>
                      <w:szCs w:val="21"/>
                    </w:rPr>
                    <w:t>（2）汞及其化合物处理措施</w:t>
                  </w:r>
                </w:p>
                <w:p>
                  <w:pPr>
                    <w:pStyle w:val="30"/>
                    <w:spacing w:line="360" w:lineRule="exact"/>
                    <w:ind w:firstLine="210" w:firstLineChars="100"/>
                    <w:jc w:val="both"/>
                    <w:rPr>
                      <w:color w:val="000000" w:themeColor="text1"/>
                      <w:szCs w:val="21"/>
                    </w:rPr>
                  </w:pPr>
                  <w:r>
                    <w:rPr>
                      <w:rFonts w:hint="eastAsia"/>
                      <w:color w:val="000000" w:themeColor="text1"/>
                      <w:szCs w:val="21"/>
                    </w:rPr>
                    <w:t>由于荧光灯管属于含汞灯管，正常情况下背光模组含汞灯管不会破碎，但为了防治含汞灯管破碎汞溢出，则将2台荧光灯管背光模组负压拆解工作台设置为密封式透明负压拆解工作台，人在负压拆解工作台外，手伸入负压工作台内对荧光灯管背光模组进行手工拆解；汞及其化合物经负压系统全部收集后，通过</w:t>
                  </w:r>
                  <w:r>
                    <w:rPr>
                      <w:color w:val="000000" w:themeColor="text1"/>
                      <w:szCs w:val="21"/>
                    </w:rPr>
                    <w:t>1套</w:t>
                  </w:r>
                  <w:r>
                    <w:rPr>
                      <w:rFonts w:hint="eastAsia"/>
                      <w:color w:val="000000" w:themeColor="text1"/>
                      <w:szCs w:val="21"/>
                    </w:rPr>
                    <w:t>去除效率不低于80%的汞及其化合物处理装置（</w:t>
                  </w:r>
                  <w:r>
                    <w:rPr>
                      <w:color w:val="000000" w:themeColor="text1"/>
                      <w:szCs w:val="21"/>
                    </w:rPr>
                    <w:t>采用UV光氧裂解+</w:t>
                  </w:r>
                  <w:r>
                    <w:rPr>
                      <w:rFonts w:hint="eastAsia"/>
                      <w:color w:val="000000" w:themeColor="text1"/>
                      <w:szCs w:val="21"/>
                    </w:rPr>
                    <w:t>载硫</w:t>
                  </w:r>
                  <w:r>
                    <w:rPr>
                      <w:color w:val="000000" w:themeColor="text1"/>
                      <w:szCs w:val="21"/>
                    </w:rPr>
                    <w:t>活性炭吸附</w:t>
                  </w:r>
                  <w:r>
                    <w:rPr>
                      <w:rFonts w:hint="eastAsia"/>
                      <w:color w:val="000000" w:themeColor="text1"/>
                      <w:szCs w:val="21"/>
                    </w:rPr>
                    <w:t>）对其进行处理，处理后再统一进入1个处理效率不低于95%的1#脉冲除尘器对其进行处理后通过1根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tc>
              <w:tc>
                <w:tcPr>
                  <w:tcW w:w="618"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设计提出，对现有项目环保设施进行改造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1041" w:type="pct"/>
                  <w:gridSpan w:val="2"/>
                  <w:vAlign w:val="center"/>
                </w:tcPr>
                <w:p>
                  <w:pPr>
                    <w:pStyle w:val="30"/>
                    <w:spacing w:line="360" w:lineRule="exact"/>
                    <w:rPr>
                      <w:color w:val="000000" w:themeColor="text1"/>
                      <w:szCs w:val="21"/>
                    </w:rPr>
                  </w:pPr>
                  <w:r>
                    <w:rPr>
                      <w:color w:val="000000" w:themeColor="text1"/>
                      <w:szCs w:val="21"/>
                    </w:rPr>
                    <w:t>雨污分流</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根据调查，项目区已设置了雨污分流设施。</w:t>
                  </w:r>
                </w:p>
              </w:tc>
              <w:tc>
                <w:tcPr>
                  <w:tcW w:w="618" w:type="pct"/>
                  <w:vAlign w:val="center"/>
                </w:tcPr>
                <w:p>
                  <w:pPr>
                    <w:pStyle w:val="30"/>
                    <w:spacing w:line="360" w:lineRule="exact"/>
                    <w:rPr>
                      <w:color w:val="000000" w:themeColor="text1"/>
                      <w:szCs w:val="21"/>
                    </w:rPr>
                  </w:pPr>
                  <w:r>
                    <w:rPr>
                      <w:rFonts w:hint="eastAsia"/>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restart"/>
                  <w:vAlign w:val="center"/>
                </w:tcPr>
                <w:p>
                  <w:pPr>
                    <w:pStyle w:val="30"/>
                    <w:spacing w:line="360" w:lineRule="exact"/>
                    <w:rPr>
                      <w:color w:val="000000" w:themeColor="text1"/>
                      <w:szCs w:val="21"/>
                    </w:rPr>
                  </w:pPr>
                  <w:r>
                    <w:rPr>
                      <w:color w:val="000000" w:themeColor="text1"/>
                      <w:szCs w:val="21"/>
                    </w:rPr>
                    <w:t>废水</w:t>
                  </w:r>
                </w:p>
              </w:tc>
              <w:tc>
                <w:tcPr>
                  <w:tcW w:w="62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盐水缸</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根据调查，项目针对废旧洗衣机线拆解过程产生的平衡盐水，已设置了1个2</w:t>
                  </w:r>
                  <w:r>
                    <w:rPr>
                      <w:color w:val="000000" w:themeColor="text1"/>
                      <w:szCs w:val="21"/>
                    </w:rPr>
                    <w:t>m³的</w:t>
                  </w:r>
                  <w:r>
                    <w:rPr>
                      <w:rFonts w:hint="eastAsia"/>
                      <w:color w:val="000000" w:themeColor="text1"/>
                      <w:szCs w:val="21"/>
                    </w:rPr>
                    <w:t>盐水缸对其进行收集，收集后的措施为经稀释用于厂区绿化，不外排。</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隔油池</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根据调查，厂区内针对</w:t>
                  </w:r>
                  <w:r>
                    <w:rPr>
                      <w:rFonts w:hint="eastAsia"/>
                      <w:color w:val="000000" w:themeColor="text1"/>
                      <w:szCs w:val="21"/>
                    </w:rPr>
                    <w:t>厨房废水</w:t>
                  </w:r>
                  <w:r>
                    <w:rPr>
                      <w:color w:val="000000" w:themeColor="text1"/>
                      <w:szCs w:val="21"/>
                    </w:rPr>
                    <w:t>，已配套设置了1个2m³的隔油池对厨房废水进行预处理。</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化粪池</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根据调查，项目针对办公生活区，已配套设置了3个5m³的化粪池</w:t>
                  </w:r>
                  <w:r>
                    <w:rPr>
                      <w:rFonts w:hint="eastAsia"/>
                      <w:color w:val="000000" w:themeColor="text1"/>
                      <w:szCs w:val="21"/>
                    </w:rPr>
                    <w:t>对生活污水进行处理。</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一体化污水处理设施</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根据调查，项目已设置了</w:t>
                  </w:r>
                  <w:r>
                    <w:rPr>
                      <w:color w:val="000000" w:themeColor="text1"/>
                      <w:szCs w:val="21"/>
                    </w:rPr>
                    <w:t>1</w:t>
                  </w:r>
                  <w:r>
                    <w:rPr>
                      <w:rFonts w:hint="eastAsia"/>
                      <w:color w:val="000000" w:themeColor="text1"/>
                      <w:szCs w:val="21"/>
                    </w:rPr>
                    <w:t>个</w:t>
                  </w:r>
                  <w:r>
                    <w:rPr>
                      <w:color w:val="000000" w:themeColor="text1"/>
                      <w:szCs w:val="21"/>
                    </w:rPr>
                    <w:t>10m³/d的</w:t>
                  </w:r>
                  <w:r>
                    <w:rPr>
                      <w:rFonts w:hint="eastAsia"/>
                      <w:color w:val="000000" w:themeColor="text1"/>
                      <w:szCs w:val="21"/>
                    </w:rPr>
                    <w:t>污水收集池对生活污水进行处理，处理后回用于绿化不外排；但建设单位为了使项目生活污水达标回用，拟建设1套处理能力为30m³/d的一体化污水处理设施对生活污水进行处理。</w:t>
                  </w:r>
                </w:p>
              </w:tc>
              <w:tc>
                <w:tcPr>
                  <w:tcW w:w="618" w:type="pct"/>
                  <w:vAlign w:val="center"/>
                </w:tcPr>
                <w:p>
                  <w:pPr>
                    <w:pStyle w:val="30"/>
                    <w:spacing w:line="360" w:lineRule="exact"/>
                    <w:rPr>
                      <w:color w:val="000000" w:themeColor="text1"/>
                      <w:szCs w:val="21"/>
                    </w:rPr>
                  </w:pPr>
                  <w:r>
                    <w:rPr>
                      <w:rFonts w:hint="eastAsia"/>
                      <w:color w:val="000000" w:themeColor="text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清水池</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根据设计，生活污水经处理后将回用于绿化，为满足雨天等特殊情况，处理后生活污水的暂存要求，项目拟配套设置1个有效容积为30m³的清水池对处理后的生活污水进行暂存。</w:t>
                  </w:r>
                </w:p>
              </w:tc>
              <w:tc>
                <w:tcPr>
                  <w:tcW w:w="618" w:type="pct"/>
                  <w:vAlign w:val="center"/>
                </w:tcPr>
                <w:p>
                  <w:pPr>
                    <w:pStyle w:val="30"/>
                    <w:spacing w:line="360" w:lineRule="exact"/>
                    <w:rPr>
                      <w:color w:val="000000" w:themeColor="text1"/>
                      <w:szCs w:val="21"/>
                    </w:rPr>
                  </w:pPr>
                  <w:r>
                    <w:rPr>
                      <w:rFonts w:hint="eastAsia"/>
                      <w:color w:val="000000" w:themeColor="text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初期雨水收集池</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根据调查，原环评未提出建设初期雨水收集设施，但建设单位为进一步完善厂区雨污分流，拟建设1个30m³的初期雨水收集池，对厂区的初期雨水进行收集；收集沉淀处理后回用于项目区绿化，不外排。</w:t>
                  </w:r>
                </w:p>
              </w:tc>
              <w:tc>
                <w:tcPr>
                  <w:tcW w:w="618" w:type="pct"/>
                  <w:vAlign w:val="center"/>
                </w:tcPr>
                <w:p>
                  <w:pPr>
                    <w:pStyle w:val="30"/>
                    <w:spacing w:line="360" w:lineRule="exact"/>
                    <w:rPr>
                      <w:color w:val="000000" w:themeColor="text1"/>
                      <w:szCs w:val="21"/>
                    </w:rPr>
                  </w:pPr>
                  <w:r>
                    <w:rPr>
                      <w:rFonts w:hint="eastAsia"/>
                      <w:color w:val="000000" w:themeColor="text1"/>
                      <w:szCs w:val="21"/>
                    </w:rPr>
                    <w:t>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restart"/>
                  <w:vAlign w:val="center"/>
                </w:tcPr>
                <w:p>
                  <w:pPr>
                    <w:pStyle w:val="30"/>
                    <w:spacing w:line="360" w:lineRule="exact"/>
                    <w:rPr>
                      <w:color w:val="000000" w:themeColor="text1"/>
                      <w:szCs w:val="21"/>
                    </w:rPr>
                  </w:pPr>
                  <w:r>
                    <w:rPr>
                      <w:color w:val="000000" w:themeColor="text1"/>
                      <w:szCs w:val="21"/>
                    </w:rPr>
                    <w:t>地下水防渗</w:t>
                  </w:r>
                </w:p>
              </w:tc>
              <w:tc>
                <w:tcPr>
                  <w:tcW w:w="622" w:type="pct"/>
                  <w:vAlign w:val="center"/>
                </w:tcPr>
                <w:p>
                  <w:pPr>
                    <w:pStyle w:val="30"/>
                    <w:spacing w:line="360" w:lineRule="exact"/>
                    <w:rPr>
                      <w:color w:val="000000" w:themeColor="text1"/>
                      <w:szCs w:val="21"/>
                    </w:rPr>
                  </w:pPr>
                  <w:r>
                    <w:rPr>
                      <w:color w:val="000000" w:themeColor="text1"/>
                      <w:szCs w:val="21"/>
                    </w:rPr>
                    <w:t>重点防渗区</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根据调查，项目</w:t>
                  </w:r>
                  <w:r>
                    <w:rPr>
                      <w:color w:val="000000" w:themeColor="text1"/>
                      <w:szCs w:val="21"/>
                    </w:rPr>
                    <w:t>重点防渗区为</w:t>
                  </w:r>
                  <w:r>
                    <w:rPr>
                      <w:rFonts w:hint="eastAsia"/>
                      <w:color w:val="000000" w:themeColor="text1"/>
                      <w:szCs w:val="21"/>
                    </w:rPr>
                    <w:t>废电路板暂存区、4个危险废物贮存间；其地面和裙墙均已采用环氧树脂等防渗漆进行防渗</w:t>
                  </w:r>
                  <w:r>
                    <w:rPr>
                      <w:color w:val="000000" w:themeColor="text1"/>
                      <w:szCs w:val="21"/>
                    </w:rPr>
                    <w:t>其渗透系数≤10</w:t>
                  </w:r>
                  <w:r>
                    <w:rPr>
                      <w:color w:val="000000" w:themeColor="text1"/>
                      <w:szCs w:val="21"/>
                      <w:vertAlign w:val="superscript"/>
                    </w:rPr>
                    <w:t>-10</w:t>
                  </w:r>
                  <w:r>
                    <w:rPr>
                      <w:color w:val="000000" w:themeColor="text1"/>
                      <w:szCs w:val="21"/>
                    </w:rPr>
                    <w:t>cm/s；</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color w:val="000000" w:themeColor="text1"/>
                      <w:szCs w:val="21"/>
                    </w:rPr>
                    <w:t>一般防渗区</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根据调查，项目生产车间和仓库均属于一般防渗区</w:t>
                  </w:r>
                  <w:r>
                    <w:rPr>
                      <w:color w:val="000000" w:themeColor="text1"/>
                      <w:szCs w:val="21"/>
                    </w:rPr>
                    <w:t>，一般防渗区措施地面采取粘土铺底，并在上层铺30cm的混凝土进行硬化。</w:t>
                  </w:r>
                  <w:r>
                    <w:rPr>
                      <w:rFonts w:hint="eastAsia"/>
                      <w:color w:val="000000" w:themeColor="text1"/>
                      <w:szCs w:val="21"/>
                    </w:rPr>
                    <w:t>其渗透系数</w:t>
                  </w:r>
                  <w:r>
                    <w:rPr>
                      <w:color w:val="000000" w:themeColor="text1"/>
                      <w:szCs w:val="21"/>
                    </w:rPr>
                    <w:t>≤1.0×10</w:t>
                  </w:r>
                  <w:r>
                    <w:rPr>
                      <w:color w:val="000000" w:themeColor="text1"/>
                      <w:szCs w:val="21"/>
                      <w:vertAlign w:val="superscript"/>
                    </w:rPr>
                    <w:t>-</w:t>
                  </w:r>
                  <w:r>
                    <w:rPr>
                      <w:rFonts w:hint="eastAsia"/>
                      <w:color w:val="000000" w:themeColor="text1"/>
                      <w:szCs w:val="21"/>
                      <w:vertAlign w:val="superscript"/>
                    </w:rPr>
                    <w:t>7</w:t>
                  </w:r>
                  <w:r>
                    <w:rPr>
                      <w:color w:val="000000" w:themeColor="text1"/>
                      <w:szCs w:val="21"/>
                    </w:rPr>
                    <w:t>cm/s</w:t>
                  </w:r>
                  <w:r>
                    <w:rPr>
                      <w:rFonts w:hint="eastAsia"/>
                      <w:color w:val="000000" w:themeColor="text1"/>
                      <w:szCs w:val="21"/>
                    </w:rPr>
                    <w:t>。</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Align w:val="center"/>
                </w:tcPr>
                <w:p>
                  <w:pPr>
                    <w:pStyle w:val="30"/>
                    <w:spacing w:line="360" w:lineRule="exact"/>
                    <w:rPr>
                      <w:color w:val="000000" w:themeColor="text1"/>
                      <w:szCs w:val="21"/>
                    </w:rPr>
                  </w:pPr>
                  <w:r>
                    <w:rPr>
                      <w:color w:val="000000" w:themeColor="text1"/>
                      <w:szCs w:val="21"/>
                    </w:rPr>
                    <w:t>噪声</w:t>
                  </w:r>
                </w:p>
              </w:tc>
              <w:tc>
                <w:tcPr>
                  <w:tcW w:w="622" w:type="pct"/>
                  <w:vAlign w:val="center"/>
                </w:tcPr>
                <w:p>
                  <w:pPr>
                    <w:pStyle w:val="30"/>
                    <w:spacing w:line="360" w:lineRule="exact"/>
                    <w:rPr>
                      <w:color w:val="000000" w:themeColor="text1"/>
                      <w:szCs w:val="21"/>
                    </w:rPr>
                  </w:pPr>
                  <w:r>
                    <w:rPr>
                      <w:color w:val="000000" w:themeColor="text1"/>
                      <w:szCs w:val="21"/>
                    </w:rPr>
                    <w:t>设备噪声</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设备基础加装减震垫、消声器等。</w:t>
                  </w:r>
                </w:p>
              </w:tc>
              <w:tc>
                <w:tcPr>
                  <w:tcW w:w="618" w:type="pct"/>
                  <w:vAlign w:val="center"/>
                </w:tcPr>
                <w:p>
                  <w:pPr>
                    <w:pStyle w:val="30"/>
                    <w:spacing w:line="360" w:lineRule="exact"/>
                    <w:rPr>
                      <w:color w:val="000000" w:themeColor="text1"/>
                      <w:szCs w:val="21"/>
                    </w:rPr>
                  </w:pPr>
                  <w:r>
                    <w:rPr>
                      <w:color w:val="000000" w:themeColor="text1"/>
                      <w:szCs w:val="21"/>
                    </w:rPr>
                    <w:t>设计提出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restart"/>
                  <w:vAlign w:val="center"/>
                </w:tcPr>
                <w:p>
                  <w:pPr>
                    <w:pStyle w:val="30"/>
                    <w:spacing w:line="360" w:lineRule="exact"/>
                    <w:rPr>
                      <w:color w:val="000000" w:themeColor="text1"/>
                      <w:szCs w:val="21"/>
                    </w:rPr>
                  </w:pPr>
                  <w:r>
                    <w:rPr>
                      <w:color w:val="000000" w:themeColor="text1"/>
                      <w:szCs w:val="21"/>
                    </w:rPr>
                    <w:t>固废</w:t>
                  </w:r>
                </w:p>
              </w:tc>
              <w:tc>
                <w:tcPr>
                  <w:tcW w:w="622" w:type="pct"/>
                  <w:vAlign w:val="center"/>
                </w:tcPr>
                <w:p>
                  <w:pPr>
                    <w:pStyle w:val="30"/>
                    <w:spacing w:line="360" w:lineRule="exact"/>
                    <w:rPr>
                      <w:color w:val="000000" w:themeColor="text1"/>
                      <w:szCs w:val="21"/>
                    </w:rPr>
                  </w:pPr>
                  <w:r>
                    <w:rPr>
                      <w:color w:val="000000" w:themeColor="text1"/>
                      <w:szCs w:val="21"/>
                    </w:rPr>
                    <w:t>危险废物贮存间</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根据项目实际情况，该改扩建项目改扩建后其产生的危险废物种类未发生变化，仅为数量增加，根据调查，项目已设置了</w:t>
                  </w:r>
                  <w:r>
                    <w:rPr>
                      <w:rFonts w:hint="eastAsia"/>
                      <w:color w:val="000000" w:themeColor="text1"/>
                      <w:szCs w:val="21"/>
                    </w:rPr>
                    <w:t>面积约200</w:t>
                  </w:r>
                  <w:r>
                    <w:rPr>
                      <w:color w:val="000000" w:themeColor="text1"/>
                      <w:szCs w:val="21"/>
                    </w:rPr>
                    <w:t>m²</w:t>
                  </w:r>
                  <w:r>
                    <w:rPr>
                      <w:rFonts w:hint="eastAsia"/>
                      <w:color w:val="000000" w:themeColor="text1"/>
                      <w:szCs w:val="21"/>
                    </w:rPr>
                    <w:t>的废电路板暂存区、面积约100</w:t>
                  </w:r>
                  <w:r>
                    <w:rPr>
                      <w:color w:val="000000" w:themeColor="text1"/>
                      <w:szCs w:val="21"/>
                    </w:rPr>
                    <w:t>m²</w:t>
                  </w:r>
                  <w:r>
                    <w:rPr>
                      <w:rFonts w:hint="eastAsia"/>
                      <w:color w:val="000000" w:themeColor="text1"/>
                      <w:szCs w:val="21"/>
                    </w:rPr>
                    <w:t>的阴极射线管（锥玻璃）含铅贮存区、</w:t>
                  </w:r>
                  <w:r>
                    <w:rPr>
                      <w:color w:val="000000" w:themeColor="text1"/>
                      <w:szCs w:val="21"/>
                    </w:rPr>
                    <w:t>4个面积分别约为30m²危险废物贮存间，对各类危险废物</w:t>
                  </w:r>
                  <w:r>
                    <w:rPr>
                      <w:rFonts w:hint="eastAsia"/>
                      <w:color w:val="000000" w:themeColor="text1"/>
                      <w:szCs w:val="21"/>
                    </w:rPr>
                    <w:t>和制冷剂</w:t>
                  </w:r>
                  <w:r>
                    <w:rPr>
                      <w:color w:val="000000" w:themeColor="text1"/>
                      <w:szCs w:val="21"/>
                    </w:rPr>
                    <w:t>进行分类暂存，根据实际暂存情况，项目现有的危险废物贮存间可满足项目改扩建后的危险废物贮存需求；各危险废物</w:t>
                  </w:r>
                  <w:r>
                    <w:rPr>
                      <w:rFonts w:hint="eastAsia"/>
                      <w:color w:val="000000" w:themeColor="text1"/>
                      <w:szCs w:val="21"/>
                    </w:rPr>
                    <w:t>及制冷剂</w:t>
                  </w:r>
                  <w:r>
                    <w:rPr>
                      <w:color w:val="000000" w:themeColor="text1"/>
                      <w:szCs w:val="21"/>
                    </w:rPr>
                    <w:t>贮存后，分别委托有资质的单位进行处置。</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rFonts w:hint="eastAsia"/>
                      <w:color w:val="000000" w:themeColor="text1"/>
                      <w:szCs w:val="21"/>
                    </w:rPr>
                    <w:t>生活垃圾桶</w:t>
                  </w:r>
                </w:p>
              </w:tc>
              <w:tc>
                <w:tcPr>
                  <w:tcW w:w="2915" w:type="pct"/>
                  <w:vAlign w:val="center"/>
                </w:tcPr>
                <w:p>
                  <w:pPr>
                    <w:pStyle w:val="30"/>
                    <w:spacing w:line="360" w:lineRule="exact"/>
                    <w:ind w:firstLine="210" w:firstLineChars="100"/>
                    <w:jc w:val="both"/>
                    <w:rPr>
                      <w:color w:val="000000" w:themeColor="text1"/>
                    </w:rPr>
                  </w:pPr>
                  <w:r>
                    <w:rPr>
                      <w:rFonts w:hint="eastAsia"/>
                      <w:color w:val="000000" w:themeColor="text1"/>
                    </w:rPr>
                    <w:t>项目已设置生活垃圾桶，对生活垃圾收集后委托环卫部门进行处理。</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restart"/>
                  <w:vAlign w:val="center"/>
                </w:tcPr>
                <w:p>
                  <w:pPr>
                    <w:pStyle w:val="30"/>
                    <w:spacing w:line="360" w:lineRule="exact"/>
                    <w:rPr>
                      <w:color w:val="000000" w:themeColor="text1"/>
                      <w:szCs w:val="21"/>
                    </w:rPr>
                  </w:pPr>
                  <w:r>
                    <w:rPr>
                      <w:color w:val="000000" w:themeColor="text1"/>
                      <w:szCs w:val="21"/>
                    </w:rPr>
                    <w:t>其他</w:t>
                  </w:r>
                </w:p>
              </w:tc>
              <w:tc>
                <w:tcPr>
                  <w:tcW w:w="622" w:type="pct"/>
                  <w:vAlign w:val="center"/>
                </w:tcPr>
                <w:p>
                  <w:pPr>
                    <w:pStyle w:val="30"/>
                    <w:spacing w:line="360" w:lineRule="exact"/>
                    <w:rPr>
                      <w:color w:val="000000" w:themeColor="text1"/>
                      <w:szCs w:val="21"/>
                    </w:rPr>
                  </w:pPr>
                  <w:r>
                    <w:rPr>
                      <w:color w:val="000000" w:themeColor="text1"/>
                      <w:szCs w:val="21"/>
                    </w:rPr>
                    <w:t>标识牌</w:t>
                  </w:r>
                </w:p>
              </w:tc>
              <w:tc>
                <w:tcPr>
                  <w:tcW w:w="2915" w:type="pct"/>
                  <w:vAlign w:val="center"/>
                </w:tcPr>
                <w:p>
                  <w:pPr>
                    <w:pStyle w:val="30"/>
                    <w:spacing w:line="360" w:lineRule="exact"/>
                    <w:ind w:firstLine="210" w:firstLineChars="100"/>
                    <w:jc w:val="both"/>
                    <w:rPr>
                      <w:color w:val="000000" w:themeColor="text1"/>
                      <w:szCs w:val="21"/>
                    </w:rPr>
                  </w:pPr>
                  <w:r>
                    <w:rPr>
                      <w:color w:val="000000" w:themeColor="text1"/>
                      <w:szCs w:val="21"/>
                    </w:rPr>
                    <w:t>建设单位按照危险废物管理的规范要求，设置危险废物识别标志、环境保护图形标志。</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vAlign w:val="center"/>
                </w:tcPr>
                <w:p>
                  <w:pPr>
                    <w:pStyle w:val="30"/>
                    <w:spacing w:line="360" w:lineRule="exact"/>
                    <w:rPr>
                      <w:color w:val="000000" w:themeColor="text1"/>
                      <w:szCs w:val="21"/>
                    </w:rPr>
                  </w:pPr>
                </w:p>
              </w:tc>
              <w:tc>
                <w:tcPr>
                  <w:tcW w:w="419" w:type="pct"/>
                  <w:vMerge w:val="continue"/>
                  <w:vAlign w:val="center"/>
                </w:tcPr>
                <w:p>
                  <w:pPr>
                    <w:pStyle w:val="30"/>
                    <w:spacing w:line="360" w:lineRule="exact"/>
                    <w:rPr>
                      <w:color w:val="000000" w:themeColor="text1"/>
                      <w:szCs w:val="21"/>
                    </w:rPr>
                  </w:pPr>
                </w:p>
              </w:tc>
              <w:tc>
                <w:tcPr>
                  <w:tcW w:w="622" w:type="pct"/>
                  <w:vAlign w:val="center"/>
                </w:tcPr>
                <w:p>
                  <w:pPr>
                    <w:pStyle w:val="30"/>
                    <w:spacing w:line="360" w:lineRule="exact"/>
                    <w:rPr>
                      <w:color w:val="000000" w:themeColor="text1"/>
                      <w:szCs w:val="21"/>
                    </w:rPr>
                  </w:pPr>
                  <w:r>
                    <w:rPr>
                      <w:rFonts w:hint="eastAsia"/>
                      <w:color w:val="000000" w:themeColor="text1"/>
                      <w:szCs w:val="21"/>
                    </w:rPr>
                    <w:t>绿化</w:t>
                  </w:r>
                </w:p>
              </w:tc>
              <w:tc>
                <w:tcPr>
                  <w:tcW w:w="2915"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根据设计，项目区将设置6348m³</w:t>
                  </w:r>
                  <w:r>
                    <w:rPr>
                      <w:rFonts w:hint="eastAsia"/>
                      <w:color w:val="000000" w:themeColor="text1"/>
                    </w:rPr>
                    <w:t>的绿化区域。</w:t>
                  </w:r>
                </w:p>
              </w:tc>
              <w:tc>
                <w:tcPr>
                  <w:tcW w:w="618" w:type="pct"/>
                  <w:vAlign w:val="center"/>
                </w:tcPr>
                <w:p>
                  <w:pPr>
                    <w:pStyle w:val="30"/>
                    <w:spacing w:line="360" w:lineRule="exact"/>
                    <w:rPr>
                      <w:color w:val="000000" w:themeColor="text1"/>
                      <w:szCs w:val="21"/>
                    </w:rPr>
                  </w:pPr>
                  <w:r>
                    <w:rPr>
                      <w:rFonts w:hint="eastAsia"/>
                      <w:color w:val="000000" w:themeColor="text1"/>
                      <w:szCs w:val="21"/>
                    </w:rPr>
                    <w:t>已建</w:t>
                  </w:r>
                </w:p>
              </w:tc>
            </w:tr>
          </w:tbl>
          <w:p>
            <w:pPr>
              <w:autoSpaceDE w:val="0"/>
              <w:autoSpaceDN w:val="0"/>
              <w:spacing w:beforeLines="50" w:line="360" w:lineRule="auto"/>
              <w:ind w:firstLine="241" w:firstLineChars="100"/>
              <w:rPr>
                <w:rFonts w:ascii="Times New Roman" w:hAnsi="Times New Roman" w:cs="Times New Roman"/>
                <w:b/>
                <w:color w:val="000000" w:themeColor="text1"/>
                <w:sz w:val="24"/>
                <w:szCs w:val="24"/>
              </w:rPr>
            </w:pPr>
            <w:bookmarkStart w:id="0" w:name="_Toc493693536"/>
            <w:bookmarkStart w:id="1" w:name="_Toc433544969"/>
            <w:r>
              <w:rPr>
                <w:rFonts w:ascii="Times New Roman" w:hAnsi="Times New Roman" w:cs="Times New Roman"/>
                <w:b/>
                <w:color w:val="000000" w:themeColor="text1"/>
                <w:sz w:val="24"/>
                <w:szCs w:val="24"/>
              </w:rPr>
              <w:t>2.2 总平面布置</w:t>
            </w:r>
            <w:bookmarkEnd w:id="0"/>
            <w:bookmarkEnd w:id="1"/>
            <w:r>
              <w:rPr>
                <w:rFonts w:ascii="Times New Roman" w:hAnsi="Times New Roman" w:cs="Times New Roman"/>
                <w:b/>
                <w:color w:val="000000" w:themeColor="text1"/>
                <w:sz w:val="24"/>
                <w:szCs w:val="24"/>
              </w:rPr>
              <w:t>及其合理性</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1 项目与厂区的位置关系</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根据设计，该改扩建项目在原址不改变现有设备的基础上新增局部设备，其主要建设区域和现有生产线位置未发生变化。其位置关系详见附图</w:t>
            </w:r>
            <w:r>
              <w:rPr>
                <w:rFonts w:hint="eastAsia"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本项目所在厂区位置示意图。</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.2 项目平面布置</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根据设计，该改扩建项目的平面布置和现有项目的布置基本一致，</w:t>
            </w:r>
            <w:r>
              <w:rPr>
                <w:rFonts w:hint="eastAsia" w:ascii="Times New Roman" w:hAnsi="Times New Roman" w:cs="Times New Roman"/>
                <w:color w:val="000000" w:themeColor="text1"/>
                <w:sz w:val="24"/>
                <w:szCs w:val="24"/>
              </w:rPr>
              <w:t>具体为从北至南依次为废旧冰箱处理线、空调/小家电/废手机及其视听设备消费电子产品处理线和废旧洗衣机处理线、2号废旧电视机（液晶电视）处理线、1号废旧电视机（CRT）处理线；其中空调/小家电/废手机及其视听设备消费电子产品处理线和废旧洗衣机处理线处于同一线上，各生产线生产工序均从东往西布置。废旧洗衣机处理线的新建的塑料分选平台位于危险废物贮存间上方，两台破碎机位于厂房外围的大棚内。</w:t>
            </w:r>
            <w:r>
              <w:rPr>
                <w:rFonts w:ascii="Times New Roman" w:hAnsi="Times New Roman" w:cs="Times New Roman"/>
                <w:color w:val="000000" w:themeColor="text1"/>
                <w:sz w:val="24"/>
                <w:szCs w:val="24"/>
              </w:rPr>
              <w:t>该改扩建项目主要为新增局部设备，因此其平面布置较现有项目的平面布置区别不大，布置合理。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项目平面布置图详见附图</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项目区平面布置示意图。</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2.3 主要产品及产能</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 xml:space="preserve">2.3.1 </w:t>
            </w:r>
            <w:r>
              <w:rPr>
                <w:rFonts w:ascii="Times New Roman" w:hAnsi="Times New Roman" w:cs="Times New Roman"/>
                <w:b/>
                <w:color w:val="000000" w:themeColor="text1"/>
                <w:sz w:val="24"/>
                <w:szCs w:val="24"/>
              </w:rPr>
              <w:t>主要产品及产能</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特点，本项目主要对废旧冰箱、电脑小家电、废旧洗衣机、CRT电视机和液晶电视机进行物料拆解，拆解后的产物均纳入固体废物的管理。拆解后产生的一般工业固体废物委托相关单位进行处置，而产生的危险废物委托有资质的单位处置。</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2.3.2 产品的变化情况</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w:t>
            </w:r>
            <w:r>
              <w:rPr>
                <w:rFonts w:hint="eastAsia" w:ascii="Times New Roman" w:hAnsi="Times New Roman" w:cs="Times New Roman"/>
                <w:color w:val="000000" w:themeColor="text1"/>
                <w:sz w:val="24"/>
                <w:szCs w:val="24"/>
              </w:rPr>
              <w:t>拆解后的产物均纳入固体废物的管理。本次技改项目完成后，较原环评仅为废旧洗衣机线拆解量发生变化，相应其产生的固体废物增加。</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 主要生产单元、主要工艺、生产设施及设施参数</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根据设计，</w:t>
            </w:r>
            <w:r>
              <w:rPr>
                <w:rFonts w:hint="eastAsia" w:ascii="Times New Roman" w:hAnsi="Times New Roman" w:cs="Times New Roman"/>
                <w:color w:val="000000" w:themeColor="text1"/>
                <w:sz w:val="24"/>
                <w:szCs w:val="24"/>
              </w:rPr>
              <w:t>本项目共设置有5条生产线，技改后仅废旧冰箱处理线和2号废旧电视机（液晶电视）处理线设备增加，其他生产线设备较原环评无变化，项目</w:t>
            </w:r>
            <w:r>
              <w:rPr>
                <w:rFonts w:ascii="Times New Roman" w:hAnsi="Times New Roman" w:cs="Times New Roman"/>
                <w:color w:val="000000" w:themeColor="text1"/>
                <w:sz w:val="24"/>
                <w:szCs w:val="24"/>
              </w:rPr>
              <w:t>主要生产单元、主要工艺、生产设施及设施参数如下表所示。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Theme="minorEastAsia"/>
                <w:bCs/>
                <w:snapToGrid w:val="0"/>
                <w:color w:val="000000" w:themeColor="text1"/>
                <w:sz w:val="21"/>
                <w:szCs w:val="21"/>
              </w:rPr>
            </w:pPr>
            <w:r>
              <w:rPr>
                <w:rFonts w:hAnsi="Times New Roman" w:eastAsiaTheme="minorEastAsia"/>
                <w:bCs/>
                <w:snapToGrid w:val="0"/>
                <w:color w:val="000000" w:themeColor="text1"/>
                <w:sz w:val="21"/>
                <w:szCs w:val="21"/>
              </w:rPr>
              <w:t>表2.4-1 主要生产单元、主要工艺、生产设施及设施参数表</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72"/>
              <w:gridCol w:w="1012"/>
              <w:gridCol w:w="992"/>
              <w:gridCol w:w="1701"/>
              <w:gridCol w:w="1843"/>
              <w:gridCol w:w="992"/>
              <w:gridCol w:w="851"/>
              <w:gridCol w:w="8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7" w:hRule="atLeast"/>
                <w:jc w:val="center"/>
              </w:trPr>
              <w:tc>
                <w:tcPr>
                  <w:tcW w:w="77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主要生产单元</w:t>
                  </w:r>
                </w:p>
              </w:tc>
              <w:tc>
                <w:tcPr>
                  <w:tcW w:w="101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主要工艺</w:t>
                  </w:r>
                </w:p>
              </w:tc>
              <w:tc>
                <w:tcPr>
                  <w:tcW w:w="2693"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生产设施</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型号规格</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设施参数</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数量</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主体工程</w:t>
                  </w:r>
                </w:p>
              </w:tc>
              <w:tc>
                <w:tcPr>
                  <w:tcW w:w="1012"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废旧冰箱处理线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冷媒抽取+拆解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手工拆解台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L24000*W1200mm</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w:t>
                  </w:r>
                  <w:r>
                    <w:rPr>
                      <w:rFonts w:ascii="Times New Roman" w:hAnsi="Times New Roman" w:eastAsia="宋体" w:cs="Times New Roman"/>
                      <w:bCs/>
                      <w:snapToGrid w:val="0"/>
                      <w:color w:val="000000" w:themeColor="text1"/>
                      <w:kern w:val="32"/>
                      <w:lang w:val="zh-CN"/>
                    </w:rPr>
                    <w:t>个</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冷媒回收机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w:t>
                  </w:r>
                  <w:r>
                    <w:rPr>
                      <w:rFonts w:ascii="Times New Roman" w:hAnsi="Times New Roman" w:eastAsia="宋体" w:cs="Times New Roman"/>
                      <w:bCs/>
                      <w:snapToGrid w:val="0"/>
                      <w:color w:val="000000" w:themeColor="text1"/>
                      <w:kern w:val="32"/>
                      <w:lang w:val="zh-CN"/>
                    </w:rPr>
                    <w:t>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抽氟机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w:t>
                  </w:r>
                  <w:r>
                    <w:rPr>
                      <w:rFonts w:ascii="Times New Roman" w:hAnsi="Times New Roman" w:eastAsia="宋体" w:cs="Times New Roman"/>
                      <w:bCs/>
                      <w:snapToGrid w:val="0"/>
                      <w:color w:val="000000" w:themeColor="text1"/>
                      <w:kern w:val="32"/>
                      <w:lang w:val="zh-CN"/>
                    </w:rPr>
                    <w:t>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提升机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L2000*W1200mm</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2条</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破碎机RS150-4-S</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3.6t/h（100台/h）</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w:t>
                  </w:r>
                  <w:r>
                    <w:rPr>
                      <w:rFonts w:ascii="Times New Roman" w:hAnsi="Times New Roman" w:eastAsia="宋体" w:cs="Times New Roman"/>
                      <w:bCs/>
                      <w:snapToGrid w:val="0"/>
                      <w:color w:val="000000" w:themeColor="text1"/>
                      <w:kern w:val="32"/>
                      <w:lang w:val="zh-CN"/>
                    </w:rPr>
                    <w:t>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出料螺旋输送机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5.5kw 螺杆直径300mm</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铁/泡棉分选机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磁体尺寸： 1450*600*250mm</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泡棉风机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11kw</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泡棉压块机</w:t>
                  </w:r>
                </w:p>
              </w:tc>
              <w:tc>
                <w:tcPr>
                  <w:tcW w:w="1843" w:type="dxa"/>
                  <w:tcBorders>
                    <w:left w:val="single" w:color="auto" w:sz="4" w:space="0"/>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35kw</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涡电流分选机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8kw</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锤磨机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18.5KW</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铜铝分选机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4kw</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出料传输线</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5.5kw 螺杆直径300mm</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1条</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三通道塑料分选机</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循环及传输系统</w:t>
                  </w:r>
                </w:p>
              </w:tc>
              <w:tc>
                <w:tcPr>
                  <w:tcW w:w="1843" w:type="dxa"/>
                  <w:tcBorders>
                    <w:top w:val="single" w:color="auto" w:sz="4" w:space="0"/>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手工平台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废旧洗衣机处理线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钢板上料台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HXWL-01</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1套</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升级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无动力辊道</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升级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单工位</w:t>
                  </w:r>
                  <w:r>
                    <w:rPr>
                      <w:rFonts w:ascii="Times New Roman" w:hAnsi="Times New Roman" w:eastAsia="宋体" w:cs="Times New Roman"/>
                      <w:bCs/>
                      <w:snapToGrid w:val="0"/>
                      <w:color w:val="000000" w:themeColor="text1"/>
                      <w:kern w:val="32"/>
                      <w:lang w:val="zh-CN"/>
                    </w:rPr>
                    <w:t>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10个</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新增4个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皮带传送机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w:t>
                  </w:r>
                  <w:r>
                    <w:rPr>
                      <w:rFonts w:ascii="Times New Roman" w:hAnsi="Times New Roman" w:eastAsia="宋体" w:cs="Times New Roman"/>
                      <w:bCs/>
                      <w:snapToGrid w:val="0"/>
                      <w:color w:val="000000" w:themeColor="text1"/>
                      <w:kern w:val="32"/>
                      <w:lang w:val="zh-CN"/>
                    </w:rPr>
                    <w:t>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升级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单柱液压机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盐水缸</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w:t>
                  </w:r>
                  <w:r>
                    <w:rPr>
                      <w:rFonts w:ascii="Times New Roman" w:hAnsi="Times New Roman" w:eastAsia="宋体" w:cs="Times New Roman"/>
                      <w:bCs/>
                      <w:snapToGrid w:val="0"/>
                      <w:color w:val="000000" w:themeColor="text1"/>
                      <w:kern w:val="32"/>
                      <w:lang w:val="zh-CN"/>
                    </w:rPr>
                    <w:t>m³</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w:t>
                  </w:r>
                  <w:r>
                    <w:rPr>
                      <w:rFonts w:hint="eastAsia" w:ascii="Times New Roman" w:hAnsi="Times New Roman" w:eastAsia="宋体" w:cs="Times New Roman"/>
                      <w:bCs/>
                      <w:snapToGrid w:val="0"/>
                      <w:color w:val="000000" w:themeColor="text1"/>
                      <w:kern w:val="32"/>
                      <w:lang w:val="zh-CN"/>
                    </w:rPr>
                    <w:t>个</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破碎机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2套</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新增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空调/小家电/废手机及其视听设备消费电子产品处理线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冷媒抽取+拆解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钢板上料台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1个</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喷吹配套除尘系统</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动力辊传送线</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HXPS-02</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万向球工作台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冷媒回收机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抽氟机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w:t>
                  </w:r>
                  <w:r>
                    <w:rPr>
                      <w:rFonts w:ascii="Times New Roman" w:hAnsi="Times New Roman" w:eastAsia="宋体" w:cs="Times New Roman"/>
                      <w:bCs/>
                      <w:snapToGrid w:val="0"/>
                      <w:color w:val="000000" w:themeColor="text1"/>
                      <w:kern w:val="32"/>
                      <w:lang w:val="zh-CN"/>
                    </w:rPr>
                    <w:t>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回收钳</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皮带输送机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1号废旧电视机（CRT）处理线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切割+拆解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CRT除胶机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HXD-03</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22.5台/h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4台</w:t>
                  </w:r>
                </w:p>
              </w:tc>
              <w:tc>
                <w:tcPr>
                  <w:tcW w:w="881" w:type="dxa"/>
                  <w:vMerge w:val="restart"/>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后续输送机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喷吹配套除尘系统</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2套</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万向工作台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22.5台/h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4个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角磨机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切屏机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13台/h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w:t>
                  </w:r>
                  <w:r>
                    <w:rPr>
                      <w:rFonts w:ascii="Times New Roman" w:hAnsi="Times New Roman" w:eastAsia="宋体" w:cs="Times New Roman"/>
                      <w:bCs/>
                      <w:snapToGrid w:val="0"/>
                      <w:color w:val="000000" w:themeColor="text1"/>
                      <w:kern w:val="32"/>
                      <w:lang w:val="zh-CN"/>
                    </w:rPr>
                    <w:t>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取消钉包装架</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16台/h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5个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玻璃干洗设备</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荧光粉吸收器</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22.5台/h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2个</w:t>
                  </w:r>
                </w:p>
              </w:tc>
              <w:tc>
                <w:tcPr>
                  <w:tcW w:w="881" w:type="dxa"/>
                  <w:vMerge w:val="continue"/>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2号废旧电视机（液晶电视）处理线</w:t>
                  </w:r>
                </w:p>
              </w:tc>
              <w:tc>
                <w:tcPr>
                  <w:tcW w:w="992"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拆解</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钢板上料台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HXWL-01</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1套</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无动力辊道</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单工位</w:t>
                  </w:r>
                  <w:r>
                    <w:rPr>
                      <w:rFonts w:ascii="Times New Roman" w:hAnsi="Times New Roman" w:eastAsia="宋体" w:cs="Times New Roman"/>
                      <w:bCs/>
                      <w:snapToGrid w:val="0"/>
                      <w:color w:val="000000" w:themeColor="text1"/>
                      <w:kern w:val="32"/>
                      <w:lang w:val="zh-CN"/>
                    </w:rPr>
                    <w:t>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6个</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皮带传送机</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012"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荧光灯管背光模组负压拆解工作台</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45台/h</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2台</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新增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7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储运工程</w:t>
                  </w:r>
                </w:p>
              </w:tc>
              <w:tc>
                <w:tcPr>
                  <w:tcW w:w="2004"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储运</w:t>
                  </w:r>
                </w:p>
              </w:tc>
              <w:tc>
                <w:tcPr>
                  <w:tcW w:w="1701"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叉车</w:t>
                  </w:r>
                </w:p>
              </w:tc>
              <w:tc>
                <w:tcPr>
                  <w:tcW w:w="1843"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99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851"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5辆</w:t>
                  </w:r>
                </w:p>
              </w:tc>
              <w:tc>
                <w:tcPr>
                  <w:tcW w:w="881" w:type="dxa"/>
                  <w:tcBorders>
                    <w:lef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原有</w:t>
                  </w:r>
                </w:p>
              </w:tc>
            </w:tr>
          </w:tbl>
          <w:p>
            <w:pPr>
              <w:autoSpaceDE w:val="0"/>
              <w:autoSpaceDN w:val="0"/>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2.5 原辅料来源及性质</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2.5.1 废旧产品拆解量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根据调查，本项目拆解及变化量如下表所示。</w:t>
            </w:r>
          </w:p>
          <w:p>
            <w:pPr>
              <w:jc w:val="center"/>
              <w:rPr>
                <w:rFonts w:ascii="Times New Roman" w:cs="Times New Roman"/>
                <w:b/>
                <w:color w:val="000000" w:themeColor="text1"/>
                <w:szCs w:val="24"/>
              </w:rPr>
            </w:pPr>
            <w:r>
              <w:rPr>
                <w:rFonts w:hint="eastAsia" w:ascii="Times New Roman" w:cs="Times New Roman"/>
                <w:b/>
                <w:color w:val="000000" w:themeColor="text1"/>
                <w:szCs w:val="24"/>
              </w:rPr>
              <w:t>表2.5-1 原辅料的变化情况一览表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66"/>
              <w:gridCol w:w="1417"/>
              <w:gridCol w:w="1701"/>
              <w:gridCol w:w="1701"/>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序号</w:t>
                  </w:r>
                </w:p>
              </w:tc>
              <w:tc>
                <w:tcPr>
                  <w:tcW w:w="2366"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原辅料种类</w:t>
                  </w:r>
                </w:p>
              </w:tc>
              <w:tc>
                <w:tcPr>
                  <w:tcW w:w="3118" w:type="dxa"/>
                  <w:gridSpan w:val="2"/>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原辅料使用量</w:t>
                  </w:r>
                </w:p>
              </w:tc>
              <w:tc>
                <w:tcPr>
                  <w:tcW w:w="1701" w:type="dxa"/>
                  <w:vMerge w:val="restart"/>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变化情况</w:t>
                  </w:r>
                </w:p>
              </w:tc>
              <w:tc>
                <w:tcPr>
                  <w:tcW w:w="1165"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2366"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现有工程</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本次改扩建项目</w:t>
                  </w:r>
                </w:p>
              </w:tc>
              <w:tc>
                <w:tcPr>
                  <w:tcW w:w="1701"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c>
                <w:tcPr>
                  <w:tcW w:w="1165"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废旧冰箱</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30万台/a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30万台/a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不变</w:t>
                  </w:r>
                </w:p>
              </w:tc>
              <w:tc>
                <w:tcPr>
                  <w:tcW w:w="1165" w:type="dxa"/>
                  <w:vMerge w:val="restart"/>
                  <w:vAlign w:val="center"/>
                </w:tcPr>
                <w:p>
                  <w:pPr>
                    <w:pStyle w:val="30"/>
                    <w:spacing w:line="360" w:lineRule="exact"/>
                    <w:ind w:firstLine="210" w:firstLineChars="100"/>
                    <w:jc w:val="both"/>
                    <w:rPr>
                      <w:bCs w:val="0"/>
                      <w:color w:val="000000" w:themeColor="text1"/>
                    </w:rPr>
                  </w:pPr>
                  <w:r>
                    <w:rPr>
                      <w:color w:val="000000" w:themeColor="text1"/>
                      <w:szCs w:val="21"/>
                    </w:rPr>
                    <w:t>采购部统一收购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废旧洗衣机</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18</w:t>
                  </w:r>
                  <w:r>
                    <w:rPr>
                      <w:rFonts w:ascii="Times New Roman" w:hAnsi="Times New Roman" w:eastAsia="宋体" w:cs="Times New Roman"/>
                      <w:bCs/>
                      <w:snapToGrid w:val="0"/>
                      <w:color w:val="000000" w:themeColor="text1"/>
                      <w:kern w:val="32"/>
                      <w:lang w:val="zh-CN"/>
                    </w:rPr>
                    <w:t>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30万台/a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增加12万台/a</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3</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废旧</w:t>
                  </w:r>
                  <w:r>
                    <w:rPr>
                      <w:rFonts w:hint="eastAsia" w:ascii="Times New Roman" w:hAnsi="Times New Roman" w:eastAsia="宋体" w:cs="Times New Roman"/>
                      <w:bCs/>
                      <w:snapToGrid w:val="0"/>
                      <w:color w:val="000000" w:themeColor="text1"/>
                      <w:kern w:val="32"/>
                      <w:lang w:val="zh-CN"/>
                    </w:rPr>
                    <w:t>空调</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废旧电脑主机</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废旧手机及其视听设备电子产品</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20万台/a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6</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废旧CRT电视机</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w:t>
                  </w:r>
                </w:p>
              </w:tc>
              <w:tc>
                <w:tcPr>
                  <w:tcW w:w="2366"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废旧</w:t>
                  </w:r>
                  <w:r>
                    <w:rPr>
                      <w:rFonts w:hint="eastAsia" w:ascii="Times New Roman" w:hAnsi="Times New Roman" w:eastAsia="宋体" w:cs="Times New Roman"/>
                      <w:bCs/>
                      <w:snapToGrid w:val="0"/>
                      <w:color w:val="000000" w:themeColor="text1"/>
                      <w:kern w:val="32"/>
                      <w:lang w:val="zh-CN"/>
                    </w:rPr>
                    <w:t>液晶电视（显示器）</w:t>
                  </w:r>
                </w:p>
              </w:tc>
              <w:tc>
                <w:tcPr>
                  <w:tcW w:w="141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45万台/a</w:t>
                  </w:r>
                </w:p>
              </w:tc>
              <w:tc>
                <w:tcPr>
                  <w:tcW w:w="1701"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45万台/a</w:t>
                  </w:r>
                </w:p>
              </w:tc>
              <w:tc>
                <w:tcPr>
                  <w:tcW w:w="1701" w:type="dxa"/>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不变</w:t>
                  </w:r>
                </w:p>
              </w:tc>
              <w:tc>
                <w:tcPr>
                  <w:tcW w:w="1165" w:type="dxa"/>
                  <w:vMerge w:val="continue"/>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p>
              </w:tc>
            </w:tr>
          </w:tbl>
          <w:p>
            <w:pPr>
              <w:autoSpaceDE w:val="0"/>
              <w:autoSpaceDN w:val="0"/>
              <w:spacing w:beforeLines="50"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2.5.3 </w:t>
            </w:r>
            <w:r>
              <w:rPr>
                <w:rFonts w:hint="eastAsia" w:ascii="Times New Roman" w:hAnsi="Times New Roman" w:cs="Times New Roman"/>
                <w:b/>
                <w:color w:val="000000" w:themeColor="text1"/>
                <w:sz w:val="24"/>
                <w:szCs w:val="24"/>
              </w:rPr>
              <w:t>能源</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项目使用能源主要电能。</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 xml:space="preserve"> 劳动定员及工作制度</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.1 劳动定员</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现有工程劳动定员为82人，根据项目实际情况，此次改扩建完成后，不新增劳动定员依然可满足生产要求。所有员工均在</w:t>
            </w:r>
            <w:r>
              <w:rPr>
                <w:rFonts w:ascii="Times New Roman" w:hAnsi="Times New Roman" w:cs="Times New Roman"/>
                <w:bCs/>
                <w:color w:val="000000" w:themeColor="text1"/>
                <w:sz w:val="24"/>
                <w:szCs w:val="24"/>
              </w:rPr>
              <w:t>厂区吃饭，但住宿人数约为</w:t>
            </w:r>
            <w:r>
              <w:rPr>
                <w:rFonts w:hint="eastAsia" w:ascii="Times New Roman" w:hAnsi="Times New Roman" w:cs="Times New Roman"/>
                <w:bCs/>
                <w:color w:val="000000" w:themeColor="text1"/>
                <w:sz w:val="24"/>
                <w:szCs w:val="24"/>
              </w:rPr>
              <w:t>32</w:t>
            </w:r>
            <w:r>
              <w:rPr>
                <w:rFonts w:ascii="Times New Roman" w:hAnsi="Times New Roman" w:cs="Times New Roman"/>
                <w:bCs/>
                <w:color w:val="000000" w:themeColor="text1"/>
                <w:sz w:val="24"/>
                <w:szCs w:val="24"/>
              </w:rPr>
              <w:t>人，其余</w:t>
            </w:r>
            <w:r>
              <w:rPr>
                <w:rFonts w:hint="eastAsia" w:ascii="Times New Roman" w:hAnsi="Times New Roman" w:cs="Times New Roman"/>
                <w:bCs/>
                <w:color w:val="000000" w:themeColor="text1"/>
                <w:sz w:val="24"/>
                <w:szCs w:val="24"/>
              </w:rPr>
              <w:t>50</w:t>
            </w:r>
            <w:r>
              <w:rPr>
                <w:rFonts w:ascii="Times New Roman" w:hAnsi="Times New Roman" w:cs="Times New Roman"/>
                <w:bCs/>
                <w:color w:val="000000" w:themeColor="text1"/>
                <w:sz w:val="24"/>
                <w:szCs w:val="24"/>
              </w:rPr>
              <w:t>人回家住宿。</w:t>
            </w:r>
          </w:p>
          <w:p>
            <w:pPr>
              <w:autoSpaceDE w:val="0"/>
              <w:autoSpaceDN w:val="0"/>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.2 工作制度</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年工作3</w:t>
            </w:r>
            <w:r>
              <w:rPr>
                <w:rFonts w:hint="eastAsia"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0d，管理人员一班8h工作制，生产线一线工作人员三班24h工作制；全年生产天数为3</w:t>
            </w:r>
            <w:r>
              <w:rPr>
                <w:rFonts w:hint="eastAsia"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0</w:t>
            </w:r>
            <w:r>
              <w:rPr>
                <w:rFonts w:hint="eastAsia" w:ascii="Times New Roman" w:hAnsi="Times New Roman" w:cs="Times New Roman"/>
                <w:bCs/>
                <w:color w:val="000000" w:themeColor="text1"/>
                <w:sz w:val="24"/>
                <w:szCs w:val="24"/>
              </w:rPr>
              <w:t>d</w:t>
            </w:r>
            <w:r>
              <w:rPr>
                <w:rFonts w:ascii="Times New Roman" w:hAnsi="Times New Roman" w:cs="Times New Roman"/>
                <w:bCs/>
                <w:color w:val="000000" w:themeColor="text1"/>
                <w:sz w:val="24"/>
                <w:szCs w:val="24"/>
              </w:rPr>
              <w:t>。</w:t>
            </w:r>
            <w:r>
              <w:rPr>
                <w:rFonts w:hint="eastAsia" w:ascii="Times New Roman" w:hAnsi="Times New Roman" w:cs="Times New Roman"/>
                <w:bCs/>
                <w:color w:val="000000" w:themeColor="text1"/>
                <w:sz w:val="24"/>
                <w:szCs w:val="24"/>
              </w:rPr>
              <w:t>而每条生产线的工作制度不尽相同，其中废旧冰箱处理线</w:t>
            </w:r>
            <w:r>
              <w:rPr>
                <w:rFonts w:ascii="Times New Roman" w:hAnsi="Times New Roman" w:cs="Times New Roman"/>
                <w:bCs/>
                <w:color w:val="000000" w:themeColor="text1"/>
                <w:sz w:val="24"/>
                <w:szCs w:val="24"/>
              </w:rPr>
              <w:t>年生产</w:t>
            </w:r>
            <w:r>
              <w:rPr>
                <w:rFonts w:hint="eastAsia"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00d</w:t>
            </w:r>
            <w:r>
              <w:rPr>
                <w:rFonts w:hint="eastAsia" w:ascii="Times New Roman" w:hAnsi="Times New Roman" w:cs="Times New Roman"/>
                <w:bCs/>
                <w:color w:val="000000" w:themeColor="text1"/>
                <w:sz w:val="24"/>
                <w:szCs w:val="24"/>
              </w:rPr>
              <w:t>每天生产10h；</w:t>
            </w:r>
            <w:r>
              <w:rPr>
                <w:rFonts w:ascii="Times New Roman" w:hAnsi="Times New Roman" w:cs="Times New Roman"/>
                <w:bCs/>
                <w:color w:val="000000" w:themeColor="text1"/>
                <w:sz w:val="24"/>
                <w:szCs w:val="24"/>
              </w:rPr>
              <w:t>废旧洗衣机处理线年生产200d，每天生产10h</w:t>
            </w:r>
            <w:r>
              <w:rPr>
                <w:rFonts w:hint="eastAsia" w:ascii="Times New Roman" w:hAnsi="Times New Roman" w:cs="Times New Roman"/>
                <w:bCs/>
                <w:color w:val="000000" w:themeColor="text1"/>
                <w:sz w:val="24"/>
                <w:szCs w:val="24"/>
              </w:rPr>
              <w:t>；空调/小家电/废手机及其视听设备消费电子产品处理线</w:t>
            </w:r>
            <w:r>
              <w:rPr>
                <w:rFonts w:ascii="Times New Roman" w:hAnsi="Times New Roman" w:cs="Times New Roman"/>
                <w:bCs/>
                <w:color w:val="000000" w:themeColor="text1"/>
                <w:sz w:val="24"/>
                <w:szCs w:val="24"/>
              </w:rPr>
              <w:t>年生产</w:t>
            </w:r>
            <w:r>
              <w:rPr>
                <w:rFonts w:hint="eastAsia"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00d，每天生产10h</w:t>
            </w:r>
            <w:r>
              <w:rPr>
                <w:rFonts w:hint="eastAsia"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1号废旧电视机（CRT）处理线</w:t>
            </w:r>
            <w:r>
              <w:rPr>
                <w:rFonts w:hint="eastAsia" w:ascii="Times New Roman" w:hAnsi="Times New Roman" w:cs="Times New Roman"/>
                <w:bCs/>
                <w:color w:val="000000" w:themeColor="text1"/>
                <w:sz w:val="24"/>
                <w:szCs w:val="24"/>
              </w:rPr>
              <w:t>年生产300d，每天生产10h；2号废旧电视机（液晶电视）处理线年生产300d，每天生产10h。</w:t>
            </w: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工艺流程和产排污环节</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 工艺流程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2.7.1 施工期工艺</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根据项目具体情况，项目拟在原址进行升级改造，施工期主要为生产设备及环保设备的安装，均委托设备生产单位进行安装，安装过程污染源产生量较小，主要为施工废气、施工噪声、施工固废等。</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2.7.2 运营期生产工艺</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（1）废旧冰箱处理线</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废旧冰箱处理线</w:t>
            </w:r>
            <w:r>
              <w:rPr>
                <w:rFonts w:ascii="Times New Roman" w:hAnsi="Times New Roman" w:cs="Times New Roman"/>
                <w:b/>
                <w:bCs/>
                <w:color w:val="000000" w:themeColor="text1"/>
                <w:sz w:val="24"/>
                <w:szCs w:val="24"/>
              </w:rPr>
              <w:t>工艺流程图示</w:t>
            </w:r>
          </w:p>
          <w:p>
            <w:pPr>
              <w:jc w:val="center"/>
              <w:rPr>
                <w:rFonts w:ascii="Times New Roman" w:cs="Times New Roman"/>
                <w:b/>
                <w:color w:val="000000" w:themeColor="text1"/>
                <w:szCs w:val="24"/>
              </w:rPr>
            </w:pPr>
            <w:r>
              <w:rPr>
                <w:rFonts w:ascii="Times New Roman" w:cs="Times New Roman"/>
                <w:b/>
                <w:color w:val="000000" w:themeColor="text1"/>
                <w:szCs w:val="24"/>
              </w:rPr>
              <w:object>
                <v:shape id="_x0000_i1025" o:spt="75" type="#_x0000_t75" style="height:441.6pt;width:429.6pt;" o:ole="t" filled="f" o:preferrelative="t" stroked="f" coordsize="21600,21600">
                  <v:path/>
                  <v:fill on="f" focussize="0,0"/>
                  <v:stroke on="f" joinstyle="miter"/>
                  <v:imagedata r:id="rId6" o:title=""/>
                  <o:lock v:ext="edit" aspectratio="t"/>
                  <w10:wrap type="none"/>
                  <w10:anchorlock/>
                </v:shape>
                <o:OLEObject Type="Embed" ProgID="Visio.Drawing.11" ShapeID="_x0000_i1025" DrawAspect="Content" ObjectID="_1468075725" r:id="rId5">
                  <o:LockedField>false</o:LockedField>
                </o:OLEObject>
              </w:object>
            </w:r>
          </w:p>
          <w:p>
            <w:pPr>
              <w:jc w:val="center"/>
              <w:rPr>
                <w:rFonts w:ascii="Times New Roman" w:cs="Times New Roman"/>
                <w:b/>
                <w:color w:val="000000" w:themeColor="text1"/>
                <w:szCs w:val="24"/>
              </w:rPr>
            </w:pPr>
            <w:r>
              <w:rPr>
                <w:rFonts w:ascii="Times New Roman" w:cs="Times New Roman"/>
                <w:b/>
                <w:color w:val="000000" w:themeColor="text1"/>
                <w:szCs w:val="24"/>
              </w:rPr>
              <w:t>图</w:t>
            </w:r>
            <w:r>
              <w:rPr>
                <w:rFonts w:hint="eastAsia" w:ascii="Times New Roman" w:cs="Times New Roman"/>
                <w:b/>
                <w:color w:val="000000" w:themeColor="text1"/>
                <w:szCs w:val="24"/>
              </w:rPr>
              <w:t>2.7.2</w:t>
            </w:r>
            <w:r>
              <w:rPr>
                <w:rFonts w:ascii="Times New Roman" w:cs="Times New Roman"/>
                <w:b/>
                <w:color w:val="000000" w:themeColor="text1"/>
                <w:szCs w:val="24"/>
              </w:rPr>
              <w:t>-1  本项目生产工艺及产污节点示意图</w:t>
            </w:r>
          </w:p>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废旧冰箱处理线</w:t>
            </w:r>
            <w:r>
              <w:rPr>
                <w:rFonts w:ascii="Times New Roman" w:hAnsi="Times New Roman" w:cs="Times New Roman"/>
                <w:b/>
                <w:color w:val="000000" w:themeColor="text1"/>
                <w:sz w:val="24"/>
                <w:szCs w:val="24"/>
              </w:rPr>
              <w:t>生产工艺简述</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w:t>
            </w:r>
            <w:r>
              <w:rPr>
                <w:rFonts w:ascii="Times New Roman" w:hAnsi="Times New Roman" w:cs="Times New Roman"/>
                <w:b/>
                <w:color w:val="000000" w:themeColor="text1"/>
                <w:sz w:val="24"/>
                <w:szCs w:val="24"/>
              </w:rPr>
              <w:t>人工拆除</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本项目将现在的手工拆解平台更换为</w:t>
            </w:r>
            <w:r>
              <w:rPr>
                <w:rFonts w:ascii="Times New Roman" w:hAnsi="Times New Roman" w:cs="Times New Roman"/>
                <w:color w:val="000000" w:themeColor="text1"/>
                <w:sz w:val="24"/>
                <w:szCs w:val="24"/>
              </w:rPr>
              <w:t>2个</w:t>
            </w:r>
            <w:r>
              <w:rPr>
                <w:rFonts w:hint="eastAsia" w:ascii="Times New Roman" w:hAnsi="Times New Roman" w:cs="Times New Roman"/>
                <w:color w:val="000000" w:themeColor="text1"/>
                <w:sz w:val="24"/>
                <w:szCs w:val="24"/>
              </w:rPr>
              <w:t>型号为</w:t>
            </w:r>
            <w:r>
              <w:rPr>
                <w:rFonts w:ascii="Times New Roman" w:hAnsi="Times New Roman" w:cs="Times New Roman"/>
                <w:color w:val="000000" w:themeColor="text1"/>
                <w:sz w:val="24"/>
                <w:szCs w:val="24"/>
              </w:rPr>
              <w:t>L24000*W1200mm</w:t>
            </w:r>
            <w:r>
              <w:rPr>
                <w:rFonts w:hint="eastAsia" w:ascii="Times New Roman" w:hAnsi="Times New Roman" w:cs="Times New Roman"/>
                <w:color w:val="000000" w:themeColor="text1"/>
                <w:sz w:val="24"/>
                <w:szCs w:val="24"/>
              </w:rPr>
              <w:t>的</w:t>
            </w:r>
            <w:r>
              <w:rPr>
                <w:rFonts w:ascii="Times New Roman" w:hAnsi="Times New Roman" w:cs="Times New Roman"/>
                <w:color w:val="000000" w:themeColor="text1"/>
                <w:sz w:val="24"/>
                <w:szCs w:val="24"/>
              </w:rPr>
              <w:t>手工拆解台</w:t>
            </w:r>
            <w:r>
              <w:rPr>
                <w:rFonts w:hint="eastAsia" w:ascii="Times New Roman" w:hAnsi="Times New Roman" w:cs="Times New Roman"/>
                <w:color w:val="000000" w:themeColor="text1"/>
                <w:sz w:val="24"/>
                <w:szCs w:val="24"/>
              </w:rPr>
              <w:t>；首先将称重后的废旧冰箱放入手工拆解平台，通过手工将</w:t>
            </w:r>
            <w:r>
              <w:rPr>
                <w:rFonts w:ascii="Times New Roman" w:hAnsi="Times New Roman" w:cs="Times New Roman"/>
                <w:color w:val="000000" w:themeColor="text1"/>
                <w:sz w:val="24"/>
                <w:szCs w:val="24"/>
              </w:rPr>
              <w:t>废旧电冰箱易拆卸的部分如塑料抽屉、玻璃隔板等</w:t>
            </w:r>
            <w:r>
              <w:rPr>
                <w:rFonts w:hint="eastAsia" w:ascii="Times New Roman" w:hAnsi="Times New Roman" w:cs="Times New Roman"/>
                <w:color w:val="000000" w:themeColor="text1"/>
                <w:sz w:val="24"/>
                <w:szCs w:val="24"/>
              </w:rPr>
              <w:t>；其次再</w:t>
            </w:r>
            <w:r>
              <w:rPr>
                <w:rFonts w:ascii="Times New Roman" w:hAnsi="Times New Roman" w:cs="Times New Roman"/>
                <w:color w:val="000000" w:themeColor="text1"/>
                <w:sz w:val="24"/>
                <w:szCs w:val="24"/>
              </w:rPr>
              <w:t>剪</w:t>
            </w:r>
            <w:r>
              <w:rPr>
                <w:rFonts w:hint="eastAsia" w:ascii="Times New Roman" w:hAnsi="Times New Roman" w:cs="Times New Roman"/>
                <w:color w:val="000000" w:themeColor="text1"/>
                <w:sz w:val="24"/>
                <w:szCs w:val="24"/>
              </w:rPr>
              <w:t>断冰箱</w:t>
            </w:r>
            <w:r>
              <w:rPr>
                <w:rFonts w:ascii="Times New Roman" w:hAnsi="Times New Roman" w:cs="Times New Roman"/>
                <w:color w:val="000000" w:themeColor="text1"/>
                <w:sz w:val="24"/>
                <w:szCs w:val="24"/>
              </w:rPr>
              <w:t>电源线，分别取出开关、</w:t>
            </w:r>
            <w:r>
              <w:rPr>
                <w:rFonts w:hint="eastAsia" w:ascii="Times New Roman" w:hAnsi="Times New Roman" w:cs="Times New Roman"/>
                <w:color w:val="000000" w:themeColor="text1"/>
                <w:sz w:val="24"/>
                <w:szCs w:val="24"/>
              </w:rPr>
              <w:t>电路板</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电容和电源线等。分别将其进行分类打包。其中废电路板属于危险废物，其他物质属于一般工业固废。</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②制冷剂回收</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压缩机是冰箱的核心组件，压缩机内有制冷剂和废矿物油，目前废旧冰箱的制冷剂主要包括两类，其中生产较早的冰箱一般采用R134A制冷剂，属于</w:t>
            </w:r>
            <w:r>
              <w:rPr>
                <w:rFonts w:ascii="Times New Roman" w:hAnsi="Times New Roman" w:cs="Times New Roman"/>
                <w:color w:val="000000" w:themeColor="text1"/>
                <w:sz w:val="24"/>
                <w:szCs w:val="24"/>
              </w:rPr>
              <w:t>共沸混合制冷剂</w:t>
            </w:r>
            <w:r>
              <w:rPr>
                <w:rFonts w:hint="eastAsia" w:ascii="Times New Roman" w:hAnsi="Times New Roman" w:cs="Times New Roman"/>
                <w:color w:val="000000" w:themeColor="text1"/>
                <w:sz w:val="24"/>
                <w:szCs w:val="24"/>
              </w:rPr>
              <w:t>，含氟，针对R134A制冷剂，</w:t>
            </w:r>
            <w:r>
              <w:rPr>
                <w:rFonts w:ascii="Times New Roman" w:hAnsi="Times New Roman" w:cs="Times New Roman"/>
                <w:color w:val="000000" w:themeColor="text1"/>
                <w:sz w:val="24"/>
                <w:szCs w:val="24"/>
              </w:rPr>
              <w:t>采用抽氟机通过快速接口与压缩机制冷管路系统连接，回收压缩机制冷系统中的制冷剂</w:t>
            </w:r>
            <w:r>
              <w:rPr>
                <w:rFonts w:hint="eastAsia" w:ascii="Times New Roman" w:hAnsi="Times New Roman" w:cs="Times New Roman"/>
                <w:color w:val="000000" w:themeColor="text1"/>
                <w:sz w:val="24"/>
                <w:szCs w:val="24"/>
              </w:rPr>
              <w:t>（R134A），制冷剂在密闭压力钢瓶中储存</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抽氟后的压缩机内还含有废矿物油，将其</w:t>
            </w:r>
            <w:r>
              <w:rPr>
                <w:rFonts w:ascii="Times New Roman" w:hAnsi="Times New Roman" w:cs="Times New Roman"/>
                <w:color w:val="000000" w:themeColor="text1"/>
                <w:sz w:val="24"/>
                <w:szCs w:val="24"/>
              </w:rPr>
              <w:t>回收至专用钢瓶密封储存</w:t>
            </w:r>
            <w:r>
              <w:rPr>
                <w:rFonts w:hint="eastAsia" w:ascii="Times New Roman" w:hAnsi="Times New Roman" w:cs="Times New Roman"/>
                <w:color w:val="000000" w:themeColor="text1"/>
                <w:sz w:val="24"/>
                <w:szCs w:val="24"/>
              </w:rPr>
              <w:t>；第二类为目前家用冰箱使用最为广泛的制冷剂R600A，基本上目前新推出的家用冰箱90%以上都是用R600A制冷剂，</w:t>
            </w:r>
            <w:r>
              <w:rPr>
                <w:rFonts w:ascii="Times New Roman" w:hAnsi="Times New Roman" w:cs="Times New Roman"/>
                <w:color w:val="000000" w:themeColor="text1"/>
                <w:sz w:val="24"/>
                <w:szCs w:val="24"/>
              </w:rPr>
              <w:t>R600a是一种性能优异的新型碳氢制冷剂</w:t>
            </w:r>
            <w:r>
              <w:rPr>
                <w:rFonts w:hint="eastAsia" w:ascii="Times New Roman" w:hAnsi="Times New Roman" w:cs="Times New Roman"/>
                <w:color w:val="000000" w:themeColor="text1"/>
                <w:sz w:val="24"/>
                <w:szCs w:val="24"/>
              </w:rPr>
              <w:t>，针对</w:t>
            </w:r>
            <w:r>
              <w:rPr>
                <w:rFonts w:ascii="Times New Roman" w:hAnsi="Times New Roman" w:cs="Times New Roman"/>
                <w:color w:val="000000" w:themeColor="text1"/>
                <w:sz w:val="24"/>
                <w:szCs w:val="24"/>
              </w:rPr>
              <w:t>R600a</w:t>
            </w:r>
            <w:r>
              <w:rPr>
                <w:rFonts w:hint="eastAsia" w:ascii="Times New Roman" w:hAnsi="Times New Roman" w:cs="Times New Roman"/>
                <w:color w:val="000000" w:themeColor="text1"/>
                <w:sz w:val="24"/>
                <w:szCs w:val="24"/>
              </w:rPr>
              <w:t>制冷剂，</w:t>
            </w:r>
            <w:r>
              <w:rPr>
                <w:rFonts w:ascii="Times New Roman" w:hAnsi="Times New Roman" w:cs="Times New Roman"/>
                <w:color w:val="000000" w:themeColor="text1"/>
                <w:sz w:val="24"/>
                <w:szCs w:val="24"/>
              </w:rPr>
              <w:t>采用</w:t>
            </w:r>
            <w:r>
              <w:rPr>
                <w:rFonts w:hint="eastAsia" w:ascii="Times New Roman" w:hAnsi="Times New Roman" w:cs="Times New Roman"/>
                <w:color w:val="000000" w:themeColor="text1"/>
                <w:sz w:val="24"/>
                <w:szCs w:val="24"/>
              </w:rPr>
              <w:t>冷媒回收机</w:t>
            </w:r>
            <w:r>
              <w:rPr>
                <w:rFonts w:ascii="Times New Roman" w:hAnsi="Times New Roman" w:cs="Times New Roman"/>
                <w:color w:val="000000" w:themeColor="text1"/>
                <w:sz w:val="24"/>
                <w:szCs w:val="24"/>
              </w:rPr>
              <w:t>通过快速接口与压缩机制冷管路系统连接，回收压缩机制冷系统中的制冷剂</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R600a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R600a</w:t>
            </w:r>
            <w:r>
              <w:rPr>
                <w:rFonts w:hint="eastAsia" w:ascii="Times New Roman" w:hAnsi="Times New Roman" w:cs="Times New Roman"/>
                <w:color w:val="000000" w:themeColor="text1"/>
                <w:sz w:val="24"/>
                <w:szCs w:val="24"/>
              </w:rPr>
              <w:t>在密闭压力钢瓶中储存，并采取防爆措施</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抽取了制冷剂后的压缩机内还含有废矿物油，将其回收至专用钢瓶密封储存；制冷剂回收均在手工操作平台的凹槽内进行，便于收集泄漏的液体。该过程产生的废矿物油属于危险废物，而根据《废弃电器电子产品处理污染控制技术规范》（</w:t>
            </w:r>
            <w:r>
              <w:rPr>
                <w:rFonts w:ascii="Times New Roman" w:hAnsi="Times New Roman" w:cs="Times New Roman"/>
                <w:color w:val="000000" w:themeColor="text1"/>
                <w:sz w:val="24"/>
                <w:szCs w:val="24"/>
              </w:rPr>
              <w:t>HJ 527-2010</w:t>
            </w:r>
            <w:r>
              <w:rPr>
                <w:rFonts w:hint="eastAsia" w:ascii="Times New Roman" w:hAnsi="Times New Roman" w:cs="Times New Roman"/>
                <w:color w:val="000000" w:themeColor="text1"/>
                <w:sz w:val="24"/>
                <w:szCs w:val="24"/>
              </w:rPr>
              <w:t>），制冷剂应存放于密闭压力钢瓶中。</w:t>
            </w:r>
            <w:r>
              <w:rPr>
                <w:rFonts w:ascii="Times New Roman" w:hAnsi="Times New Roman" w:cs="Times New Roman"/>
                <w:color w:val="000000" w:themeColor="text1"/>
                <w:sz w:val="24"/>
                <w:szCs w:val="24"/>
              </w:rPr>
              <w:t>项目在制冷剂回收、废矿物油回收等预处理工序会有非甲烷总烃产生</w:t>
            </w:r>
            <w:r>
              <w:rPr>
                <w:rFonts w:hint="eastAsia" w:ascii="Times New Roman" w:hAnsi="Times New Roman" w:cs="Times New Roman"/>
                <w:color w:val="000000" w:themeColor="text1"/>
                <w:sz w:val="24"/>
                <w:szCs w:val="24"/>
              </w:rPr>
              <w:t>，其主要成分为非甲烷总烃，本项目严格按照</w:t>
            </w:r>
            <w:r>
              <w:rPr>
                <w:rFonts w:ascii="Times New Roman" w:hAnsi="Times New Roman" w:cs="Times New Roman"/>
                <w:color w:val="000000" w:themeColor="text1"/>
                <w:sz w:val="24"/>
                <w:szCs w:val="24"/>
              </w:rPr>
              <w:t>《废弃电器电子产品处理污染控制技术规范》（HJ527-2010）</w:t>
            </w:r>
            <w:r>
              <w:rPr>
                <w:rFonts w:hint="eastAsia" w:ascii="Times New Roman" w:hAnsi="Times New Roman" w:cs="Times New Roman"/>
                <w:color w:val="000000" w:themeColor="text1"/>
                <w:sz w:val="24"/>
                <w:szCs w:val="24"/>
              </w:rPr>
              <w:t>的</w:t>
            </w:r>
            <w:r>
              <w:rPr>
                <w:rFonts w:ascii="Times New Roman" w:hAnsi="Times New Roman" w:cs="Times New Roman"/>
                <w:color w:val="000000" w:themeColor="text1"/>
                <w:sz w:val="24"/>
                <w:szCs w:val="24"/>
              </w:rPr>
              <w:t>要求</w:t>
            </w:r>
            <w:r>
              <w:rPr>
                <w:rFonts w:hint="eastAsia" w:ascii="Times New Roman" w:hAnsi="Times New Roman" w:cs="Times New Roman"/>
                <w:color w:val="000000" w:themeColor="text1"/>
                <w:sz w:val="24"/>
                <w:szCs w:val="24"/>
              </w:rPr>
              <w:t>，配套设置集气罩对其进行收集，并设置有机废气处理装置对其进行处理。</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③破碎</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预处理后的冰箱箱体</w:t>
            </w:r>
            <w:r>
              <w:rPr>
                <w:rFonts w:ascii="Times New Roman" w:hAnsi="Times New Roman" w:cs="Times New Roman"/>
                <w:color w:val="000000" w:themeColor="text1"/>
                <w:sz w:val="24"/>
                <w:szCs w:val="24"/>
              </w:rPr>
              <w:t>通过2条</w:t>
            </w:r>
            <w:r>
              <w:rPr>
                <w:rFonts w:hint="eastAsia" w:ascii="Times New Roman" w:hAnsi="Times New Roman" w:cs="Times New Roman"/>
                <w:color w:val="000000" w:themeColor="text1"/>
                <w:sz w:val="24"/>
                <w:szCs w:val="24"/>
              </w:rPr>
              <w:t>型号为</w:t>
            </w:r>
            <w:r>
              <w:rPr>
                <w:rFonts w:ascii="Times New Roman" w:hAnsi="Times New Roman" w:cs="Times New Roman"/>
                <w:color w:val="000000" w:themeColor="text1"/>
                <w:sz w:val="24"/>
                <w:szCs w:val="24"/>
              </w:rPr>
              <w:t>L2000*W1200mm</w:t>
            </w:r>
            <w:r>
              <w:rPr>
                <w:rFonts w:hint="eastAsia" w:ascii="Times New Roman" w:hAnsi="Times New Roman" w:cs="Times New Roman"/>
                <w:color w:val="000000" w:themeColor="text1"/>
                <w:sz w:val="24"/>
                <w:szCs w:val="24"/>
              </w:rPr>
              <w:t>的</w:t>
            </w:r>
            <w:r>
              <w:rPr>
                <w:rFonts w:ascii="Times New Roman" w:hAnsi="Times New Roman" w:cs="Times New Roman"/>
                <w:color w:val="000000" w:themeColor="text1"/>
                <w:sz w:val="24"/>
                <w:szCs w:val="24"/>
              </w:rPr>
              <w:t>提升机</w:t>
            </w:r>
            <w:r>
              <w:rPr>
                <w:rFonts w:hint="eastAsia" w:ascii="Times New Roman" w:hAnsi="Times New Roman" w:cs="Times New Roman"/>
                <w:color w:val="000000" w:themeColor="text1"/>
                <w:sz w:val="24"/>
                <w:szCs w:val="24"/>
              </w:rPr>
              <w:t>提升至</w:t>
            </w:r>
            <w:r>
              <w:rPr>
                <w:rFonts w:ascii="Times New Roman" w:hAnsi="Times New Roman" w:cs="Times New Roman"/>
                <w:color w:val="000000" w:themeColor="text1"/>
                <w:sz w:val="24"/>
                <w:szCs w:val="24"/>
              </w:rPr>
              <w:t>RS150-4-S</w:t>
            </w:r>
            <w:r>
              <w:rPr>
                <w:rFonts w:hint="eastAsia" w:ascii="Times New Roman" w:hAnsi="Times New Roman" w:cs="Times New Roman"/>
                <w:color w:val="000000" w:themeColor="text1"/>
                <w:sz w:val="24"/>
                <w:szCs w:val="24"/>
              </w:rPr>
              <w:t>型</w:t>
            </w:r>
            <w:r>
              <w:rPr>
                <w:rFonts w:ascii="Times New Roman" w:hAnsi="Times New Roman" w:cs="Times New Roman"/>
                <w:color w:val="000000" w:themeColor="text1"/>
                <w:sz w:val="24"/>
                <w:szCs w:val="24"/>
              </w:rPr>
              <w:t>破碎机</w:t>
            </w:r>
            <w:r>
              <w:rPr>
                <w:rFonts w:hint="eastAsia" w:ascii="Times New Roman" w:hAnsi="Times New Roman" w:cs="Times New Roman"/>
                <w:color w:val="000000" w:themeColor="text1"/>
                <w:sz w:val="24"/>
                <w:szCs w:val="24"/>
              </w:rPr>
              <w:t>进行破碎，破碎机属于密闭破碎系统，将冰箱体破碎</w:t>
            </w:r>
            <w:r>
              <w:rPr>
                <w:rFonts w:ascii="Times New Roman" w:hAnsi="Times New Roman" w:cs="Times New Roman"/>
                <w:color w:val="000000" w:themeColor="text1"/>
                <w:sz w:val="24"/>
                <w:szCs w:val="24"/>
              </w:rPr>
              <w:t>至粒径2</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3cm的混合破碎物</w:t>
            </w:r>
            <w:r>
              <w:rPr>
                <w:rFonts w:hint="eastAsia" w:ascii="Times New Roman" w:hAnsi="Times New Roman" w:cs="Times New Roman"/>
                <w:color w:val="000000" w:themeColor="text1"/>
                <w:sz w:val="24"/>
                <w:szCs w:val="24"/>
              </w:rPr>
              <w:t>。破碎后的冰箱碎片将通过</w:t>
            </w:r>
            <w:r>
              <w:rPr>
                <w:rFonts w:ascii="Times New Roman" w:hAnsi="Times New Roman" w:cs="Times New Roman"/>
                <w:color w:val="000000" w:themeColor="text1"/>
                <w:sz w:val="24"/>
                <w:szCs w:val="24"/>
              </w:rPr>
              <w:t>出料螺旋输送机</w:t>
            </w:r>
            <w:r>
              <w:rPr>
                <w:rFonts w:hint="eastAsia" w:ascii="Times New Roman" w:hAnsi="Times New Roman" w:cs="Times New Roman"/>
                <w:color w:val="000000" w:themeColor="text1"/>
                <w:sz w:val="24"/>
                <w:szCs w:val="24"/>
              </w:rPr>
              <w:t>进入分选工序。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破碎属于密闭破碎，在破碎过程会有粉尘产生，本项目将配套设置脉冲除尘器对其进行处理。又由于冰箱的绝热层（泡棉含发泡剂聚氨酯等）也一起进入破碎机破碎，其成分属于有机物，因此破碎过程还含有少量的有机废气，本项目将配套设置脉冲除尘器和有机废气处理装置对其进行处理。</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④铁/泡棉分选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本项目已设置</w:t>
            </w:r>
            <w:r>
              <w:rPr>
                <w:rFonts w:ascii="Times New Roman" w:hAnsi="Times New Roman" w:cs="Times New Roman"/>
                <w:color w:val="000000" w:themeColor="text1"/>
                <w:sz w:val="24"/>
                <w:szCs w:val="24"/>
              </w:rPr>
              <w:t>1台磁体尺寸</w:t>
            </w:r>
            <w:r>
              <w:rPr>
                <w:rFonts w:hint="eastAsia" w:ascii="Times New Roman" w:hAnsi="Times New Roman" w:cs="Times New Roman"/>
                <w:color w:val="000000" w:themeColor="text1"/>
                <w:sz w:val="24"/>
                <w:szCs w:val="24"/>
              </w:rPr>
              <w:t>为</w:t>
            </w:r>
            <w:r>
              <w:rPr>
                <w:rFonts w:ascii="Times New Roman" w:hAnsi="Times New Roman" w:cs="Times New Roman"/>
                <w:color w:val="000000" w:themeColor="text1"/>
                <w:sz w:val="24"/>
                <w:szCs w:val="24"/>
              </w:rPr>
              <w:t xml:space="preserve"> 1450*600*250mm</w:t>
            </w:r>
            <w:r>
              <w:rPr>
                <w:rFonts w:hint="eastAsia" w:ascii="Times New Roman" w:hAnsi="Times New Roman" w:cs="Times New Roman"/>
                <w:color w:val="000000" w:themeColor="text1"/>
                <w:sz w:val="24"/>
                <w:szCs w:val="24"/>
              </w:rPr>
              <w:t>的</w:t>
            </w:r>
            <w:r>
              <w:rPr>
                <w:rFonts w:ascii="Times New Roman" w:hAnsi="Times New Roman" w:cs="Times New Roman"/>
                <w:color w:val="000000" w:themeColor="text1"/>
                <w:sz w:val="24"/>
                <w:szCs w:val="24"/>
              </w:rPr>
              <w:t>铁/泡棉分选机</w:t>
            </w:r>
            <w:r>
              <w:rPr>
                <w:rFonts w:hint="eastAsia" w:ascii="Times New Roman" w:hAnsi="Times New Roman" w:cs="Times New Roman"/>
                <w:color w:val="000000" w:themeColor="text1"/>
                <w:sz w:val="24"/>
                <w:szCs w:val="24"/>
              </w:rPr>
              <w:t>和配套</w:t>
            </w:r>
            <w:r>
              <w:rPr>
                <w:rFonts w:ascii="Times New Roman" w:hAnsi="Times New Roman" w:cs="Times New Roman"/>
                <w:color w:val="000000" w:themeColor="text1"/>
                <w:sz w:val="24"/>
                <w:szCs w:val="24"/>
              </w:rPr>
              <w:t>泡棉风机</w:t>
            </w:r>
            <w:r>
              <w:rPr>
                <w:rFonts w:hint="eastAsia" w:ascii="Times New Roman" w:hAnsi="Times New Roman" w:cs="Times New Roman"/>
                <w:color w:val="000000" w:themeColor="text1"/>
                <w:sz w:val="24"/>
                <w:szCs w:val="24"/>
              </w:rPr>
              <w:t>，对破碎后的冰箱碎片进行铁/泡棉分选，该工序利用铁的磁性和泡棉（含发泡剂聚氨酯等）密度小等物理特性，通过风选和磁吸原理进行分选；该过程分离出铁和泡棉；由泡棉密度较小，因此设置了2台</w:t>
            </w:r>
            <w:r>
              <w:rPr>
                <w:rFonts w:ascii="Times New Roman" w:hAnsi="Times New Roman" w:cs="Times New Roman"/>
                <w:color w:val="000000" w:themeColor="text1"/>
                <w:sz w:val="24"/>
                <w:szCs w:val="24"/>
              </w:rPr>
              <w:t>泡棉压块机</w:t>
            </w:r>
            <w:r>
              <w:rPr>
                <w:rFonts w:hint="eastAsia" w:ascii="Times New Roman" w:hAnsi="Times New Roman" w:cs="Times New Roman"/>
                <w:color w:val="000000" w:themeColor="text1"/>
                <w:sz w:val="24"/>
                <w:szCs w:val="24"/>
              </w:rPr>
              <w:t>对泡棉进行压块打包。</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泡棉是冰箱的绝热层，其主要成分为发泡剂聚氨酯等，属于有机物，因此在压缩过程会有有机废气产生，本项目将其收集后进入配套设置的有机废气处理装置处理。</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⑤铜/铝分选</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铜/铝分选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经过铁/泡棉分选后的破碎物质主要成分还包括铜/铝、塑料等，因此项目设置了1台</w:t>
            </w:r>
            <w:r>
              <w:rPr>
                <w:rFonts w:ascii="Times New Roman" w:hAnsi="Times New Roman" w:cs="Times New Roman"/>
                <w:color w:val="000000" w:themeColor="text1"/>
                <w:sz w:val="24"/>
                <w:szCs w:val="24"/>
              </w:rPr>
              <w:t>涡电流分选机</w:t>
            </w:r>
            <w:r>
              <w:rPr>
                <w:rFonts w:hint="eastAsia" w:ascii="Times New Roman" w:hAnsi="Times New Roman" w:cs="Times New Roman"/>
                <w:color w:val="000000" w:themeColor="text1"/>
                <w:sz w:val="24"/>
                <w:szCs w:val="24"/>
              </w:rPr>
              <w:t>，利用</w:t>
            </w:r>
            <w:r>
              <w:rPr>
                <w:rFonts w:ascii="Times New Roman" w:hAnsi="Times New Roman" w:cs="Times New Roman"/>
                <w:color w:val="000000" w:themeColor="text1"/>
                <w:sz w:val="24"/>
                <w:szCs w:val="24"/>
              </w:rPr>
              <w:t>铜、铝</w:t>
            </w:r>
            <w:r>
              <w:rPr>
                <w:rFonts w:hint="eastAsia" w:ascii="Times New Roman" w:hAnsi="Times New Roman" w:cs="Times New Roman"/>
                <w:color w:val="000000" w:themeColor="text1"/>
                <w:sz w:val="24"/>
                <w:szCs w:val="24"/>
              </w:rPr>
              <w:t>的导电性将铜/铝从塑料中分选出来。</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铜、铝分选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本项目已设置</w:t>
            </w:r>
            <w:r>
              <w:rPr>
                <w:rFonts w:ascii="Times New Roman" w:hAnsi="Times New Roman" w:cs="Times New Roman"/>
                <w:color w:val="000000" w:themeColor="text1"/>
                <w:sz w:val="24"/>
                <w:szCs w:val="24"/>
              </w:rPr>
              <w:t>1台锤磨机</w:t>
            </w:r>
            <w:r>
              <w:rPr>
                <w:rFonts w:hint="eastAsia" w:ascii="Times New Roman" w:hAnsi="Times New Roman" w:cs="Times New Roman"/>
                <w:color w:val="000000" w:themeColor="text1"/>
                <w:sz w:val="24"/>
                <w:szCs w:val="24"/>
              </w:rPr>
              <w:t>和</w:t>
            </w:r>
            <w:r>
              <w:rPr>
                <w:rFonts w:ascii="Times New Roman" w:hAnsi="Times New Roman" w:cs="Times New Roman"/>
                <w:color w:val="000000" w:themeColor="text1"/>
                <w:sz w:val="24"/>
                <w:szCs w:val="24"/>
              </w:rPr>
              <w:t>1台铜铝分选机</w:t>
            </w:r>
            <w:r>
              <w:rPr>
                <w:rFonts w:hint="eastAsia" w:ascii="Times New Roman" w:hAnsi="Times New Roman" w:cs="Times New Roman"/>
                <w:color w:val="000000" w:themeColor="text1"/>
                <w:sz w:val="24"/>
                <w:szCs w:val="24"/>
              </w:rPr>
              <w:t>，将铜/铝进行破碎后通过其比重差等物理特性，将铜和铝分选出来。</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该工序属于密闭环节，但在破碎和分选过程会有粉尘产生，</w:t>
            </w:r>
            <w:r>
              <w:rPr>
                <w:rFonts w:ascii="Times New Roman" w:hAnsi="Times New Roman" w:cs="Times New Roman"/>
                <w:color w:val="000000" w:themeColor="text1"/>
                <w:sz w:val="24"/>
                <w:szCs w:val="24"/>
              </w:rPr>
              <w:t>项目配套设置了1套旋风除尘器对铜铝分选产生的粉尘进行处理，然后再进入脉冲除尘器+有机废气处理装置处理系统，处理后通过排气筒外排。</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⑥塑料分选</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塑料分选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冰箱的主要组成数量为ABS塑料和PS塑料，本项目设置了1台</w:t>
            </w:r>
            <w:r>
              <w:rPr>
                <w:rFonts w:ascii="Times New Roman" w:hAnsi="Times New Roman" w:cs="Times New Roman"/>
                <w:color w:val="000000" w:themeColor="text1"/>
                <w:sz w:val="24"/>
                <w:szCs w:val="24"/>
              </w:rPr>
              <w:t>三通道塑料分选机</w:t>
            </w:r>
            <w:r>
              <w:rPr>
                <w:rFonts w:hint="eastAsia" w:ascii="Times New Roman" w:hAnsi="Times New Roman" w:cs="Times New Roman"/>
                <w:color w:val="000000" w:themeColor="text1"/>
                <w:sz w:val="24"/>
                <w:szCs w:val="24"/>
              </w:rPr>
              <w:t>将破碎后的ABS塑料和PS塑料分离开，其中一通道出料为ABS塑料、二通道出料为PS塑料，三通道出料为杂质。</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人工细选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本项目设置1套</w:t>
            </w:r>
            <w:r>
              <w:rPr>
                <w:rFonts w:ascii="Times New Roman" w:hAnsi="Times New Roman" w:cs="Times New Roman"/>
                <w:color w:val="000000" w:themeColor="text1"/>
                <w:sz w:val="24"/>
                <w:szCs w:val="24"/>
              </w:rPr>
              <w:t>循环及传输系统</w:t>
            </w:r>
            <w:r>
              <w:rPr>
                <w:rFonts w:hint="eastAsia" w:ascii="Times New Roman" w:hAnsi="Times New Roman" w:cs="Times New Roman"/>
                <w:color w:val="000000" w:themeColor="text1"/>
                <w:sz w:val="24"/>
                <w:szCs w:val="24"/>
              </w:rPr>
              <w:t>和</w:t>
            </w:r>
            <w:r>
              <w:rPr>
                <w:rFonts w:ascii="Times New Roman" w:hAnsi="Times New Roman" w:cs="Times New Roman"/>
                <w:color w:val="000000" w:themeColor="text1"/>
                <w:sz w:val="24"/>
                <w:szCs w:val="24"/>
              </w:rPr>
              <w:t>1个手工平台</w:t>
            </w:r>
            <w:r>
              <w:rPr>
                <w:rFonts w:hint="eastAsia" w:ascii="Times New Roman" w:hAnsi="Times New Roman" w:cs="Times New Roman"/>
                <w:color w:val="000000" w:themeColor="text1"/>
                <w:sz w:val="24"/>
                <w:szCs w:val="24"/>
              </w:rPr>
              <w:t>对分选出来的ABS塑料和PS塑料进行人工细选，主要是根据其颜色、粒径等物理区别进行分类收集，实现良好的经济价值。</w:t>
            </w:r>
          </w:p>
          <w:p>
            <w:pPr>
              <w:spacing w:line="360" w:lineRule="auto"/>
              <w:ind w:firstLine="361" w:firstLineChars="15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Pr>
                <w:rFonts w:hint="eastAsia"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w:t>
            </w:r>
            <w:r>
              <w:rPr>
                <w:rFonts w:hint="eastAsia" w:ascii="Times New Roman" w:hAnsi="Times New Roman" w:cs="Times New Roman"/>
                <w:b/>
                <w:color w:val="000000" w:themeColor="text1"/>
                <w:sz w:val="24"/>
                <w:szCs w:val="24"/>
              </w:rPr>
              <w:t>废旧洗衣机处理线</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废旧洗衣机处理线</w:t>
            </w:r>
            <w:r>
              <w:rPr>
                <w:rFonts w:ascii="Times New Roman" w:hAnsi="Times New Roman" w:cs="Times New Roman"/>
                <w:b/>
                <w:bCs/>
                <w:color w:val="000000" w:themeColor="text1"/>
                <w:sz w:val="24"/>
                <w:szCs w:val="24"/>
              </w:rPr>
              <w:t>工艺流程图示</w:t>
            </w:r>
          </w:p>
          <w:p>
            <w:pPr>
              <w:jc w:val="center"/>
              <w:rPr>
                <w:rFonts w:ascii="Times New Roman" w:hAnsi="Times New Roman" w:eastAsia="宋体" w:cs="Times New Roman"/>
                <w:b/>
                <w:color w:val="000000" w:themeColor="text1"/>
                <w:szCs w:val="24"/>
              </w:rPr>
            </w:pPr>
            <w:r>
              <w:rPr>
                <w:color w:val="000000" w:themeColor="text1"/>
              </w:rPr>
              <w:object>
                <v:shape id="_x0000_i1026" o:spt="75" type="#_x0000_t75" style="height:343.8pt;width:409.8pt;" o:ole="t" filled="f" o:preferrelative="t" stroked="f" coordsize="21600,21600">
                  <v:path/>
                  <v:fill on="f" focussize="0,0"/>
                  <v:stroke on="f" joinstyle="miter"/>
                  <v:imagedata r:id="rId8" o:title=""/>
                  <o:lock v:ext="edit" aspectratio="t"/>
                  <w10:wrap type="none"/>
                  <w10:anchorlock/>
                </v:shape>
                <o:OLEObject Type="Embed" ProgID="Visio.Drawing.11" ShapeID="_x0000_i1026" DrawAspect="Content" ObjectID="_1468075726" r:id="rId7">
                  <o:LockedField>false</o:LockedField>
                </o:OLEObject>
              </w:object>
            </w:r>
          </w:p>
          <w:p>
            <w:pPr>
              <w:jc w:val="center"/>
              <w:rPr>
                <w:rFonts w:ascii="Times New Roman" w:hAnsi="Times New Roman" w:eastAsia="宋体" w:cs="Times New Roman"/>
                <w:b/>
                <w:color w:val="000000" w:themeColor="text1"/>
                <w:szCs w:val="24"/>
              </w:rPr>
            </w:pPr>
            <w:r>
              <w:rPr>
                <w:rFonts w:hint="eastAsia" w:ascii="Times New Roman" w:hAnsi="Times New Roman" w:eastAsia="宋体" w:cs="Times New Roman"/>
                <w:b/>
                <w:color w:val="000000" w:themeColor="text1"/>
                <w:szCs w:val="24"/>
              </w:rPr>
              <w:t>图2.7.2-2 废旧洗衣机处理线工艺流程及产污节点图</w:t>
            </w:r>
          </w:p>
          <w:p>
            <w:pPr>
              <w:spacing w:beforeLines="50"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废旧洗衣机处理线</w:t>
            </w:r>
            <w:r>
              <w:rPr>
                <w:rFonts w:ascii="Times New Roman" w:hAnsi="Times New Roman" w:cs="Times New Roman"/>
                <w:b/>
                <w:bCs/>
                <w:color w:val="000000" w:themeColor="text1"/>
                <w:sz w:val="24"/>
                <w:szCs w:val="24"/>
              </w:rPr>
              <w:t>工艺流程简述</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①人工拆解</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废旧洗衣机</w:t>
            </w:r>
            <w:r>
              <w:rPr>
                <w:rFonts w:ascii="Times New Roman" w:hAnsi="Times New Roman" w:cs="Times New Roman"/>
                <w:color w:val="000000" w:themeColor="text1"/>
                <w:sz w:val="24"/>
                <w:szCs w:val="24"/>
              </w:rPr>
              <w:t>部件成分比较单一，</w:t>
            </w:r>
            <w:r>
              <w:rPr>
                <w:rFonts w:hint="eastAsia" w:ascii="Times New Roman" w:hAnsi="Times New Roman" w:cs="Times New Roman"/>
                <w:color w:val="000000" w:themeColor="text1"/>
                <w:sz w:val="24"/>
                <w:szCs w:val="24"/>
              </w:rPr>
              <w:t>采用单工位拆解方式进行人工拆解，即每台洗衣机一个人即可完成其拆解工作；项目设置了</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型号为</w:t>
            </w:r>
            <w:r>
              <w:rPr>
                <w:rFonts w:ascii="Times New Roman" w:hAnsi="Times New Roman" w:cs="Times New Roman"/>
                <w:color w:val="000000" w:themeColor="text1"/>
                <w:sz w:val="24"/>
                <w:szCs w:val="24"/>
              </w:rPr>
              <w:t>HXWL-01</w:t>
            </w:r>
            <w:r>
              <w:rPr>
                <w:rFonts w:hint="eastAsia" w:ascii="Times New Roman" w:hAnsi="Times New Roman" w:cs="Times New Roman"/>
                <w:color w:val="000000" w:themeColor="text1"/>
                <w:sz w:val="24"/>
                <w:szCs w:val="24"/>
              </w:rPr>
              <w:t>的</w:t>
            </w:r>
            <w:r>
              <w:rPr>
                <w:rFonts w:ascii="Times New Roman" w:hAnsi="Times New Roman" w:cs="Times New Roman"/>
                <w:color w:val="000000" w:themeColor="text1"/>
                <w:sz w:val="24"/>
                <w:szCs w:val="24"/>
              </w:rPr>
              <w:t>钢板上料台</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用叉车将废洗衣机运至堆放处，借助气压夹具搬到钢板上料台，进入无动力辊道传送线</w:t>
            </w:r>
            <w:r>
              <w:rPr>
                <w:rFonts w:hint="eastAsia" w:ascii="Times New Roman" w:hAnsi="Times New Roman" w:cs="Times New Roman"/>
                <w:color w:val="000000" w:themeColor="text1"/>
                <w:sz w:val="24"/>
                <w:szCs w:val="24"/>
              </w:rPr>
              <w:t>，输送至10个拆解工作台，每工作台定员一人，</w:t>
            </w:r>
            <w:r>
              <w:rPr>
                <w:rFonts w:ascii="Times New Roman" w:hAnsi="Times New Roman" w:cs="Times New Roman"/>
                <w:color w:val="000000" w:themeColor="text1"/>
                <w:sz w:val="24"/>
                <w:szCs w:val="24"/>
              </w:rPr>
              <w:t>负责洗衣机全程拆解。工人将洗衣机从传送辊道拉至旋转工作台上，使用气动螺丝刀、液压钳等工具进行拆解。将洗衣机面板、外层铁筒、底部配重等部件逐一拆卸分离。</w:t>
            </w:r>
            <w:r>
              <w:rPr>
                <w:rFonts w:hint="eastAsia" w:ascii="Times New Roman" w:hAnsi="Times New Roman" w:cs="Times New Roman"/>
                <w:color w:val="000000" w:themeColor="text1"/>
                <w:sz w:val="24"/>
                <w:szCs w:val="24"/>
              </w:rPr>
              <w:t>通过手工将</w:t>
            </w:r>
            <w:r>
              <w:rPr>
                <w:rFonts w:ascii="Times New Roman" w:hAnsi="Times New Roman" w:cs="Times New Roman"/>
                <w:color w:val="000000" w:themeColor="text1"/>
                <w:sz w:val="24"/>
                <w:szCs w:val="24"/>
              </w:rPr>
              <w:t>废旧洗衣机易拆卸的部分如</w:t>
            </w:r>
            <w:r>
              <w:rPr>
                <w:rFonts w:hint="eastAsia" w:ascii="Times New Roman" w:hAnsi="Times New Roman" w:cs="Times New Roman"/>
                <w:color w:val="000000" w:themeColor="text1"/>
                <w:sz w:val="24"/>
                <w:szCs w:val="24"/>
              </w:rPr>
              <w:t>外壳</w:t>
            </w:r>
            <w:r>
              <w:rPr>
                <w:rFonts w:ascii="Times New Roman" w:hAnsi="Times New Roman" w:cs="Times New Roman"/>
                <w:color w:val="000000" w:themeColor="text1"/>
                <w:sz w:val="24"/>
                <w:szCs w:val="24"/>
              </w:rPr>
              <w:t>等</w:t>
            </w:r>
            <w:r>
              <w:rPr>
                <w:rFonts w:hint="eastAsia" w:ascii="Times New Roman" w:hAnsi="Times New Roman" w:cs="Times New Roman"/>
                <w:color w:val="000000" w:themeColor="text1"/>
                <w:sz w:val="24"/>
                <w:szCs w:val="24"/>
              </w:rPr>
              <w:t>；其次再</w:t>
            </w:r>
            <w:r>
              <w:rPr>
                <w:rFonts w:ascii="Times New Roman" w:hAnsi="Times New Roman" w:cs="Times New Roman"/>
                <w:color w:val="000000" w:themeColor="text1"/>
                <w:sz w:val="24"/>
                <w:szCs w:val="24"/>
              </w:rPr>
              <w:t>剪</w:t>
            </w:r>
            <w:r>
              <w:rPr>
                <w:rFonts w:hint="eastAsia" w:ascii="Times New Roman" w:hAnsi="Times New Roman" w:cs="Times New Roman"/>
                <w:color w:val="000000" w:themeColor="text1"/>
                <w:sz w:val="24"/>
                <w:szCs w:val="24"/>
              </w:rPr>
              <w:t>断冰箱</w:t>
            </w:r>
            <w:r>
              <w:rPr>
                <w:rFonts w:ascii="Times New Roman" w:hAnsi="Times New Roman" w:cs="Times New Roman"/>
                <w:color w:val="000000" w:themeColor="text1"/>
                <w:sz w:val="24"/>
                <w:szCs w:val="24"/>
              </w:rPr>
              <w:t>电源线，分别取出开关、</w:t>
            </w:r>
            <w:r>
              <w:rPr>
                <w:rFonts w:hint="eastAsia" w:ascii="Times New Roman" w:hAnsi="Times New Roman" w:cs="Times New Roman"/>
                <w:color w:val="000000" w:themeColor="text1"/>
                <w:sz w:val="24"/>
                <w:szCs w:val="24"/>
              </w:rPr>
              <w:t>电路板</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电容和电源线等。分别将其进行分类打包。其中废电路板属于危险废物，其他物质属于一般工业固废。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针对人工拆解过程产生的粉尘，项目拟分别对10个拆解工位设置集气效率不低于90%集气罩进行收集，收集后进入1个处理效率不低于95%的4#脉冲除尘器对</w:t>
            </w:r>
            <w:r>
              <w:rPr>
                <w:rFonts w:ascii="Times New Roman" w:hAnsi="Times New Roman" w:cs="Times New Roman"/>
                <w:color w:val="000000" w:themeColor="text1"/>
                <w:sz w:val="24"/>
                <w:szCs w:val="24"/>
              </w:rPr>
              <w:t>废旧洗衣机处理线</w:t>
            </w:r>
            <w:r>
              <w:rPr>
                <w:rFonts w:hint="eastAsia" w:ascii="Times New Roman" w:hAnsi="Times New Roman" w:cs="Times New Roman"/>
                <w:color w:val="000000" w:themeColor="text1"/>
                <w:sz w:val="24"/>
                <w:szCs w:val="24"/>
              </w:rPr>
              <w:t>产生的废气进行处理。处理后通过1根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（DA005）外排。</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②压块</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拆解后的洗衣机外壳等主要为钢铁成分，形体较大，采用人工压块后包装入库外售。</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③分选</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对于产生的废塑料主要包括</w:t>
            </w:r>
            <w:r>
              <w:rPr>
                <w:rFonts w:ascii="Times New Roman" w:hAnsi="Times New Roman" w:cs="Times New Roman"/>
                <w:color w:val="000000" w:themeColor="text1"/>
                <w:sz w:val="24"/>
                <w:szCs w:val="24"/>
              </w:rPr>
              <w:t>ABS、PS两大类塑料</w:t>
            </w:r>
            <w:r>
              <w:rPr>
                <w:rFonts w:hint="eastAsia" w:ascii="Times New Roman" w:hAnsi="Times New Roman" w:cs="Times New Roman"/>
                <w:color w:val="000000" w:themeColor="text1"/>
                <w:sz w:val="24"/>
                <w:szCs w:val="24"/>
              </w:rPr>
              <w:t>，项目拟在现有危险废物贮存间上方设置一个塑料手工分选平台，废塑料通过</w:t>
            </w:r>
            <w:r>
              <w:rPr>
                <w:rFonts w:ascii="Times New Roman" w:hAnsi="Times New Roman" w:cs="Times New Roman"/>
                <w:color w:val="000000" w:themeColor="text1"/>
                <w:sz w:val="24"/>
                <w:szCs w:val="24"/>
              </w:rPr>
              <w:t>皮带传送机</w:t>
            </w:r>
            <w:r>
              <w:rPr>
                <w:rFonts w:hint="eastAsia" w:ascii="Times New Roman" w:hAnsi="Times New Roman" w:cs="Times New Roman"/>
                <w:color w:val="000000" w:themeColor="text1"/>
                <w:sz w:val="24"/>
                <w:szCs w:val="24"/>
              </w:rPr>
              <w:t>输送至手工分选平台后通过人工对分选出</w:t>
            </w:r>
            <w:r>
              <w:rPr>
                <w:rFonts w:ascii="Times New Roman" w:hAnsi="Times New Roman" w:cs="Times New Roman"/>
                <w:color w:val="000000" w:themeColor="text1"/>
                <w:sz w:val="24"/>
                <w:szCs w:val="24"/>
              </w:rPr>
              <w:t>ABS、PS两大类塑料</w:t>
            </w:r>
            <w:r>
              <w:rPr>
                <w:rFonts w:hint="eastAsia" w:ascii="Times New Roman" w:hAnsi="Times New Roman" w:cs="Times New Roman"/>
                <w:color w:val="000000" w:themeColor="text1"/>
                <w:sz w:val="24"/>
                <w:szCs w:val="24"/>
              </w:rPr>
              <w:t>。</w:t>
            </w:r>
          </w:p>
          <w:p>
            <w:pPr>
              <w:spacing w:line="360" w:lineRule="auto"/>
              <w:ind w:firstLine="482" w:firstLineChars="200"/>
              <w:rPr>
                <w:rFonts w:ascii="Times New Roman" w:hAnsi="Times New Roman" w:cs="Times New Roman"/>
                <w:bCs/>
                <w:color w:val="000000" w:themeColor="text1"/>
                <w:sz w:val="24"/>
                <w:szCs w:val="24"/>
              </w:rPr>
            </w:pPr>
            <w:r>
              <w:rPr>
                <w:rFonts w:hint="eastAsia" w:ascii="Times New Roman" w:hAnsi="Times New Roman" w:cs="Times New Roman"/>
                <w:b/>
                <w:bCs/>
                <w:color w:val="000000" w:themeColor="text1"/>
                <w:sz w:val="24"/>
                <w:szCs w:val="24"/>
              </w:rPr>
              <w:t>④破碎</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分选后的ABS、PS两大类塑料分别</w:t>
            </w:r>
            <w:r>
              <w:rPr>
                <w:rFonts w:ascii="Times New Roman" w:hAnsi="Times New Roman" w:cs="Times New Roman"/>
                <w:color w:val="000000" w:themeColor="text1"/>
                <w:sz w:val="24"/>
                <w:szCs w:val="24"/>
              </w:rPr>
              <w:t>通过</w:t>
            </w:r>
            <w:r>
              <w:rPr>
                <w:rFonts w:hint="eastAsia" w:ascii="Times New Roman" w:hAnsi="Times New Roman" w:cs="Times New Roman"/>
                <w:color w:val="000000" w:themeColor="text1"/>
                <w:sz w:val="24"/>
                <w:szCs w:val="24"/>
              </w:rPr>
              <w:t>皮带运输至输送至</w:t>
            </w:r>
            <w:r>
              <w:rPr>
                <w:rFonts w:ascii="Times New Roman" w:hAnsi="Times New Roman" w:cs="Times New Roman"/>
                <w:color w:val="000000" w:themeColor="text1"/>
                <w:sz w:val="24"/>
                <w:szCs w:val="24"/>
              </w:rPr>
              <w:t>破碎机</w:t>
            </w:r>
            <w:r>
              <w:rPr>
                <w:rFonts w:hint="eastAsia" w:ascii="Times New Roman" w:hAnsi="Times New Roman" w:cs="Times New Roman"/>
                <w:color w:val="000000" w:themeColor="text1"/>
                <w:sz w:val="24"/>
                <w:szCs w:val="24"/>
              </w:rPr>
              <w:t>进行破碎，破碎机属于密闭破碎系统，将塑料破碎</w:t>
            </w:r>
            <w:r>
              <w:rPr>
                <w:rFonts w:ascii="Times New Roman" w:hAnsi="Times New Roman" w:cs="Times New Roman"/>
                <w:color w:val="000000" w:themeColor="text1"/>
                <w:sz w:val="24"/>
                <w:szCs w:val="24"/>
              </w:rPr>
              <w:t>至粒径2</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3cm的</w:t>
            </w:r>
            <w:r>
              <w:rPr>
                <w:rFonts w:hint="eastAsia" w:ascii="Times New Roman" w:hAnsi="Times New Roman" w:cs="Times New Roman"/>
                <w:color w:val="000000" w:themeColor="text1"/>
                <w:sz w:val="24"/>
                <w:szCs w:val="24"/>
              </w:rPr>
              <w:t>塑料颗粒后包装入库外售。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针对破碎产生的粉尘，项目分别对两台破碎机设置集气效率不低于90%的集气罩，对其进行收集，收集后通过1个处理效率不低于95%的4#脉冲除尘器对</w:t>
            </w:r>
            <w:r>
              <w:rPr>
                <w:rFonts w:ascii="Times New Roman" w:hAnsi="Times New Roman" w:cs="Times New Roman"/>
                <w:color w:val="000000" w:themeColor="text1"/>
                <w:sz w:val="24"/>
                <w:szCs w:val="24"/>
              </w:rPr>
              <w:t>废旧洗衣机处理线</w:t>
            </w:r>
            <w:r>
              <w:rPr>
                <w:rFonts w:hint="eastAsia" w:ascii="Times New Roman" w:hAnsi="Times New Roman" w:cs="Times New Roman"/>
                <w:color w:val="000000" w:themeColor="text1"/>
                <w:sz w:val="24"/>
                <w:szCs w:val="24"/>
              </w:rPr>
              <w:t>产生的废气进行处理，处理后拟设置1根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（DA005）外排。</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（3）空调/小家电/废手机及其视听设备消费电子产品处理线</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空调/小家电/废手机及其视听设备消费电子产品处理线</w:t>
            </w:r>
            <w:r>
              <w:rPr>
                <w:rFonts w:ascii="Times New Roman" w:hAnsi="Times New Roman" w:cs="Times New Roman"/>
                <w:b/>
                <w:bCs/>
                <w:color w:val="000000" w:themeColor="text1"/>
                <w:sz w:val="24"/>
                <w:szCs w:val="24"/>
              </w:rPr>
              <w:t>工艺流程图示</w:t>
            </w:r>
          </w:p>
          <w:p>
            <w:pPr>
              <w:jc w:val="center"/>
              <w:rPr>
                <w:rFonts w:ascii="Times New Roman" w:hAnsi="Times New Roman" w:eastAsia="宋体" w:cs="Times New Roman"/>
                <w:b/>
                <w:color w:val="000000" w:themeColor="text1"/>
                <w:szCs w:val="24"/>
              </w:rPr>
            </w:pPr>
            <w:r>
              <w:rPr>
                <w:color w:val="000000" w:themeColor="text1"/>
              </w:rPr>
              <w:object>
                <v:shape id="_x0000_i1027" o:spt="75" type="#_x0000_t75" style="height:295.2pt;width:412.8pt;" o:ole="t" filled="f" o:preferrelative="t" stroked="f" coordsize="21600,21600">
                  <v:path/>
                  <v:fill on="f" focussize="0,0"/>
                  <v:stroke on="f" joinstyle="miter"/>
                  <v:imagedata r:id="rId10" o:title=""/>
                  <o:lock v:ext="edit" aspectratio="t"/>
                  <w10:wrap type="none"/>
                  <w10:anchorlock/>
                </v:shape>
                <o:OLEObject Type="Embed" ProgID="Visio.Drawing.11" ShapeID="_x0000_i1027" DrawAspect="Content" ObjectID="_1468075727" r:id="rId9">
                  <o:LockedField>false</o:LockedField>
                </o:OLEObject>
              </w:object>
            </w:r>
          </w:p>
          <w:p>
            <w:pPr>
              <w:jc w:val="center"/>
              <w:rPr>
                <w:rFonts w:ascii="Times New Roman" w:hAnsi="Times New Roman" w:eastAsia="宋体" w:cs="Times New Roman"/>
                <w:b/>
                <w:color w:val="000000" w:themeColor="text1"/>
                <w:szCs w:val="24"/>
              </w:rPr>
            </w:pPr>
            <w:r>
              <w:rPr>
                <w:rFonts w:hint="eastAsia" w:ascii="Times New Roman" w:hAnsi="Times New Roman" w:eastAsia="宋体" w:cs="Times New Roman"/>
                <w:b/>
                <w:color w:val="000000" w:themeColor="text1"/>
                <w:szCs w:val="24"/>
              </w:rPr>
              <w:t>图2.7.2-3 空调/小家电/废手机及其视听设备消费电子产品处理线工艺流程及产污节点图</w:t>
            </w:r>
          </w:p>
          <w:p>
            <w:pPr>
              <w:spacing w:beforeLines="50"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空调/小家电/废手机及其视听设备消费电子产品处理线</w:t>
            </w:r>
            <w:r>
              <w:rPr>
                <w:rFonts w:ascii="Times New Roman" w:hAnsi="Times New Roman" w:cs="Times New Roman"/>
                <w:b/>
                <w:bCs/>
                <w:color w:val="000000" w:themeColor="text1"/>
                <w:sz w:val="24"/>
                <w:szCs w:val="24"/>
              </w:rPr>
              <w:t>工艺流程简述</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拆壳和人工喷吹主要针对废旧空调和废旧电脑主机，其他废旧手机及其视听设备电子产品直接进入人工拆解工序。</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①拆壳</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将回收的</w:t>
            </w:r>
            <w:r>
              <w:rPr>
                <w:rFonts w:hint="eastAsia" w:ascii="Times New Roman" w:hAnsi="Times New Roman" w:cs="Times New Roman"/>
                <w:bCs/>
                <w:color w:val="000000" w:themeColor="text1"/>
                <w:sz w:val="24"/>
                <w:szCs w:val="24"/>
              </w:rPr>
              <w:t>废旧空调和废旧电脑主机</w:t>
            </w:r>
            <w:r>
              <w:rPr>
                <w:rFonts w:ascii="Times New Roman" w:hAnsi="Times New Roman" w:cs="Times New Roman"/>
                <w:bCs/>
                <w:color w:val="000000" w:themeColor="text1"/>
                <w:sz w:val="24"/>
                <w:szCs w:val="24"/>
              </w:rPr>
              <w:t>运至处理车间指定废旧电脑小家电待拆区域进行卸货</w:t>
            </w:r>
            <w:r>
              <w:rPr>
                <w:rFonts w:hint="eastAsia" w:ascii="Times New Roman" w:hAnsi="Times New Roman" w:cs="Times New Roman"/>
                <w:bCs/>
                <w:color w:val="000000" w:themeColor="text1"/>
                <w:sz w:val="24"/>
                <w:szCs w:val="24"/>
              </w:rPr>
              <w:t>，废旧空调和废旧电脑主机等</w:t>
            </w:r>
            <w:r>
              <w:rPr>
                <w:rFonts w:ascii="Times New Roman" w:hAnsi="Times New Roman" w:cs="Times New Roman"/>
                <w:bCs/>
                <w:color w:val="000000" w:themeColor="text1"/>
                <w:sz w:val="24"/>
                <w:szCs w:val="24"/>
              </w:rPr>
              <w:t>采用仓储笼装存，整齐码放</w:t>
            </w:r>
            <w:r>
              <w:rPr>
                <w:rFonts w:hint="eastAsia"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人工采用气动风批拆卸后盖螺丝并摘除塑料外壳</w:t>
            </w:r>
            <w:r>
              <w:rPr>
                <w:rFonts w:hint="eastAsia" w:ascii="Times New Roman" w:hAnsi="Times New Roman" w:cs="Times New Roman"/>
                <w:bCs/>
                <w:color w:val="000000" w:themeColor="text1"/>
                <w:sz w:val="24"/>
                <w:szCs w:val="24"/>
              </w:rPr>
              <w:t>，其中废旧空调需</w:t>
            </w:r>
            <w:r>
              <w:rPr>
                <w:rFonts w:ascii="Times New Roman" w:hAnsi="Times New Roman" w:cs="Times New Roman"/>
                <w:bCs/>
                <w:color w:val="000000" w:themeColor="text1"/>
                <w:sz w:val="24"/>
                <w:szCs w:val="24"/>
              </w:rPr>
              <w:t>起卸滤尘网</w:t>
            </w:r>
            <w:r>
              <w:rPr>
                <w:rFonts w:hint="eastAsia" w:ascii="Times New Roman" w:hAnsi="Times New Roman" w:cs="Times New Roman"/>
                <w:bCs/>
                <w:color w:val="000000" w:themeColor="text1"/>
                <w:sz w:val="24"/>
                <w:szCs w:val="24"/>
              </w:rPr>
              <w:t>。</w:t>
            </w:r>
          </w:p>
          <w:p>
            <w:pPr>
              <w:spacing w:line="360" w:lineRule="auto"/>
              <w:ind w:firstLine="482" w:firstLineChars="200"/>
              <w:rPr>
                <w:rFonts w:ascii="Times New Roman" w:hAnsi="Times New Roman" w:cs="Times New Roman"/>
                <w:bCs/>
                <w:color w:val="000000" w:themeColor="text1"/>
                <w:sz w:val="24"/>
                <w:szCs w:val="24"/>
              </w:rPr>
            </w:pPr>
            <w:r>
              <w:rPr>
                <w:rFonts w:hint="eastAsia" w:ascii="Times New Roman" w:hAnsi="Times New Roman" w:cs="Times New Roman"/>
                <w:b/>
                <w:bCs/>
                <w:color w:val="000000" w:themeColor="text1"/>
                <w:sz w:val="24"/>
                <w:szCs w:val="24"/>
              </w:rPr>
              <w:t>②人工喷吹</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经拆壳后的废旧电脑主机以及拆壳</w:t>
            </w:r>
            <w:r>
              <w:rPr>
                <w:rFonts w:ascii="Times New Roman" w:hAnsi="Times New Roman" w:cs="Times New Roman"/>
                <w:bCs/>
                <w:color w:val="000000" w:themeColor="text1"/>
                <w:sz w:val="24"/>
                <w:szCs w:val="24"/>
              </w:rPr>
              <w:t>起卸滤尘网</w:t>
            </w:r>
            <w:r>
              <w:rPr>
                <w:rFonts w:hint="eastAsia" w:ascii="Times New Roman" w:hAnsi="Times New Roman" w:cs="Times New Roman"/>
                <w:bCs/>
                <w:color w:val="000000" w:themeColor="text1"/>
                <w:sz w:val="24"/>
                <w:szCs w:val="24"/>
              </w:rPr>
              <w:t>后的废旧空调通过</w:t>
            </w:r>
            <w:r>
              <w:rPr>
                <w:rFonts w:ascii="Times New Roman" w:hAnsi="Times New Roman" w:cs="Times New Roman"/>
                <w:bCs/>
                <w:color w:val="000000" w:themeColor="text1"/>
                <w:sz w:val="24"/>
                <w:szCs w:val="24"/>
              </w:rPr>
              <w:t>钢板上料台</w:t>
            </w:r>
            <w:r>
              <w:rPr>
                <w:rFonts w:hint="eastAsia" w:ascii="Times New Roman" w:hAnsi="Times New Roman" w:cs="Times New Roman"/>
                <w:bCs/>
                <w:color w:val="000000" w:themeColor="text1"/>
                <w:sz w:val="24"/>
                <w:szCs w:val="24"/>
              </w:rPr>
              <w:t>进入</w:t>
            </w:r>
            <w:r>
              <w:rPr>
                <w:rFonts w:ascii="Times New Roman" w:hAnsi="Times New Roman" w:cs="Times New Roman"/>
                <w:bCs/>
                <w:color w:val="000000" w:themeColor="text1"/>
                <w:sz w:val="24"/>
                <w:szCs w:val="24"/>
              </w:rPr>
              <w:t>喷吹配套除尘系统</w:t>
            </w:r>
            <w:r>
              <w:rPr>
                <w:rFonts w:hint="eastAsia" w:ascii="Times New Roman" w:hAnsi="Times New Roman" w:cs="Times New Roman"/>
                <w:bCs/>
                <w:color w:val="000000" w:themeColor="text1"/>
                <w:sz w:val="24"/>
                <w:szCs w:val="24"/>
              </w:rPr>
              <w:t>进行喷吹，通过</w:t>
            </w:r>
            <w:r>
              <w:rPr>
                <w:rFonts w:ascii="Times New Roman" w:hAnsi="Times New Roman" w:cs="Times New Roman"/>
                <w:bCs/>
                <w:color w:val="000000" w:themeColor="text1"/>
                <w:sz w:val="24"/>
                <w:szCs w:val="24"/>
              </w:rPr>
              <w:t>固定吹尘气枪吹扬</w:t>
            </w:r>
            <w:r>
              <w:rPr>
                <w:rFonts w:hint="eastAsia" w:ascii="Times New Roman" w:hAnsi="Times New Roman" w:cs="Times New Roman"/>
                <w:bCs/>
                <w:color w:val="000000" w:themeColor="text1"/>
                <w:sz w:val="24"/>
                <w:szCs w:val="24"/>
              </w:rPr>
              <w:t>废旧空调和废旧电脑主机</w:t>
            </w:r>
            <w:r>
              <w:rPr>
                <w:rFonts w:ascii="Times New Roman" w:hAnsi="Times New Roman" w:cs="Times New Roman"/>
                <w:bCs/>
                <w:color w:val="000000" w:themeColor="text1"/>
                <w:sz w:val="24"/>
                <w:szCs w:val="24"/>
              </w:rPr>
              <w:t>内部积尘。</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针对人工喷吹产生的粉尘，项目已对喷吹室进行密闭，设置1个集气效率不低于90%的集气罩对其进行收集，收集后统一进入1个处理效率不低于95%的1#脉冲除尘器对其进行处理后通过1根</w:t>
            </w:r>
            <w:r>
              <w:rPr>
                <w:rFonts w:ascii="Times New Roman" w:hAnsi="Times New Roman" w:cs="Times New Roman"/>
                <w:bCs/>
                <w:color w:val="000000" w:themeColor="text1"/>
                <w:sz w:val="24"/>
                <w:szCs w:val="24"/>
              </w:rPr>
              <w:t>Φ</w:t>
            </w:r>
            <w:r>
              <w:rPr>
                <w:rFonts w:hint="eastAsia" w:ascii="Times New Roman" w:hAnsi="Times New Roman" w:cs="Times New Roman"/>
                <w:bCs/>
                <w:color w:val="000000" w:themeColor="text1"/>
                <w:sz w:val="24"/>
                <w:szCs w:val="24"/>
              </w:rPr>
              <w:t>0.5</w:t>
            </w:r>
            <w:r>
              <w:rPr>
                <w:rFonts w:ascii="Times New Roman" w:hAnsi="Times New Roman" w:cs="Times New Roman"/>
                <w:bCs/>
                <w:color w:val="000000" w:themeColor="text1"/>
                <w:sz w:val="24"/>
                <w:szCs w:val="24"/>
              </w:rPr>
              <w:t>m、高15m的排气筒</w:t>
            </w:r>
            <w:r>
              <w:rPr>
                <w:rFonts w:hint="eastAsia" w:ascii="Times New Roman" w:hAnsi="Times New Roman" w:cs="Times New Roman"/>
                <w:bCs/>
                <w:color w:val="000000" w:themeColor="text1"/>
                <w:sz w:val="24"/>
                <w:szCs w:val="24"/>
              </w:rPr>
              <w:t>（DA001）外排。</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③人工拆解</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通过手工剪断电脑小家电电源线</w:t>
            </w:r>
            <w:r>
              <w:rPr>
                <w:rFonts w:ascii="Times New Roman" w:hAnsi="Times New Roman" w:cs="Times New Roman"/>
                <w:bCs/>
                <w:color w:val="000000" w:themeColor="text1"/>
                <w:sz w:val="24"/>
                <w:szCs w:val="24"/>
              </w:rPr>
              <w:t>，分别取出</w:t>
            </w:r>
            <w:r>
              <w:rPr>
                <w:rFonts w:hint="eastAsia" w:ascii="Times New Roman" w:hAnsi="Times New Roman" w:cs="Times New Roman"/>
                <w:bCs/>
                <w:color w:val="000000" w:themeColor="text1"/>
                <w:sz w:val="24"/>
                <w:szCs w:val="24"/>
              </w:rPr>
              <w:t>密封条、废电路板、电源、主板、扬声器、电容、开关、电源线等。分别将其进行分类打包。其中废电路板属于危险废物，其他物质属于一般工业固废。</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④制冷剂回收</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项目</w:t>
            </w:r>
            <w:r>
              <w:rPr>
                <w:rFonts w:ascii="Times New Roman" w:hAnsi="Times New Roman" w:cs="Times New Roman"/>
                <w:bCs/>
                <w:color w:val="000000" w:themeColor="text1"/>
                <w:sz w:val="24"/>
                <w:szCs w:val="24"/>
              </w:rPr>
              <w:t>采用冷媒回收机通过针刺钳（或快速接口）与压缩机制冷管路系统连接，回收压缩机制冷系统中的制冷剂，空调制冷剂全部在制冷管路系统内，制冷过程与冰箱制冷不一致，无聚氨酯保温保温材料，因此制冷管路系统中的制冷剂可经高负压全部回收，不存在外排。通过该设备纯化系统制冷剂实现气液分离，氟利昂与矿油分别回收至专用钢瓶或油罐储存，交由</w:t>
            </w:r>
            <w:r>
              <w:rPr>
                <w:rFonts w:hint="eastAsia" w:ascii="Times New Roman" w:hAnsi="Times New Roman" w:cs="Times New Roman"/>
                <w:bCs/>
                <w:color w:val="000000" w:themeColor="text1"/>
                <w:sz w:val="24"/>
                <w:szCs w:val="24"/>
              </w:rPr>
              <w:t>有相关资质的企业和有</w:t>
            </w:r>
            <w:r>
              <w:rPr>
                <w:rFonts w:ascii="Times New Roman" w:hAnsi="Times New Roman" w:cs="Times New Roman"/>
                <w:bCs/>
                <w:color w:val="000000" w:themeColor="text1"/>
                <w:sz w:val="24"/>
                <w:szCs w:val="24"/>
              </w:rPr>
              <w:t>危废资质企业进行处理。抽取制冷剂过程借助生产线的倾斜装置摇晃，方便制冷剂回收。</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（4）1号废旧电视机（CRT）处理线</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1号废旧电视机（CRT）处理线</w:t>
            </w:r>
            <w:r>
              <w:rPr>
                <w:rFonts w:ascii="Times New Roman" w:hAnsi="Times New Roman" w:cs="Times New Roman"/>
                <w:b/>
                <w:bCs/>
                <w:color w:val="000000" w:themeColor="text1"/>
                <w:sz w:val="24"/>
                <w:szCs w:val="24"/>
              </w:rPr>
              <w:t>工艺流程图示</w:t>
            </w:r>
          </w:p>
          <w:p>
            <w:pPr>
              <w:spacing w:line="360" w:lineRule="auto"/>
              <w:ind w:firstLine="482" w:firstLineChars="200"/>
              <w:rPr>
                <w:rFonts w:ascii="Times New Roman" w:hAnsi="Times New Roman" w:cs="Times New Roman"/>
                <w:b/>
                <w:bCs/>
                <w:color w:val="000000" w:themeColor="text1"/>
                <w:sz w:val="24"/>
                <w:szCs w:val="24"/>
              </w:rPr>
            </w:pPr>
          </w:p>
          <w:p>
            <w:pPr>
              <w:spacing w:line="360" w:lineRule="auto"/>
              <w:ind w:firstLine="480" w:firstLineChars="200"/>
              <w:rPr>
                <w:rFonts w:ascii="Times New Roman" w:hAnsi="Times New Roman" w:cs="Times New Roman"/>
                <w:bCs/>
                <w:color w:val="000000" w:themeColor="text1"/>
                <w:sz w:val="24"/>
                <w:szCs w:val="24"/>
              </w:rPr>
            </w:pPr>
          </w:p>
          <w:p>
            <w:pPr>
              <w:jc w:val="center"/>
              <w:rPr>
                <w:rFonts w:ascii="Times New Roman" w:hAnsi="Times New Roman" w:eastAsia="宋体" w:cs="Times New Roman"/>
                <w:b/>
                <w:color w:val="000000" w:themeColor="text1"/>
                <w:szCs w:val="24"/>
              </w:rPr>
            </w:pPr>
            <w:r>
              <w:rPr>
                <w:color w:val="000000" w:themeColor="text1"/>
              </w:rPr>
              <w:object>
                <v:shape id="_x0000_i1028" o:spt="75" type="#_x0000_t75" style="height:381.6pt;width:452.4pt;" o:ole="t" filled="f" o:preferrelative="t" stroked="f" coordsize="21600,21600">
                  <v:path/>
                  <v:fill on="f" focussize="0,0"/>
                  <v:stroke on="f" joinstyle="miter"/>
                  <v:imagedata r:id="rId12" o:title=""/>
                  <o:lock v:ext="edit" aspectratio="t"/>
                  <w10:wrap type="none"/>
                  <w10:anchorlock/>
                </v:shape>
                <o:OLEObject Type="Embed" ProgID="Visio.Drawing.11" ShapeID="_x0000_i1028" DrawAspect="Content" ObjectID="_1468075728" r:id="rId11">
                  <o:LockedField>false</o:LockedField>
                </o:OLEObject>
              </w:object>
            </w:r>
          </w:p>
          <w:p>
            <w:pPr>
              <w:jc w:val="center"/>
              <w:rPr>
                <w:rFonts w:ascii="Times New Roman" w:hAnsi="Times New Roman" w:eastAsia="宋体" w:cs="Times New Roman"/>
                <w:b/>
                <w:color w:val="000000" w:themeColor="text1"/>
                <w:szCs w:val="24"/>
              </w:rPr>
            </w:pPr>
            <w:r>
              <w:rPr>
                <w:rFonts w:hint="eastAsia" w:ascii="Times New Roman" w:hAnsi="Times New Roman" w:eastAsia="宋体" w:cs="Times New Roman"/>
                <w:b/>
                <w:color w:val="000000" w:themeColor="text1"/>
                <w:szCs w:val="24"/>
              </w:rPr>
              <w:t>图2.7.2-4  1号废旧电视机（CRT）处理线工艺流程及产污节点图</w:t>
            </w:r>
          </w:p>
          <w:p>
            <w:pPr>
              <w:spacing w:beforeLines="50"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1号废旧电视机（CRT）处理线</w:t>
            </w:r>
            <w:r>
              <w:rPr>
                <w:rFonts w:ascii="Times New Roman" w:hAnsi="Times New Roman" w:cs="Times New Roman"/>
                <w:b/>
                <w:bCs/>
                <w:color w:val="000000" w:themeColor="text1"/>
                <w:sz w:val="24"/>
                <w:szCs w:val="24"/>
              </w:rPr>
              <w:t>工艺流程简述</w:t>
            </w:r>
          </w:p>
          <w:p>
            <w:pPr>
              <w:pStyle w:val="64"/>
              <w:rPr>
                <w:rFonts w:ascii="Times New Roman" w:hAnsi="Times New Roman" w:cs="Times New Roman"/>
                <w:color w:val="000000" w:themeColor="text1"/>
              </w:rPr>
            </w:pPr>
            <w:r>
              <w:rPr>
                <w:rFonts w:ascii="Times New Roman" w:hAnsi="Times New Roman" w:cs="Times New Roman"/>
                <w:color w:val="000000" w:themeColor="text1"/>
              </w:rPr>
              <w:t>CRT电视机包含有塑料外壳、含金属组件、电路板及导线、显像管CRT等。</w:t>
            </w:r>
          </w:p>
          <w:p>
            <w:pPr>
              <w:spacing w:line="360" w:lineRule="auto"/>
              <w:ind w:firstLine="482" w:firstLineChars="200"/>
              <w:rPr>
                <w:rFonts w:ascii="Times New Roman" w:hAnsi="Times New Roman" w:cs="Times New Roman"/>
                <w:bCs/>
                <w:color w:val="000000" w:themeColor="text1"/>
                <w:sz w:val="24"/>
                <w:szCs w:val="24"/>
              </w:rPr>
            </w:pPr>
            <w:r>
              <w:rPr>
                <w:rFonts w:hint="eastAsia" w:ascii="Times New Roman" w:hAnsi="Times New Roman" w:cs="Times New Roman"/>
                <w:b/>
                <w:bCs/>
                <w:color w:val="000000" w:themeColor="text1"/>
                <w:sz w:val="24"/>
                <w:szCs w:val="24"/>
              </w:rPr>
              <w:t>①后壳拆除</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首先</w:t>
            </w:r>
            <w:r>
              <w:rPr>
                <w:rFonts w:ascii="Times New Roman" w:hAnsi="Times New Roman" w:cs="Times New Roman"/>
                <w:bCs/>
                <w:color w:val="000000" w:themeColor="text1"/>
                <w:sz w:val="24"/>
                <w:szCs w:val="24"/>
              </w:rPr>
              <w:t>将回收的废旧CRT电视机运至处理车间指定电视待拆区域进行卸货。采用仓储笼装存，整齐码放。通过叉车将装盛废旧CRT电视机的仓储笼搬至生产线上料端，通过万向球将废旧CRT电视机从传输线拨送至工作台</w:t>
            </w:r>
            <w:r>
              <w:rPr>
                <w:rFonts w:hint="eastAsia" w:ascii="Times New Roman" w:hAnsi="Times New Roman" w:cs="Times New Roman"/>
                <w:bCs/>
                <w:color w:val="000000" w:themeColor="text1"/>
                <w:sz w:val="24"/>
                <w:szCs w:val="24"/>
              </w:rPr>
              <w:t>后，将采用</w:t>
            </w:r>
            <w:r>
              <w:rPr>
                <w:rFonts w:ascii="Times New Roman" w:hAnsi="Times New Roman" w:cs="Times New Roman"/>
                <w:bCs/>
                <w:color w:val="000000" w:themeColor="text1"/>
                <w:sz w:val="24"/>
                <w:szCs w:val="24"/>
              </w:rPr>
              <w:t>人工采用气动风批拆卸后盖螺丝并摘除后盖</w:t>
            </w:r>
            <w:r>
              <w:rPr>
                <w:rFonts w:hint="eastAsia" w:ascii="Times New Roman" w:hAnsi="Times New Roman" w:cs="Times New Roman"/>
                <w:bCs/>
                <w:color w:val="000000" w:themeColor="text1"/>
                <w:sz w:val="24"/>
                <w:szCs w:val="24"/>
              </w:rPr>
              <w:t>。</w:t>
            </w:r>
          </w:p>
          <w:p>
            <w:pPr>
              <w:spacing w:line="360" w:lineRule="auto"/>
              <w:ind w:firstLine="482" w:firstLineChars="200"/>
              <w:rPr>
                <w:rFonts w:ascii="Times New Roman" w:hAnsi="Times New Roman" w:cs="Times New Roman"/>
                <w:bCs/>
                <w:color w:val="000000" w:themeColor="text1"/>
                <w:sz w:val="24"/>
                <w:szCs w:val="24"/>
              </w:rPr>
            </w:pPr>
            <w:r>
              <w:rPr>
                <w:rFonts w:hint="eastAsia" w:ascii="Times New Roman" w:hAnsi="Times New Roman" w:cs="Times New Roman"/>
                <w:b/>
                <w:bCs/>
                <w:color w:val="000000" w:themeColor="text1"/>
                <w:sz w:val="24"/>
                <w:szCs w:val="24"/>
              </w:rPr>
              <w:t>②破碎</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拆除的</w:t>
            </w:r>
            <w:r>
              <w:rPr>
                <w:rFonts w:ascii="Times New Roman" w:hAnsi="Times New Roman" w:cs="Times New Roman"/>
                <w:bCs/>
                <w:color w:val="000000" w:themeColor="text1"/>
                <w:sz w:val="24"/>
                <w:szCs w:val="24"/>
              </w:rPr>
              <w:t>塑料外壳通过</w:t>
            </w:r>
            <w:r>
              <w:rPr>
                <w:rFonts w:hint="eastAsia" w:ascii="Times New Roman" w:hAnsi="Times New Roman" w:cs="Times New Roman"/>
                <w:bCs/>
                <w:color w:val="000000" w:themeColor="text1"/>
                <w:sz w:val="24"/>
                <w:szCs w:val="24"/>
              </w:rPr>
              <w:t>皮带运输至输送至</w:t>
            </w:r>
            <w:r>
              <w:rPr>
                <w:rFonts w:ascii="Times New Roman" w:hAnsi="Times New Roman" w:cs="Times New Roman"/>
                <w:bCs/>
                <w:color w:val="000000" w:themeColor="text1"/>
                <w:sz w:val="24"/>
                <w:szCs w:val="24"/>
              </w:rPr>
              <w:t>破碎机</w:t>
            </w:r>
            <w:r>
              <w:rPr>
                <w:rFonts w:hint="eastAsia" w:ascii="Times New Roman" w:hAnsi="Times New Roman" w:cs="Times New Roman"/>
                <w:bCs/>
                <w:color w:val="000000" w:themeColor="text1"/>
                <w:sz w:val="24"/>
                <w:szCs w:val="24"/>
              </w:rPr>
              <w:t>进行破碎，破碎机属于密闭破碎系统，将塑料破碎</w:t>
            </w:r>
            <w:r>
              <w:rPr>
                <w:rFonts w:ascii="Times New Roman" w:hAnsi="Times New Roman" w:cs="Times New Roman"/>
                <w:bCs/>
                <w:color w:val="000000" w:themeColor="text1"/>
                <w:sz w:val="24"/>
                <w:szCs w:val="24"/>
              </w:rPr>
              <w:t>至粒径2</w:t>
            </w:r>
            <w:r>
              <w:rPr>
                <w:rFonts w:hint="eastAsia"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3cm的</w:t>
            </w:r>
            <w:r>
              <w:rPr>
                <w:rFonts w:hint="eastAsia" w:ascii="Times New Roman" w:hAnsi="Times New Roman" w:cs="Times New Roman"/>
                <w:bCs/>
                <w:color w:val="000000" w:themeColor="text1"/>
                <w:sz w:val="24"/>
                <w:szCs w:val="24"/>
              </w:rPr>
              <w:t>塑料颗粒后包装入库外售。</w:t>
            </w:r>
          </w:p>
          <w:p>
            <w:pPr>
              <w:spacing w:line="360" w:lineRule="auto"/>
              <w:ind w:firstLine="480" w:firstLineChars="200"/>
              <w:rPr>
                <w:rFonts w:ascii="Times New Roman" w:hAnsi="Times New Roman" w:cs="Times New Roman"/>
                <w:bCs/>
                <w:color w:val="000000" w:themeColor="text1"/>
                <w:sz w:val="24"/>
                <w:szCs w:val="24"/>
              </w:rPr>
            </w:pPr>
            <w:r>
              <w:rPr>
                <w:rFonts w:hint="eastAsia" w:ascii="Times New Roman" w:hAnsi="Times New Roman" w:cs="Times New Roman"/>
                <w:bCs/>
                <w:color w:val="000000" w:themeColor="text1"/>
                <w:sz w:val="24"/>
                <w:szCs w:val="24"/>
              </w:rPr>
              <w:t>针对破碎工序产生的粉尘，项目已在破碎区设置了集气效率不低于90%集气罩，将其粉尘收集后统一进入1个处理效率不低于95%的1#脉冲除尘器对其进行处理后通过1根</w:t>
            </w:r>
            <w:r>
              <w:rPr>
                <w:rFonts w:ascii="Times New Roman" w:hAnsi="Times New Roman" w:cs="Times New Roman"/>
                <w:bCs/>
                <w:color w:val="000000" w:themeColor="text1"/>
                <w:sz w:val="24"/>
                <w:szCs w:val="24"/>
              </w:rPr>
              <w:t>Φ</w:t>
            </w:r>
            <w:r>
              <w:rPr>
                <w:rFonts w:hint="eastAsia" w:ascii="Times New Roman" w:hAnsi="Times New Roman" w:cs="Times New Roman"/>
                <w:bCs/>
                <w:color w:val="000000" w:themeColor="text1"/>
                <w:sz w:val="24"/>
                <w:szCs w:val="24"/>
              </w:rPr>
              <w:t>0.5</w:t>
            </w:r>
            <w:r>
              <w:rPr>
                <w:rFonts w:ascii="Times New Roman" w:hAnsi="Times New Roman" w:cs="Times New Roman"/>
                <w:bCs/>
                <w:color w:val="000000" w:themeColor="text1"/>
                <w:sz w:val="24"/>
                <w:szCs w:val="24"/>
              </w:rPr>
              <w:t>m、高15m的排气筒</w:t>
            </w:r>
            <w:r>
              <w:rPr>
                <w:rFonts w:hint="eastAsia" w:ascii="Times New Roman" w:hAnsi="Times New Roman" w:cs="Times New Roman"/>
                <w:bCs/>
                <w:color w:val="000000" w:themeColor="text1"/>
                <w:sz w:val="24"/>
                <w:szCs w:val="24"/>
              </w:rPr>
              <w:t>（DA001）外排。</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③人工喷吹</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1号废旧电视机（CRT）处理线设置了2个人工喷吹室，经拆壳后的废旧</w:t>
            </w:r>
            <w:r>
              <w:rPr>
                <w:rFonts w:ascii="Times New Roman" w:hAnsi="Times New Roman" w:cs="Times New Roman"/>
                <w:color w:val="000000" w:themeColor="text1"/>
              </w:rPr>
              <w:t>CRT电视机</w:t>
            </w:r>
            <w:r>
              <w:rPr>
                <w:rFonts w:hint="eastAsia" w:ascii="Times New Roman" w:hAnsi="Times New Roman" w:cs="Times New Roman"/>
                <w:color w:val="000000" w:themeColor="text1"/>
              </w:rPr>
              <w:t>通过</w:t>
            </w:r>
            <w:r>
              <w:rPr>
                <w:rFonts w:ascii="Times New Roman" w:hAnsi="Times New Roman" w:cs="Times New Roman"/>
                <w:color w:val="000000" w:themeColor="text1"/>
              </w:rPr>
              <w:t>钢板上料台</w:t>
            </w:r>
            <w:r>
              <w:rPr>
                <w:rFonts w:hint="eastAsia" w:ascii="Times New Roman" w:hAnsi="Times New Roman" w:cs="Times New Roman"/>
                <w:color w:val="000000" w:themeColor="text1"/>
              </w:rPr>
              <w:t>进入</w:t>
            </w:r>
            <w:r>
              <w:rPr>
                <w:rFonts w:ascii="Times New Roman" w:hAnsi="Times New Roman" w:cs="Times New Roman"/>
                <w:color w:val="000000" w:themeColor="text1"/>
              </w:rPr>
              <w:t>喷吹配套除尘系统</w:t>
            </w:r>
            <w:r>
              <w:rPr>
                <w:rFonts w:hint="eastAsia" w:ascii="Times New Roman" w:hAnsi="Times New Roman" w:cs="Times New Roman"/>
                <w:color w:val="000000" w:themeColor="text1"/>
              </w:rPr>
              <w:t>进行喷吹，通过</w:t>
            </w:r>
            <w:r>
              <w:rPr>
                <w:rFonts w:ascii="Times New Roman" w:hAnsi="Times New Roman" w:cs="Times New Roman"/>
                <w:color w:val="000000" w:themeColor="text1"/>
              </w:rPr>
              <w:t>固定吹尘气枪吹扬</w:t>
            </w:r>
            <w:r>
              <w:rPr>
                <w:rFonts w:hint="eastAsia" w:ascii="Times New Roman" w:hAnsi="Times New Roman" w:cs="Times New Roman"/>
                <w:color w:val="000000" w:themeColor="text1"/>
              </w:rPr>
              <w:t>废旧</w:t>
            </w:r>
            <w:r>
              <w:rPr>
                <w:rFonts w:ascii="Times New Roman" w:hAnsi="Times New Roman" w:cs="Times New Roman"/>
                <w:color w:val="000000" w:themeColor="text1"/>
              </w:rPr>
              <w:t>CRT电视机内部积尘。</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针对人工喷吹产生的粉尘，项目已分别在2个人工喷吹室设置了集气效率不低于90%的集气罩对其进行收集，收集后统一进入1个处理效率不低于95%的1#脉冲除尘器对其进行处理后通过1根</w:t>
            </w:r>
            <w:r>
              <w:rPr>
                <w:rFonts w:ascii="Times New Roman" w:hAnsi="Times New Roman" w:cs="Times New Roman"/>
                <w:color w:val="000000" w:themeColor="text1"/>
              </w:rPr>
              <w:t>Φ</w:t>
            </w:r>
            <w:r>
              <w:rPr>
                <w:rFonts w:hint="eastAsia" w:ascii="Times New Roman" w:hAnsi="Times New Roman" w:cs="Times New Roman"/>
                <w:color w:val="000000" w:themeColor="text1"/>
              </w:rPr>
              <w:t>0.5</w:t>
            </w:r>
            <w:r>
              <w:rPr>
                <w:rFonts w:ascii="Times New Roman" w:hAnsi="Times New Roman" w:cs="Times New Roman"/>
                <w:color w:val="000000" w:themeColor="text1"/>
              </w:rPr>
              <w:t>m、高15m的排气筒</w:t>
            </w:r>
            <w:r>
              <w:rPr>
                <w:rFonts w:hint="eastAsia" w:ascii="Times New Roman" w:hAnsi="Times New Roman" w:cs="Times New Roman"/>
                <w:color w:val="000000" w:themeColor="text1"/>
              </w:rPr>
              <w:t>（DA001）外排。</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④人工拆除</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通过手工剪断</w:t>
            </w:r>
            <w:r>
              <w:rPr>
                <w:rFonts w:ascii="Times New Roman" w:hAnsi="Times New Roman" w:cs="Times New Roman"/>
                <w:color w:val="000000" w:themeColor="text1"/>
              </w:rPr>
              <w:t>废旧CRT电视机</w:t>
            </w:r>
            <w:r>
              <w:rPr>
                <w:rFonts w:hint="eastAsia" w:ascii="Times New Roman" w:hAnsi="Times New Roman" w:cs="Times New Roman"/>
                <w:color w:val="000000" w:themeColor="text1"/>
              </w:rPr>
              <w:t>电源线</w:t>
            </w:r>
            <w:r>
              <w:rPr>
                <w:rFonts w:ascii="Times New Roman" w:hAnsi="Times New Roman" w:cs="Times New Roman"/>
                <w:color w:val="000000" w:themeColor="text1"/>
              </w:rPr>
              <w:t>，先依次拆出</w:t>
            </w:r>
            <w:r>
              <w:rPr>
                <w:rFonts w:hint="eastAsia" w:ascii="Times New Roman" w:hAnsi="Times New Roman" w:cs="Times New Roman"/>
                <w:color w:val="000000" w:themeColor="text1"/>
              </w:rPr>
              <w:t>电</w:t>
            </w:r>
            <w:r>
              <w:rPr>
                <w:rFonts w:ascii="Times New Roman" w:hAnsi="Times New Roman" w:cs="Times New Roman"/>
                <w:color w:val="000000" w:themeColor="text1"/>
              </w:rPr>
              <w:t>路板、</w:t>
            </w:r>
            <w:r>
              <w:rPr>
                <w:rFonts w:hint="eastAsia" w:ascii="Times New Roman" w:hAnsi="Times New Roman" w:cs="Times New Roman"/>
                <w:color w:val="000000" w:themeColor="text1"/>
              </w:rPr>
              <w:t>扬声器、变压器、高频头、分离电子枪、卸四脚等，分别将其进行分类打包。其中废电路板属于危险废物，其他物质属于一般工业固废。</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针对人工拆除过程产生的粉尘，项目已对1条人工拆解线工作台分别设置了4个集气效率不低于90%的集气罩将粉尘进行收集，收集后统一进入1个处理效率不低于95%的1#脉冲除尘器对其进行处理后通过1根</w:t>
            </w:r>
            <w:r>
              <w:rPr>
                <w:rFonts w:ascii="Times New Roman" w:hAnsi="Times New Roman" w:cs="Times New Roman"/>
                <w:color w:val="000000" w:themeColor="text1"/>
              </w:rPr>
              <w:t>Φ</w:t>
            </w:r>
            <w:r>
              <w:rPr>
                <w:rFonts w:hint="eastAsia" w:ascii="Times New Roman" w:hAnsi="Times New Roman" w:cs="Times New Roman"/>
                <w:color w:val="000000" w:themeColor="text1"/>
              </w:rPr>
              <w:t>0.5</w:t>
            </w:r>
            <w:r>
              <w:rPr>
                <w:rFonts w:ascii="Times New Roman" w:hAnsi="Times New Roman" w:cs="Times New Roman"/>
                <w:color w:val="000000" w:themeColor="text1"/>
              </w:rPr>
              <w:t>m、高15m的排气筒</w:t>
            </w:r>
            <w:r>
              <w:rPr>
                <w:rFonts w:hint="eastAsia" w:ascii="Times New Roman" w:hAnsi="Times New Roman" w:cs="Times New Roman"/>
                <w:color w:val="000000" w:themeColor="text1"/>
              </w:rPr>
              <w:t>（DA001）外排。</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⑤切割防爆带</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通过人工拆除后即剩下</w:t>
            </w:r>
            <w:r>
              <w:rPr>
                <w:rFonts w:ascii="Times New Roman" w:hAnsi="Times New Roman" w:cs="Times New Roman"/>
                <w:color w:val="000000" w:themeColor="text1"/>
              </w:rPr>
              <w:t>CRT</w:t>
            </w:r>
            <w:r>
              <w:rPr>
                <w:rFonts w:hint="eastAsia" w:ascii="Times New Roman" w:hAnsi="Times New Roman" w:cs="Times New Roman"/>
                <w:color w:val="000000" w:themeColor="text1"/>
              </w:rPr>
              <w:t>显像管，</w:t>
            </w:r>
            <w:r>
              <w:rPr>
                <w:rFonts w:ascii="Times New Roman" w:hAnsi="Times New Roman" w:cs="Times New Roman"/>
                <w:color w:val="000000" w:themeColor="text1"/>
              </w:rPr>
              <w:t>CRT</w:t>
            </w:r>
            <w:r>
              <w:rPr>
                <w:rFonts w:hint="eastAsia" w:ascii="Times New Roman" w:hAnsi="Times New Roman" w:cs="Times New Roman"/>
                <w:color w:val="000000" w:themeColor="text1"/>
              </w:rPr>
              <w:t>显像管由屏玻璃和锥玻璃构成，而为了</w:t>
            </w:r>
            <w:r>
              <w:rPr>
                <w:rFonts w:ascii="Times New Roman" w:hAnsi="Times New Roman" w:cs="Times New Roman"/>
                <w:color w:val="000000" w:themeColor="text1"/>
              </w:rPr>
              <w:t>防止显像管老化爆炸</w:t>
            </w:r>
            <w:r>
              <w:rPr>
                <w:rFonts w:hint="eastAsia" w:ascii="Times New Roman" w:hAnsi="Times New Roman" w:cs="Times New Roman"/>
                <w:color w:val="000000" w:themeColor="text1"/>
              </w:rPr>
              <w:t>，在</w:t>
            </w:r>
            <w:r>
              <w:rPr>
                <w:rFonts w:ascii="Times New Roman" w:hAnsi="Times New Roman" w:cs="Times New Roman"/>
                <w:color w:val="000000" w:themeColor="text1"/>
              </w:rPr>
              <w:t>屏玻璃、锥玻璃接缝处</w:t>
            </w:r>
            <w:r>
              <w:rPr>
                <w:rFonts w:hint="eastAsia" w:ascii="Times New Roman" w:hAnsi="Times New Roman" w:cs="Times New Roman"/>
                <w:color w:val="000000" w:themeColor="text1"/>
              </w:rPr>
              <w:t>设置了</w:t>
            </w:r>
            <w:r>
              <w:rPr>
                <w:rFonts w:ascii="Times New Roman" w:hAnsi="Times New Roman" w:cs="Times New Roman"/>
                <w:color w:val="000000" w:themeColor="text1"/>
              </w:rPr>
              <w:t>一圈密封钢圈</w:t>
            </w:r>
            <w:r>
              <w:rPr>
                <w:rFonts w:hint="eastAsia" w:ascii="Times New Roman" w:hAnsi="Times New Roman" w:cs="Times New Roman"/>
                <w:color w:val="000000" w:themeColor="text1"/>
              </w:rPr>
              <w:t>，称为防爆带，</w:t>
            </w:r>
            <w:r>
              <w:rPr>
                <w:rFonts w:ascii="Times New Roman" w:hAnsi="Times New Roman" w:cs="Times New Roman"/>
                <w:color w:val="000000" w:themeColor="text1"/>
              </w:rPr>
              <w:t>起到固定CRT的作用</w:t>
            </w:r>
            <w:r>
              <w:rPr>
                <w:rFonts w:hint="eastAsia" w:ascii="Times New Roman" w:hAnsi="Times New Roman" w:cs="Times New Roman"/>
                <w:color w:val="000000" w:themeColor="text1"/>
              </w:rPr>
              <w:t>，在进入阴极射线管（CRT）拆解前需切割防爆带，</w:t>
            </w:r>
            <w:r>
              <w:rPr>
                <w:rFonts w:ascii="Times New Roman" w:hAnsi="Times New Roman" w:cs="Times New Roman"/>
                <w:color w:val="000000" w:themeColor="text1"/>
              </w:rPr>
              <w:t>再用除胶机去除少量</w:t>
            </w:r>
            <w:r>
              <w:rPr>
                <w:rFonts w:hint="eastAsia" w:ascii="Times New Roman" w:hAnsi="Times New Roman" w:cs="Times New Roman"/>
                <w:color w:val="000000" w:themeColor="text1"/>
              </w:rPr>
              <w:t>连接防爆带和</w:t>
            </w:r>
            <w:r>
              <w:rPr>
                <w:rFonts w:ascii="Times New Roman" w:hAnsi="Times New Roman" w:cs="Times New Roman"/>
                <w:color w:val="000000" w:themeColor="text1"/>
              </w:rPr>
              <w:t>CRT</w:t>
            </w:r>
            <w:r>
              <w:rPr>
                <w:rFonts w:hint="eastAsia" w:ascii="Times New Roman" w:hAnsi="Times New Roman" w:cs="Times New Roman"/>
                <w:color w:val="000000" w:themeColor="text1"/>
              </w:rPr>
              <w:t>显像管的废胶。</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⑥阴极射线管（CRT）拆解</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防爆带切割后进入阴极射线管（CRT）拆解工序，阴极射线管（CRT）主要由屏玻璃和锥玻璃组成，阴极射线管（CRT）拆解区设置7个阴极射线管（CRT）拆解工作台采用切屏机进行屏锥分离；切屏机</w:t>
            </w:r>
            <w:r>
              <w:rPr>
                <w:rFonts w:ascii="Times New Roman" w:hAnsi="Times New Roman" w:cs="Times New Roman"/>
                <w:color w:val="000000" w:themeColor="text1"/>
              </w:rPr>
              <w:t>原理</w:t>
            </w:r>
            <w:r>
              <w:rPr>
                <w:rFonts w:hint="eastAsia" w:ascii="Times New Roman" w:hAnsi="Times New Roman" w:cs="Times New Roman"/>
                <w:color w:val="000000" w:themeColor="text1"/>
              </w:rPr>
              <w:t>为：</w:t>
            </w:r>
            <w:r>
              <w:rPr>
                <w:rFonts w:ascii="Times New Roman" w:hAnsi="Times New Roman" w:cs="Times New Roman"/>
                <w:color w:val="000000" w:themeColor="text1"/>
              </w:rPr>
              <w:t>通过电热丝加热、带缠绕屏玻璃和锥玻璃连接处，通电加热，在400</w:t>
            </w:r>
            <w:r>
              <w:rPr>
                <w:rFonts w:hint="eastAsia" w:ascii="Times New Roman" w:hAnsi="Times New Roman" w:cs="Times New Roman"/>
                <w:color w:val="000000" w:themeColor="text1"/>
              </w:rPr>
              <w:t>℃</w:t>
            </w:r>
            <w:r>
              <w:rPr>
                <w:rFonts w:ascii="Times New Roman" w:hAnsi="Times New Roman" w:cs="Times New Roman"/>
                <w:color w:val="000000" w:themeColor="text1"/>
              </w:rPr>
              <w:t xml:space="preserve"> 温度下，对CRT</w:t>
            </w:r>
            <w:r>
              <w:rPr>
                <w:rFonts w:hint="eastAsia" w:ascii="Times New Roman" w:hAnsi="Times New Roman" w:cs="Times New Roman"/>
                <w:color w:val="000000" w:themeColor="text1"/>
              </w:rPr>
              <w:t>显像管</w:t>
            </w:r>
            <w:r>
              <w:rPr>
                <w:rFonts w:ascii="Times New Roman" w:hAnsi="Times New Roman" w:cs="Times New Roman"/>
                <w:color w:val="000000" w:themeColor="text1"/>
              </w:rPr>
              <w:t>加热30</w:t>
            </w:r>
            <w:r>
              <w:rPr>
                <w:rFonts w:hint="eastAsia" w:ascii="Times New Roman" w:hAnsi="Times New Roman" w:cs="Times New Roman"/>
                <w:color w:val="000000" w:themeColor="text1"/>
              </w:rPr>
              <w:t>-</w:t>
            </w:r>
            <w:r>
              <w:rPr>
                <w:rFonts w:ascii="Times New Roman" w:hAnsi="Times New Roman" w:cs="Times New Roman"/>
                <w:color w:val="000000" w:themeColor="text1"/>
              </w:rPr>
              <w:t>45S，断电后，CRT</w:t>
            </w:r>
            <w:r>
              <w:rPr>
                <w:rFonts w:hint="eastAsia" w:ascii="Times New Roman" w:hAnsi="Times New Roman" w:cs="Times New Roman"/>
                <w:color w:val="000000" w:themeColor="text1"/>
              </w:rPr>
              <w:t>显像管</w:t>
            </w:r>
            <w:r>
              <w:rPr>
                <w:rFonts w:ascii="Times New Roman" w:hAnsi="Times New Roman" w:cs="Times New Roman"/>
                <w:color w:val="000000" w:themeColor="text1"/>
              </w:rPr>
              <w:t>周围温度l8</w:t>
            </w:r>
            <w:r>
              <w:rPr>
                <w:rFonts w:hint="eastAsia" w:ascii="Times New Roman" w:hAnsi="Times New Roman" w:cs="Times New Roman"/>
                <w:color w:val="000000" w:themeColor="text1"/>
              </w:rPr>
              <w:t>-</w:t>
            </w:r>
            <w:r>
              <w:rPr>
                <w:rFonts w:ascii="Times New Roman" w:hAnsi="Times New Roman" w:cs="Times New Roman"/>
                <w:color w:val="000000" w:themeColor="text1"/>
              </w:rPr>
              <w:t>20</w:t>
            </w:r>
            <w:r>
              <w:rPr>
                <w:rFonts w:hint="eastAsia" w:ascii="Times New Roman" w:hAnsi="Times New Roman" w:cs="Times New Roman"/>
                <w:color w:val="000000" w:themeColor="text1"/>
              </w:rPr>
              <w:t>℃</w:t>
            </w:r>
            <w:r>
              <w:rPr>
                <w:rFonts w:ascii="Times New Roman" w:hAnsi="Times New Roman" w:cs="Times New Roman"/>
                <w:color w:val="000000" w:themeColor="text1"/>
              </w:rPr>
              <w:t xml:space="preserve"> ，利用加热</w:t>
            </w:r>
            <w:r>
              <w:rPr>
                <w:rFonts w:hint="eastAsia" w:ascii="Times New Roman" w:hAnsi="Times New Roman" w:cs="Times New Roman"/>
                <w:color w:val="000000" w:themeColor="text1"/>
              </w:rPr>
              <w:t>--</w:t>
            </w:r>
            <w:r>
              <w:rPr>
                <w:rFonts w:ascii="Times New Roman" w:hAnsi="Times New Roman" w:cs="Times New Roman"/>
                <w:color w:val="000000" w:themeColor="text1"/>
              </w:rPr>
              <w:t>骤冷热应力，使屏、锥分离，分离过程在透明密封罩中进行，</w:t>
            </w:r>
            <w:r>
              <w:rPr>
                <w:rFonts w:hint="eastAsia" w:ascii="Times New Roman" w:hAnsi="Times New Roman" w:cs="Times New Roman"/>
                <w:color w:val="000000" w:themeColor="text1"/>
              </w:rPr>
              <w:t>根据</w:t>
            </w:r>
            <w:r>
              <w:rPr>
                <w:rFonts w:ascii="Times New Roman" w:hAnsi="Times New Roman" w:cs="Times New Roman"/>
                <w:color w:val="000000" w:themeColor="text1"/>
              </w:rPr>
              <w:t>CRT</w:t>
            </w:r>
            <w:r>
              <w:rPr>
                <w:rFonts w:hint="eastAsia" w:ascii="Times New Roman" w:hAnsi="Times New Roman" w:cs="Times New Roman"/>
                <w:color w:val="000000" w:themeColor="text1"/>
              </w:rPr>
              <w:t>显像管的特点，在</w:t>
            </w:r>
            <w:r>
              <w:rPr>
                <w:rFonts w:ascii="Times New Roman" w:hAnsi="Times New Roman" w:cs="Times New Roman"/>
                <w:color w:val="000000" w:themeColor="text1"/>
              </w:rPr>
              <w:t>屏玻璃的显示面上含重金属物质荧光粉，锥玻璃之中含有金属铅，</w:t>
            </w:r>
            <w:r>
              <w:rPr>
                <w:rFonts w:hint="eastAsia" w:ascii="Times New Roman" w:hAnsi="Times New Roman" w:cs="Times New Roman"/>
                <w:color w:val="000000" w:themeColor="text1"/>
              </w:rPr>
              <w:t>阴极射线管（CRT）拆解时</w:t>
            </w:r>
            <w:r>
              <w:rPr>
                <w:rFonts w:ascii="Times New Roman" w:hAnsi="Times New Roman" w:cs="Times New Roman"/>
                <w:color w:val="000000" w:themeColor="text1"/>
              </w:rPr>
              <w:t>，整块普通屏玻璃首先使用吸尘器吸涂收集屏玻璃内的荧光粉</w:t>
            </w:r>
            <w:r>
              <w:rPr>
                <w:rFonts w:hint="eastAsia" w:ascii="Times New Roman" w:hAnsi="Times New Roman" w:cs="Times New Roman"/>
                <w:color w:val="000000" w:themeColor="text1"/>
              </w:rPr>
              <w:t>后，得到是三种物质，包括屏玻璃、锥玻璃和荧光粉，其中锥玻璃和荧光粉为危险废物，而屏玻璃为一般工业固废，若分离过程将屏玻璃损坏，</w:t>
            </w:r>
            <w:r>
              <w:rPr>
                <w:rFonts w:ascii="Times New Roman" w:hAnsi="Times New Roman" w:cs="Times New Roman"/>
                <w:color w:val="000000" w:themeColor="text1"/>
              </w:rPr>
              <w:t>若因操作失误产生的荧光粉泄露，则混合玻璃按含荧光粉</w:t>
            </w:r>
            <w:r>
              <w:rPr>
                <w:rFonts w:hint="eastAsia" w:ascii="Times New Roman" w:hAnsi="Times New Roman" w:cs="Times New Roman"/>
                <w:color w:val="000000" w:themeColor="text1"/>
              </w:rPr>
              <w:t>按危险废物</w:t>
            </w:r>
            <w:r>
              <w:rPr>
                <w:rFonts w:ascii="Times New Roman" w:hAnsi="Times New Roman" w:cs="Times New Roman"/>
                <w:color w:val="000000" w:themeColor="text1"/>
              </w:rPr>
              <w:t>处置。若因操作失误或原料破损导致屏、锥玻璃破碎混合，混合玻璃按含铅玻璃处置。</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该工序主要废气为含铅粉尘，针对含铅粉尘，项目分别对7个阴极射线管（CRT）拆解工作台设置了集气效率不低于95%集气罩对其进行收集，收集后统一进入1个处理效率不低于95%的2#脉冲除尘器对其进行处理，处理后通过1根Φ0.5m、高15m的排气筒（DA002）外排。</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（5）2号废旧电视机（液晶电视）处理线</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2号废旧电视机（液晶电视）处理线</w:t>
            </w:r>
            <w:r>
              <w:rPr>
                <w:rFonts w:ascii="Times New Roman" w:hAnsi="Times New Roman" w:cs="Times New Roman"/>
                <w:b/>
                <w:bCs/>
                <w:color w:val="000000" w:themeColor="text1"/>
                <w:sz w:val="24"/>
                <w:szCs w:val="24"/>
              </w:rPr>
              <w:t>工艺流程图示</w:t>
            </w:r>
          </w:p>
          <w:p>
            <w:pPr>
              <w:jc w:val="center"/>
              <w:rPr>
                <w:rFonts w:ascii="Times New Roman" w:hAnsi="Times New Roman" w:eastAsia="宋体" w:cs="Times New Roman"/>
                <w:b/>
                <w:color w:val="000000" w:themeColor="text1"/>
                <w:szCs w:val="24"/>
              </w:rPr>
            </w:pPr>
            <w:r>
              <w:rPr>
                <w:color w:val="000000" w:themeColor="text1"/>
              </w:rPr>
              <w:object>
                <v:shape id="_x0000_i1029" o:spt="75" type="#_x0000_t75" style="height:335.4pt;width:364.8pt;" o:ole="t" filled="f" o:preferrelative="t" stroked="f" coordsize="21600,21600">
                  <v:path/>
                  <v:fill on="f" focussize="0,0"/>
                  <v:stroke on="f" joinstyle="miter"/>
                  <v:imagedata r:id="rId14" o:title=""/>
                  <o:lock v:ext="edit" aspectratio="t"/>
                  <w10:wrap type="none"/>
                  <w10:anchorlock/>
                </v:shape>
                <o:OLEObject Type="Embed" ProgID="Visio.Drawing.11" ShapeID="_x0000_i1029" DrawAspect="Content" ObjectID="_1468075729" r:id="rId13">
                  <o:LockedField>false</o:LockedField>
                </o:OLEObject>
              </w:object>
            </w:r>
          </w:p>
          <w:p>
            <w:pPr>
              <w:jc w:val="center"/>
              <w:rPr>
                <w:rFonts w:ascii="Times New Roman" w:hAnsi="Times New Roman" w:eastAsia="宋体" w:cs="Times New Roman"/>
                <w:b/>
                <w:color w:val="000000" w:themeColor="text1"/>
                <w:szCs w:val="24"/>
              </w:rPr>
            </w:pPr>
            <w:r>
              <w:rPr>
                <w:rFonts w:hint="eastAsia" w:ascii="Times New Roman" w:hAnsi="Times New Roman" w:eastAsia="宋体" w:cs="Times New Roman"/>
                <w:b/>
                <w:color w:val="000000" w:themeColor="text1"/>
                <w:szCs w:val="24"/>
              </w:rPr>
              <w:t>图2.7.2-3  2号废旧电视机（液晶电视）处理线工艺流程及产污节点图</w:t>
            </w:r>
          </w:p>
          <w:p>
            <w:pPr>
              <w:spacing w:beforeLines="50"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2号废旧电视机（液晶电视）处理线</w:t>
            </w:r>
            <w:r>
              <w:rPr>
                <w:rFonts w:ascii="Times New Roman" w:hAnsi="Times New Roman" w:cs="Times New Roman"/>
                <w:b/>
                <w:bCs/>
                <w:color w:val="000000" w:themeColor="text1"/>
                <w:sz w:val="24"/>
                <w:szCs w:val="24"/>
              </w:rPr>
              <w:t>工艺流程简述</w:t>
            </w:r>
          </w:p>
          <w:p>
            <w:pPr>
              <w:spacing w:line="360" w:lineRule="auto"/>
              <w:ind w:firstLine="482" w:firstLineChars="200"/>
              <w:rPr>
                <w:rFonts w:ascii="Times New Roman" w:hAnsi="Times New Roman" w:cs="Times New Roman"/>
                <w:b/>
                <w:bCs/>
                <w:color w:val="000000" w:themeColor="text1"/>
                <w:sz w:val="24"/>
                <w:szCs w:val="24"/>
              </w:rPr>
            </w:pPr>
            <w:r>
              <w:rPr>
                <w:rFonts w:hint="eastAsia" w:ascii="Times New Roman" w:hAnsi="Times New Roman" w:cs="Times New Roman"/>
                <w:b/>
                <w:bCs/>
                <w:color w:val="000000" w:themeColor="text1"/>
                <w:sz w:val="24"/>
                <w:szCs w:val="24"/>
              </w:rPr>
              <w:t>①人工拆解</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2号废旧电视机（液晶电视）处理线拆除的废旧产品主要包括废旧液晶电视，废旧电脑液晶显示器等，废旧液晶显示器</w:t>
            </w:r>
            <w:r>
              <w:rPr>
                <w:rFonts w:ascii="Times New Roman" w:hAnsi="Times New Roman" w:cs="Times New Roman"/>
                <w:color w:val="000000" w:themeColor="text1"/>
                <w:sz w:val="24"/>
                <w:szCs w:val="24"/>
              </w:rPr>
              <w:t>部件成分比较单一</w:t>
            </w:r>
            <w:r>
              <w:rPr>
                <w:rFonts w:hint="eastAsia" w:ascii="Times New Roman" w:hAnsi="Times New Roman" w:cs="Times New Roman"/>
                <w:color w:val="000000" w:themeColor="text1"/>
                <w:sz w:val="24"/>
                <w:szCs w:val="24"/>
              </w:rPr>
              <w:t>，主要包括液晶屏、主板和荧光灯管背光模组组成，采用单工位拆解方式进行人工拆解，即每台液晶显示器一个人即可完成其拆解工作；项目设置了</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型号为</w:t>
            </w:r>
            <w:r>
              <w:rPr>
                <w:rFonts w:ascii="Times New Roman" w:hAnsi="Times New Roman" w:cs="Times New Roman"/>
                <w:color w:val="000000" w:themeColor="text1"/>
                <w:sz w:val="24"/>
                <w:szCs w:val="24"/>
              </w:rPr>
              <w:t>HXWL-01</w:t>
            </w:r>
            <w:r>
              <w:rPr>
                <w:rFonts w:hint="eastAsia" w:ascii="Times New Roman" w:hAnsi="Times New Roman" w:cs="Times New Roman"/>
                <w:color w:val="000000" w:themeColor="text1"/>
                <w:sz w:val="24"/>
                <w:szCs w:val="24"/>
              </w:rPr>
              <w:t>的</w:t>
            </w:r>
            <w:r>
              <w:rPr>
                <w:rFonts w:ascii="Times New Roman" w:hAnsi="Times New Roman" w:cs="Times New Roman"/>
                <w:color w:val="000000" w:themeColor="text1"/>
                <w:sz w:val="24"/>
                <w:szCs w:val="24"/>
              </w:rPr>
              <w:t>钢板上料台</w:t>
            </w:r>
            <w:r>
              <w:rPr>
                <w:rFonts w:hint="eastAsia" w:ascii="Times New Roman" w:hAnsi="Times New Roman" w:cs="Times New Roman"/>
                <w:color w:val="000000" w:themeColor="text1"/>
                <w:sz w:val="24"/>
                <w:szCs w:val="24"/>
              </w:rPr>
              <w:t>，输送至6个拆解工作台，每工作台定员一人，</w:t>
            </w:r>
            <w:r>
              <w:rPr>
                <w:rFonts w:ascii="Times New Roman" w:hAnsi="Times New Roman" w:cs="Times New Roman"/>
                <w:color w:val="000000" w:themeColor="text1"/>
                <w:sz w:val="24"/>
                <w:szCs w:val="24"/>
              </w:rPr>
              <w:t>负责废旧液晶显示器</w:t>
            </w:r>
            <w:r>
              <w:rPr>
                <w:rFonts w:hint="eastAsia" w:ascii="Times New Roman" w:hAnsi="Times New Roman" w:cs="Times New Roman"/>
                <w:color w:val="000000" w:themeColor="text1"/>
                <w:sz w:val="24"/>
                <w:szCs w:val="24"/>
              </w:rPr>
              <w:t>除荧光灯管背光模组以外的</w:t>
            </w:r>
            <w:r>
              <w:rPr>
                <w:rFonts w:ascii="Times New Roman" w:hAnsi="Times New Roman" w:cs="Times New Roman"/>
                <w:color w:val="000000" w:themeColor="text1"/>
                <w:sz w:val="24"/>
                <w:szCs w:val="24"/>
              </w:rPr>
              <w:t>全程拆解</w:t>
            </w:r>
            <w:r>
              <w:rPr>
                <w:rFonts w:hint="eastAsia" w:ascii="Times New Roman" w:hAnsi="Times New Roman" w:cs="Times New Roman"/>
                <w:color w:val="000000" w:themeColor="text1"/>
                <w:sz w:val="24"/>
                <w:szCs w:val="24"/>
              </w:rPr>
              <w:t>，拆除过程产生的废电路板、电容、开关、电源线、塑料、玻璃分别将其进行分类打包。其中废电路板属于危险废物，其他物质属于一般工业固废。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针对人工拆解过程产生的粉尘，项目拟分别对6个拆解工位设置集气效率不低于90%集气罩进行收集，收集后统一进入1个处理效率不低于95%的1#脉冲除尘器对其进行处理后通过1根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 xml:space="preserve">（DA001）外排。 </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②荧光灯管背光模组拆解</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由于荧光灯管属于含汞灯管，为防止其对操作工人和环境造成影响，项目单独设置了2台荧光灯管背光模组负压拆解工作台对其进行拆除，2台荧光灯管背光模组负压拆解工作台设置为密封式透明负压拆解工作台，人在负压拆解工作台外，手伸入负压工作台内对荧光灯管背光模组进行手工拆解。</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正常情况下背光模组含汞灯管不会破碎，不会有汞及其化合物产生，但若含汞灯管破碎后，汞及其化合物经负压系统全部收集，通过</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去除效率不低于80%的汞及其化合物处理装置（</w:t>
            </w:r>
            <w:r>
              <w:rPr>
                <w:rFonts w:ascii="Times New Roman" w:hAnsi="Times New Roman" w:cs="Times New Roman"/>
                <w:color w:val="000000" w:themeColor="text1"/>
                <w:sz w:val="24"/>
                <w:szCs w:val="24"/>
              </w:rPr>
              <w:t>采用UV光氧裂解+</w:t>
            </w:r>
            <w:r>
              <w:rPr>
                <w:rFonts w:hint="eastAsia" w:ascii="Times New Roman" w:hAnsi="Times New Roman" w:cs="Times New Roman"/>
                <w:color w:val="000000" w:themeColor="text1"/>
                <w:sz w:val="24"/>
                <w:szCs w:val="24"/>
              </w:rPr>
              <w:t>载硫</w:t>
            </w:r>
            <w:r>
              <w:rPr>
                <w:rFonts w:ascii="Times New Roman" w:hAnsi="Times New Roman" w:cs="Times New Roman"/>
                <w:color w:val="000000" w:themeColor="text1"/>
                <w:sz w:val="24"/>
                <w:szCs w:val="24"/>
              </w:rPr>
              <w:t>活性炭吸附</w:t>
            </w:r>
            <w:r>
              <w:rPr>
                <w:rFonts w:hint="eastAsia" w:ascii="Times New Roman" w:hAnsi="Times New Roman" w:cs="Times New Roman"/>
                <w:color w:val="000000" w:themeColor="text1"/>
                <w:sz w:val="24"/>
                <w:szCs w:val="24"/>
              </w:rPr>
              <w:t>）对其进行处理，处理后再统一进入1个处理效率不低于95%的1#脉冲除尘器对其进行处理后通过1根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 产排污环节</w:t>
            </w:r>
          </w:p>
          <w:p>
            <w:pPr>
              <w:spacing w:line="360" w:lineRule="auto"/>
              <w:ind w:firstLine="482" w:firstLineChars="20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2.8.1 施工期产污环节</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根据项目具体情况，项目拟在原址进行升级改造，施工期主要为生产设备及环保设备的安装，均委托设备生产单位进行安装，安装过程污染源产生量较小，主要为施工废气、施工噪声、施工固废等。</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2.8.2 运营期产污环节</w:t>
            </w:r>
          </w:p>
          <w:p>
            <w:pPr>
              <w:spacing w:line="360" w:lineRule="auto"/>
              <w:ind w:firstLine="480" w:firstLineChars="200"/>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根据项目工艺流程可知，本项目运营期产污环节具体如下。</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（1）运营期废气</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根据项目技改内容</w:t>
            </w:r>
            <w:r>
              <w:rPr>
                <w:rFonts w:hint="eastAsia" w:ascii="Times New Roman" w:hAnsi="Times New Roman" w:cs="Times New Roman"/>
                <w:color w:val="000000" w:themeColor="text1"/>
                <w:sz w:val="24"/>
                <w:szCs w:val="24"/>
              </w:rPr>
              <w:t>可知</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本次项目技改后，废旧冰箱处理线不变，其废气污染源不发生变化，空调/小家电/废手机及其视听设备消费电子产品处理线仅为恢复，其废气污染源较环评不发生变化，1号废旧电视机（CRT）处理线不变，其废气污染源不发生变化；主要变化的是废旧洗衣机处理线和2号废旧电视机（液晶电视）处理线，废旧洗衣机处理线生产线新增4个拆解工位和两台破碎设施，其粉尘产生量发生变化，2号废旧电视机（液晶电视）处理线新增荧光灯管背光模组负压拆解工作台，则增加汞及其化合物。</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（2）运营期废水</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根据调查，</w:t>
            </w:r>
            <w:r>
              <w:rPr>
                <w:rFonts w:hint="eastAsia" w:ascii="Times New Roman" w:hAnsi="Times New Roman" w:cs="Times New Roman"/>
                <w:color w:val="000000" w:themeColor="text1"/>
                <w:sz w:val="24"/>
                <w:szCs w:val="24"/>
              </w:rPr>
              <w:t>项目技改后废水种类未发生变化，主要为废旧洗衣机处理线产生的平衡盐水和员工生活污水；但现有项目未核算初期雨水，本次环评拟对初期雨水进行核算。</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（3）运营期噪声</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根据项目技改内容及生产工艺，项目噪声污染源主要为设备噪声。</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（4）运营期固体废物</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根据项目技改内容</w:t>
            </w:r>
            <w:r>
              <w:rPr>
                <w:rFonts w:hint="eastAsia" w:ascii="Times New Roman" w:hAnsi="Times New Roman" w:cs="Times New Roman"/>
                <w:color w:val="000000" w:themeColor="text1"/>
                <w:sz w:val="24"/>
              </w:rPr>
              <w:t>可知</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本次项目技改后，废旧冰箱处理线不变，其固体废物污染源不发生变化，空调/小家电/废手机及其视听设备消费电子产品处理线仅为恢复，其固体废物污染源较环评不发生变化，1号废旧电视机（CRT）处理线不变，其固体废物污染源不发生变化；主要变化的是废旧洗衣机处理线和2号废旧电视机（液晶电视）处理线，废旧洗衣机处理线生产线新增4个拆解工位和两台破碎设施，其拆解固体废物产生量发生变化，2号废旧电视机（液晶电视）处理线新增荧光灯管背光模组负压拆解工作台，则增加汞及其化合物处理产生的固体废物废活性炭（吸附汞及其化合物）。其他3条拆解线（废旧冰箱处理线、空调/小家电/废手机及其视听设备消费电子产品处理线、1号废旧电视机（CRT）处理线）固体废物产排情况，详见现有工程核算章节。另外新建设的一体化污水处理设施将新增污泥。</w:t>
            </w: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20" w:firstLineChars="200"/>
              <w:rPr>
                <w:color w:val="000000" w:themeColor="text1"/>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与项目有关的原有环境污染问题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本项目为改扩建项目，本环评依据现有工程的环评及验收报告对现有工程进行简单分析。</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2.9 现有工程环保手续办理情况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云南省华再新源环保产业发展有限公司于2013年在昆明市东川区再就业特区天生桥特色产业园建成了云南华再新源环保产业发展有限公司云南省废弃电器电子产品回收处置项目；该项目于2013年1月15日编制完成了《云南华再新源环保产业发展有限公司云南省废弃电器电子产品回收处置项目环境影响报告书》，2013年10月17日，昆明市环境保护局（现昆明市生态环境局）以《关于云南华再新源环保产业发展有限公司云南省废弃电器电子产品回收处置项目环境影响报告书的批复》（昆环保复【2013】363号），同意该项目建设；项目建设完成后委托东川区环境监测站编制了《云南华再新源环保产业发展有限公司云南省废弃电器电子产品回收处置项目（生产部份）建设项目竣工环境保护验收监测报告》，并于2013年11月15日取得昆明市环境保护局（现昆明市生态环境局）下发的《关于对云南华再新源环保产业发展有限公司云南省废弃电器电子产品回收处置项目（生产部份）建设项目竣工环境保护验收的批复》（昆环保复【2013】436号）。</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根据该项目环评及竣工验收报告，该项目建设内容包括2条电视/电脑处理线</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1号废旧电视机（CRT）处理线</w:t>
            </w:r>
            <w:r>
              <w:rPr>
                <w:rFonts w:hint="eastAsia" w:ascii="Times New Roman" w:hAnsi="Times New Roman" w:cs="Times New Roman"/>
                <w:color w:val="000000" w:themeColor="text1"/>
                <w:sz w:val="24"/>
                <w:szCs w:val="24"/>
              </w:rPr>
              <w:t>、2号废旧电视机（液晶电视）处理线）</w:t>
            </w:r>
            <w:r>
              <w:rPr>
                <w:rFonts w:ascii="Times New Roman" w:hAnsi="Times New Roman" w:cs="Times New Roman"/>
                <w:color w:val="000000" w:themeColor="text1"/>
                <w:sz w:val="24"/>
                <w:szCs w:val="24"/>
              </w:rPr>
              <w:t>、1条空调/小家电/废手机及其视听设备消费电子产品处理线、1条</w:t>
            </w:r>
            <w:r>
              <w:rPr>
                <w:rFonts w:hint="eastAsia" w:ascii="Times New Roman" w:hAnsi="Times New Roman" w:cs="Times New Roman"/>
                <w:color w:val="000000" w:themeColor="text1"/>
                <w:sz w:val="24"/>
                <w:szCs w:val="24"/>
              </w:rPr>
              <w:t>废旧洗衣机处理线</w:t>
            </w:r>
            <w:r>
              <w:rPr>
                <w:rFonts w:ascii="Times New Roman" w:hAnsi="Times New Roman" w:cs="Times New Roman"/>
                <w:color w:val="000000" w:themeColor="text1"/>
                <w:sz w:val="24"/>
                <w:szCs w:val="24"/>
              </w:rPr>
              <w:t>和1条</w:t>
            </w:r>
            <w:r>
              <w:rPr>
                <w:rFonts w:hint="eastAsia" w:ascii="Times New Roman" w:hAnsi="Times New Roman" w:cs="Times New Roman"/>
                <w:color w:val="000000" w:themeColor="text1"/>
                <w:sz w:val="24"/>
                <w:szCs w:val="24"/>
              </w:rPr>
              <w:t>废旧冰箱处理线</w:t>
            </w:r>
            <w:r>
              <w:rPr>
                <w:rFonts w:ascii="Times New Roman" w:hAnsi="Times New Roman" w:cs="Times New Roman"/>
                <w:color w:val="000000" w:themeColor="text1"/>
                <w:sz w:val="24"/>
                <w:szCs w:val="24"/>
              </w:rPr>
              <w:t>，合计5条处理线。</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2013年12月-2015年10月，项目正常生产。</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2015年10月-2016年8月，由于</w:t>
            </w:r>
            <w:r>
              <w:rPr>
                <w:rFonts w:ascii="Times New Roman" w:hAnsi="Times New Roman" w:cs="Times New Roman"/>
                <w:color w:val="000000" w:themeColor="text1"/>
                <w:sz w:val="24"/>
                <w:szCs w:val="24"/>
              </w:rPr>
              <w:t>1号废旧电视机（CRT）处理线</w:t>
            </w:r>
            <w:r>
              <w:rPr>
                <w:rFonts w:hint="eastAsia" w:ascii="Times New Roman" w:hAnsi="Times New Roman" w:cs="Times New Roman"/>
                <w:color w:val="000000" w:themeColor="text1"/>
                <w:sz w:val="24"/>
                <w:szCs w:val="24"/>
              </w:rPr>
              <w:t>，原有的6台切屏机不能满足设计处理能力，因此增加了一台切屏机，由原来的6台增加到7台，同时将后壳破碎机由原来的生产车间移至仓库；为了提高废旧洗衣机处理线的处理效率，在冰箱处理线的末端加设一套RTT塑料分选设备；增设1900m²的防雨棚。该</w:t>
            </w:r>
            <w:r>
              <w:rPr>
                <w:rFonts w:ascii="Times New Roman" w:hAnsi="Times New Roman" w:cs="Times New Roman"/>
                <w:color w:val="000000" w:themeColor="text1"/>
                <w:sz w:val="24"/>
                <w:szCs w:val="24"/>
              </w:rPr>
              <w:t>技术改造项目于2015年11月编制完成了《云南省废弃电器电子产品回收处置改扩建项目环境影响报告表》，并于2015年11月23日取得昆明市东川区环境保护局（昆明市生态环境局东川分局）下发的《关于云南省废弃电器电子产品回收处置改扩建项目环境影响报告表的批复》（东环保复【2015】70号），同意该项目进行技术改造。</w:t>
            </w:r>
            <w:r>
              <w:rPr>
                <w:rFonts w:hint="eastAsia" w:ascii="Times New Roman" w:hAnsi="Times New Roman" w:cs="Times New Roman"/>
                <w:color w:val="000000" w:themeColor="text1"/>
                <w:sz w:val="24"/>
                <w:szCs w:val="24"/>
              </w:rPr>
              <w:t>上述</w:t>
            </w:r>
            <w:r>
              <w:rPr>
                <w:rFonts w:ascii="Times New Roman" w:hAnsi="Times New Roman" w:cs="Times New Roman"/>
                <w:color w:val="000000" w:themeColor="text1"/>
                <w:sz w:val="24"/>
                <w:szCs w:val="24"/>
              </w:rPr>
              <w:t>技术改造项目完成后，委托云南环绿环境检测技术有限公司于2016年8月进行了竣工验收监测。</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2016年8月至2020年6月，项目正常生产；同时2020年4月27日，项目更换了新的《排污许可证》（证书编号：91530113566217495T001V）。</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2020年6月-2021年5月，</w:t>
            </w:r>
            <w:r>
              <w:rPr>
                <w:rFonts w:ascii="Times New Roman" w:hAnsi="Times New Roman" w:cs="Times New Roman"/>
                <w:color w:val="000000" w:themeColor="text1"/>
                <w:sz w:val="24"/>
                <w:szCs w:val="24"/>
              </w:rPr>
              <w:t>随着企业的发展，</w:t>
            </w:r>
            <w:r>
              <w:rPr>
                <w:rFonts w:hint="eastAsia" w:ascii="Times New Roman" w:hAnsi="Times New Roman" w:cs="Times New Roman"/>
                <w:color w:val="000000" w:themeColor="text1"/>
                <w:sz w:val="24"/>
                <w:szCs w:val="24"/>
              </w:rPr>
              <w:t>废旧洗衣机处理线</w:t>
            </w:r>
            <w:r>
              <w:rPr>
                <w:rFonts w:ascii="Times New Roman" w:hAnsi="Times New Roman" w:cs="Times New Roman"/>
                <w:color w:val="000000" w:themeColor="text1"/>
                <w:sz w:val="24"/>
                <w:szCs w:val="24"/>
              </w:rPr>
              <w:t>的处理能力已不能满足项目的处理要求，因此建设单位拟建设冰箱线物理拆解、分类收集改扩建项目，通过置换现有设备的方式对原冰箱线进行升级改造，实现产能提升至100台/h，年处理量30万台，</w:t>
            </w:r>
            <w:r>
              <w:rPr>
                <w:rFonts w:hint="eastAsia" w:ascii="Times New Roman" w:hAnsi="Times New Roman" w:cs="Times New Roman"/>
                <w:color w:val="000000" w:themeColor="text1"/>
                <w:sz w:val="24"/>
                <w:szCs w:val="24"/>
              </w:rPr>
              <w:t>该升级改造项目于</w:t>
            </w:r>
            <w:r>
              <w:rPr>
                <w:rFonts w:ascii="Times New Roman" w:hAnsi="Times New Roman" w:cs="Times New Roman"/>
                <w:color w:val="000000" w:themeColor="text1"/>
                <w:sz w:val="24"/>
                <w:szCs w:val="24"/>
              </w:rPr>
              <w:t xml:space="preserve"> 20</w:t>
            </w:r>
            <w:r>
              <w:rPr>
                <w:rFonts w:hint="eastAsia"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年</w:t>
            </w:r>
            <w:r>
              <w:rPr>
                <w:rFonts w:hint="eastAsia"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月编制完成了《冰箱线物理拆解、分类收集改扩建项目环境影响报告表》，并于2020年6月22日取得了昆明市生态环境局东川分局下发的《关于对冰箱线物理拆解、分类收集改扩建项目环境影响报告表的批复》（昆生环（东）复【2020】19号）</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同意该项目进行</w:t>
            </w:r>
            <w:r>
              <w:rPr>
                <w:rFonts w:hint="eastAsia" w:ascii="Times New Roman" w:hAnsi="Times New Roman" w:cs="Times New Roman"/>
                <w:color w:val="000000" w:themeColor="text1"/>
                <w:sz w:val="24"/>
                <w:szCs w:val="24"/>
              </w:rPr>
              <w:t>升级改造；上述升级</w:t>
            </w:r>
            <w:r>
              <w:rPr>
                <w:rFonts w:ascii="Times New Roman" w:hAnsi="Times New Roman" w:cs="Times New Roman"/>
                <w:color w:val="000000" w:themeColor="text1"/>
                <w:sz w:val="24"/>
                <w:szCs w:val="24"/>
              </w:rPr>
              <w:t>改造项目完成后，</w:t>
            </w:r>
            <w:r>
              <w:rPr>
                <w:rFonts w:hint="eastAsia" w:ascii="Times New Roman" w:hAnsi="Times New Roman" w:cs="Times New Roman"/>
                <w:color w:val="000000" w:themeColor="text1"/>
                <w:sz w:val="24"/>
                <w:szCs w:val="24"/>
              </w:rPr>
              <w:t>组织编制了</w:t>
            </w:r>
            <w:r>
              <w:rPr>
                <w:rFonts w:ascii="Times New Roman" w:hAnsi="Times New Roman" w:cs="Times New Roman"/>
                <w:color w:val="000000" w:themeColor="text1"/>
                <w:sz w:val="24"/>
                <w:szCs w:val="24"/>
              </w:rPr>
              <w:t>《冰箱线物理拆解、分类收集改扩建项目竣工环境保护验收监测报告》，并</w:t>
            </w:r>
            <w:r>
              <w:rPr>
                <w:rFonts w:hint="eastAsia" w:ascii="Times New Roman" w:hAnsi="Times New Roman" w:cs="Times New Roman"/>
                <w:color w:val="000000" w:themeColor="text1"/>
                <w:sz w:val="24"/>
                <w:szCs w:val="24"/>
              </w:rPr>
              <w:t>于2021年5月28日通过了建设单位组织开展的自主竣工验收。</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综上，现有工程环保手续齐全。</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2.10 现有工程污染物排放总量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现有工程运营期的主要污染因素包括废气、废水、噪声和固体废物</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其污染物排放具体如下。</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2.10.1 现有工程废气排放情况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现有工程废气包括各生产线生产工序和厨房油烟。</w:t>
            </w:r>
          </w:p>
          <w:p>
            <w:pPr>
              <w:spacing w:line="360" w:lineRule="auto"/>
              <w:ind w:firstLine="361" w:firstLineChars="150"/>
              <w:rPr>
                <w:rFonts w:ascii="Times New Roman" w:hAnsi="Times New Roman" w:eastAsia="宋体" w:cs="Times New Roman"/>
                <w:b/>
                <w:color w:val="000000" w:themeColor="text1"/>
                <w:sz w:val="24"/>
              </w:rPr>
            </w:pPr>
            <w:r>
              <w:rPr>
                <w:rFonts w:hint="eastAsia" w:ascii="Times New Roman" w:hAnsi="Times New Roman" w:eastAsia="宋体" w:cs="Times New Roman"/>
                <w:b/>
                <w:color w:val="000000" w:themeColor="text1"/>
                <w:sz w:val="24"/>
              </w:rPr>
              <w:t>（1）各生产线生产工序废气</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根据现有工程的实际情况，空调/小家电/废手机及其视听设备消费电子产品处理线、2号废旧电视机（液晶电视）处理线和</w:t>
            </w:r>
            <w:r>
              <w:rPr>
                <w:rFonts w:ascii="Times New Roman" w:hAnsi="Times New Roman" w:cs="Times New Roman"/>
                <w:color w:val="000000" w:themeColor="text1"/>
                <w:sz w:val="24"/>
                <w:szCs w:val="24"/>
              </w:rPr>
              <w:t>1号废旧电视机（CRT）处理线</w:t>
            </w:r>
            <w:r>
              <w:rPr>
                <w:rFonts w:hint="eastAsia" w:ascii="Times New Roman" w:hAnsi="Times New Roman" w:cs="Times New Roman"/>
                <w:color w:val="000000" w:themeColor="text1"/>
                <w:sz w:val="24"/>
                <w:szCs w:val="24"/>
              </w:rPr>
              <w:t>产生的普通粉尘通过DA001排气筒外排，</w:t>
            </w:r>
            <w:r>
              <w:rPr>
                <w:rFonts w:ascii="Times New Roman" w:hAnsi="Times New Roman" w:cs="Times New Roman"/>
                <w:color w:val="000000" w:themeColor="text1"/>
                <w:sz w:val="24"/>
                <w:szCs w:val="24"/>
              </w:rPr>
              <w:t>1号废旧电视机（CRT）处理线</w:t>
            </w:r>
            <w:r>
              <w:rPr>
                <w:rFonts w:hint="eastAsia" w:ascii="Times New Roman" w:hAnsi="Times New Roman" w:cs="Times New Roman"/>
                <w:color w:val="000000" w:themeColor="text1"/>
                <w:sz w:val="24"/>
                <w:szCs w:val="24"/>
              </w:rPr>
              <w:t>产生的含铅粉尘通过DA002排气筒外排，废旧冰箱处理线和</w:t>
            </w:r>
            <w:r>
              <w:rPr>
                <w:rFonts w:ascii="Times New Roman" w:hAnsi="Times New Roman" w:cs="Times New Roman"/>
                <w:color w:val="000000" w:themeColor="text1"/>
                <w:sz w:val="24"/>
                <w:szCs w:val="24"/>
              </w:rPr>
              <w:t>废旧洗衣机处理线</w:t>
            </w:r>
            <w:r>
              <w:rPr>
                <w:rFonts w:hint="eastAsia" w:ascii="Times New Roman" w:hAnsi="Times New Roman" w:cs="Times New Roman"/>
                <w:color w:val="000000" w:themeColor="text1"/>
                <w:sz w:val="24"/>
                <w:szCs w:val="24"/>
              </w:rPr>
              <w:t>产生的废气通过DA003排气筒外排。每次年检监测以及自行监测项目排放废气均达标排放、且满足项目控制总量，但由于项目存在多条生产线共用排气筒等情况，因此每次监测均有不同生产线存在停产、非满负荷运行情况，因此无法通过年检监测及自行监测数据对现有工程废气（非甲烷总烃、铅及其化合物除外）进行核算，而项目环评审批时间较早，其核算量和项目实际情况存在差异，因此本环评拟采用最新技术参数对现有工程废气污染物进行核算。具体如下：</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①现有项目废旧冰箱处理线废气产排情况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根据废旧冰箱处理线的处理工艺可知，其废气产生环节主要为废旧冰箱冷媒抽取+拆解+破碎产生的粉尘和非甲烷总烃，具体如下：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粉尘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现有项目废旧冰箱处理线废旧冰箱的处理能力为30万台/a，根据建设单位提供的技术参数，每台冰箱的平均重量为42.63kg；则合计处理量为12789t/a，根据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废弃资源综合利用行业系数手册”，废旧冰箱冷媒抽取+拆解+破碎过程颗粒物产污系数为1112克/吨·原料，则废旧冰箱处理线拆解粉尘产生量为14.22t/a。</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非甲烷总烃</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w:t>
            </w:r>
            <w:r>
              <w:rPr>
                <w:rFonts w:ascii="Times New Roman" w:hAnsi="Times New Roman" w:cs="Times New Roman"/>
                <w:color w:val="000000" w:themeColor="text1"/>
                <w:sz w:val="24"/>
                <w:szCs w:val="24"/>
              </w:rPr>
              <w:t>《冰箱线物理拆解、分类收集改扩建项目竣工环境保护验收监测报告》</w:t>
            </w:r>
            <w:r>
              <w:rPr>
                <w:rFonts w:hint="eastAsia" w:ascii="Times New Roman" w:hAnsi="Times New Roman" w:cs="Times New Roman"/>
                <w:color w:val="000000" w:themeColor="text1"/>
                <w:sz w:val="24"/>
                <w:szCs w:val="24"/>
              </w:rPr>
              <w:t>，现有项目废旧冰箱处理线满负荷运行时，非甲烷总烃有组织排放量0.06</w:t>
            </w:r>
            <w:r>
              <w:rPr>
                <w:rFonts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根据调查，针对废旧冰箱处理线废气，项目已设置集气效率不低于90%的集气罩、</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去除效率不低于70%的</w:t>
            </w:r>
            <w:r>
              <w:rPr>
                <w:rFonts w:ascii="Times New Roman" w:hAnsi="Times New Roman" w:cs="Times New Roman"/>
                <w:color w:val="000000" w:themeColor="text1"/>
                <w:sz w:val="24"/>
                <w:szCs w:val="24"/>
              </w:rPr>
              <w:t>旋风除尘器</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去除效率不低于95%的</w:t>
            </w:r>
            <w:r>
              <w:rPr>
                <w:rFonts w:ascii="Times New Roman" w:hAnsi="Times New Roman" w:cs="Times New Roman"/>
                <w:color w:val="000000" w:themeColor="text1"/>
                <w:sz w:val="24"/>
                <w:szCs w:val="24"/>
              </w:rPr>
              <w:t>脉冲除尘器</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去除效率不低于80%的</w:t>
            </w:r>
            <w:r>
              <w:rPr>
                <w:rFonts w:ascii="Times New Roman" w:hAnsi="Times New Roman" w:cs="Times New Roman"/>
                <w:color w:val="000000" w:themeColor="text1"/>
                <w:sz w:val="24"/>
                <w:szCs w:val="24"/>
              </w:rPr>
              <w:t>有机废气处理装置</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采用UV光氧裂解+活性炭吸附</w:t>
            </w:r>
            <w:r>
              <w:rPr>
                <w:rFonts w:hint="eastAsia" w:ascii="Times New Roman" w:hAnsi="Times New Roman" w:cs="Times New Roman"/>
                <w:color w:val="000000" w:themeColor="text1"/>
                <w:sz w:val="24"/>
                <w:szCs w:val="24"/>
              </w:rPr>
              <w:t>）对其进行处理，处理后通过和1</w:t>
            </w:r>
            <w:r>
              <w:rPr>
                <w:rFonts w:ascii="Times New Roman" w:hAnsi="Times New Roman" w:cs="Times New Roman"/>
                <w:color w:val="000000" w:themeColor="text1"/>
                <w:sz w:val="24"/>
                <w:szCs w:val="24"/>
              </w:rPr>
              <w:t>根Φ0.5m、高15m的排气筒</w:t>
            </w:r>
            <w:r>
              <w:rPr>
                <w:rFonts w:hint="eastAsia" w:ascii="Times New Roman" w:hAnsi="Times New Roman" w:cs="Times New Roman"/>
                <w:color w:val="000000" w:themeColor="text1"/>
                <w:sz w:val="24"/>
                <w:szCs w:val="24"/>
              </w:rPr>
              <w:t>（DA003）外排。废旧冰箱处理线废气风量为20000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综上，废旧冰箱处理线粉尘产排情况如下表所示。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2.10.1</w:t>
            </w:r>
            <w:r>
              <w:rPr>
                <w:rFonts w:ascii="Times New Roman" w:hAnsi="Times New Roman" w:eastAsia="宋体" w:cs="Times New Roman"/>
                <w:b/>
                <w:color w:val="000000" w:themeColor="text1"/>
                <w:szCs w:val="24"/>
              </w:rPr>
              <w:t>-</w:t>
            </w:r>
            <w:r>
              <w:rPr>
                <w:rFonts w:hint="eastAsia" w:ascii="Times New Roman" w:hAnsi="Times New Roman" w:eastAsia="宋体" w:cs="Times New Roman"/>
                <w:b/>
                <w:color w:val="000000" w:themeColor="text1"/>
                <w:szCs w:val="24"/>
              </w:rPr>
              <w:t>1</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现有项目废旧冰箱处理线粉尘</w:t>
            </w:r>
            <w:r>
              <w:rPr>
                <w:rFonts w:ascii="Times New Roman" w:hAnsi="Times New Roman" w:eastAsia="宋体" w:cs="Times New Roman"/>
                <w:b/>
                <w:color w:val="000000" w:themeColor="text1"/>
                <w:szCs w:val="24"/>
              </w:rPr>
              <w:t>产排情况一览表</w:t>
            </w:r>
          </w:p>
          <w:tbl>
            <w:tblPr>
              <w:tblStyle w:val="19"/>
              <w:tblW w:w="5000" w:type="pct"/>
              <w:jc w:val="center"/>
              <w:tblLayout w:type="fixed"/>
              <w:tblCellMar>
                <w:top w:w="0" w:type="dxa"/>
                <w:left w:w="108" w:type="dxa"/>
                <w:bottom w:w="0" w:type="dxa"/>
                <w:right w:w="108" w:type="dxa"/>
              </w:tblCellMar>
            </w:tblPr>
            <w:tblGrid>
              <w:gridCol w:w="1034"/>
              <w:gridCol w:w="1036"/>
              <w:gridCol w:w="1035"/>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97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97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292"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281"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292"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974"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239" w:hRule="atLeast"/>
                <w:jc w:val="center"/>
              </w:trPr>
              <w:tc>
                <w:tcPr>
                  <w:tcW w:w="974"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冷媒抽取+拆解+破碎</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6000万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6000万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14.22</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237</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0.19</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0.06</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3.17</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1.422</w:t>
                  </w:r>
                </w:p>
              </w:tc>
            </w:tr>
            <w:tr>
              <w:tblPrEx>
                <w:tblCellMar>
                  <w:top w:w="0" w:type="dxa"/>
                  <w:left w:w="108" w:type="dxa"/>
                  <w:bottom w:w="0" w:type="dxa"/>
                  <w:right w:w="108" w:type="dxa"/>
                </w:tblCellMar>
              </w:tblPrEx>
              <w:trPr>
                <w:trHeight w:val="56" w:hRule="atLeast"/>
                <w:jc w:val="center"/>
              </w:trPr>
              <w:tc>
                <w:tcPr>
                  <w:tcW w:w="974" w:type="dxa"/>
                  <w:vMerge w:val="continue"/>
                  <w:tcBorders>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非甲烷总烃</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0.33</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5.5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0.06</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0.02</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0.03</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②现有工程废旧洗衣机处理线废气产排情况</w:t>
            </w:r>
          </w:p>
          <w:p>
            <w:pPr>
              <w:spacing w:line="360" w:lineRule="auto"/>
              <w:ind w:firstLine="480" w:firstLineChars="200"/>
              <w:rPr>
                <w:rFonts w:ascii="Times New Roman" w:hAnsi="Times New Roman" w:cs="Times New Roman"/>
                <w:b/>
                <w:color w:val="000000" w:themeColor="text1"/>
                <w:sz w:val="24"/>
                <w:szCs w:val="24"/>
              </w:rPr>
            </w:pPr>
            <w:r>
              <w:rPr>
                <w:rFonts w:hint="eastAsia" w:ascii="Times New Roman" w:hAnsi="Times New Roman" w:cs="Times New Roman"/>
                <w:color w:val="000000" w:themeColor="text1"/>
                <w:sz w:val="24"/>
                <w:szCs w:val="24"/>
              </w:rPr>
              <w:t>现有工程废旧洗衣机处理线废气产生环节主要为废旧洗衣机拆解粉尘，现有工程废旧洗衣机处理线废旧洗衣机的处理能力为18万台/a，根据建设单位提供的技术参数，每台洗衣机的平均重量为58.15kg；则合计处理量为10467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洗衣机拆解过程颗粒物产污系数为16.8克/吨·原料，则废旧洗衣机拆解粉尘产生量为0.18t/a；针对废旧洗衣机拆解粉尘，项目拟对每个拆解工位设置集气效率不低于90%的集气罩（集气罩风量为1000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h·个，合计6000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h），技改前是通过</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去除效率不低于95%的3#</w:t>
            </w:r>
            <w:r>
              <w:rPr>
                <w:rFonts w:ascii="Times New Roman" w:hAnsi="Times New Roman" w:cs="Times New Roman"/>
                <w:color w:val="000000" w:themeColor="text1"/>
                <w:sz w:val="24"/>
                <w:szCs w:val="24"/>
              </w:rPr>
              <w:t>脉冲除尘器</w:t>
            </w:r>
            <w:r>
              <w:rPr>
                <w:rFonts w:hint="eastAsia" w:ascii="Times New Roman" w:hAnsi="Times New Roman" w:cs="Times New Roman"/>
                <w:color w:val="000000" w:themeColor="text1"/>
                <w:sz w:val="24"/>
                <w:szCs w:val="24"/>
              </w:rPr>
              <w:t>进行处理，处理后通过和1</w:t>
            </w:r>
            <w:r>
              <w:rPr>
                <w:rFonts w:ascii="Times New Roman" w:hAnsi="Times New Roman" w:cs="Times New Roman"/>
                <w:color w:val="000000" w:themeColor="text1"/>
                <w:sz w:val="24"/>
                <w:szCs w:val="24"/>
              </w:rPr>
              <w:t>根Φ0.5m、高15m的排气筒</w:t>
            </w:r>
            <w:r>
              <w:rPr>
                <w:rFonts w:hint="eastAsia" w:ascii="Times New Roman" w:hAnsi="Times New Roman" w:cs="Times New Roman"/>
                <w:color w:val="000000" w:themeColor="text1"/>
                <w:sz w:val="24"/>
                <w:szCs w:val="24"/>
              </w:rPr>
              <w:t>（DA003）外排；则废旧洗衣机拆解粉尘有组织排放量为0.008t/a，无组织排放量为0.018t/a。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综上，废旧洗衣机处理线粉尘产排情况如下表所示。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2.10.1</w:t>
            </w:r>
            <w:r>
              <w:rPr>
                <w:rFonts w:ascii="Times New Roman" w:hAnsi="Times New Roman" w:eastAsia="宋体" w:cs="Times New Roman"/>
                <w:b/>
                <w:color w:val="000000" w:themeColor="text1"/>
                <w:szCs w:val="24"/>
              </w:rPr>
              <w:t>-</w:t>
            </w:r>
            <w:r>
              <w:rPr>
                <w:rFonts w:hint="eastAsia" w:ascii="Times New Roman" w:hAnsi="Times New Roman" w:eastAsia="宋体" w:cs="Times New Roman"/>
                <w:b/>
                <w:color w:val="000000" w:themeColor="text1"/>
                <w:szCs w:val="24"/>
              </w:rPr>
              <w:t>2</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现有工程废旧洗衣机处理线粉尘</w:t>
            </w:r>
            <w:r>
              <w:rPr>
                <w:rFonts w:ascii="Times New Roman" w:hAnsi="Times New Roman" w:eastAsia="宋体" w:cs="Times New Roman"/>
                <w:b/>
                <w:color w:val="000000" w:themeColor="text1"/>
                <w:szCs w:val="24"/>
              </w:rPr>
              <w:t>产排情况一览表</w:t>
            </w:r>
          </w:p>
          <w:tbl>
            <w:tblPr>
              <w:tblStyle w:val="19"/>
              <w:tblW w:w="5000" w:type="pct"/>
              <w:jc w:val="center"/>
              <w:tblLayout w:type="fixed"/>
              <w:tblCellMar>
                <w:top w:w="0" w:type="dxa"/>
                <w:left w:w="108" w:type="dxa"/>
                <w:bottom w:w="0" w:type="dxa"/>
                <w:right w:w="108" w:type="dxa"/>
              </w:tblCellMar>
            </w:tblPr>
            <w:tblGrid>
              <w:gridCol w:w="1034"/>
              <w:gridCol w:w="1036"/>
              <w:gridCol w:w="1035"/>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97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97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292"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281"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292"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974"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1200万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1200万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0.18</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0.008</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0.004</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0.67</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0.018</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③现有工程空调/小家电/废手机及其视听设备消费电子产品处理线废气产排情况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工程空调/小家电/废手机及其视听设备消费电子产品处理线废气产生环节主要为空调/小家电/废手机及其视听设备消费电子产品处理线拆解粉尘，现有工程空调/小家电/废手机及其视听设备消费电子产品处理线空调/小家电/废手机及其视听设备消费电子产品的处理能力为拆解废旧空调20万台/a，拆解废旧电脑主机20万台/a，拆解废旧手机及其视听设备电子产品20万台/a；根据建设单位提供的技术参数，每台空调的平均重量为40.2kg、每台电脑主机的平均重量为6kg、每台废旧手机及其视听设备电子产品的平均重量为0.15kg；则废旧空调拆解量为8040t/a、废旧电脑主机拆解量为1200t/a、废旧废旧手机及其视听设备电子产品拆解量为26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空调拆解过程颗粒物产污系数为16.8克/吨·原料，废旧电脑主机参照小型消费类电器电子产品拆解过程颗粒物产污系数为13.4克/吨·原料，废手机拆解过程颗粒物产污系数为10.8克/吨·原料，则空调/小家电/废手机及其视听设备消费电子产品处理线拆解粉尘产生量为0.15t/a；针对空调/小家电/废手机及其视听设备消费电子产品处理线拆解粉尘，项目已对喷吹室进行密闭，并设置1个集气效率不低于90%的集气罩对其进行收集，集气罩的集气效率不低于90%；集气罩风量为5000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（DA001）外排；则空调/小家电/废手机及其视听设备消费电子产品处理线拆解粉尘有组织排放量为0.007t/a，无组织排放量为0.015t/a。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综上，空调/小家电/废手机及其视听设备消费电子产品处理线粉尘产排情况如下表所示。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2.10</w:t>
            </w:r>
            <w:r>
              <w:rPr>
                <w:rFonts w:ascii="Times New Roman" w:hAnsi="Times New Roman" w:eastAsia="宋体" w:cs="Times New Roman"/>
                <w:b/>
                <w:color w:val="000000" w:themeColor="text1"/>
                <w:szCs w:val="24"/>
              </w:rPr>
              <w:t>.1-</w:t>
            </w:r>
            <w:r>
              <w:rPr>
                <w:rFonts w:hint="eastAsia" w:ascii="Times New Roman" w:hAnsi="Times New Roman" w:eastAsia="宋体" w:cs="Times New Roman"/>
                <w:b/>
                <w:color w:val="000000" w:themeColor="text1"/>
                <w:szCs w:val="24"/>
              </w:rPr>
              <w:t>3</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现有工程空调/小家电/废手机及其视听设备消费电子产品处理线粉尘</w:t>
            </w:r>
            <w:r>
              <w:rPr>
                <w:rFonts w:ascii="Times New Roman" w:hAnsi="Times New Roman" w:eastAsia="宋体" w:cs="Times New Roman"/>
                <w:b/>
                <w:color w:val="000000" w:themeColor="text1"/>
                <w:szCs w:val="24"/>
              </w:rPr>
              <w:t>产排</w:t>
            </w:r>
            <w:r>
              <w:rPr>
                <w:rFonts w:hint="eastAsia" w:ascii="Times New Roman" w:hAnsi="Times New Roman" w:eastAsia="宋体" w:cs="Times New Roman"/>
                <w:b/>
                <w:color w:val="000000" w:themeColor="text1"/>
                <w:szCs w:val="24"/>
              </w:rPr>
              <w:t>表</w:t>
            </w:r>
          </w:p>
          <w:tbl>
            <w:tblPr>
              <w:tblStyle w:val="19"/>
              <w:tblW w:w="5000" w:type="pct"/>
              <w:jc w:val="center"/>
              <w:tblLayout w:type="fixed"/>
              <w:tblCellMar>
                <w:top w:w="0" w:type="dxa"/>
                <w:left w:w="108" w:type="dxa"/>
                <w:bottom w:w="0" w:type="dxa"/>
                <w:right w:w="108" w:type="dxa"/>
              </w:tblCellMar>
            </w:tblPr>
            <w:tblGrid>
              <w:gridCol w:w="1034"/>
              <w:gridCol w:w="1036"/>
              <w:gridCol w:w="1035"/>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97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97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292"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281"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292"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974"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1500万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1500万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0.1</w:t>
                  </w:r>
                  <w:r>
                    <w:rPr>
                      <w:rFonts w:hint="eastAsia"/>
                      <w:color w:val="000000" w:themeColor="text1"/>
                      <w:szCs w:val="21"/>
                    </w:rPr>
                    <w:t>5</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0.007</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0.002</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0.47</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0.015</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④现有工程1号废旧电视机（CRT）处理线废气产排情况</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粉尘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工程1号废旧电视机（CRT）处理线废气产生环节主要为1号废旧电视机（CRT）处理线拆解粉尘，现有工程1号废旧电视机（CRT）处理线废CRT电视机的处理能力为45万台/a，根据建设单位提供的技术参数，每台废CRT电视机的平均重量为25kg；则合计处理量为11250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CRT电视机拆解过程颗粒物产污系数为3500克/吨·原料，则1号废旧电视机（CRT）处理线拆解粉尘产生量为39.38t/a，根据实际生产情况，普通粉尘产生量约占50%，约19.69t/a；含铅粉尘产生量约占50%，约19.69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针对1号废旧电视机（CRT）处理线拆解普通粉尘，项目已分别在1个破碎区、2个人工喷吹室、1条人工拆解线工作台分别设置了集气效率不低于90%的集气罩，其中破碎区集气罩风量为5000m³/h；2个人工喷吹室集气罩风量为2000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h·个（合计4000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h·个）；人工拆解工作台设置4个集气罩，该集气罩的风量为2000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h·个（合计8000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h），合计</w:t>
            </w:r>
            <w:r>
              <w:rPr>
                <w:rFonts w:ascii="Times New Roman" w:hAnsi="Times New Roman" w:cs="Times New Roman"/>
                <w:color w:val="000000" w:themeColor="text1"/>
                <w:sz w:val="24"/>
                <w:szCs w:val="24"/>
              </w:rPr>
              <w:t>1号废旧电视机（CRT）处理线</w:t>
            </w:r>
            <w:r>
              <w:rPr>
                <w:rFonts w:hint="eastAsia" w:ascii="Times New Roman" w:hAnsi="Times New Roman" w:cs="Times New Roman"/>
                <w:color w:val="000000" w:themeColor="text1"/>
                <w:sz w:val="24"/>
                <w:szCs w:val="24"/>
              </w:rPr>
              <w:t>风量为17000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（DA001）外排；则1号废旧电视机（CRT）处理线拆解普通粉尘有组织排放量为0.89t/a，无组织排放量为1.97t/a。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针对1号废旧电视机（CRT）处理线拆解含铅粉尘，阴极射线管（CRT）拆解区为密闭式拆解区设置7个阴极射线管（CRT）拆解工作台，项目分别对7个阴极射线管（CRT）拆解工作台设置集气效率不低于95%的集气罩；集气罩风量为3000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h·个，合计风量为21000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统一进入1个处理效率不低于95%的2#脉冲除尘器对其进行处理，处理后通过1根Φ0.5m、高15m的排气筒（DA002）外排；则1号废旧电视机（CRT）处理线拆解含铅粉尘有组织排放量为0.89t/a，无组织排放量为1.97t/a。</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铅及其化合物</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w:t>
            </w:r>
            <w:r>
              <w:rPr>
                <w:rFonts w:ascii="Times New Roman" w:hAnsi="Times New Roman" w:cs="Times New Roman"/>
                <w:color w:val="000000" w:themeColor="text1"/>
                <w:sz w:val="24"/>
                <w:szCs w:val="24"/>
              </w:rPr>
              <w:t>云南华再新源环保产业发展有限公司</w:t>
            </w:r>
            <w:r>
              <w:rPr>
                <w:rFonts w:hint="eastAsia" w:ascii="Times New Roman" w:hAnsi="Times New Roman" w:cs="Times New Roman"/>
                <w:color w:val="000000" w:themeColor="text1"/>
                <w:sz w:val="24"/>
                <w:szCs w:val="24"/>
              </w:rPr>
              <w:t>自行监测报告（2021年上半年）》，铅及其化合物的排放量为2.825×10</w:t>
            </w:r>
            <w:r>
              <w:rPr>
                <w:rFonts w:hint="eastAsia" w:ascii="Times New Roman" w:hAnsi="Times New Roman" w:cs="Times New Roman"/>
                <w:color w:val="000000" w:themeColor="text1"/>
                <w:sz w:val="24"/>
                <w:szCs w:val="24"/>
                <w:vertAlign w:val="superscript"/>
              </w:rPr>
              <w:t>-4</w:t>
            </w:r>
            <w:r>
              <w:rPr>
                <w:rFonts w:hint="eastAsia" w:ascii="Times New Roman" w:hAnsi="Times New Roman" w:cs="Times New Roman"/>
                <w:color w:val="000000" w:themeColor="text1"/>
                <w:sz w:val="24"/>
                <w:szCs w:val="24"/>
              </w:rPr>
              <w:t>kg/h，约0.85kg/a。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综上，1号废旧电视机（CRT）处理线废气产排情况如下表所示。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4.2</w:t>
            </w:r>
            <w:r>
              <w:rPr>
                <w:rFonts w:ascii="Times New Roman" w:hAnsi="Times New Roman" w:eastAsia="宋体" w:cs="Times New Roman"/>
                <w:b/>
                <w:color w:val="000000" w:themeColor="text1"/>
                <w:szCs w:val="24"/>
              </w:rPr>
              <w:t>.1-</w:t>
            </w:r>
            <w:r>
              <w:rPr>
                <w:rFonts w:hint="eastAsia" w:ascii="Times New Roman" w:hAnsi="Times New Roman" w:eastAsia="宋体" w:cs="Times New Roman"/>
                <w:b/>
                <w:color w:val="000000" w:themeColor="text1"/>
                <w:szCs w:val="24"/>
              </w:rPr>
              <w:t>2</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现有工程1号废旧电视机（CRT）处理线粉尘</w:t>
            </w:r>
            <w:r>
              <w:rPr>
                <w:rFonts w:ascii="Times New Roman" w:hAnsi="Times New Roman" w:eastAsia="宋体" w:cs="Times New Roman"/>
                <w:b/>
                <w:color w:val="000000" w:themeColor="text1"/>
                <w:szCs w:val="24"/>
              </w:rPr>
              <w:t>产排情况一览表</w:t>
            </w:r>
          </w:p>
          <w:tbl>
            <w:tblPr>
              <w:tblStyle w:val="19"/>
              <w:tblW w:w="5000" w:type="pct"/>
              <w:jc w:val="center"/>
              <w:tblLayout w:type="fixed"/>
              <w:tblCellMar>
                <w:top w:w="0" w:type="dxa"/>
                <w:left w:w="108" w:type="dxa"/>
                <w:bottom w:w="0" w:type="dxa"/>
                <w:right w:w="108" w:type="dxa"/>
              </w:tblCellMar>
            </w:tblPr>
            <w:tblGrid>
              <w:gridCol w:w="1171"/>
              <w:gridCol w:w="903"/>
              <w:gridCol w:w="1032"/>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1101"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85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29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281"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1101"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850"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29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974"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1101"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850"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2"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1101"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阴极射线管（CRT）前端拆解</w:t>
                  </w:r>
                </w:p>
              </w:tc>
              <w:tc>
                <w:tcPr>
                  <w:tcW w:w="850"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5100万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5100万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1101"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85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2"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19.69</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386.0</w:t>
                  </w:r>
                  <w:r>
                    <w:rPr>
                      <w:rFonts w:hint="eastAsia"/>
                      <w:color w:val="000000" w:themeColor="text1"/>
                      <w:szCs w:val="21"/>
                    </w:rPr>
                    <w:t>8</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0.89</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0.30</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17.45</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1.97</w:t>
                  </w:r>
                </w:p>
              </w:tc>
            </w:tr>
            <w:tr>
              <w:tblPrEx>
                <w:tblCellMar>
                  <w:top w:w="0" w:type="dxa"/>
                  <w:left w:w="108" w:type="dxa"/>
                  <w:bottom w:w="0" w:type="dxa"/>
                  <w:right w:w="108" w:type="dxa"/>
                </w:tblCellMar>
              </w:tblPrEx>
              <w:trPr>
                <w:trHeight w:val="56" w:hRule="atLeast"/>
                <w:jc w:val="center"/>
              </w:trPr>
              <w:tc>
                <w:tcPr>
                  <w:tcW w:w="1101"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阴极射线管（CRT）后端拆解</w:t>
                  </w:r>
                </w:p>
              </w:tc>
              <w:tc>
                <w:tcPr>
                  <w:tcW w:w="850"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6300万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6300万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692" w:hRule="atLeast"/>
                <w:jc w:val="center"/>
              </w:trPr>
              <w:tc>
                <w:tcPr>
                  <w:tcW w:w="1101"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850"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2"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19.69</w:t>
                  </w:r>
                </w:p>
              </w:tc>
              <w:tc>
                <w:tcPr>
                  <w:tcW w:w="1318"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386.0</w:t>
                  </w:r>
                  <w:r>
                    <w:rPr>
                      <w:rFonts w:hint="eastAsia"/>
                      <w:color w:val="000000" w:themeColor="text1"/>
                      <w:szCs w:val="21"/>
                    </w:rPr>
                    <w:t>8</w:t>
                  </w:r>
                </w:p>
              </w:tc>
              <w:tc>
                <w:tcPr>
                  <w:tcW w:w="970"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0.89</w:t>
                  </w:r>
                </w:p>
              </w:tc>
              <w:tc>
                <w:tcPr>
                  <w:tcW w:w="1134"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0.30</w:t>
                  </w:r>
                </w:p>
              </w:tc>
              <w:tc>
                <w:tcPr>
                  <w:tcW w:w="1203"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17.45</w:t>
                  </w:r>
                </w:p>
              </w:tc>
              <w:tc>
                <w:tcPr>
                  <w:tcW w:w="974"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1.97</w:t>
                  </w:r>
                </w:p>
              </w:tc>
            </w:tr>
            <w:tr>
              <w:tblPrEx>
                <w:tblCellMar>
                  <w:top w:w="0" w:type="dxa"/>
                  <w:left w:w="108" w:type="dxa"/>
                  <w:bottom w:w="0" w:type="dxa"/>
                  <w:right w:w="108" w:type="dxa"/>
                </w:tblCellMar>
              </w:tblPrEx>
              <w:trPr>
                <w:trHeight w:val="720" w:hRule="atLeast"/>
                <w:jc w:val="center"/>
              </w:trPr>
              <w:tc>
                <w:tcPr>
                  <w:tcW w:w="1101" w:type="dxa"/>
                  <w:vMerge w:val="continue"/>
                  <w:tcBorders>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850"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铅及其化合物</w:t>
                  </w:r>
                </w:p>
              </w:tc>
              <w:tc>
                <w:tcPr>
                  <w:tcW w:w="97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0.0188</w:t>
                  </w:r>
                </w:p>
              </w:tc>
              <w:tc>
                <w:tcPr>
                  <w:tcW w:w="13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0.30</w:t>
                  </w:r>
                </w:p>
              </w:tc>
              <w:tc>
                <w:tcPr>
                  <w:tcW w:w="970"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0.0009</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0.0003</w:t>
                  </w:r>
                </w:p>
              </w:tc>
              <w:tc>
                <w:tcPr>
                  <w:tcW w:w="120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0.013</w:t>
                  </w:r>
                </w:p>
              </w:tc>
              <w:tc>
                <w:tcPr>
                  <w:tcW w:w="97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0.0019</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⑤现有工程2号废旧电视机（液晶电视）处理线废气产排情况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2号废旧电视机（液晶电视）处理线的处理工艺可知，其废气产生环节主要为废旧液晶电视（显示器）拆解粉尘。现有工程2号废旧电视机（液晶电视）处理线废旧液晶电视（显示器）的处理能力45万台/a，根据建设单位提供的技术参数，每台液晶电视（显示器）的平均重量为10.46kg；则合计处理量为4707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液晶电视（显示器）拆解过程颗粒物产污系数为16.8克/吨·原料，则2号废旧电视机（液晶电视）处理线拆解粉尘产生量为0.08t/a；针对2号废旧电视机（液晶电视）处理线拆解粉尘，项目拟对每个拆解工位设置集气效率不低于90%的集气罩（集气罩风量为1000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h·个，合计6000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（DA001）外排；则2号废旧电视机（液晶电视）处理线拆解粉尘有组织排放量为0.004t/a，无组织排放量为0.008t/a。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2号废旧电视机（液晶电视）处理线粉尘产排情况如下表所示。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2.10.1</w:t>
            </w:r>
            <w:r>
              <w:rPr>
                <w:rFonts w:ascii="Times New Roman" w:hAnsi="Times New Roman" w:eastAsia="宋体" w:cs="Times New Roman"/>
                <w:b/>
                <w:color w:val="000000" w:themeColor="text1"/>
                <w:szCs w:val="24"/>
              </w:rPr>
              <w:t>-</w:t>
            </w:r>
            <w:r>
              <w:rPr>
                <w:rFonts w:hint="eastAsia" w:ascii="Times New Roman" w:hAnsi="Times New Roman" w:eastAsia="宋体" w:cs="Times New Roman"/>
                <w:b/>
                <w:color w:val="000000" w:themeColor="text1"/>
                <w:szCs w:val="24"/>
              </w:rPr>
              <w:t>5</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现有工程2号废旧电视机（液晶电视）处理线粉尘</w:t>
            </w:r>
            <w:r>
              <w:rPr>
                <w:rFonts w:ascii="Times New Roman" w:hAnsi="Times New Roman" w:eastAsia="宋体" w:cs="Times New Roman"/>
                <w:b/>
                <w:color w:val="000000" w:themeColor="text1"/>
                <w:szCs w:val="24"/>
              </w:rPr>
              <w:t>产排情况一览表</w:t>
            </w:r>
          </w:p>
          <w:tbl>
            <w:tblPr>
              <w:tblStyle w:val="19"/>
              <w:tblW w:w="5000" w:type="pct"/>
              <w:jc w:val="center"/>
              <w:tblLayout w:type="fixed"/>
              <w:tblCellMar>
                <w:top w:w="0" w:type="dxa"/>
                <w:left w:w="108" w:type="dxa"/>
                <w:bottom w:w="0" w:type="dxa"/>
                <w:right w:w="108" w:type="dxa"/>
              </w:tblCellMar>
            </w:tblPr>
            <w:tblGrid>
              <w:gridCol w:w="1034"/>
              <w:gridCol w:w="1036"/>
              <w:gridCol w:w="1035"/>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97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97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292"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281"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292"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974"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1800万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1800万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0.08</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4.44</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0.004</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0.001</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0.22</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0.008</w:t>
                  </w:r>
                </w:p>
              </w:tc>
            </w:tr>
          </w:tbl>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综上，现有工程废气产排情况如下表所示。</w:t>
            </w:r>
          </w:p>
          <w:p>
            <w:pPr>
              <w:jc w:val="center"/>
              <w:rPr>
                <w:b/>
                <w:color w:val="000000" w:themeColor="text1"/>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 xml:space="preserve">2.10.1-6 </w:t>
            </w:r>
            <w:r>
              <w:rPr>
                <w:rFonts w:ascii="Times New Roman" w:hAnsi="Times New Roman" w:eastAsia="宋体" w:cs="Times New Roman"/>
                <w:b/>
                <w:color w:val="000000" w:themeColor="text1"/>
                <w:szCs w:val="24"/>
              </w:rPr>
              <w:t>现有工程大气污染物</w:t>
            </w:r>
            <w:r>
              <w:rPr>
                <w:rFonts w:hint="eastAsia" w:ascii="Times New Roman" w:hAnsi="Times New Roman" w:eastAsia="宋体" w:cs="Times New Roman"/>
                <w:b/>
                <w:color w:val="000000" w:themeColor="text1"/>
                <w:szCs w:val="24"/>
              </w:rPr>
              <w:t>排放</w:t>
            </w:r>
            <w:r>
              <w:rPr>
                <w:rFonts w:ascii="Times New Roman" w:hAnsi="Times New Roman" w:eastAsia="宋体" w:cs="Times New Roman"/>
                <w:b/>
                <w:color w:val="000000" w:themeColor="text1"/>
                <w:szCs w:val="24"/>
              </w:rPr>
              <w:t>结果</w:t>
            </w:r>
            <w:r>
              <w:rPr>
                <w:rFonts w:hint="eastAsia" w:ascii="Times New Roman" w:hAnsi="Times New Roman" w:eastAsia="宋体" w:cs="Times New Roman"/>
                <w:b/>
                <w:color w:val="000000" w:themeColor="text1"/>
                <w:szCs w:val="24"/>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6"/>
              <w:gridCol w:w="1559"/>
              <w:gridCol w:w="993"/>
              <w:gridCol w:w="1275"/>
              <w:gridCol w:w="1276"/>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776" w:type="dxa"/>
                  <w:vMerge w:val="restart"/>
                  <w:vAlign w:val="center"/>
                </w:tcPr>
                <w:p>
                  <w:pPr>
                    <w:pStyle w:val="30"/>
                    <w:spacing w:line="360" w:lineRule="exact"/>
                    <w:rPr>
                      <w:color w:val="000000" w:themeColor="text1"/>
                      <w:szCs w:val="21"/>
                    </w:rPr>
                  </w:pPr>
                  <w:r>
                    <w:rPr>
                      <w:rFonts w:hint="eastAsia"/>
                      <w:color w:val="000000" w:themeColor="text1"/>
                      <w:szCs w:val="21"/>
                    </w:rPr>
                    <w:t>生产线</w:t>
                  </w:r>
                </w:p>
              </w:tc>
              <w:tc>
                <w:tcPr>
                  <w:tcW w:w="1559" w:type="dxa"/>
                  <w:vMerge w:val="restart"/>
                  <w:vAlign w:val="center"/>
                </w:tcPr>
                <w:p>
                  <w:pPr>
                    <w:pStyle w:val="30"/>
                    <w:spacing w:line="360" w:lineRule="exact"/>
                    <w:rPr>
                      <w:color w:val="000000" w:themeColor="text1"/>
                      <w:szCs w:val="21"/>
                    </w:rPr>
                  </w:pPr>
                  <w:r>
                    <w:rPr>
                      <w:color w:val="000000" w:themeColor="text1"/>
                      <w:szCs w:val="21"/>
                    </w:rPr>
                    <w:t>污染物名称</w:t>
                  </w:r>
                </w:p>
              </w:tc>
              <w:tc>
                <w:tcPr>
                  <w:tcW w:w="993" w:type="dxa"/>
                  <w:vMerge w:val="restart"/>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2551" w:type="dxa"/>
                  <w:gridSpan w:val="2"/>
                  <w:vAlign w:val="center"/>
                </w:tcPr>
                <w:p>
                  <w:pPr>
                    <w:pStyle w:val="30"/>
                    <w:spacing w:line="360" w:lineRule="exact"/>
                    <w:rPr>
                      <w:color w:val="000000" w:themeColor="text1"/>
                      <w:szCs w:val="21"/>
                    </w:rPr>
                  </w:pPr>
                  <w:r>
                    <w:rPr>
                      <w:color w:val="000000" w:themeColor="text1"/>
                      <w:szCs w:val="21"/>
                    </w:rPr>
                    <w:t>排放量</w:t>
                  </w:r>
                  <w:r>
                    <w:rPr>
                      <w:rFonts w:hint="eastAsia"/>
                      <w:color w:val="000000" w:themeColor="text1"/>
                      <w:szCs w:val="21"/>
                    </w:rPr>
                    <w:t>（</w:t>
                  </w:r>
                  <w:r>
                    <w:rPr>
                      <w:color w:val="000000" w:themeColor="text1"/>
                      <w:szCs w:val="21"/>
                    </w:rPr>
                    <w:t>t/a</w:t>
                  </w:r>
                  <w:r>
                    <w:rPr>
                      <w:rFonts w:hint="eastAsia"/>
                      <w:color w:val="000000" w:themeColor="text1"/>
                      <w:szCs w:val="21"/>
                    </w:rPr>
                    <w:t>）</w:t>
                  </w:r>
                </w:p>
              </w:tc>
              <w:tc>
                <w:tcPr>
                  <w:tcW w:w="1165" w:type="dxa"/>
                  <w:vMerge w:val="restart"/>
                  <w:vAlign w:val="center"/>
                </w:tcPr>
                <w:p>
                  <w:pPr>
                    <w:pStyle w:val="30"/>
                    <w:spacing w:line="360" w:lineRule="exact"/>
                    <w:rPr>
                      <w:color w:val="000000" w:themeColor="text1"/>
                      <w:szCs w:val="21"/>
                    </w:rPr>
                  </w:pPr>
                  <w:r>
                    <w:rPr>
                      <w:rFonts w:hint="eastAsia"/>
                      <w:color w:val="000000" w:themeColor="text1"/>
                      <w:szCs w:val="21"/>
                    </w:rPr>
                    <w:t>排气筒编号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776" w:type="dxa"/>
                  <w:vMerge w:val="continue"/>
                  <w:vAlign w:val="center"/>
                </w:tcPr>
                <w:p>
                  <w:pPr>
                    <w:pStyle w:val="30"/>
                    <w:spacing w:line="360" w:lineRule="exact"/>
                    <w:rPr>
                      <w:color w:val="000000" w:themeColor="text1"/>
                      <w:szCs w:val="21"/>
                    </w:rPr>
                  </w:pPr>
                </w:p>
              </w:tc>
              <w:tc>
                <w:tcPr>
                  <w:tcW w:w="1559" w:type="dxa"/>
                  <w:vMerge w:val="continue"/>
                  <w:vAlign w:val="center"/>
                </w:tcPr>
                <w:p>
                  <w:pPr>
                    <w:pStyle w:val="30"/>
                    <w:spacing w:line="360" w:lineRule="exact"/>
                    <w:rPr>
                      <w:color w:val="000000" w:themeColor="text1"/>
                      <w:szCs w:val="21"/>
                    </w:rPr>
                  </w:pPr>
                </w:p>
              </w:tc>
              <w:tc>
                <w:tcPr>
                  <w:tcW w:w="993" w:type="dxa"/>
                  <w:vMerge w:val="continue"/>
                  <w:vAlign w:val="center"/>
                </w:tcPr>
                <w:p>
                  <w:pPr>
                    <w:pStyle w:val="30"/>
                    <w:spacing w:line="360" w:lineRule="exact"/>
                    <w:rPr>
                      <w:color w:val="000000" w:themeColor="text1"/>
                      <w:szCs w:val="21"/>
                    </w:rPr>
                  </w:pPr>
                </w:p>
              </w:tc>
              <w:tc>
                <w:tcPr>
                  <w:tcW w:w="1275" w:type="dxa"/>
                  <w:vAlign w:val="center"/>
                </w:tcPr>
                <w:p>
                  <w:pPr>
                    <w:pStyle w:val="30"/>
                    <w:spacing w:line="360" w:lineRule="exact"/>
                    <w:rPr>
                      <w:color w:val="000000" w:themeColor="text1"/>
                      <w:szCs w:val="21"/>
                    </w:rPr>
                  </w:pPr>
                  <w:r>
                    <w:rPr>
                      <w:rFonts w:hint="eastAsia"/>
                      <w:color w:val="000000" w:themeColor="text1"/>
                      <w:szCs w:val="21"/>
                    </w:rPr>
                    <w:t>有组织</w:t>
                  </w:r>
                </w:p>
              </w:tc>
              <w:tc>
                <w:tcPr>
                  <w:tcW w:w="1276" w:type="dxa"/>
                  <w:vAlign w:val="center"/>
                </w:tcPr>
                <w:p>
                  <w:pPr>
                    <w:pStyle w:val="30"/>
                    <w:spacing w:line="360" w:lineRule="exact"/>
                    <w:rPr>
                      <w:color w:val="000000" w:themeColor="text1"/>
                      <w:szCs w:val="21"/>
                    </w:rPr>
                  </w:pPr>
                  <w:r>
                    <w:rPr>
                      <w:rFonts w:hint="eastAsia"/>
                      <w:color w:val="000000" w:themeColor="text1"/>
                      <w:szCs w:val="21"/>
                    </w:rPr>
                    <w:t>无组织</w:t>
                  </w:r>
                </w:p>
              </w:tc>
              <w:tc>
                <w:tcPr>
                  <w:tcW w:w="1165" w:type="dxa"/>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6" w:type="dxa"/>
                  <w:vMerge w:val="restart"/>
                  <w:vAlign w:val="center"/>
                </w:tcPr>
                <w:p>
                  <w:pPr>
                    <w:pStyle w:val="30"/>
                    <w:spacing w:line="360" w:lineRule="exact"/>
                    <w:rPr>
                      <w:color w:val="000000" w:themeColor="text1"/>
                      <w:szCs w:val="21"/>
                    </w:rPr>
                  </w:pPr>
                  <w:r>
                    <w:rPr>
                      <w:rFonts w:hint="eastAsia"/>
                      <w:color w:val="000000" w:themeColor="text1"/>
                      <w:szCs w:val="21"/>
                    </w:rPr>
                    <w:t>废旧冰箱处理线</w:t>
                  </w:r>
                </w:p>
              </w:tc>
              <w:tc>
                <w:tcPr>
                  <w:tcW w:w="1559" w:type="dxa"/>
                  <w:vAlign w:val="center"/>
                </w:tcPr>
                <w:p>
                  <w:pPr>
                    <w:pStyle w:val="30"/>
                    <w:spacing w:line="360" w:lineRule="exact"/>
                    <w:rPr>
                      <w:color w:val="000000" w:themeColor="text1"/>
                      <w:szCs w:val="21"/>
                    </w:rPr>
                  </w:pPr>
                  <w:r>
                    <w:rPr>
                      <w:rFonts w:hint="eastAsia"/>
                      <w:color w:val="000000" w:themeColor="text1"/>
                      <w:szCs w:val="21"/>
                    </w:rPr>
                    <w:t>粉尘</w:t>
                  </w:r>
                </w:p>
              </w:tc>
              <w:tc>
                <w:tcPr>
                  <w:tcW w:w="993" w:type="dxa"/>
                  <w:vAlign w:val="center"/>
                </w:tcPr>
                <w:p>
                  <w:pPr>
                    <w:pStyle w:val="30"/>
                    <w:spacing w:line="360" w:lineRule="exact"/>
                    <w:rPr>
                      <w:color w:val="000000" w:themeColor="text1"/>
                      <w:szCs w:val="21"/>
                    </w:rPr>
                  </w:pPr>
                  <w:r>
                    <w:rPr>
                      <w:color w:val="000000" w:themeColor="text1"/>
                      <w:szCs w:val="21"/>
                    </w:rPr>
                    <w:t>14.22</w:t>
                  </w:r>
                </w:p>
              </w:tc>
              <w:tc>
                <w:tcPr>
                  <w:tcW w:w="1275" w:type="dxa"/>
                  <w:vAlign w:val="center"/>
                </w:tcPr>
                <w:p>
                  <w:pPr>
                    <w:pStyle w:val="30"/>
                    <w:spacing w:line="360" w:lineRule="exact"/>
                    <w:rPr>
                      <w:color w:val="000000" w:themeColor="text1"/>
                      <w:szCs w:val="21"/>
                    </w:rPr>
                  </w:pPr>
                  <w:r>
                    <w:rPr>
                      <w:color w:val="000000" w:themeColor="text1"/>
                      <w:szCs w:val="21"/>
                    </w:rPr>
                    <w:t>0.19</w:t>
                  </w:r>
                </w:p>
              </w:tc>
              <w:tc>
                <w:tcPr>
                  <w:tcW w:w="1276" w:type="dxa"/>
                  <w:vAlign w:val="center"/>
                </w:tcPr>
                <w:p>
                  <w:pPr>
                    <w:pStyle w:val="30"/>
                    <w:spacing w:line="360" w:lineRule="exact"/>
                    <w:rPr>
                      <w:color w:val="000000" w:themeColor="text1"/>
                      <w:szCs w:val="21"/>
                    </w:rPr>
                  </w:pPr>
                  <w:r>
                    <w:rPr>
                      <w:color w:val="000000" w:themeColor="text1"/>
                      <w:szCs w:val="21"/>
                    </w:rPr>
                    <w:t>1.422</w:t>
                  </w:r>
                </w:p>
              </w:tc>
              <w:tc>
                <w:tcPr>
                  <w:tcW w:w="1165" w:type="dxa"/>
                  <w:vMerge w:val="restart"/>
                  <w:vAlign w:val="center"/>
                </w:tcPr>
                <w:p>
                  <w:pPr>
                    <w:pStyle w:val="30"/>
                    <w:spacing w:line="360" w:lineRule="exact"/>
                    <w:rPr>
                      <w:color w:val="000000" w:themeColor="text1"/>
                      <w:szCs w:val="21"/>
                    </w:rPr>
                  </w:pPr>
                  <w:r>
                    <w:rPr>
                      <w:rFonts w:hint="eastAsia"/>
                      <w:color w:val="000000" w:themeColor="text1"/>
                      <w:szCs w:val="21"/>
                    </w:rPr>
                    <w:t>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776"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rFonts w:hint="eastAsia"/>
                      <w:color w:val="000000" w:themeColor="text1"/>
                      <w:szCs w:val="21"/>
                    </w:rPr>
                    <w:t>非甲烷总烃</w:t>
                  </w:r>
                </w:p>
              </w:tc>
              <w:tc>
                <w:tcPr>
                  <w:tcW w:w="993" w:type="dxa"/>
                  <w:vAlign w:val="center"/>
                </w:tcPr>
                <w:p>
                  <w:pPr>
                    <w:pStyle w:val="30"/>
                    <w:spacing w:line="360" w:lineRule="exact"/>
                    <w:rPr>
                      <w:color w:val="000000" w:themeColor="text1"/>
                      <w:szCs w:val="21"/>
                    </w:rPr>
                  </w:pPr>
                  <w:r>
                    <w:rPr>
                      <w:color w:val="000000" w:themeColor="text1"/>
                      <w:szCs w:val="21"/>
                    </w:rPr>
                    <w:t>0.33</w:t>
                  </w:r>
                </w:p>
              </w:tc>
              <w:tc>
                <w:tcPr>
                  <w:tcW w:w="1275" w:type="dxa"/>
                  <w:vAlign w:val="center"/>
                </w:tcPr>
                <w:p>
                  <w:pPr>
                    <w:pStyle w:val="30"/>
                    <w:spacing w:line="360" w:lineRule="exact"/>
                    <w:rPr>
                      <w:color w:val="000000" w:themeColor="text1"/>
                      <w:szCs w:val="21"/>
                    </w:rPr>
                  </w:pPr>
                  <w:r>
                    <w:rPr>
                      <w:color w:val="000000" w:themeColor="text1"/>
                      <w:szCs w:val="21"/>
                    </w:rPr>
                    <w:t>0.06</w:t>
                  </w:r>
                </w:p>
              </w:tc>
              <w:tc>
                <w:tcPr>
                  <w:tcW w:w="1276" w:type="dxa"/>
                  <w:vAlign w:val="center"/>
                </w:tcPr>
                <w:p>
                  <w:pPr>
                    <w:pStyle w:val="30"/>
                    <w:spacing w:line="360" w:lineRule="exact"/>
                    <w:rPr>
                      <w:color w:val="000000" w:themeColor="text1"/>
                      <w:szCs w:val="21"/>
                    </w:rPr>
                  </w:pPr>
                  <w:r>
                    <w:rPr>
                      <w:color w:val="000000" w:themeColor="text1"/>
                      <w:szCs w:val="21"/>
                    </w:rPr>
                    <w:t>0.03</w:t>
                  </w:r>
                </w:p>
              </w:tc>
              <w:tc>
                <w:tcPr>
                  <w:tcW w:w="1165" w:type="dxa"/>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6" w:type="dxa"/>
                  <w:vAlign w:val="center"/>
                </w:tcPr>
                <w:p>
                  <w:pPr>
                    <w:pStyle w:val="30"/>
                    <w:spacing w:line="360" w:lineRule="exact"/>
                    <w:rPr>
                      <w:color w:val="000000" w:themeColor="text1"/>
                      <w:szCs w:val="21"/>
                    </w:rPr>
                  </w:pPr>
                  <w:r>
                    <w:rPr>
                      <w:color w:val="000000" w:themeColor="text1"/>
                      <w:szCs w:val="21"/>
                    </w:rPr>
                    <w:t>废旧洗衣机处理线</w:t>
                  </w:r>
                </w:p>
              </w:tc>
              <w:tc>
                <w:tcPr>
                  <w:tcW w:w="1559" w:type="dxa"/>
                  <w:vAlign w:val="center"/>
                </w:tcPr>
                <w:p>
                  <w:pPr>
                    <w:pStyle w:val="30"/>
                    <w:spacing w:line="360" w:lineRule="exact"/>
                    <w:rPr>
                      <w:color w:val="000000" w:themeColor="text1"/>
                      <w:szCs w:val="21"/>
                    </w:rPr>
                  </w:pPr>
                  <w:r>
                    <w:rPr>
                      <w:rFonts w:hint="eastAsia"/>
                      <w:color w:val="000000" w:themeColor="text1"/>
                      <w:szCs w:val="21"/>
                    </w:rPr>
                    <w:t>粉尘</w:t>
                  </w:r>
                </w:p>
              </w:tc>
              <w:tc>
                <w:tcPr>
                  <w:tcW w:w="993" w:type="dxa"/>
                  <w:vAlign w:val="center"/>
                </w:tcPr>
                <w:p>
                  <w:pPr>
                    <w:pStyle w:val="30"/>
                    <w:spacing w:line="360" w:lineRule="exact"/>
                    <w:rPr>
                      <w:color w:val="000000" w:themeColor="text1"/>
                      <w:szCs w:val="21"/>
                    </w:rPr>
                  </w:pPr>
                  <w:r>
                    <w:rPr>
                      <w:color w:val="000000" w:themeColor="text1"/>
                      <w:szCs w:val="21"/>
                    </w:rPr>
                    <w:t>0.18</w:t>
                  </w:r>
                </w:p>
              </w:tc>
              <w:tc>
                <w:tcPr>
                  <w:tcW w:w="1275" w:type="dxa"/>
                  <w:vAlign w:val="center"/>
                </w:tcPr>
                <w:p>
                  <w:pPr>
                    <w:pStyle w:val="30"/>
                    <w:spacing w:line="360" w:lineRule="exact"/>
                    <w:rPr>
                      <w:color w:val="000000" w:themeColor="text1"/>
                      <w:szCs w:val="21"/>
                    </w:rPr>
                  </w:pPr>
                  <w:r>
                    <w:rPr>
                      <w:color w:val="000000" w:themeColor="text1"/>
                      <w:szCs w:val="21"/>
                    </w:rPr>
                    <w:t>0.008</w:t>
                  </w:r>
                </w:p>
              </w:tc>
              <w:tc>
                <w:tcPr>
                  <w:tcW w:w="1276" w:type="dxa"/>
                  <w:vAlign w:val="center"/>
                </w:tcPr>
                <w:p>
                  <w:pPr>
                    <w:pStyle w:val="30"/>
                    <w:spacing w:line="360" w:lineRule="exact"/>
                    <w:rPr>
                      <w:color w:val="000000" w:themeColor="text1"/>
                      <w:szCs w:val="21"/>
                    </w:rPr>
                  </w:pPr>
                  <w:r>
                    <w:rPr>
                      <w:color w:val="000000" w:themeColor="text1"/>
                      <w:szCs w:val="21"/>
                    </w:rPr>
                    <w:t>0.018</w:t>
                  </w:r>
                </w:p>
              </w:tc>
              <w:tc>
                <w:tcPr>
                  <w:tcW w:w="1165" w:type="dxa"/>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6" w:type="dxa"/>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w:t>
                  </w:r>
                </w:p>
              </w:tc>
              <w:tc>
                <w:tcPr>
                  <w:tcW w:w="1559" w:type="dxa"/>
                  <w:vAlign w:val="center"/>
                </w:tcPr>
                <w:p>
                  <w:pPr>
                    <w:pStyle w:val="30"/>
                    <w:spacing w:line="360" w:lineRule="exact"/>
                    <w:rPr>
                      <w:color w:val="000000" w:themeColor="text1"/>
                      <w:szCs w:val="21"/>
                    </w:rPr>
                  </w:pPr>
                  <w:r>
                    <w:rPr>
                      <w:rFonts w:hint="eastAsia"/>
                      <w:color w:val="000000" w:themeColor="text1"/>
                      <w:szCs w:val="21"/>
                    </w:rPr>
                    <w:t>粉尘</w:t>
                  </w:r>
                </w:p>
              </w:tc>
              <w:tc>
                <w:tcPr>
                  <w:tcW w:w="993" w:type="dxa"/>
                  <w:vAlign w:val="center"/>
                </w:tcPr>
                <w:p>
                  <w:pPr>
                    <w:pStyle w:val="30"/>
                    <w:spacing w:line="360" w:lineRule="exact"/>
                    <w:rPr>
                      <w:color w:val="000000" w:themeColor="text1"/>
                      <w:szCs w:val="21"/>
                    </w:rPr>
                  </w:pPr>
                  <w:r>
                    <w:rPr>
                      <w:color w:val="000000" w:themeColor="text1"/>
                      <w:szCs w:val="21"/>
                    </w:rPr>
                    <w:t>0.1</w:t>
                  </w:r>
                  <w:r>
                    <w:rPr>
                      <w:rFonts w:hint="eastAsia"/>
                      <w:color w:val="000000" w:themeColor="text1"/>
                      <w:szCs w:val="21"/>
                    </w:rPr>
                    <w:t>5</w:t>
                  </w:r>
                </w:p>
              </w:tc>
              <w:tc>
                <w:tcPr>
                  <w:tcW w:w="1275" w:type="dxa"/>
                  <w:vAlign w:val="center"/>
                </w:tcPr>
                <w:p>
                  <w:pPr>
                    <w:pStyle w:val="30"/>
                    <w:spacing w:line="360" w:lineRule="exact"/>
                    <w:rPr>
                      <w:color w:val="000000" w:themeColor="text1"/>
                      <w:szCs w:val="21"/>
                    </w:rPr>
                  </w:pPr>
                  <w:r>
                    <w:rPr>
                      <w:rFonts w:hint="eastAsia"/>
                      <w:color w:val="000000" w:themeColor="text1"/>
                      <w:szCs w:val="21"/>
                    </w:rPr>
                    <w:t>0.007</w:t>
                  </w:r>
                </w:p>
              </w:tc>
              <w:tc>
                <w:tcPr>
                  <w:tcW w:w="1276" w:type="dxa"/>
                  <w:vAlign w:val="center"/>
                </w:tcPr>
                <w:p>
                  <w:pPr>
                    <w:pStyle w:val="30"/>
                    <w:spacing w:line="360" w:lineRule="exact"/>
                    <w:rPr>
                      <w:color w:val="000000" w:themeColor="text1"/>
                      <w:szCs w:val="21"/>
                    </w:rPr>
                  </w:pPr>
                  <w:r>
                    <w:rPr>
                      <w:rFonts w:hint="eastAsia"/>
                      <w:color w:val="000000" w:themeColor="text1"/>
                      <w:szCs w:val="21"/>
                    </w:rPr>
                    <w:t>0.015</w:t>
                  </w:r>
                </w:p>
              </w:tc>
              <w:tc>
                <w:tcPr>
                  <w:tcW w:w="1165" w:type="dxa"/>
                  <w:vMerge w:val="restart"/>
                  <w:vAlign w:val="center"/>
                </w:tcPr>
                <w:p>
                  <w:pPr>
                    <w:pStyle w:val="30"/>
                    <w:spacing w:line="360" w:lineRule="exact"/>
                    <w:rPr>
                      <w:color w:val="000000" w:themeColor="text1"/>
                      <w:szCs w:val="21"/>
                    </w:rPr>
                  </w:pPr>
                  <w:r>
                    <w:rPr>
                      <w:rFonts w:hint="eastAsia"/>
                      <w:color w:val="000000" w:themeColor="text1"/>
                      <w:szCs w:val="21"/>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776" w:type="dxa"/>
                  <w:vMerge w:val="restart"/>
                  <w:vAlign w:val="center"/>
                </w:tcPr>
                <w:p>
                  <w:pPr>
                    <w:pStyle w:val="30"/>
                    <w:spacing w:line="360" w:lineRule="exact"/>
                    <w:rPr>
                      <w:color w:val="000000" w:themeColor="text1"/>
                      <w:szCs w:val="21"/>
                    </w:rPr>
                  </w:pPr>
                  <w:r>
                    <w:rPr>
                      <w:rFonts w:hint="eastAsia"/>
                      <w:color w:val="000000" w:themeColor="text1"/>
                      <w:szCs w:val="21"/>
                    </w:rPr>
                    <w:t>2号废旧电视机（液晶电视）处理线</w:t>
                  </w:r>
                </w:p>
              </w:tc>
              <w:tc>
                <w:tcPr>
                  <w:tcW w:w="1559" w:type="dxa"/>
                  <w:vAlign w:val="center"/>
                </w:tcPr>
                <w:p>
                  <w:pPr>
                    <w:pStyle w:val="30"/>
                    <w:spacing w:line="360" w:lineRule="exact"/>
                    <w:rPr>
                      <w:color w:val="000000" w:themeColor="text1"/>
                      <w:szCs w:val="21"/>
                    </w:rPr>
                  </w:pPr>
                  <w:r>
                    <w:rPr>
                      <w:rFonts w:hint="eastAsia"/>
                      <w:color w:val="000000" w:themeColor="text1"/>
                      <w:szCs w:val="21"/>
                    </w:rPr>
                    <w:t>粉尘（普通）</w:t>
                  </w:r>
                </w:p>
              </w:tc>
              <w:tc>
                <w:tcPr>
                  <w:tcW w:w="993" w:type="dxa"/>
                  <w:vAlign w:val="center"/>
                </w:tcPr>
                <w:p>
                  <w:pPr>
                    <w:pStyle w:val="30"/>
                    <w:spacing w:line="360" w:lineRule="exact"/>
                    <w:rPr>
                      <w:color w:val="000000" w:themeColor="text1"/>
                      <w:szCs w:val="21"/>
                    </w:rPr>
                  </w:pPr>
                  <w:r>
                    <w:rPr>
                      <w:rFonts w:hint="eastAsia"/>
                      <w:color w:val="000000" w:themeColor="text1"/>
                      <w:szCs w:val="21"/>
                    </w:rPr>
                    <w:t>0.08</w:t>
                  </w:r>
                </w:p>
              </w:tc>
              <w:tc>
                <w:tcPr>
                  <w:tcW w:w="1275" w:type="dxa"/>
                  <w:vAlign w:val="center"/>
                </w:tcPr>
                <w:p>
                  <w:pPr>
                    <w:pStyle w:val="30"/>
                    <w:spacing w:line="360" w:lineRule="exact"/>
                    <w:rPr>
                      <w:color w:val="000000" w:themeColor="text1"/>
                      <w:szCs w:val="21"/>
                    </w:rPr>
                  </w:pPr>
                  <w:r>
                    <w:rPr>
                      <w:rFonts w:hint="eastAsia"/>
                      <w:color w:val="000000" w:themeColor="text1"/>
                      <w:szCs w:val="21"/>
                    </w:rPr>
                    <w:t>0.004</w:t>
                  </w:r>
                </w:p>
              </w:tc>
              <w:tc>
                <w:tcPr>
                  <w:tcW w:w="1276" w:type="dxa"/>
                  <w:vAlign w:val="center"/>
                </w:tcPr>
                <w:p>
                  <w:pPr>
                    <w:pStyle w:val="30"/>
                    <w:spacing w:line="360" w:lineRule="exact"/>
                    <w:rPr>
                      <w:color w:val="000000" w:themeColor="text1"/>
                      <w:szCs w:val="21"/>
                    </w:rPr>
                  </w:pPr>
                  <w:r>
                    <w:rPr>
                      <w:rFonts w:hint="eastAsia"/>
                      <w:color w:val="000000" w:themeColor="text1"/>
                      <w:szCs w:val="21"/>
                    </w:rPr>
                    <w:t>0.008</w:t>
                  </w:r>
                </w:p>
              </w:tc>
              <w:tc>
                <w:tcPr>
                  <w:tcW w:w="1165" w:type="dxa"/>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6"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rFonts w:hint="eastAsia"/>
                      <w:color w:val="000000" w:themeColor="text1"/>
                      <w:szCs w:val="21"/>
                    </w:rPr>
                    <w:t>汞及其化合物</w:t>
                  </w:r>
                </w:p>
              </w:tc>
              <w:tc>
                <w:tcPr>
                  <w:tcW w:w="993" w:type="dxa"/>
                  <w:vAlign w:val="center"/>
                </w:tcPr>
                <w:p>
                  <w:pPr>
                    <w:pStyle w:val="30"/>
                    <w:spacing w:line="360" w:lineRule="exact"/>
                    <w:rPr>
                      <w:color w:val="000000" w:themeColor="text1"/>
                      <w:szCs w:val="21"/>
                    </w:rPr>
                  </w:pPr>
                  <w:r>
                    <w:rPr>
                      <w:rFonts w:hint="eastAsia"/>
                      <w:color w:val="000000" w:themeColor="text1"/>
                      <w:szCs w:val="21"/>
                    </w:rPr>
                    <w:t>--</w:t>
                  </w:r>
                </w:p>
              </w:tc>
              <w:tc>
                <w:tcPr>
                  <w:tcW w:w="1275" w:type="dxa"/>
                  <w:vAlign w:val="center"/>
                </w:tcPr>
                <w:p>
                  <w:pPr>
                    <w:pStyle w:val="30"/>
                    <w:spacing w:line="360" w:lineRule="exact"/>
                    <w:rPr>
                      <w:color w:val="000000" w:themeColor="text1"/>
                      <w:szCs w:val="21"/>
                    </w:rPr>
                  </w:pPr>
                  <w:r>
                    <w:rPr>
                      <w:rFonts w:hint="eastAsia"/>
                      <w:color w:val="000000" w:themeColor="text1"/>
                      <w:szCs w:val="21"/>
                    </w:rPr>
                    <w:t>--</w:t>
                  </w:r>
                </w:p>
              </w:tc>
              <w:tc>
                <w:tcPr>
                  <w:tcW w:w="1276" w:type="dxa"/>
                  <w:vAlign w:val="center"/>
                </w:tcPr>
                <w:p>
                  <w:pPr>
                    <w:pStyle w:val="30"/>
                    <w:spacing w:line="360" w:lineRule="exact"/>
                    <w:rPr>
                      <w:color w:val="000000" w:themeColor="text1"/>
                      <w:szCs w:val="21"/>
                    </w:rPr>
                  </w:pPr>
                  <w:r>
                    <w:rPr>
                      <w:rFonts w:hint="eastAsia"/>
                      <w:color w:val="000000" w:themeColor="text1"/>
                      <w:szCs w:val="21"/>
                    </w:rPr>
                    <w:t>--</w:t>
                  </w:r>
                </w:p>
              </w:tc>
              <w:tc>
                <w:tcPr>
                  <w:tcW w:w="1165" w:type="dxa"/>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2776" w:type="dxa"/>
                  <w:vMerge w:val="restart"/>
                  <w:vAlign w:val="center"/>
                </w:tcPr>
                <w:p>
                  <w:pPr>
                    <w:pStyle w:val="30"/>
                    <w:spacing w:line="360" w:lineRule="exact"/>
                    <w:rPr>
                      <w:color w:val="000000" w:themeColor="text1"/>
                      <w:szCs w:val="21"/>
                    </w:rPr>
                  </w:pPr>
                  <w:r>
                    <w:rPr>
                      <w:color w:val="000000" w:themeColor="text1"/>
                      <w:szCs w:val="21"/>
                    </w:rPr>
                    <w:t>1号废旧电视机（CRT）处理线</w:t>
                  </w:r>
                </w:p>
              </w:tc>
              <w:tc>
                <w:tcPr>
                  <w:tcW w:w="1559" w:type="dxa"/>
                  <w:vAlign w:val="center"/>
                </w:tcPr>
                <w:p>
                  <w:pPr>
                    <w:pStyle w:val="30"/>
                    <w:spacing w:line="360" w:lineRule="exact"/>
                    <w:rPr>
                      <w:color w:val="000000" w:themeColor="text1"/>
                      <w:szCs w:val="21"/>
                    </w:rPr>
                  </w:pPr>
                  <w:r>
                    <w:rPr>
                      <w:rFonts w:hint="eastAsia"/>
                      <w:color w:val="000000" w:themeColor="text1"/>
                      <w:szCs w:val="21"/>
                    </w:rPr>
                    <w:t>粉尘（普通）</w:t>
                  </w:r>
                </w:p>
              </w:tc>
              <w:tc>
                <w:tcPr>
                  <w:tcW w:w="993" w:type="dxa"/>
                  <w:vAlign w:val="center"/>
                </w:tcPr>
                <w:p>
                  <w:pPr>
                    <w:pStyle w:val="30"/>
                    <w:spacing w:line="360" w:lineRule="exact"/>
                    <w:rPr>
                      <w:color w:val="000000" w:themeColor="text1"/>
                      <w:szCs w:val="21"/>
                    </w:rPr>
                  </w:pPr>
                  <w:r>
                    <w:rPr>
                      <w:rFonts w:hint="eastAsia"/>
                      <w:color w:val="000000" w:themeColor="text1"/>
                      <w:szCs w:val="21"/>
                    </w:rPr>
                    <w:t>19.69</w:t>
                  </w:r>
                </w:p>
              </w:tc>
              <w:tc>
                <w:tcPr>
                  <w:tcW w:w="1275" w:type="dxa"/>
                  <w:vAlign w:val="center"/>
                </w:tcPr>
                <w:p>
                  <w:pPr>
                    <w:pStyle w:val="30"/>
                    <w:spacing w:line="360" w:lineRule="exact"/>
                    <w:rPr>
                      <w:color w:val="000000" w:themeColor="text1"/>
                      <w:szCs w:val="21"/>
                    </w:rPr>
                  </w:pPr>
                  <w:r>
                    <w:rPr>
                      <w:color w:val="000000" w:themeColor="text1"/>
                      <w:szCs w:val="21"/>
                    </w:rPr>
                    <w:t>0.89</w:t>
                  </w:r>
                </w:p>
              </w:tc>
              <w:tc>
                <w:tcPr>
                  <w:tcW w:w="1276" w:type="dxa"/>
                  <w:vAlign w:val="center"/>
                </w:tcPr>
                <w:p>
                  <w:pPr>
                    <w:pStyle w:val="30"/>
                    <w:spacing w:line="360" w:lineRule="exact"/>
                    <w:rPr>
                      <w:color w:val="000000" w:themeColor="text1"/>
                      <w:szCs w:val="21"/>
                    </w:rPr>
                  </w:pPr>
                  <w:r>
                    <w:rPr>
                      <w:color w:val="000000" w:themeColor="text1"/>
                      <w:szCs w:val="21"/>
                    </w:rPr>
                    <w:t>1.97</w:t>
                  </w:r>
                </w:p>
              </w:tc>
              <w:tc>
                <w:tcPr>
                  <w:tcW w:w="1165" w:type="dxa"/>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rFonts w:hint="eastAsia"/>
                      <w:color w:val="000000" w:themeColor="text1"/>
                      <w:szCs w:val="21"/>
                    </w:rPr>
                    <w:t>含铅粉尘</w:t>
                  </w:r>
                </w:p>
              </w:tc>
              <w:tc>
                <w:tcPr>
                  <w:tcW w:w="993" w:type="dxa"/>
                  <w:vAlign w:val="center"/>
                </w:tcPr>
                <w:p>
                  <w:pPr>
                    <w:pStyle w:val="30"/>
                    <w:spacing w:line="360" w:lineRule="exact"/>
                    <w:rPr>
                      <w:color w:val="000000" w:themeColor="text1"/>
                      <w:szCs w:val="21"/>
                    </w:rPr>
                  </w:pPr>
                  <w:r>
                    <w:rPr>
                      <w:rFonts w:hint="eastAsia"/>
                      <w:color w:val="000000" w:themeColor="text1"/>
                      <w:szCs w:val="21"/>
                    </w:rPr>
                    <w:t>19.69</w:t>
                  </w:r>
                </w:p>
              </w:tc>
              <w:tc>
                <w:tcPr>
                  <w:tcW w:w="1275" w:type="dxa"/>
                  <w:vAlign w:val="center"/>
                </w:tcPr>
                <w:p>
                  <w:pPr>
                    <w:pStyle w:val="30"/>
                    <w:spacing w:line="360" w:lineRule="exact"/>
                    <w:rPr>
                      <w:color w:val="000000" w:themeColor="text1"/>
                      <w:szCs w:val="21"/>
                    </w:rPr>
                  </w:pPr>
                  <w:r>
                    <w:rPr>
                      <w:color w:val="000000" w:themeColor="text1"/>
                      <w:szCs w:val="21"/>
                    </w:rPr>
                    <w:t>0.89</w:t>
                  </w:r>
                </w:p>
              </w:tc>
              <w:tc>
                <w:tcPr>
                  <w:tcW w:w="1276" w:type="dxa"/>
                  <w:vAlign w:val="center"/>
                </w:tcPr>
                <w:p>
                  <w:pPr>
                    <w:pStyle w:val="30"/>
                    <w:spacing w:line="360" w:lineRule="exact"/>
                    <w:rPr>
                      <w:color w:val="000000" w:themeColor="text1"/>
                      <w:szCs w:val="21"/>
                    </w:rPr>
                  </w:pPr>
                  <w:r>
                    <w:rPr>
                      <w:color w:val="000000" w:themeColor="text1"/>
                      <w:szCs w:val="21"/>
                    </w:rPr>
                    <w:t>1.97</w:t>
                  </w:r>
                </w:p>
              </w:tc>
              <w:tc>
                <w:tcPr>
                  <w:tcW w:w="1165" w:type="dxa"/>
                  <w:vMerge w:val="restart"/>
                  <w:vAlign w:val="center"/>
                </w:tcPr>
                <w:p>
                  <w:pPr>
                    <w:pStyle w:val="30"/>
                    <w:spacing w:line="360" w:lineRule="exact"/>
                    <w:rPr>
                      <w:color w:val="000000" w:themeColor="text1"/>
                      <w:szCs w:val="21"/>
                    </w:rPr>
                  </w:pPr>
                  <w:r>
                    <w:rPr>
                      <w:rFonts w:hint="eastAsia"/>
                      <w:color w:val="000000" w:themeColor="text1"/>
                      <w:szCs w:val="21"/>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6"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rFonts w:hint="eastAsia"/>
                      <w:color w:val="000000" w:themeColor="text1"/>
                      <w:szCs w:val="21"/>
                    </w:rPr>
                    <w:t>铅及其化合物</w:t>
                  </w:r>
                </w:p>
              </w:tc>
              <w:tc>
                <w:tcPr>
                  <w:tcW w:w="993" w:type="dxa"/>
                  <w:vAlign w:val="center"/>
                </w:tcPr>
                <w:p>
                  <w:pPr>
                    <w:pStyle w:val="30"/>
                    <w:spacing w:line="360" w:lineRule="exact"/>
                    <w:rPr>
                      <w:color w:val="000000" w:themeColor="text1"/>
                      <w:szCs w:val="21"/>
                    </w:rPr>
                  </w:pPr>
                  <w:r>
                    <w:rPr>
                      <w:rFonts w:hint="eastAsia"/>
                      <w:color w:val="000000" w:themeColor="text1"/>
                      <w:szCs w:val="21"/>
                    </w:rPr>
                    <w:t>0.0188</w:t>
                  </w:r>
                </w:p>
              </w:tc>
              <w:tc>
                <w:tcPr>
                  <w:tcW w:w="1275" w:type="dxa"/>
                  <w:vAlign w:val="center"/>
                </w:tcPr>
                <w:p>
                  <w:pPr>
                    <w:pStyle w:val="30"/>
                    <w:spacing w:line="360" w:lineRule="exact"/>
                    <w:rPr>
                      <w:color w:val="000000" w:themeColor="text1"/>
                      <w:szCs w:val="21"/>
                    </w:rPr>
                  </w:pPr>
                  <w:r>
                    <w:rPr>
                      <w:rFonts w:hint="eastAsia"/>
                      <w:color w:val="000000" w:themeColor="text1"/>
                      <w:szCs w:val="21"/>
                    </w:rPr>
                    <w:t>0.0009</w:t>
                  </w:r>
                </w:p>
              </w:tc>
              <w:tc>
                <w:tcPr>
                  <w:tcW w:w="1276" w:type="dxa"/>
                  <w:vAlign w:val="center"/>
                </w:tcPr>
                <w:p>
                  <w:pPr>
                    <w:pStyle w:val="30"/>
                    <w:spacing w:line="360" w:lineRule="exact"/>
                    <w:rPr>
                      <w:color w:val="000000" w:themeColor="text1"/>
                      <w:szCs w:val="21"/>
                    </w:rPr>
                  </w:pPr>
                  <w:r>
                    <w:rPr>
                      <w:rFonts w:hint="eastAsia"/>
                      <w:color w:val="000000" w:themeColor="text1"/>
                      <w:szCs w:val="21"/>
                    </w:rPr>
                    <w:t>0.0019</w:t>
                  </w:r>
                </w:p>
              </w:tc>
              <w:tc>
                <w:tcPr>
                  <w:tcW w:w="1165" w:type="dxa"/>
                  <w:vMerge w:val="continue"/>
                  <w:vAlign w:val="center"/>
                </w:tcPr>
                <w:p>
                  <w:pPr>
                    <w:pStyle w:val="30"/>
                    <w:spacing w:line="360" w:lineRule="exact"/>
                    <w:rPr>
                      <w:color w:val="000000" w:themeColor="text1"/>
                      <w:szCs w:val="21"/>
                    </w:rPr>
                  </w:pPr>
                </w:p>
              </w:tc>
            </w:tr>
          </w:tbl>
          <w:p>
            <w:pPr>
              <w:spacing w:beforeLines="50" w:line="360" w:lineRule="auto"/>
              <w:ind w:firstLine="361" w:firstLineChars="150"/>
              <w:rPr>
                <w:rFonts w:ascii="Times New Roman" w:hAnsi="Times New Roman" w:eastAsia="宋体" w:cs="Times New Roman"/>
                <w:b/>
                <w:color w:val="000000" w:themeColor="text1"/>
                <w:sz w:val="24"/>
              </w:rPr>
            </w:pPr>
            <w:r>
              <w:rPr>
                <w:rFonts w:hint="eastAsia" w:ascii="Times New Roman" w:hAnsi="Times New Roman" w:eastAsia="宋体" w:cs="Times New Roman"/>
                <w:b/>
                <w:color w:val="000000" w:themeColor="text1"/>
                <w:sz w:val="24"/>
              </w:rPr>
              <w:t>（2）厨房油烟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w:t>
            </w:r>
            <w:r>
              <w:rPr>
                <w:rFonts w:ascii="Times New Roman" w:hAnsi="Times New Roman" w:cs="Times New Roman"/>
                <w:color w:val="000000" w:themeColor="text1"/>
                <w:sz w:val="24"/>
                <w:szCs w:val="24"/>
              </w:rPr>
              <w:t>调查，现有项目设置食堂，</w:t>
            </w:r>
            <w:r>
              <w:rPr>
                <w:rFonts w:hint="eastAsia" w:ascii="Times New Roman" w:hAnsi="Times New Roman" w:cs="Times New Roman"/>
                <w:color w:val="000000" w:themeColor="text1"/>
                <w:sz w:val="24"/>
                <w:szCs w:val="24"/>
              </w:rPr>
              <w:t>属于综合性食堂，供全厂员工吃饭，食堂</w:t>
            </w:r>
            <w:r>
              <w:rPr>
                <w:rFonts w:ascii="Times New Roman" w:hAnsi="Times New Roman" w:cs="Times New Roman"/>
                <w:color w:val="000000" w:themeColor="text1"/>
                <w:sz w:val="24"/>
                <w:szCs w:val="24"/>
              </w:rPr>
              <w:t>安装了一个最低去除率约为60%的油烟净化器，</w:t>
            </w:r>
            <w:r>
              <w:rPr>
                <w:rFonts w:hint="eastAsia" w:ascii="Times New Roman" w:hAnsi="Times New Roman" w:cs="Times New Roman"/>
                <w:color w:val="000000" w:themeColor="text1"/>
                <w:sz w:val="24"/>
                <w:szCs w:val="24"/>
              </w:rPr>
              <w:t>厨房油烟可</w:t>
            </w:r>
            <w:r>
              <w:rPr>
                <w:rFonts w:ascii="Times New Roman" w:hAnsi="Times New Roman" w:cs="Times New Roman"/>
                <w:color w:val="000000" w:themeColor="text1"/>
                <w:sz w:val="24"/>
                <w:szCs w:val="24"/>
              </w:rPr>
              <w:t>达到《饮食业油烟排放标准》（GB18483-2001）（试行）最高允许排放浓度2mg/m³的要求。</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2.10.2 现有工程废水排放情况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根据调查，现有项目废水包括</w:t>
            </w:r>
            <w:r>
              <w:rPr>
                <w:rFonts w:hint="eastAsia" w:ascii="Times New Roman" w:hAnsi="Times New Roman" w:cs="Times New Roman"/>
                <w:color w:val="000000" w:themeColor="text1"/>
                <w:sz w:val="24"/>
              </w:rPr>
              <w:t>平衡盐水</w:t>
            </w:r>
            <w:r>
              <w:rPr>
                <w:rFonts w:ascii="Times New Roman" w:hAnsi="Times New Roman" w:cs="Times New Roman"/>
                <w:color w:val="000000" w:themeColor="text1"/>
                <w:sz w:val="24"/>
              </w:rPr>
              <w:t>和员工生活产生的生活污水。</w:t>
            </w:r>
          </w:p>
          <w:p>
            <w:pPr>
              <w:spacing w:line="360" w:lineRule="auto"/>
              <w:ind w:firstLine="361" w:firstLineChars="150"/>
              <w:rPr>
                <w:rFonts w:ascii="Times New Roman" w:hAnsi="Times New Roman" w:eastAsia="宋体" w:cs="Times New Roman"/>
                <w:b/>
                <w:color w:val="000000" w:themeColor="text1"/>
                <w:sz w:val="24"/>
              </w:rPr>
            </w:pPr>
            <w:r>
              <w:rPr>
                <w:rFonts w:hint="eastAsia" w:ascii="Times New Roman" w:hAnsi="Times New Roman" w:eastAsia="宋体" w:cs="Times New Roman"/>
                <w:b/>
                <w:color w:val="000000" w:themeColor="text1"/>
                <w:sz w:val="24"/>
              </w:rPr>
              <w:t>（1）平衡盐水</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根据调查，项目区主要生产废水为</w:t>
            </w:r>
            <w:r>
              <w:rPr>
                <w:rFonts w:ascii="Times New Roman" w:hAnsi="Times New Roman" w:cs="Times New Roman"/>
                <w:color w:val="000000" w:themeColor="text1"/>
                <w:sz w:val="24"/>
              </w:rPr>
              <w:t>废旧洗衣机处理线</w:t>
            </w:r>
            <w:r>
              <w:rPr>
                <w:rFonts w:hint="eastAsia" w:ascii="Times New Roman" w:hAnsi="Times New Roman" w:cs="Times New Roman"/>
                <w:color w:val="000000" w:themeColor="text1"/>
                <w:sz w:val="24"/>
              </w:rPr>
              <w:t>全自动洗衣机拆解过程中产生的平衡盐水，根据建设单位实际统计，现有工程正常运行期平衡盐水产生量为</w:t>
            </w:r>
            <w:r>
              <w:rPr>
                <w:rFonts w:ascii="Times New Roman" w:hAnsi="Times New Roman" w:cs="Times New Roman"/>
                <w:color w:val="000000" w:themeColor="text1"/>
                <w:sz w:val="24"/>
              </w:rPr>
              <w:t>0.15m³/月（0.005m³/d），</w:t>
            </w:r>
            <w:r>
              <w:rPr>
                <w:rFonts w:hint="eastAsia" w:ascii="Times New Roman" w:hAnsi="Times New Roman" w:cs="Times New Roman"/>
                <w:color w:val="000000" w:themeColor="text1"/>
                <w:sz w:val="24"/>
              </w:rPr>
              <w:t>按1:8的比例稀释后，回用于绿化，不外排。</w:t>
            </w:r>
          </w:p>
          <w:p>
            <w:pPr>
              <w:spacing w:line="360" w:lineRule="auto"/>
              <w:ind w:firstLine="361" w:firstLineChars="150"/>
              <w:rPr>
                <w:rFonts w:ascii="Times New Roman" w:hAnsi="Times New Roman" w:eastAsia="宋体" w:cs="Times New Roman"/>
                <w:b/>
                <w:color w:val="000000" w:themeColor="text1"/>
                <w:sz w:val="24"/>
              </w:rPr>
            </w:pPr>
            <w:r>
              <w:rPr>
                <w:rFonts w:hint="eastAsia" w:ascii="Times New Roman" w:hAnsi="Times New Roman" w:eastAsia="宋体" w:cs="Times New Roman"/>
                <w:b/>
                <w:color w:val="000000" w:themeColor="text1"/>
                <w:sz w:val="24"/>
              </w:rPr>
              <w:t>（2）生活污水</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现有工程劳动定员为82人，所有员工均在</w:t>
            </w:r>
            <w:r>
              <w:rPr>
                <w:rFonts w:ascii="Times New Roman" w:hAnsi="Times New Roman" w:cs="Times New Roman"/>
                <w:color w:val="000000" w:themeColor="text1"/>
                <w:sz w:val="24"/>
              </w:rPr>
              <w:t>厂区吃饭，住宿人数约为</w:t>
            </w:r>
            <w:r>
              <w:rPr>
                <w:rFonts w:hint="eastAsia" w:ascii="Times New Roman" w:hAnsi="Times New Roman" w:cs="Times New Roman"/>
                <w:color w:val="000000" w:themeColor="text1"/>
                <w:sz w:val="24"/>
              </w:rPr>
              <w:t>32</w:t>
            </w:r>
            <w:r>
              <w:rPr>
                <w:rFonts w:ascii="Times New Roman" w:hAnsi="Times New Roman" w:cs="Times New Roman"/>
                <w:color w:val="000000" w:themeColor="text1"/>
                <w:sz w:val="24"/>
              </w:rPr>
              <w:t>人，其余</w:t>
            </w:r>
            <w:r>
              <w:rPr>
                <w:rFonts w:hint="eastAsia" w:ascii="Times New Roman" w:hAnsi="Times New Roman" w:cs="Times New Roman"/>
                <w:color w:val="000000" w:themeColor="text1"/>
                <w:sz w:val="24"/>
              </w:rPr>
              <w:t>50</w:t>
            </w:r>
            <w:r>
              <w:rPr>
                <w:rFonts w:ascii="Times New Roman" w:hAnsi="Times New Roman" w:cs="Times New Roman"/>
                <w:color w:val="000000" w:themeColor="text1"/>
                <w:sz w:val="24"/>
              </w:rPr>
              <w:t>人回家住宿。根据《云南省地方标准用水定额》（DB53/T168-2019），在项目食宿员工用水量取100L/d·人，不在项目区住宿的员工用水量取60L/d·人，则生活用水量</w:t>
            </w:r>
            <w:r>
              <w:rPr>
                <w:rFonts w:hint="eastAsia" w:ascii="Times New Roman" w:hAnsi="Times New Roman" w:cs="Times New Roman"/>
                <w:color w:val="000000" w:themeColor="text1"/>
                <w:sz w:val="24"/>
              </w:rPr>
              <w:t>6.2</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1860</w:t>
            </w:r>
            <w:r>
              <w:rPr>
                <w:rFonts w:ascii="Times New Roman" w:hAnsi="Times New Roman" w:cs="Times New Roman"/>
                <w:color w:val="000000" w:themeColor="text1"/>
                <w:sz w:val="24"/>
              </w:rPr>
              <w:t>m³/a；废水率按80%计，则废水量为</w:t>
            </w:r>
            <w:r>
              <w:rPr>
                <w:rFonts w:hint="eastAsia" w:ascii="Times New Roman" w:hAnsi="Times New Roman" w:cs="Times New Roman"/>
                <w:color w:val="000000" w:themeColor="text1"/>
                <w:sz w:val="24"/>
              </w:rPr>
              <w:t>4.96</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1488</w:t>
            </w:r>
            <w:r>
              <w:rPr>
                <w:rFonts w:ascii="Times New Roman" w:hAnsi="Times New Roman" w:cs="Times New Roman"/>
                <w:color w:val="000000" w:themeColor="text1"/>
                <w:sz w:val="24"/>
              </w:rPr>
              <w:t>m³/a；其中食堂废水约为</w:t>
            </w:r>
            <w:r>
              <w:rPr>
                <w:rFonts w:hint="eastAsia" w:ascii="Times New Roman" w:hAnsi="Times New Roman" w:cs="Times New Roman"/>
                <w:color w:val="000000" w:themeColor="text1"/>
                <w:sz w:val="24"/>
              </w:rPr>
              <w:t>2.48</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744</w:t>
            </w:r>
            <w:r>
              <w:rPr>
                <w:rFonts w:ascii="Times New Roman" w:hAnsi="Times New Roman" w:cs="Times New Roman"/>
                <w:color w:val="000000" w:themeColor="text1"/>
                <w:sz w:val="24"/>
              </w:rPr>
              <w:t>m³/a；根据调查，项目针对办公生活区，已配套设置了1个2m³的隔油池、3个5m³的化粪池和1套处理能力为10m³/d的污水收集池，对项目生活污水进行处理</w:t>
            </w:r>
            <w:r>
              <w:rPr>
                <w:rFonts w:hint="eastAsia" w:ascii="Times New Roman" w:hAnsi="Times New Roman" w:cs="Times New Roman"/>
                <w:color w:val="000000" w:themeColor="text1"/>
                <w:sz w:val="24"/>
              </w:rPr>
              <w:t>。</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生活污水污染物处理情况见下表。</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2.10.2-1</w:t>
            </w:r>
            <w:r>
              <w:rPr>
                <w:rFonts w:ascii="Times New Roman" w:hAnsi="Times New Roman" w:eastAsia="宋体" w:cs="Times New Roman"/>
                <w:b/>
                <w:color w:val="000000" w:themeColor="text1"/>
                <w:szCs w:val="24"/>
              </w:rPr>
              <w:t xml:space="preserve"> 项目</w:t>
            </w:r>
            <w:r>
              <w:rPr>
                <w:rFonts w:hint="eastAsia" w:ascii="Times New Roman" w:hAnsi="Times New Roman" w:eastAsia="宋体" w:cs="Times New Roman"/>
                <w:b/>
                <w:color w:val="000000" w:themeColor="text1"/>
                <w:szCs w:val="24"/>
              </w:rPr>
              <w:t>生活污水</w:t>
            </w:r>
            <w:r>
              <w:rPr>
                <w:rFonts w:ascii="Times New Roman" w:hAnsi="Times New Roman" w:eastAsia="宋体" w:cs="Times New Roman"/>
                <w:b/>
                <w:color w:val="000000" w:themeColor="text1"/>
                <w:szCs w:val="24"/>
              </w:rPr>
              <w:t>污染物核算一览表</w:t>
            </w:r>
          </w:p>
          <w:tbl>
            <w:tblPr>
              <w:tblStyle w:val="19"/>
              <w:tblW w:w="5000" w:type="pct"/>
              <w:tblInd w:w="0" w:type="dxa"/>
              <w:tblLayout w:type="fixed"/>
              <w:tblCellMar>
                <w:top w:w="0" w:type="dxa"/>
                <w:left w:w="108" w:type="dxa"/>
                <w:bottom w:w="0" w:type="dxa"/>
                <w:right w:w="108" w:type="dxa"/>
              </w:tblCellMar>
            </w:tblPr>
            <w:tblGrid>
              <w:gridCol w:w="930"/>
              <w:gridCol w:w="1421"/>
              <w:gridCol w:w="1279"/>
              <w:gridCol w:w="1137"/>
              <w:gridCol w:w="1137"/>
              <w:gridCol w:w="1278"/>
              <w:gridCol w:w="995"/>
              <w:gridCol w:w="878"/>
            </w:tblGrid>
            <w:tr>
              <w:tblPrEx>
                <w:tblCellMar>
                  <w:top w:w="0" w:type="dxa"/>
                  <w:left w:w="108" w:type="dxa"/>
                  <w:bottom w:w="0" w:type="dxa"/>
                  <w:right w:w="108" w:type="dxa"/>
                </w:tblCellMar>
              </w:tblPrEx>
              <w:trPr>
                <w:trHeight w:val="547" w:hRule="atLeast"/>
              </w:trPr>
              <w:tc>
                <w:tcPr>
                  <w:tcW w:w="928"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排放源</w:t>
                  </w:r>
                </w:p>
              </w:tc>
              <w:tc>
                <w:tcPr>
                  <w:tcW w:w="1418"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污染物</w:t>
                  </w:r>
                </w:p>
              </w:tc>
              <w:tc>
                <w:tcPr>
                  <w:tcW w:w="1276"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进水浓度</w:t>
                  </w:r>
                </w:p>
                <w:p>
                  <w:pPr>
                    <w:pStyle w:val="30"/>
                    <w:spacing w:line="360" w:lineRule="exact"/>
                    <w:rPr>
                      <w:color w:val="000000" w:themeColor="text1"/>
                      <w:szCs w:val="21"/>
                    </w:rPr>
                  </w:pPr>
                  <w:r>
                    <w:rPr>
                      <w:color w:val="000000" w:themeColor="text1"/>
                      <w:szCs w:val="21"/>
                    </w:rPr>
                    <w:t>（mg/L）</w:t>
                  </w:r>
                </w:p>
              </w:tc>
              <w:tc>
                <w:tcPr>
                  <w:tcW w:w="113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产生量</w:t>
                  </w:r>
                </w:p>
                <w:p>
                  <w:pPr>
                    <w:pStyle w:val="30"/>
                    <w:spacing w:line="360" w:lineRule="exact"/>
                    <w:rPr>
                      <w:color w:val="000000" w:themeColor="text1"/>
                      <w:szCs w:val="21"/>
                    </w:rPr>
                  </w:pPr>
                  <w:r>
                    <w:rPr>
                      <w:color w:val="000000" w:themeColor="text1"/>
                      <w:szCs w:val="21"/>
                    </w:rPr>
                    <w:t>（t/a）</w:t>
                  </w:r>
                </w:p>
              </w:tc>
              <w:tc>
                <w:tcPr>
                  <w:tcW w:w="113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出水浓度</w:t>
                  </w:r>
                </w:p>
                <w:p>
                  <w:pPr>
                    <w:pStyle w:val="30"/>
                    <w:spacing w:line="360" w:lineRule="exact"/>
                    <w:rPr>
                      <w:color w:val="000000" w:themeColor="text1"/>
                      <w:szCs w:val="21"/>
                    </w:rPr>
                  </w:pPr>
                  <w:r>
                    <w:rPr>
                      <w:color w:val="000000" w:themeColor="text1"/>
                      <w:szCs w:val="21"/>
                    </w:rPr>
                    <w:t>（mg/L）</w:t>
                  </w:r>
                </w:p>
              </w:tc>
              <w:tc>
                <w:tcPr>
                  <w:tcW w:w="1275"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再生水回用量（t/a）</w:t>
                  </w:r>
                </w:p>
              </w:tc>
              <w:tc>
                <w:tcPr>
                  <w:tcW w:w="993"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标准值</w:t>
                  </w:r>
                </w:p>
                <w:p>
                  <w:pPr>
                    <w:pStyle w:val="30"/>
                    <w:spacing w:line="360" w:lineRule="exact"/>
                    <w:rPr>
                      <w:color w:val="000000" w:themeColor="text1"/>
                      <w:szCs w:val="21"/>
                    </w:rPr>
                  </w:pPr>
                  <w:r>
                    <w:rPr>
                      <w:color w:val="000000" w:themeColor="text1"/>
                      <w:szCs w:val="21"/>
                    </w:rPr>
                    <w:t>（mg/L）</w:t>
                  </w:r>
                </w:p>
              </w:tc>
              <w:tc>
                <w:tcPr>
                  <w:tcW w:w="876"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达标情况</w:t>
                  </w:r>
                </w:p>
              </w:tc>
            </w:tr>
            <w:tr>
              <w:tblPrEx>
                <w:tblCellMar>
                  <w:top w:w="0" w:type="dxa"/>
                  <w:left w:w="108" w:type="dxa"/>
                  <w:bottom w:w="0" w:type="dxa"/>
                  <w:right w:w="108" w:type="dxa"/>
                </w:tblCellMar>
              </w:tblPrEx>
              <w:trPr>
                <w:trHeight w:val="300" w:hRule="atLeast"/>
              </w:trPr>
              <w:tc>
                <w:tcPr>
                  <w:tcW w:w="928" w:type="dxa"/>
                  <w:vMerge w:val="restart"/>
                  <w:tcBorders>
                    <w:top w:val="nil"/>
                    <w:left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经化粪池处理后并进入污水收集池的生活污水</w:t>
                  </w: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废水量</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w:t>
                  </w:r>
                </w:p>
              </w:tc>
              <w:tc>
                <w:tcPr>
                  <w:tcW w:w="1134" w:type="dxa"/>
                  <w:tcBorders>
                    <w:top w:val="single" w:color="auto" w:sz="4" w:space="0"/>
                    <w:left w:val="nil"/>
                    <w:bottom w:val="single" w:color="auto" w:sz="8" w:space="0"/>
                    <w:right w:val="single" w:color="auto" w:sz="8" w:space="0"/>
                  </w:tcBorders>
                  <w:shd w:val="clear" w:color="auto" w:fill="auto"/>
                  <w:vAlign w:val="bottom"/>
                </w:tcPr>
                <w:p>
                  <w:pPr>
                    <w:pStyle w:val="30"/>
                    <w:spacing w:line="360" w:lineRule="exact"/>
                    <w:rPr>
                      <w:color w:val="000000" w:themeColor="text1"/>
                      <w:szCs w:val="21"/>
                    </w:rPr>
                  </w:pPr>
                  <w:r>
                    <w:rPr>
                      <w:rFonts w:hint="eastAsia"/>
                      <w:color w:val="000000" w:themeColor="text1"/>
                      <w:szCs w:val="21"/>
                    </w:rPr>
                    <w:t>1488</w:t>
                  </w:r>
                  <w:r>
                    <w:rPr>
                      <w:color w:val="000000" w:themeColor="text1"/>
                      <w:szCs w:val="21"/>
                    </w:rPr>
                    <w:t>m³</w:t>
                  </w:r>
                  <w:r>
                    <w:rPr>
                      <w:rFonts w:hint="eastAsia"/>
                      <w:color w:val="000000" w:themeColor="text1"/>
                      <w:szCs w:val="21"/>
                    </w:rPr>
                    <w:t>/a</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w:t>
                  </w:r>
                </w:p>
              </w:tc>
              <w:tc>
                <w:tcPr>
                  <w:tcW w:w="1275" w:type="dxa"/>
                  <w:tcBorders>
                    <w:top w:val="nil"/>
                    <w:left w:val="nil"/>
                    <w:bottom w:val="single" w:color="auto" w:sz="8" w:space="0"/>
                    <w:right w:val="single" w:color="auto" w:sz="8" w:space="0"/>
                  </w:tcBorders>
                  <w:shd w:val="clear" w:color="auto" w:fill="auto"/>
                  <w:vAlign w:val="bottom"/>
                </w:tcPr>
                <w:p>
                  <w:pPr>
                    <w:pStyle w:val="30"/>
                    <w:spacing w:line="360" w:lineRule="exact"/>
                    <w:rPr>
                      <w:color w:val="000000" w:themeColor="text1"/>
                      <w:szCs w:val="21"/>
                    </w:rPr>
                  </w:pPr>
                  <w:r>
                    <w:rPr>
                      <w:rFonts w:hint="eastAsia"/>
                      <w:color w:val="000000" w:themeColor="text1"/>
                      <w:szCs w:val="21"/>
                    </w:rPr>
                    <w:t>1488</w:t>
                  </w:r>
                  <w:r>
                    <w:rPr>
                      <w:color w:val="000000" w:themeColor="text1"/>
                      <w:szCs w:val="21"/>
                    </w:rPr>
                    <w:t>m³</w:t>
                  </w:r>
                  <w:r>
                    <w:rPr>
                      <w:rFonts w:hint="eastAsia"/>
                      <w:color w:val="000000" w:themeColor="text1"/>
                      <w:szCs w:val="21"/>
                    </w:rPr>
                    <w:t>/a</w:t>
                  </w:r>
                </w:p>
              </w:tc>
              <w:tc>
                <w:tcPr>
                  <w:tcW w:w="99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w:t>
                  </w:r>
                </w:p>
              </w:tc>
              <w:tc>
                <w:tcPr>
                  <w:tcW w:w="8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w:t>
                  </w:r>
                </w:p>
              </w:tc>
            </w:tr>
            <w:tr>
              <w:tblPrEx>
                <w:tblCellMar>
                  <w:top w:w="0" w:type="dxa"/>
                  <w:left w:w="108" w:type="dxa"/>
                  <w:bottom w:w="0" w:type="dxa"/>
                  <w:right w:w="108" w:type="dxa"/>
                </w:tblCellMar>
              </w:tblPrEx>
              <w:trPr>
                <w:trHeight w:val="242" w:hRule="atLeast"/>
              </w:trPr>
              <w:tc>
                <w:tcPr>
                  <w:tcW w:w="928" w:type="dxa"/>
                  <w:vMerge w:val="continue"/>
                  <w:tcBorders>
                    <w:left w:val="single" w:color="auto" w:sz="8" w:space="0"/>
                    <w:right w:val="single" w:color="auto" w:sz="8" w:space="0"/>
                  </w:tcBorders>
                  <w:shd w:val="clear" w:color="auto" w:fill="auto"/>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pH</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6-9</w:t>
                  </w:r>
                </w:p>
              </w:tc>
              <w:tc>
                <w:tcPr>
                  <w:tcW w:w="1134" w:type="dxa"/>
                  <w:tcBorders>
                    <w:top w:val="single" w:color="auto" w:sz="4" w:space="0"/>
                    <w:left w:val="nil"/>
                    <w:bottom w:val="single" w:color="auto" w:sz="8" w:space="0"/>
                    <w:right w:val="single" w:color="auto" w:sz="8" w:space="0"/>
                  </w:tcBorders>
                  <w:shd w:val="clear" w:color="auto" w:fill="auto"/>
                  <w:vAlign w:val="bottom"/>
                </w:tcPr>
                <w:p>
                  <w:pPr>
                    <w:pStyle w:val="30"/>
                    <w:spacing w:line="360" w:lineRule="exact"/>
                    <w:rPr>
                      <w:color w:val="000000" w:themeColor="text1"/>
                      <w:szCs w:val="21"/>
                    </w:rPr>
                  </w:pPr>
                  <w:r>
                    <w:rPr>
                      <w:color w:val="000000" w:themeColor="text1"/>
                      <w:szCs w:val="21"/>
                    </w:rPr>
                    <w:t>　</w:t>
                  </w:r>
                  <w:r>
                    <w:rPr>
                      <w:rFonts w:hint="eastAsia"/>
                      <w:color w:val="000000" w:themeColor="text1"/>
                      <w:szCs w:val="21"/>
                    </w:rPr>
                    <w:t>--</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6-9</w:t>
                  </w:r>
                </w:p>
              </w:tc>
              <w:tc>
                <w:tcPr>
                  <w:tcW w:w="1275" w:type="dxa"/>
                  <w:tcBorders>
                    <w:top w:val="nil"/>
                    <w:left w:val="nil"/>
                    <w:bottom w:val="single" w:color="auto" w:sz="8" w:space="0"/>
                    <w:right w:val="single" w:color="auto" w:sz="8" w:space="0"/>
                  </w:tcBorders>
                  <w:shd w:val="clear" w:color="auto" w:fill="auto"/>
                  <w:vAlign w:val="bottom"/>
                </w:tcPr>
                <w:p>
                  <w:pPr>
                    <w:pStyle w:val="30"/>
                    <w:spacing w:line="360" w:lineRule="exact"/>
                    <w:rPr>
                      <w:color w:val="000000" w:themeColor="text1"/>
                      <w:szCs w:val="21"/>
                    </w:rPr>
                  </w:pPr>
                  <w:r>
                    <w:rPr>
                      <w:color w:val="000000" w:themeColor="text1"/>
                      <w:szCs w:val="21"/>
                    </w:rPr>
                    <w:t>　</w:t>
                  </w:r>
                  <w:r>
                    <w:rPr>
                      <w:rFonts w:hint="eastAsia"/>
                      <w:color w:val="000000" w:themeColor="text1"/>
                      <w:szCs w:val="21"/>
                    </w:rPr>
                    <w:t>--</w:t>
                  </w:r>
                </w:p>
              </w:tc>
              <w:tc>
                <w:tcPr>
                  <w:tcW w:w="99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6-9</w:t>
                  </w:r>
                </w:p>
              </w:tc>
              <w:tc>
                <w:tcPr>
                  <w:tcW w:w="8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达标</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CODcr</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350</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0.52</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280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0.42</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r>
            <w:tr>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BOD</w:t>
                  </w:r>
                  <w:r>
                    <w:rPr>
                      <w:color w:val="000000" w:themeColor="text1"/>
                      <w:szCs w:val="21"/>
                      <w:vertAlign w:val="subscript"/>
                    </w:rPr>
                    <w:t>5</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220</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0.33</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190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0.28</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≤20</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themeColor="text1"/>
                      <w:kern w:val="0"/>
                    </w:rPr>
                  </w:pPr>
                  <w:r>
                    <w:rPr>
                      <w:rFonts w:hint="eastAsia" w:ascii="宋体" w:hAnsi="宋体" w:eastAsia="宋体" w:cs="宋体"/>
                      <w:color w:val="000000" w:themeColor="text1"/>
                      <w:kern w:val="0"/>
                    </w:rPr>
                    <w:t>达标</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38</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0.06</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35</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0.05</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≤20</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themeColor="text1"/>
                      <w:kern w:val="0"/>
                    </w:rPr>
                  </w:pPr>
                  <w:r>
                    <w:rPr>
                      <w:rFonts w:hint="eastAsia" w:ascii="宋体" w:hAnsi="宋体" w:eastAsia="宋体" w:cs="宋体"/>
                      <w:color w:val="000000" w:themeColor="text1"/>
                      <w:kern w:val="0"/>
                    </w:rPr>
                    <w:t>不达标</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SS</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300</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0.45</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160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0.24</w:t>
                  </w:r>
                </w:p>
              </w:tc>
              <w:tc>
                <w:tcPr>
                  <w:tcW w:w="993"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c>
                <w:tcPr>
                  <w:tcW w:w="87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总磷</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8</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0.01</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7</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0.01</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c>
                <w:tcPr>
                  <w:tcW w:w="876" w:type="dxa"/>
                  <w:tcBorders>
                    <w:top w:val="nil"/>
                    <w:left w:val="single" w:color="auto" w:sz="4" w:space="0"/>
                    <w:bottom w:val="single" w:color="auto" w:sz="4"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总氮</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45</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0.07</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40</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0.06</w:t>
                  </w:r>
                </w:p>
              </w:tc>
              <w:tc>
                <w:tcPr>
                  <w:tcW w:w="99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c>
                <w:tcPr>
                  <w:tcW w:w="8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动植物油</w:t>
                  </w:r>
                </w:p>
              </w:tc>
              <w:tc>
                <w:tcPr>
                  <w:tcW w:w="1276"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100</w:t>
                  </w:r>
                </w:p>
              </w:tc>
              <w:tc>
                <w:tcPr>
                  <w:tcW w:w="1134"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0.15</w:t>
                  </w:r>
                </w:p>
              </w:tc>
              <w:tc>
                <w:tcPr>
                  <w:tcW w:w="1134"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60</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0.09</w:t>
                  </w:r>
                </w:p>
              </w:tc>
              <w:tc>
                <w:tcPr>
                  <w:tcW w:w="993"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c>
                <w:tcPr>
                  <w:tcW w:w="876" w:type="dxa"/>
                  <w:tcBorders>
                    <w:top w:val="nil"/>
                    <w:left w:val="nil"/>
                    <w:bottom w:val="single" w:color="auto" w:sz="4"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right w:val="single" w:color="auto" w:sz="8" w:space="0"/>
                  </w:tcBorders>
                  <w:vAlign w:val="center"/>
                </w:tcPr>
                <w:p>
                  <w:pPr>
                    <w:pStyle w:val="30"/>
                    <w:spacing w:line="360" w:lineRule="exact"/>
                    <w:rPr>
                      <w:color w:val="000000" w:themeColor="text1"/>
                      <w:szCs w:val="21"/>
                    </w:rPr>
                  </w:pPr>
                </w:p>
              </w:tc>
              <w:tc>
                <w:tcPr>
                  <w:tcW w:w="14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阴离子表面活性剂</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16</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0.02</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11</w:t>
                  </w:r>
                </w:p>
              </w:tc>
              <w:tc>
                <w:tcPr>
                  <w:tcW w:w="1275"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0.02</w:t>
                  </w:r>
                </w:p>
              </w:tc>
              <w:tc>
                <w:tcPr>
                  <w:tcW w:w="99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w:t>
                  </w:r>
                </w:p>
              </w:tc>
              <w:tc>
                <w:tcPr>
                  <w:tcW w:w="8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宋体" w:hAnsi="宋体" w:eastAsia="宋体" w:cs="宋体"/>
                      <w:color w:val="000000" w:themeColor="text1"/>
                      <w:kern w:val="0"/>
                    </w:rPr>
                  </w:pPr>
                  <w:r>
                    <w:rPr>
                      <w:rFonts w:hint="eastAsia" w:ascii="宋体" w:hAnsi="宋体" w:eastAsia="宋体" w:cs="宋体"/>
                      <w:color w:val="000000" w:themeColor="text1"/>
                      <w:kern w:val="0"/>
                    </w:rPr>
                    <w:t>不达标</w:t>
                  </w:r>
                </w:p>
              </w:tc>
            </w:tr>
            <w:tr>
              <w:tblPrEx>
                <w:tblCellMar>
                  <w:top w:w="0" w:type="dxa"/>
                  <w:left w:w="108" w:type="dxa"/>
                  <w:bottom w:w="0" w:type="dxa"/>
                  <w:right w:w="108" w:type="dxa"/>
                </w:tblCellMar>
              </w:tblPrEx>
              <w:trPr>
                <w:trHeight w:val="300" w:hRule="atLeast"/>
              </w:trPr>
              <w:tc>
                <w:tcPr>
                  <w:tcW w:w="928" w:type="dxa"/>
                  <w:vMerge w:val="continue"/>
                  <w:tcBorders>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14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粪大肠菌群数（</w:t>
                  </w:r>
                  <w:r>
                    <w:rPr>
                      <w:color w:val="000000" w:themeColor="text1"/>
                      <w:szCs w:val="21"/>
                    </w:rPr>
                    <w:t>MPN/L</w:t>
                  </w:r>
                  <w:r>
                    <w:rPr>
                      <w:rFonts w:hint="eastAsia"/>
                      <w:color w:val="000000" w:themeColor="text1"/>
                      <w:szCs w:val="21"/>
                    </w:rPr>
                    <w:t>）</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16000</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w:t>
                  </w:r>
                </w:p>
              </w:tc>
              <w:tc>
                <w:tcPr>
                  <w:tcW w:w="11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8000</w:t>
                  </w:r>
                </w:p>
              </w:tc>
              <w:tc>
                <w:tcPr>
                  <w:tcW w:w="1275"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w:t>
                  </w:r>
                </w:p>
              </w:tc>
              <w:tc>
                <w:tcPr>
                  <w:tcW w:w="993"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c>
                <w:tcPr>
                  <w:tcW w:w="876"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w:t>
                  </w: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上表可知，经</w:t>
            </w:r>
            <w:r>
              <w:rPr>
                <w:rFonts w:hint="eastAsia" w:ascii="Times New Roman" w:hAnsi="Times New Roman" w:cs="Times New Roman"/>
                <w:color w:val="000000" w:themeColor="text1"/>
                <w:sz w:val="24"/>
              </w:rPr>
              <w:t>隔油池、化粪池和</w:t>
            </w:r>
            <w:r>
              <w:rPr>
                <w:rFonts w:ascii="Times New Roman" w:hAnsi="Times New Roman" w:cs="Times New Roman"/>
                <w:color w:val="000000" w:themeColor="text1"/>
                <w:sz w:val="24"/>
              </w:rPr>
              <w:t>污水收集池处理后的生活污水</w:t>
            </w:r>
            <w:r>
              <w:rPr>
                <w:rFonts w:hint="eastAsia" w:ascii="Times New Roman" w:hAnsi="Times New Roman" w:cs="Times New Roman"/>
                <w:color w:val="000000" w:themeColor="text1"/>
                <w:sz w:val="24"/>
              </w:rPr>
              <w:t>不能</w:t>
            </w:r>
            <w:r>
              <w:rPr>
                <w:rFonts w:ascii="Times New Roman" w:hAnsi="Times New Roman" w:cs="Times New Roman"/>
                <w:color w:val="000000" w:themeColor="text1"/>
                <w:sz w:val="24"/>
              </w:rPr>
              <w:t>达到《城市污水再生利用 城市杂用水水质》（GB/T18920-2020）中城市绿化标准</w:t>
            </w:r>
            <w:r>
              <w:rPr>
                <w:rFonts w:hint="eastAsia" w:ascii="Times New Roman" w:hAnsi="Times New Roman" w:cs="Times New Roman"/>
                <w:color w:val="000000" w:themeColor="text1"/>
                <w:sz w:val="24"/>
              </w:rPr>
              <w:t>。项目生活污水用于厂区绿化，不外排。</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2.10.3 现有工程噪声排放情况</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根据调查，现有项目噪声主要为设备噪声，根据现有项目竣工验收监测报可知，现有项目厂界噪声可达到</w:t>
            </w:r>
            <w:r>
              <w:rPr>
                <w:rFonts w:ascii="Times New Roman" w:hAnsi="Times New Roman" w:cs="Times New Roman"/>
                <w:color w:val="000000" w:themeColor="text1"/>
                <w:sz w:val="24"/>
              </w:rPr>
              <w:t>《工业企业厂界环境噪声排放标准》（GB12348-2008）3类标准</w:t>
            </w:r>
            <w:r>
              <w:rPr>
                <w:rFonts w:hint="eastAsia" w:ascii="Times New Roman" w:hAnsi="Times New Roman" w:cs="Times New Roman"/>
                <w:color w:val="000000" w:themeColor="text1"/>
                <w:sz w:val="24"/>
              </w:rPr>
              <w:t>。</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2.10.4 现有工程固体废物产生及处置情况</w:t>
            </w:r>
          </w:p>
          <w:p>
            <w:pPr>
              <w:spacing w:line="360" w:lineRule="auto"/>
              <w:ind w:firstLine="361" w:firstLineChars="150"/>
              <w:rPr>
                <w:rFonts w:ascii="Times New Roman" w:hAnsi="Times New Roman" w:cs="Times New Roman"/>
                <w:b/>
                <w:color w:val="000000" w:themeColor="text1"/>
                <w:sz w:val="24"/>
              </w:rPr>
            </w:pPr>
            <w:r>
              <w:rPr>
                <w:rFonts w:hint="eastAsia" w:ascii="Times New Roman" w:hAnsi="Times New Roman" w:cs="Times New Roman"/>
                <w:b/>
                <w:color w:val="000000" w:themeColor="text1"/>
                <w:sz w:val="24"/>
              </w:rPr>
              <w:t>（1）项目固体废物产生情况及属性</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根据建设单位按照实际生产提供的数据，现有工程固体废物产生情况如下表所示。</w:t>
            </w:r>
          </w:p>
          <w:p>
            <w:pPr>
              <w:jc w:val="center"/>
              <w:rPr>
                <w:rFonts w:ascii="Times New Roman" w:hAnsi="Times New Roman" w:eastAsia="宋体" w:cs="Times New Roman"/>
                <w:b/>
                <w:color w:val="000000" w:themeColor="text1"/>
                <w:szCs w:val="24"/>
              </w:rPr>
            </w:pPr>
            <w:r>
              <w:rPr>
                <w:rFonts w:hint="eastAsia" w:ascii="Times New Roman" w:hAnsi="Times New Roman" w:eastAsia="宋体" w:cs="Times New Roman"/>
                <w:b/>
                <w:color w:val="000000" w:themeColor="text1"/>
                <w:szCs w:val="24"/>
              </w:rPr>
              <w:t>表2.10.4-1 现有工程固体废物属性及产生情况一览表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18"/>
              <w:gridCol w:w="2558"/>
              <w:gridCol w:w="1654"/>
              <w:gridCol w:w="1654"/>
              <w:gridCol w:w="21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 w:hRule="atLeast"/>
              </w:trPr>
              <w:tc>
                <w:tcPr>
                  <w:tcW w:w="1018"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产生环节</w:t>
                  </w:r>
                </w:p>
              </w:tc>
              <w:tc>
                <w:tcPr>
                  <w:tcW w:w="2558"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固废</w:t>
                  </w:r>
                  <w:r>
                    <w:rPr>
                      <w:rFonts w:eastAsiaTheme="minorEastAsia"/>
                      <w:color w:val="000000" w:themeColor="text1"/>
                      <w:szCs w:val="21"/>
                    </w:rPr>
                    <w:t>名称</w:t>
                  </w:r>
                </w:p>
              </w:tc>
              <w:tc>
                <w:tcPr>
                  <w:tcW w:w="3308" w:type="dxa"/>
                  <w:gridSpan w:val="2"/>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固体废物</w:t>
                  </w:r>
                  <w:r>
                    <w:rPr>
                      <w:rFonts w:eastAsiaTheme="minorEastAsia"/>
                      <w:color w:val="000000" w:themeColor="text1"/>
                      <w:szCs w:val="21"/>
                    </w:rPr>
                    <w:t>产生量</w:t>
                  </w:r>
                </w:p>
              </w:tc>
              <w:tc>
                <w:tcPr>
                  <w:tcW w:w="2160"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固废</w:t>
                  </w:r>
                  <w:r>
                    <w:rPr>
                      <w:rFonts w:eastAsiaTheme="minorEastAsia"/>
                      <w:color w:val="000000" w:themeColor="text1"/>
                      <w:szCs w:val="21"/>
                    </w:rPr>
                    <w:t>属性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9" w:hRule="atLeast"/>
              </w:trPr>
              <w:tc>
                <w:tcPr>
                  <w:tcW w:w="1018" w:type="dxa"/>
                  <w:vMerge w:val="continue"/>
                  <w:vAlign w:val="center"/>
                </w:tcPr>
                <w:p>
                  <w:pPr>
                    <w:pStyle w:val="30"/>
                    <w:spacing w:line="360" w:lineRule="exact"/>
                    <w:rPr>
                      <w:rFonts w:eastAsiaTheme="minorEastAsia"/>
                      <w:color w:val="000000" w:themeColor="text1"/>
                      <w:szCs w:val="21"/>
                    </w:rPr>
                  </w:pPr>
                </w:p>
              </w:tc>
              <w:tc>
                <w:tcPr>
                  <w:tcW w:w="2558" w:type="dxa"/>
                  <w:vMerge w:val="continue"/>
                  <w:vAlign w:val="center"/>
                </w:tcPr>
                <w:p>
                  <w:pPr>
                    <w:pStyle w:val="30"/>
                    <w:spacing w:line="360" w:lineRule="exact"/>
                    <w:rPr>
                      <w:rFonts w:eastAsiaTheme="minorEastAsia"/>
                      <w:color w:val="000000" w:themeColor="text1"/>
                      <w:szCs w:val="21"/>
                    </w:rPr>
                  </w:pP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实际平均产生量（t/a）</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满负荷产生量（t/a）</w:t>
                  </w:r>
                </w:p>
              </w:tc>
              <w:tc>
                <w:tcPr>
                  <w:tcW w:w="2160" w:type="dxa"/>
                  <w:vMerge w:val="continue"/>
                  <w:vAlign w:val="center"/>
                </w:tcPr>
                <w:p>
                  <w:pPr>
                    <w:pStyle w:val="30"/>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废旧冰箱处理线</w:t>
                  </w: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废塑料</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446.03</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1486.78</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废旧有色金属（铜/铝等）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127.65</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425.51</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废钢/铁</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2308.89</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7696.31</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废玻璃</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136.54</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455.14</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泡棉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787.78</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2625.92</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废电子配件（开关、电容、电源线等）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18.53</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61.75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废矿物油</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8.02</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w:t>
                  </w:r>
                  <w:r>
                    <w:rPr>
                      <w:rFonts w:hint="eastAsia" w:eastAsiaTheme="minorEastAsia"/>
                      <w:color w:val="000000" w:themeColor="text1"/>
                      <w:szCs w:val="21"/>
                    </w:rPr>
                    <w:t>6</w:t>
                  </w:r>
                  <w:r>
                    <w:rPr>
                      <w:rFonts w:eastAsiaTheme="minorEastAsia"/>
                      <w:color w:val="000000" w:themeColor="text1"/>
                      <w:szCs w:val="21"/>
                    </w:rPr>
                    <w:t>.74</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900-219-08</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0.78</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w:t>
                  </w:r>
                  <w:r>
                    <w:rPr>
                      <w:rFonts w:eastAsiaTheme="minorEastAsia"/>
                      <w:color w:val="000000" w:themeColor="text1"/>
                      <w:szCs w:val="21"/>
                    </w:rPr>
                    <w:t>.6</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900-045-49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含汞灯管</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0.02</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0.07</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900-023-29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制冷剂</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0.15</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0.49</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废弃细碎料</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2.67</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8.9</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废旧洗衣机处理线</w:t>
                  </w: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废塑料</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3080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3850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废旧有色金属（铜/铝等）</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419.2</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524</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废钢/铁</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6336</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7920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废电子配件（开关、电容、电源线等）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26.712</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33.39</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230.4</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288</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900-045-49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细碎料</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374.4</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468</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空调/小家电/废手机及其视听设备消费电子产品处理线</w:t>
                  </w: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废塑料</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95.46</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954.56</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废旧有色金属（铜/铝等）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275.39</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2753.89</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废钢/铁</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517.1</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5170.96</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废玻璃</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0.18</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1.84</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废电子配件（开关、电容、电源线等）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0.08</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0.75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废矿物油</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0.07</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0.67</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900-219-08</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1.41</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14.12</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900-045-49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制冷剂</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0.2</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背光模组</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1.55</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15.52</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900-023-29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细碎料</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35.33</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353.3</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1号废旧电视机（CRT）处理线</w:t>
                  </w: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废塑料</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1458</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1822.5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废旧有色金属（铜/铝等）</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720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900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废钢/铁</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2250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2812.5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废玻璃（屏玻璃）</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1800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2250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废电子配件（开关、电容、电源线等）</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270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337.5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342</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427.5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900-045-49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废弃的阴极射线管（锥玻璃）</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1980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2475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900-044-49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荧光粉</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180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900-044-49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细碎料</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16</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2号废旧电视机（液晶电视）处理线</w:t>
                  </w: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废塑料</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900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废旧有色金属（铜/铝等）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438.3</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废钢/铁</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1260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废玻璃</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1575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废电子配件（开关、电容、电源线等）</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90</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900-045-49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含汞灯管</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11.7</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900-023-29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细碎料</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207</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restar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其他</w:t>
                  </w: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废活性炭（吸附有机废气）</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0.05</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0.06</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900-039-49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收集粉尘</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20.65</w:t>
                  </w:r>
                </w:p>
              </w:tc>
              <w:tc>
                <w:tcPr>
                  <w:tcW w:w="165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w:t>
                  </w:r>
                  <w:r>
                    <w:rPr>
                      <w:rFonts w:hint="eastAsia" w:eastAsiaTheme="minorEastAsia"/>
                      <w:color w:val="000000" w:themeColor="text1"/>
                      <w:szCs w:val="21"/>
                    </w:rPr>
                    <w:t>5.12</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收集含铅粉尘</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0.58</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0.65</w:t>
                  </w:r>
                </w:p>
              </w:tc>
              <w:tc>
                <w:tcPr>
                  <w:tcW w:w="2160"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900-044-49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生活垃圾</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24.6</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24.6</w:t>
                  </w:r>
                </w:p>
              </w:tc>
              <w:tc>
                <w:tcPr>
                  <w:tcW w:w="2160" w:type="dxa"/>
                  <w:vMerge w:val="restart"/>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生活固废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餐厨废物</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w:t>
                  </w:r>
                </w:p>
              </w:tc>
              <w:tc>
                <w:tcPr>
                  <w:tcW w:w="2160"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8" w:type="dxa"/>
                  <w:vMerge w:val="continue"/>
                  <w:tcBorders>
                    <w:bottom w:val="single" w:color="auto" w:sz="4" w:space="0"/>
                  </w:tcBorders>
                  <w:vAlign w:val="center"/>
                </w:tcPr>
                <w:p>
                  <w:pPr>
                    <w:pStyle w:val="30"/>
                    <w:spacing w:line="360" w:lineRule="exact"/>
                    <w:rPr>
                      <w:rFonts w:eastAsiaTheme="minorEastAsia"/>
                      <w:color w:val="000000" w:themeColor="text1"/>
                      <w:szCs w:val="21"/>
                    </w:rPr>
                  </w:pPr>
                </w:p>
              </w:tc>
              <w:tc>
                <w:tcPr>
                  <w:tcW w:w="255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隔油池浮油</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0.09</w:t>
                  </w:r>
                </w:p>
              </w:tc>
              <w:tc>
                <w:tcPr>
                  <w:tcW w:w="165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0.09</w:t>
                  </w:r>
                </w:p>
              </w:tc>
              <w:tc>
                <w:tcPr>
                  <w:tcW w:w="2160" w:type="dxa"/>
                  <w:vMerge w:val="continue"/>
                  <w:vAlign w:val="center"/>
                </w:tcPr>
                <w:p>
                  <w:pPr>
                    <w:pStyle w:val="30"/>
                    <w:spacing w:line="360" w:lineRule="exact"/>
                    <w:ind w:firstLine="210" w:firstLineChars="100"/>
                    <w:jc w:val="both"/>
                    <w:rPr>
                      <w:rFonts w:eastAsiaTheme="minorEastAsia"/>
                      <w:color w:val="000000" w:themeColor="text1"/>
                      <w:szCs w:val="21"/>
                    </w:rPr>
                  </w:pPr>
                </w:p>
              </w:tc>
            </w:tr>
          </w:tbl>
          <w:p>
            <w:pPr>
              <w:spacing w:beforeLines="50"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根据建设单位实际运营过程中按照</w:t>
            </w:r>
            <w:r>
              <w:rPr>
                <w:rFonts w:ascii="Times New Roman" w:hAnsi="Times New Roman" w:cs="Times New Roman"/>
                <w:color w:val="000000" w:themeColor="text1"/>
                <w:sz w:val="24"/>
              </w:rPr>
              <w:t>《废弃电器电子产品处理污染控制技术规范》（HJ527-2010）</w:t>
            </w:r>
            <w:r>
              <w:rPr>
                <w:rFonts w:hint="eastAsia" w:ascii="Times New Roman" w:hAnsi="Times New Roman" w:cs="Times New Roman"/>
                <w:color w:val="000000" w:themeColor="text1"/>
                <w:sz w:val="24"/>
              </w:rPr>
              <w:t>的</w:t>
            </w:r>
            <w:r>
              <w:rPr>
                <w:rFonts w:ascii="Times New Roman" w:hAnsi="Times New Roman" w:cs="Times New Roman"/>
                <w:color w:val="000000" w:themeColor="text1"/>
                <w:sz w:val="24"/>
              </w:rPr>
              <w:t>要求</w:t>
            </w:r>
            <w:r>
              <w:rPr>
                <w:rFonts w:hint="eastAsia" w:ascii="Times New Roman" w:hAnsi="Times New Roman" w:cs="Times New Roman"/>
                <w:color w:val="000000" w:themeColor="text1"/>
                <w:sz w:val="24"/>
              </w:rPr>
              <w:t>，对现有项目产生的固体废物属性的鉴别结果，项目产生的危险废物种类及</w:t>
            </w:r>
            <w:r>
              <w:rPr>
                <w:rFonts w:ascii="Times New Roman" w:hAnsi="Times New Roman" w:cs="Times New Roman"/>
                <w:color w:val="000000" w:themeColor="text1"/>
                <w:sz w:val="24"/>
              </w:rPr>
              <w:t>属性见下表。</w:t>
            </w:r>
          </w:p>
          <w:p>
            <w:pPr>
              <w:pStyle w:val="40"/>
              <w:rPr>
                <w:color w:val="000000" w:themeColor="text1"/>
                <w:szCs w:val="21"/>
              </w:rPr>
            </w:pPr>
            <w:r>
              <w:rPr>
                <w:color w:val="000000" w:themeColor="text1"/>
                <w:szCs w:val="21"/>
              </w:rPr>
              <w:t>表</w:t>
            </w:r>
            <w:r>
              <w:rPr>
                <w:rFonts w:hint="eastAsia"/>
                <w:color w:val="000000" w:themeColor="text1"/>
                <w:szCs w:val="21"/>
              </w:rPr>
              <w:t>2.10.4-2</w:t>
            </w:r>
            <w:r>
              <w:rPr>
                <w:color w:val="000000" w:themeColor="text1"/>
                <w:szCs w:val="21"/>
              </w:rPr>
              <w:t xml:space="preserve">  国家危险废物名录（2021年）（摘抄）</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351"/>
              <w:gridCol w:w="852"/>
              <w:gridCol w:w="1275"/>
              <w:gridCol w:w="3543"/>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color w:val="000000" w:themeColor="text1"/>
                      <w:szCs w:val="21"/>
                    </w:rPr>
                    <w:t>项目危废</w:t>
                  </w:r>
                </w:p>
              </w:tc>
              <w:tc>
                <w:tcPr>
                  <w:tcW w:w="747" w:type="pct"/>
                  <w:vAlign w:val="center"/>
                </w:tcPr>
                <w:p>
                  <w:pPr>
                    <w:pStyle w:val="30"/>
                    <w:spacing w:line="360" w:lineRule="exact"/>
                    <w:rPr>
                      <w:color w:val="000000" w:themeColor="text1"/>
                      <w:szCs w:val="21"/>
                    </w:rPr>
                  </w:pPr>
                  <w:r>
                    <w:rPr>
                      <w:color w:val="000000" w:themeColor="text1"/>
                      <w:szCs w:val="21"/>
                    </w:rPr>
                    <w:t>废物类别</w:t>
                  </w:r>
                </w:p>
              </w:tc>
              <w:tc>
                <w:tcPr>
                  <w:tcW w:w="471" w:type="pct"/>
                  <w:vAlign w:val="center"/>
                </w:tcPr>
                <w:p>
                  <w:pPr>
                    <w:pStyle w:val="30"/>
                    <w:spacing w:line="360" w:lineRule="exact"/>
                    <w:rPr>
                      <w:color w:val="000000" w:themeColor="text1"/>
                      <w:szCs w:val="21"/>
                    </w:rPr>
                  </w:pPr>
                  <w:r>
                    <w:rPr>
                      <w:color w:val="000000" w:themeColor="text1"/>
                      <w:szCs w:val="21"/>
                    </w:rPr>
                    <w:t>行业来源</w:t>
                  </w:r>
                </w:p>
              </w:tc>
              <w:tc>
                <w:tcPr>
                  <w:tcW w:w="705" w:type="pct"/>
                  <w:vAlign w:val="center"/>
                </w:tcPr>
                <w:p>
                  <w:pPr>
                    <w:pStyle w:val="30"/>
                    <w:spacing w:line="360" w:lineRule="exact"/>
                    <w:rPr>
                      <w:color w:val="000000" w:themeColor="text1"/>
                      <w:szCs w:val="21"/>
                    </w:rPr>
                  </w:pPr>
                  <w:r>
                    <w:rPr>
                      <w:color w:val="000000" w:themeColor="text1"/>
                      <w:szCs w:val="21"/>
                    </w:rPr>
                    <w:t>废物代码</w:t>
                  </w:r>
                </w:p>
              </w:tc>
              <w:tc>
                <w:tcPr>
                  <w:tcW w:w="1959" w:type="pct"/>
                  <w:vAlign w:val="center"/>
                </w:tcPr>
                <w:p>
                  <w:pPr>
                    <w:pStyle w:val="30"/>
                    <w:spacing w:line="360" w:lineRule="exact"/>
                    <w:rPr>
                      <w:color w:val="000000" w:themeColor="text1"/>
                      <w:szCs w:val="21"/>
                    </w:rPr>
                  </w:pPr>
                  <w:r>
                    <w:rPr>
                      <w:color w:val="000000" w:themeColor="text1"/>
                      <w:szCs w:val="21"/>
                    </w:rPr>
                    <w:t>危险废物</w:t>
                  </w:r>
                </w:p>
              </w:tc>
              <w:tc>
                <w:tcPr>
                  <w:tcW w:w="409" w:type="pct"/>
                  <w:vAlign w:val="center"/>
                </w:tcPr>
                <w:p>
                  <w:pPr>
                    <w:pStyle w:val="30"/>
                    <w:spacing w:line="360" w:lineRule="exact"/>
                    <w:rPr>
                      <w:color w:val="000000" w:themeColor="text1"/>
                      <w:szCs w:val="21"/>
                    </w:rPr>
                  </w:pPr>
                  <w:r>
                    <w:rPr>
                      <w:color w:val="000000" w:themeColor="text1"/>
                      <w:szCs w:val="21"/>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电路板</w:t>
                  </w:r>
                </w:p>
              </w:tc>
              <w:tc>
                <w:tcPr>
                  <w:tcW w:w="747" w:type="pct"/>
                  <w:vAlign w:val="center"/>
                </w:tcPr>
                <w:p>
                  <w:pPr>
                    <w:pStyle w:val="30"/>
                    <w:spacing w:line="360" w:lineRule="exact"/>
                    <w:rPr>
                      <w:color w:val="000000" w:themeColor="text1"/>
                      <w:szCs w:val="21"/>
                    </w:rPr>
                  </w:pPr>
                  <w:r>
                    <w:rPr>
                      <w:color w:val="000000" w:themeColor="text1"/>
                      <w:szCs w:val="21"/>
                    </w:rPr>
                    <w:t>HW49</w:t>
                  </w:r>
                  <w:r>
                    <w:rPr>
                      <w:rFonts w:hint="eastAsia"/>
                      <w:color w:val="000000" w:themeColor="text1"/>
                      <w:szCs w:val="21"/>
                    </w:rPr>
                    <w:t>其他废物</w:t>
                  </w:r>
                </w:p>
              </w:tc>
              <w:tc>
                <w:tcPr>
                  <w:tcW w:w="471" w:type="pct"/>
                  <w:vAlign w:val="center"/>
                </w:tcPr>
                <w:p>
                  <w:pPr>
                    <w:pStyle w:val="30"/>
                    <w:spacing w:line="360" w:lineRule="exact"/>
                    <w:rPr>
                      <w:color w:val="000000" w:themeColor="text1"/>
                      <w:szCs w:val="21"/>
                    </w:rPr>
                  </w:pPr>
                  <w:r>
                    <w:rPr>
                      <w:rFonts w:hint="eastAsia"/>
                      <w:color w:val="000000" w:themeColor="text1"/>
                      <w:szCs w:val="21"/>
                    </w:rPr>
                    <w:t>非特定行业</w:t>
                  </w:r>
                </w:p>
              </w:tc>
              <w:tc>
                <w:tcPr>
                  <w:tcW w:w="705" w:type="pct"/>
                  <w:vAlign w:val="center"/>
                </w:tcPr>
                <w:p>
                  <w:pPr>
                    <w:pStyle w:val="30"/>
                    <w:spacing w:line="360" w:lineRule="exact"/>
                    <w:rPr>
                      <w:color w:val="000000" w:themeColor="text1"/>
                      <w:szCs w:val="21"/>
                    </w:rPr>
                  </w:pPr>
                  <w:r>
                    <w:rPr>
                      <w:color w:val="000000" w:themeColor="text1"/>
                      <w:szCs w:val="21"/>
                    </w:rPr>
                    <w:t>900-045-49</w:t>
                  </w:r>
                </w:p>
              </w:tc>
              <w:tc>
                <w:tcPr>
                  <w:tcW w:w="1959"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废电路板（包括废电路板上附带的元器件、芯片、插件、贴脚等）</w:t>
                  </w:r>
                </w:p>
              </w:tc>
              <w:tc>
                <w:tcPr>
                  <w:tcW w:w="409" w:type="pct"/>
                  <w:vAlign w:val="center"/>
                </w:tcPr>
                <w:p>
                  <w:pPr>
                    <w:pStyle w:val="30"/>
                    <w:spacing w:line="360" w:lineRule="exact"/>
                    <w:rPr>
                      <w:color w:val="000000" w:themeColor="text1"/>
                      <w:szCs w:val="21"/>
                    </w:rPr>
                  </w:pPr>
                  <w:r>
                    <w:rPr>
                      <w:rFonts w:ascii="TimesNewRomanPSMT" w:hAnsi="TimesNewRomanPSMT" w:cs="TimesNewRomanPSMT"/>
                      <w:color w:val="000000" w:themeColor="text1"/>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废矿物油</w:t>
                  </w:r>
                </w:p>
              </w:tc>
              <w:tc>
                <w:tcPr>
                  <w:tcW w:w="747" w:type="pct"/>
                  <w:vAlign w:val="center"/>
                </w:tcPr>
                <w:p>
                  <w:pPr>
                    <w:pStyle w:val="30"/>
                    <w:spacing w:line="360" w:lineRule="exact"/>
                    <w:rPr>
                      <w:color w:val="000000" w:themeColor="text1"/>
                      <w:szCs w:val="21"/>
                    </w:rPr>
                  </w:pPr>
                  <w:r>
                    <w:rPr>
                      <w:color w:val="000000" w:themeColor="text1"/>
                      <w:szCs w:val="21"/>
                    </w:rPr>
                    <w:t>HW08</w:t>
                  </w:r>
                  <w:r>
                    <w:rPr>
                      <w:rFonts w:hint="eastAsia"/>
                      <w:color w:val="000000" w:themeColor="text1"/>
                      <w:szCs w:val="21"/>
                    </w:rPr>
                    <w:t>废矿物油与含矿物油废物</w:t>
                  </w:r>
                </w:p>
              </w:tc>
              <w:tc>
                <w:tcPr>
                  <w:tcW w:w="471" w:type="pct"/>
                  <w:vAlign w:val="center"/>
                </w:tcPr>
                <w:p>
                  <w:pPr>
                    <w:pStyle w:val="30"/>
                    <w:spacing w:line="360" w:lineRule="exact"/>
                    <w:rPr>
                      <w:color w:val="000000" w:themeColor="text1"/>
                      <w:szCs w:val="21"/>
                    </w:rPr>
                  </w:pPr>
                  <w:r>
                    <w:rPr>
                      <w:rFonts w:hint="eastAsia"/>
                      <w:color w:val="000000" w:themeColor="text1"/>
                      <w:szCs w:val="21"/>
                    </w:rPr>
                    <w:t>非特定行业</w:t>
                  </w:r>
                </w:p>
              </w:tc>
              <w:tc>
                <w:tcPr>
                  <w:tcW w:w="705" w:type="pct"/>
                  <w:vAlign w:val="center"/>
                </w:tcPr>
                <w:p>
                  <w:pPr>
                    <w:pStyle w:val="30"/>
                    <w:spacing w:line="360" w:lineRule="exact"/>
                    <w:rPr>
                      <w:color w:val="000000" w:themeColor="text1"/>
                      <w:szCs w:val="21"/>
                    </w:rPr>
                  </w:pPr>
                  <w:r>
                    <w:rPr>
                      <w:color w:val="000000" w:themeColor="text1"/>
                      <w:szCs w:val="21"/>
                    </w:rPr>
                    <w:t>900-219-08</w:t>
                  </w:r>
                </w:p>
              </w:tc>
              <w:tc>
                <w:tcPr>
                  <w:tcW w:w="1959" w:type="pct"/>
                  <w:vAlign w:val="center"/>
                </w:tcPr>
                <w:p>
                  <w:pPr>
                    <w:pStyle w:val="30"/>
                    <w:spacing w:line="360" w:lineRule="exact"/>
                    <w:ind w:firstLine="210" w:firstLineChars="100"/>
                    <w:jc w:val="both"/>
                    <w:rPr>
                      <w:rFonts w:ascii="宋体" w:cs="宋体"/>
                      <w:color w:val="000000" w:themeColor="text1"/>
                      <w:kern w:val="0"/>
                      <w:szCs w:val="21"/>
                    </w:rPr>
                  </w:pPr>
                  <w:r>
                    <w:rPr>
                      <w:rFonts w:hint="eastAsia"/>
                      <w:color w:val="000000" w:themeColor="text1"/>
                      <w:szCs w:val="21"/>
                    </w:rPr>
                    <w:t>冷冻压缩设备维护、更换和拆解过程中产生的废冷冻机油</w:t>
                  </w:r>
                </w:p>
              </w:tc>
              <w:tc>
                <w:tcPr>
                  <w:tcW w:w="409" w:type="pct"/>
                  <w:vAlign w:val="center"/>
                </w:tcPr>
                <w:p>
                  <w:pPr>
                    <w:pStyle w:val="30"/>
                    <w:spacing w:line="360" w:lineRule="exact"/>
                    <w:rPr>
                      <w:color w:val="000000" w:themeColor="text1"/>
                      <w:szCs w:val="21"/>
                    </w:rPr>
                  </w:pPr>
                  <w:r>
                    <w:rPr>
                      <w:rFonts w:ascii="TimesNewRomanPSMT" w:hAnsi="TimesNewRomanPSMT" w:cs="TimesNewRomanPSMT"/>
                      <w:color w:val="000000" w:themeColor="text1"/>
                      <w:kern w:val="0"/>
                      <w:szCs w:val="21"/>
                    </w:rPr>
                    <w:t>T</w:t>
                  </w:r>
                  <w:r>
                    <w:rPr>
                      <w:rFonts w:hint="eastAsia" w:ascii="宋体" w:hAnsi="TimesNewRomanPSMT" w:cs="宋体"/>
                      <w:color w:val="000000" w:themeColor="text1"/>
                      <w:kern w:val="0"/>
                      <w:szCs w:val="21"/>
                    </w:rPr>
                    <w:t>，</w:t>
                  </w:r>
                  <w:r>
                    <w:rPr>
                      <w:rFonts w:ascii="TimesNewRomanPSMT" w:hAnsi="TimesNewRomanPSMT" w:cs="TimesNewRomanPSMT"/>
                      <w:color w:val="000000" w:themeColor="text1"/>
                      <w:kern w:val="0"/>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背光模组</w:t>
                  </w:r>
                </w:p>
              </w:tc>
              <w:tc>
                <w:tcPr>
                  <w:tcW w:w="747" w:type="pct"/>
                  <w:vMerge w:val="restart"/>
                  <w:vAlign w:val="center"/>
                </w:tcPr>
                <w:p>
                  <w:pPr>
                    <w:pStyle w:val="30"/>
                    <w:spacing w:line="360" w:lineRule="exact"/>
                    <w:rPr>
                      <w:color w:val="000000" w:themeColor="text1"/>
                      <w:szCs w:val="21"/>
                    </w:rPr>
                  </w:pPr>
                  <w:r>
                    <w:rPr>
                      <w:color w:val="000000" w:themeColor="text1"/>
                      <w:szCs w:val="21"/>
                    </w:rPr>
                    <w:t>HW29</w:t>
                  </w:r>
                  <w:r>
                    <w:rPr>
                      <w:rFonts w:hint="eastAsia"/>
                      <w:color w:val="000000" w:themeColor="text1"/>
                      <w:szCs w:val="21"/>
                    </w:rPr>
                    <w:t xml:space="preserve"> 含汞废物</w:t>
                  </w:r>
                </w:p>
              </w:tc>
              <w:tc>
                <w:tcPr>
                  <w:tcW w:w="471" w:type="pct"/>
                  <w:vMerge w:val="restart"/>
                  <w:vAlign w:val="center"/>
                </w:tcPr>
                <w:p>
                  <w:pPr>
                    <w:pStyle w:val="30"/>
                    <w:spacing w:line="360" w:lineRule="exact"/>
                    <w:rPr>
                      <w:color w:val="000000" w:themeColor="text1"/>
                      <w:szCs w:val="21"/>
                    </w:rPr>
                  </w:pPr>
                  <w:r>
                    <w:rPr>
                      <w:rFonts w:hint="eastAsia"/>
                      <w:color w:val="000000" w:themeColor="text1"/>
                      <w:szCs w:val="21"/>
                    </w:rPr>
                    <w:t>非特定行业</w:t>
                  </w:r>
                </w:p>
              </w:tc>
              <w:tc>
                <w:tcPr>
                  <w:tcW w:w="705" w:type="pct"/>
                  <w:vMerge w:val="restart"/>
                  <w:vAlign w:val="center"/>
                </w:tcPr>
                <w:p>
                  <w:pPr>
                    <w:pStyle w:val="30"/>
                    <w:spacing w:line="360" w:lineRule="exact"/>
                    <w:rPr>
                      <w:color w:val="000000" w:themeColor="text1"/>
                      <w:szCs w:val="21"/>
                    </w:rPr>
                  </w:pPr>
                  <w:r>
                    <w:rPr>
                      <w:color w:val="000000" w:themeColor="text1"/>
                      <w:szCs w:val="21"/>
                    </w:rPr>
                    <w:t>900-023-29</w:t>
                  </w:r>
                </w:p>
              </w:tc>
              <w:tc>
                <w:tcPr>
                  <w:tcW w:w="1959" w:type="pct"/>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生产、销售及使用过程中产生的废含汞荧光灯管及其他废含汞电光源，及废弃含汞电光源处理处置过程中产生的废荧光粉、废活性炭和废水处理污泥</w:t>
                  </w:r>
                </w:p>
              </w:tc>
              <w:tc>
                <w:tcPr>
                  <w:tcW w:w="409" w:type="pct"/>
                  <w:vMerge w:val="restart"/>
                  <w:vAlign w:val="center"/>
                </w:tcPr>
                <w:p>
                  <w:pPr>
                    <w:pStyle w:val="30"/>
                    <w:spacing w:line="360" w:lineRule="exact"/>
                    <w:rPr>
                      <w:rFonts w:ascii="TimesNewRomanPSMT" w:hAnsi="TimesNewRomanPSMT" w:cs="TimesNewRomanPSMT"/>
                      <w:color w:val="000000" w:themeColor="text1"/>
                      <w:kern w:val="0"/>
                      <w:szCs w:val="21"/>
                    </w:rPr>
                  </w:pPr>
                  <w:r>
                    <w:rPr>
                      <w:rFonts w:ascii="TimesNewRomanPSMT" w:hAnsi="TimesNewRomanPSMT" w:cs="TimesNewRomanPSMT"/>
                      <w:color w:val="000000" w:themeColor="text1"/>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含汞灯管</w:t>
                  </w:r>
                </w:p>
              </w:tc>
              <w:tc>
                <w:tcPr>
                  <w:tcW w:w="747" w:type="pct"/>
                  <w:vMerge w:val="continue"/>
                  <w:vAlign w:val="center"/>
                </w:tcPr>
                <w:p>
                  <w:pPr>
                    <w:pStyle w:val="30"/>
                    <w:spacing w:line="360" w:lineRule="exact"/>
                    <w:rPr>
                      <w:color w:val="000000" w:themeColor="text1"/>
                      <w:szCs w:val="21"/>
                    </w:rPr>
                  </w:pPr>
                </w:p>
              </w:tc>
              <w:tc>
                <w:tcPr>
                  <w:tcW w:w="471" w:type="pct"/>
                  <w:vMerge w:val="continue"/>
                  <w:vAlign w:val="center"/>
                </w:tcPr>
                <w:p>
                  <w:pPr>
                    <w:pStyle w:val="30"/>
                    <w:spacing w:line="360" w:lineRule="exact"/>
                    <w:rPr>
                      <w:color w:val="000000" w:themeColor="text1"/>
                      <w:szCs w:val="21"/>
                    </w:rPr>
                  </w:pPr>
                </w:p>
              </w:tc>
              <w:tc>
                <w:tcPr>
                  <w:tcW w:w="705" w:type="pct"/>
                  <w:vMerge w:val="continue"/>
                  <w:vAlign w:val="center"/>
                </w:tcPr>
                <w:p>
                  <w:pPr>
                    <w:pStyle w:val="30"/>
                    <w:spacing w:line="360" w:lineRule="exact"/>
                    <w:rPr>
                      <w:color w:val="000000" w:themeColor="text1"/>
                      <w:szCs w:val="21"/>
                    </w:rPr>
                  </w:pPr>
                </w:p>
              </w:tc>
              <w:tc>
                <w:tcPr>
                  <w:tcW w:w="1959" w:type="pct"/>
                  <w:vMerge w:val="continue"/>
                  <w:vAlign w:val="center"/>
                </w:tcPr>
                <w:p>
                  <w:pPr>
                    <w:pStyle w:val="30"/>
                    <w:spacing w:line="360" w:lineRule="exact"/>
                    <w:ind w:firstLine="210" w:firstLineChars="100"/>
                    <w:jc w:val="both"/>
                    <w:rPr>
                      <w:color w:val="000000" w:themeColor="text1"/>
                      <w:szCs w:val="21"/>
                    </w:rPr>
                  </w:pPr>
                </w:p>
              </w:tc>
              <w:tc>
                <w:tcPr>
                  <w:tcW w:w="409" w:type="pct"/>
                  <w:vMerge w:val="continue"/>
                  <w:vAlign w:val="center"/>
                </w:tcPr>
                <w:p>
                  <w:pPr>
                    <w:pStyle w:val="30"/>
                    <w:spacing w:line="360" w:lineRule="exact"/>
                    <w:rPr>
                      <w:rFonts w:ascii="TimesNewRomanPSMT" w:hAnsi="TimesNewRomanPSMT" w:cs="TimesNewRomanPSMT"/>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废弃的阴极射线管（锥玻璃）</w:t>
                  </w:r>
                </w:p>
              </w:tc>
              <w:tc>
                <w:tcPr>
                  <w:tcW w:w="747" w:type="pct"/>
                  <w:vMerge w:val="restart"/>
                  <w:vAlign w:val="center"/>
                </w:tcPr>
                <w:p>
                  <w:pPr>
                    <w:pStyle w:val="30"/>
                    <w:spacing w:line="360" w:lineRule="exact"/>
                    <w:rPr>
                      <w:color w:val="000000" w:themeColor="text1"/>
                      <w:szCs w:val="21"/>
                    </w:rPr>
                  </w:pPr>
                  <w:r>
                    <w:rPr>
                      <w:color w:val="000000" w:themeColor="text1"/>
                      <w:szCs w:val="21"/>
                    </w:rPr>
                    <w:t>HW49</w:t>
                  </w:r>
                  <w:r>
                    <w:rPr>
                      <w:rFonts w:hint="eastAsia"/>
                      <w:color w:val="000000" w:themeColor="text1"/>
                      <w:szCs w:val="21"/>
                    </w:rPr>
                    <w:t xml:space="preserve"> 其他废物</w:t>
                  </w:r>
                </w:p>
              </w:tc>
              <w:tc>
                <w:tcPr>
                  <w:tcW w:w="471" w:type="pct"/>
                  <w:vMerge w:val="restart"/>
                  <w:vAlign w:val="center"/>
                </w:tcPr>
                <w:p>
                  <w:pPr>
                    <w:pStyle w:val="30"/>
                    <w:spacing w:line="360" w:lineRule="exact"/>
                    <w:rPr>
                      <w:color w:val="000000" w:themeColor="text1"/>
                      <w:szCs w:val="21"/>
                    </w:rPr>
                  </w:pPr>
                  <w:r>
                    <w:rPr>
                      <w:rFonts w:hint="eastAsia"/>
                      <w:color w:val="000000" w:themeColor="text1"/>
                      <w:szCs w:val="21"/>
                    </w:rPr>
                    <w:t>非特定行业</w:t>
                  </w:r>
                </w:p>
              </w:tc>
              <w:tc>
                <w:tcPr>
                  <w:tcW w:w="705" w:type="pct"/>
                  <w:vMerge w:val="restart"/>
                  <w:vAlign w:val="center"/>
                </w:tcPr>
                <w:p>
                  <w:pPr>
                    <w:pStyle w:val="30"/>
                    <w:spacing w:line="360" w:lineRule="exact"/>
                    <w:rPr>
                      <w:color w:val="000000" w:themeColor="text1"/>
                      <w:szCs w:val="21"/>
                    </w:rPr>
                  </w:pPr>
                  <w:r>
                    <w:rPr>
                      <w:color w:val="000000" w:themeColor="text1"/>
                      <w:szCs w:val="21"/>
                    </w:rPr>
                    <w:t>900-044-49</w:t>
                  </w:r>
                </w:p>
              </w:tc>
              <w:tc>
                <w:tcPr>
                  <w:tcW w:w="1959" w:type="pct"/>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废弃的镉镍电池、荧光粉和阴极射线管</w:t>
                  </w:r>
                </w:p>
              </w:tc>
              <w:tc>
                <w:tcPr>
                  <w:tcW w:w="409" w:type="pct"/>
                  <w:vMerge w:val="restart"/>
                  <w:vAlign w:val="center"/>
                </w:tcPr>
                <w:p>
                  <w:pPr>
                    <w:pStyle w:val="30"/>
                    <w:spacing w:line="360" w:lineRule="exact"/>
                    <w:rPr>
                      <w:rFonts w:ascii="TimesNewRomanPSMT" w:hAnsi="TimesNewRomanPSMT" w:cs="TimesNewRomanPSMT"/>
                      <w:color w:val="000000" w:themeColor="text1"/>
                      <w:kern w:val="0"/>
                      <w:szCs w:val="21"/>
                    </w:rPr>
                  </w:pPr>
                  <w:r>
                    <w:rPr>
                      <w:rFonts w:ascii="TimesNewRomanPSMT" w:hAnsi="TimesNewRomanPSMT" w:cs="TimesNewRomanPSMT"/>
                      <w:color w:val="000000" w:themeColor="text1"/>
                      <w:kern w:val="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荧光粉</w:t>
                  </w:r>
                </w:p>
              </w:tc>
              <w:tc>
                <w:tcPr>
                  <w:tcW w:w="747" w:type="pct"/>
                  <w:vMerge w:val="continue"/>
                  <w:vAlign w:val="center"/>
                </w:tcPr>
                <w:p>
                  <w:pPr>
                    <w:pStyle w:val="30"/>
                    <w:spacing w:line="360" w:lineRule="exact"/>
                    <w:rPr>
                      <w:color w:val="000000" w:themeColor="text1"/>
                      <w:szCs w:val="21"/>
                    </w:rPr>
                  </w:pPr>
                </w:p>
              </w:tc>
              <w:tc>
                <w:tcPr>
                  <w:tcW w:w="471" w:type="pct"/>
                  <w:vMerge w:val="continue"/>
                  <w:vAlign w:val="center"/>
                </w:tcPr>
                <w:p>
                  <w:pPr>
                    <w:pStyle w:val="30"/>
                    <w:spacing w:line="360" w:lineRule="exact"/>
                    <w:rPr>
                      <w:color w:val="000000" w:themeColor="text1"/>
                      <w:szCs w:val="21"/>
                    </w:rPr>
                  </w:pPr>
                </w:p>
              </w:tc>
              <w:tc>
                <w:tcPr>
                  <w:tcW w:w="705" w:type="pct"/>
                  <w:vMerge w:val="continue"/>
                  <w:vAlign w:val="center"/>
                </w:tcPr>
                <w:p>
                  <w:pPr>
                    <w:pStyle w:val="30"/>
                    <w:spacing w:line="360" w:lineRule="exact"/>
                    <w:rPr>
                      <w:color w:val="000000" w:themeColor="text1"/>
                      <w:szCs w:val="21"/>
                    </w:rPr>
                  </w:pPr>
                </w:p>
              </w:tc>
              <w:tc>
                <w:tcPr>
                  <w:tcW w:w="1959" w:type="pct"/>
                  <w:vMerge w:val="continue"/>
                  <w:vAlign w:val="center"/>
                </w:tcPr>
                <w:p>
                  <w:pPr>
                    <w:pStyle w:val="30"/>
                    <w:spacing w:line="360" w:lineRule="exact"/>
                    <w:ind w:firstLine="210" w:firstLineChars="100"/>
                    <w:jc w:val="both"/>
                    <w:rPr>
                      <w:color w:val="000000" w:themeColor="text1"/>
                      <w:szCs w:val="21"/>
                    </w:rPr>
                  </w:pPr>
                </w:p>
              </w:tc>
              <w:tc>
                <w:tcPr>
                  <w:tcW w:w="409" w:type="pct"/>
                  <w:vMerge w:val="continue"/>
                  <w:vAlign w:val="center"/>
                </w:tcPr>
                <w:p>
                  <w:pPr>
                    <w:pStyle w:val="30"/>
                    <w:spacing w:line="360" w:lineRule="exact"/>
                    <w:rPr>
                      <w:rFonts w:ascii="TimesNewRomanPSMT" w:hAnsi="TimesNewRomanPSMT" w:cs="TimesNewRomanPSMT"/>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收集含铅粉尘</w:t>
                  </w:r>
                </w:p>
              </w:tc>
              <w:tc>
                <w:tcPr>
                  <w:tcW w:w="747" w:type="pct"/>
                  <w:vMerge w:val="continue"/>
                  <w:vAlign w:val="center"/>
                </w:tcPr>
                <w:p>
                  <w:pPr>
                    <w:pStyle w:val="30"/>
                    <w:spacing w:line="360" w:lineRule="exact"/>
                    <w:rPr>
                      <w:color w:val="000000" w:themeColor="text1"/>
                      <w:szCs w:val="21"/>
                    </w:rPr>
                  </w:pPr>
                </w:p>
              </w:tc>
              <w:tc>
                <w:tcPr>
                  <w:tcW w:w="471" w:type="pct"/>
                  <w:vMerge w:val="continue"/>
                  <w:vAlign w:val="center"/>
                </w:tcPr>
                <w:p>
                  <w:pPr>
                    <w:pStyle w:val="30"/>
                    <w:spacing w:line="360" w:lineRule="exact"/>
                    <w:rPr>
                      <w:color w:val="000000" w:themeColor="text1"/>
                      <w:szCs w:val="21"/>
                    </w:rPr>
                  </w:pPr>
                </w:p>
              </w:tc>
              <w:tc>
                <w:tcPr>
                  <w:tcW w:w="705" w:type="pct"/>
                  <w:vMerge w:val="continue"/>
                  <w:vAlign w:val="center"/>
                </w:tcPr>
                <w:p>
                  <w:pPr>
                    <w:pStyle w:val="30"/>
                    <w:spacing w:line="360" w:lineRule="exact"/>
                    <w:rPr>
                      <w:color w:val="000000" w:themeColor="text1"/>
                      <w:szCs w:val="21"/>
                    </w:rPr>
                  </w:pPr>
                </w:p>
              </w:tc>
              <w:tc>
                <w:tcPr>
                  <w:tcW w:w="1959" w:type="pct"/>
                  <w:vMerge w:val="continue"/>
                  <w:vAlign w:val="center"/>
                </w:tcPr>
                <w:p>
                  <w:pPr>
                    <w:pStyle w:val="30"/>
                    <w:spacing w:line="360" w:lineRule="exact"/>
                    <w:ind w:firstLine="210" w:firstLineChars="100"/>
                    <w:jc w:val="both"/>
                    <w:rPr>
                      <w:color w:val="000000" w:themeColor="text1"/>
                      <w:szCs w:val="21"/>
                    </w:rPr>
                  </w:pPr>
                </w:p>
              </w:tc>
              <w:tc>
                <w:tcPr>
                  <w:tcW w:w="409" w:type="pct"/>
                  <w:vMerge w:val="continue"/>
                  <w:vAlign w:val="center"/>
                </w:tcPr>
                <w:p>
                  <w:pPr>
                    <w:pStyle w:val="30"/>
                    <w:spacing w:line="360" w:lineRule="exact"/>
                    <w:rPr>
                      <w:rFonts w:ascii="TimesNewRomanPSMT" w:hAnsi="TimesNewRomanPSMT" w:cs="TimesNewRomanPSMT"/>
                      <w:color w:val="000000" w:themeColor="text1"/>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rFonts w:hint="eastAsia"/>
                      <w:color w:val="000000" w:themeColor="text1"/>
                      <w:szCs w:val="21"/>
                    </w:rPr>
                    <w:t>废活性炭（吸附有机废气）</w:t>
                  </w:r>
                </w:p>
              </w:tc>
              <w:tc>
                <w:tcPr>
                  <w:tcW w:w="747" w:type="pct"/>
                  <w:vAlign w:val="center"/>
                </w:tcPr>
                <w:p>
                  <w:pPr>
                    <w:pStyle w:val="30"/>
                    <w:spacing w:line="360" w:lineRule="exact"/>
                    <w:rPr>
                      <w:color w:val="000000" w:themeColor="text1"/>
                      <w:szCs w:val="21"/>
                    </w:rPr>
                  </w:pPr>
                  <w:r>
                    <w:rPr>
                      <w:color w:val="000000" w:themeColor="text1"/>
                      <w:szCs w:val="21"/>
                    </w:rPr>
                    <w:t>HW49</w:t>
                  </w:r>
                  <w:r>
                    <w:rPr>
                      <w:rFonts w:hint="eastAsia"/>
                      <w:color w:val="000000" w:themeColor="text1"/>
                      <w:szCs w:val="21"/>
                    </w:rPr>
                    <w:t xml:space="preserve"> 其他废物</w:t>
                  </w:r>
                </w:p>
              </w:tc>
              <w:tc>
                <w:tcPr>
                  <w:tcW w:w="471" w:type="pct"/>
                  <w:vAlign w:val="center"/>
                </w:tcPr>
                <w:p>
                  <w:pPr>
                    <w:pStyle w:val="30"/>
                    <w:spacing w:line="360" w:lineRule="exact"/>
                    <w:rPr>
                      <w:color w:val="000000" w:themeColor="text1"/>
                      <w:szCs w:val="21"/>
                    </w:rPr>
                  </w:pPr>
                  <w:r>
                    <w:rPr>
                      <w:rFonts w:hint="eastAsia"/>
                      <w:color w:val="000000" w:themeColor="text1"/>
                      <w:szCs w:val="21"/>
                    </w:rPr>
                    <w:t>非特定行业</w:t>
                  </w:r>
                </w:p>
              </w:tc>
              <w:tc>
                <w:tcPr>
                  <w:tcW w:w="705" w:type="pct"/>
                  <w:vAlign w:val="center"/>
                </w:tcPr>
                <w:p>
                  <w:pPr>
                    <w:pStyle w:val="30"/>
                    <w:spacing w:line="360" w:lineRule="exact"/>
                    <w:rPr>
                      <w:color w:val="000000" w:themeColor="text1"/>
                      <w:szCs w:val="21"/>
                    </w:rPr>
                  </w:pPr>
                  <w:r>
                    <w:rPr>
                      <w:color w:val="000000" w:themeColor="text1"/>
                      <w:szCs w:val="21"/>
                    </w:rPr>
                    <w:t>900-039-49</w:t>
                  </w:r>
                </w:p>
              </w:tc>
              <w:tc>
                <w:tcPr>
                  <w:tcW w:w="1959"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烟气、</w:t>
                  </w:r>
                  <w:r>
                    <w:rPr>
                      <w:color w:val="000000" w:themeColor="text1"/>
                      <w:szCs w:val="21"/>
                    </w:rPr>
                    <w:t xml:space="preserve">VOCs </w:t>
                  </w:r>
                  <w:r>
                    <w:rPr>
                      <w:rFonts w:hint="eastAsia"/>
                      <w:color w:val="000000" w:themeColor="text1"/>
                      <w:szCs w:val="21"/>
                    </w:rPr>
                    <w:t>治理过程（不包括餐饮行业油烟治理过程）产生的废活性炭，化学原料和化学制品脱色（不包括有机合成食品添加剂脱色）、除杂、净化过程产生的废活性炭（不包括</w:t>
                  </w:r>
                  <w:r>
                    <w:rPr>
                      <w:color w:val="000000" w:themeColor="text1"/>
                      <w:szCs w:val="21"/>
                    </w:rPr>
                    <w:t>900-405-06</w:t>
                  </w:r>
                  <w:r>
                    <w:rPr>
                      <w:rFonts w:hint="eastAsia"/>
                      <w:color w:val="000000" w:themeColor="text1"/>
                      <w:szCs w:val="21"/>
                    </w:rPr>
                    <w:t>、</w:t>
                  </w:r>
                  <w:r>
                    <w:rPr>
                      <w:color w:val="000000" w:themeColor="text1"/>
                      <w:szCs w:val="21"/>
                    </w:rPr>
                    <w:t>772-005-18</w:t>
                  </w:r>
                  <w:r>
                    <w:rPr>
                      <w:rFonts w:hint="eastAsia"/>
                      <w:color w:val="000000" w:themeColor="text1"/>
                      <w:szCs w:val="21"/>
                    </w:rPr>
                    <w:t>、</w:t>
                  </w:r>
                  <w:r>
                    <w:rPr>
                      <w:color w:val="000000" w:themeColor="text1"/>
                      <w:szCs w:val="21"/>
                    </w:rPr>
                    <w:t>261-053-29</w:t>
                  </w:r>
                  <w:r>
                    <w:rPr>
                      <w:rFonts w:hint="eastAsia"/>
                      <w:color w:val="000000" w:themeColor="text1"/>
                      <w:szCs w:val="21"/>
                    </w:rPr>
                    <w:t>、</w:t>
                  </w:r>
                  <w:r>
                    <w:rPr>
                      <w:color w:val="000000" w:themeColor="text1"/>
                      <w:szCs w:val="21"/>
                    </w:rPr>
                    <w:t>265-002-29</w:t>
                  </w:r>
                  <w:r>
                    <w:rPr>
                      <w:rFonts w:hint="eastAsia"/>
                      <w:color w:val="000000" w:themeColor="text1"/>
                      <w:szCs w:val="21"/>
                    </w:rPr>
                    <w:t>、</w:t>
                  </w:r>
                  <w:r>
                    <w:rPr>
                      <w:color w:val="000000" w:themeColor="text1"/>
                      <w:szCs w:val="21"/>
                    </w:rPr>
                    <w:t>384-003-29</w:t>
                  </w:r>
                  <w:r>
                    <w:rPr>
                      <w:rFonts w:hint="eastAsia"/>
                      <w:color w:val="000000" w:themeColor="text1"/>
                      <w:szCs w:val="21"/>
                    </w:rPr>
                    <w:t>、</w:t>
                  </w:r>
                  <w:r>
                    <w:rPr>
                      <w:color w:val="000000" w:themeColor="text1"/>
                      <w:szCs w:val="21"/>
                    </w:rPr>
                    <w:t xml:space="preserve">387-001-29 </w:t>
                  </w:r>
                  <w:r>
                    <w:rPr>
                      <w:rFonts w:hint="eastAsia"/>
                      <w:color w:val="000000" w:themeColor="text1"/>
                      <w:szCs w:val="21"/>
                    </w:rPr>
                    <w:t>类废物）</w:t>
                  </w:r>
                </w:p>
              </w:tc>
              <w:tc>
                <w:tcPr>
                  <w:tcW w:w="409" w:type="pct"/>
                  <w:vAlign w:val="center"/>
                </w:tcPr>
                <w:p>
                  <w:pPr>
                    <w:pStyle w:val="30"/>
                    <w:spacing w:line="360" w:lineRule="exact"/>
                    <w:rPr>
                      <w:rFonts w:ascii="TimesNewRomanPSMT" w:hAnsi="TimesNewRomanPSMT" w:cs="TimesNewRomanPSMT"/>
                      <w:color w:val="000000" w:themeColor="text1"/>
                      <w:kern w:val="0"/>
                      <w:szCs w:val="21"/>
                    </w:rPr>
                  </w:pPr>
                  <w:r>
                    <w:rPr>
                      <w:rFonts w:ascii="TimesNewRomanPSMT" w:hAnsi="TimesNewRomanPSMT" w:cs="TimesNewRomanPSMT"/>
                      <w:color w:val="000000" w:themeColor="text1"/>
                      <w:kern w:val="0"/>
                      <w:szCs w:val="21"/>
                    </w:rPr>
                    <w:t>T</w:t>
                  </w:r>
                </w:p>
              </w:tc>
            </w:tr>
          </w:tbl>
          <w:p>
            <w:pPr>
              <w:spacing w:beforeLines="50"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由上表可知，除上表所列固体废物以外均属于一般工业固体废物，但按照</w:t>
            </w:r>
            <w:r>
              <w:rPr>
                <w:rFonts w:ascii="Times New Roman" w:hAnsi="Times New Roman" w:cs="Times New Roman"/>
                <w:color w:val="000000" w:themeColor="text1"/>
                <w:sz w:val="24"/>
              </w:rPr>
              <w:t>《废弃电器电子产品处理污染控制技术规范》（HJ527-2010）</w:t>
            </w:r>
            <w:r>
              <w:rPr>
                <w:rFonts w:hint="eastAsia" w:ascii="Times New Roman" w:hAnsi="Times New Roman" w:cs="Times New Roman"/>
                <w:color w:val="000000" w:themeColor="text1"/>
                <w:sz w:val="24"/>
              </w:rPr>
              <w:t>的</w:t>
            </w:r>
            <w:r>
              <w:rPr>
                <w:rFonts w:ascii="Times New Roman" w:hAnsi="Times New Roman" w:cs="Times New Roman"/>
                <w:color w:val="000000" w:themeColor="text1"/>
                <w:sz w:val="24"/>
              </w:rPr>
              <w:t>要求</w:t>
            </w:r>
            <w:r>
              <w:rPr>
                <w:rFonts w:hint="eastAsia" w:ascii="Times New Roman" w:hAnsi="Times New Roman" w:cs="Times New Roman"/>
                <w:color w:val="000000" w:themeColor="text1"/>
                <w:sz w:val="24"/>
              </w:rPr>
              <w:t>，制冷剂不属于危险废物，但消耗臭氧层物质有环境风险，要求制冷剂使用专用容器密封贮存。</w:t>
            </w:r>
          </w:p>
          <w:p>
            <w:pPr>
              <w:spacing w:line="360" w:lineRule="auto"/>
              <w:ind w:firstLine="361" w:firstLineChars="150"/>
              <w:rPr>
                <w:rFonts w:ascii="Times New Roman" w:hAnsi="Times New Roman" w:cs="Times New Roman"/>
                <w:b/>
                <w:color w:val="000000" w:themeColor="text1"/>
                <w:sz w:val="24"/>
              </w:rPr>
            </w:pPr>
            <w:r>
              <w:rPr>
                <w:rFonts w:hint="eastAsia" w:ascii="Times New Roman" w:hAnsi="Times New Roman" w:cs="Times New Roman"/>
                <w:b/>
                <w:color w:val="000000" w:themeColor="text1"/>
                <w:sz w:val="24"/>
              </w:rPr>
              <w:t>（2）储存场所</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根据调查，项目</w:t>
            </w:r>
            <w:r>
              <w:rPr>
                <w:rFonts w:ascii="Times New Roman" w:hAnsi="Times New Roman" w:cs="Times New Roman"/>
                <w:color w:val="000000" w:themeColor="text1"/>
                <w:sz w:val="24"/>
              </w:rPr>
              <w:t>厂区已设置了7300m²的仓库</w:t>
            </w:r>
            <w:r>
              <w:rPr>
                <w:rFonts w:hint="eastAsia" w:ascii="Times New Roman" w:hAnsi="Times New Roman" w:cs="Times New Roman"/>
                <w:color w:val="000000" w:themeColor="text1"/>
                <w:sz w:val="24"/>
              </w:rPr>
              <w:t>和</w:t>
            </w:r>
            <w:r>
              <w:rPr>
                <w:rFonts w:ascii="Times New Roman" w:hAnsi="Times New Roman" w:cs="Times New Roman"/>
                <w:color w:val="000000" w:themeColor="text1"/>
                <w:sz w:val="24"/>
              </w:rPr>
              <w:t>4个面积分别约为30m²危险废物贮存间，对</w:t>
            </w:r>
            <w:r>
              <w:rPr>
                <w:rFonts w:hint="eastAsia" w:ascii="Times New Roman" w:hAnsi="Times New Roman" w:cs="Times New Roman"/>
                <w:color w:val="000000" w:themeColor="text1"/>
                <w:sz w:val="24"/>
              </w:rPr>
              <w:t>厂区内拆解后的固体废物进行暂存，并委托相应的单位进行处置。</w:t>
            </w:r>
            <w:r>
              <w:rPr>
                <w:rFonts w:ascii="Times New Roman" w:hAnsi="Times New Roman" w:cs="Times New Roman"/>
                <w:color w:val="000000" w:themeColor="text1"/>
                <w:sz w:val="24"/>
              </w:rPr>
              <w:t>仓储区</w:t>
            </w:r>
            <w:r>
              <w:rPr>
                <w:rFonts w:hint="eastAsia" w:ascii="Times New Roman" w:hAnsi="Times New Roman" w:cs="Times New Roman"/>
                <w:color w:val="000000" w:themeColor="text1"/>
                <w:sz w:val="24"/>
              </w:rPr>
              <w:t>和危险废物贮存间</w:t>
            </w:r>
            <w:r>
              <w:rPr>
                <w:rFonts w:ascii="Times New Roman" w:hAnsi="Times New Roman" w:cs="Times New Roman"/>
                <w:color w:val="000000" w:themeColor="text1"/>
                <w:sz w:val="24"/>
              </w:rPr>
              <w:t>已进行环评和竣工验收。</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其贮存区如下图所示。</w:t>
            </w:r>
          </w:p>
          <w:p>
            <w:pPr>
              <w:pStyle w:val="40"/>
              <w:rPr>
                <w:color w:val="000000" w:themeColor="text1"/>
                <w:szCs w:val="21"/>
              </w:rPr>
            </w:pPr>
            <w:r>
              <w:rPr>
                <w:color w:val="000000" w:themeColor="text1"/>
                <w:szCs w:val="21"/>
              </w:rPr>
              <w:drawing>
                <wp:inline distT="0" distB="0" distL="0" distR="0">
                  <wp:extent cx="2399665" cy="1799590"/>
                  <wp:effectExtent l="19050" t="0" r="510" b="0"/>
                  <wp:docPr id="67" name="图片 67" descr="D:\Documents\Tencent Files\767025510\FileRecv\MobileFile\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Documents\Tencent Files\767025510\FileRecv\MobileFile\IMG_7371.JPG"/>
                          <pic:cNvPicPr>
                            <a:picLocks noChangeAspect="1" noChangeArrowheads="1"/>
                          </pic:cNvPicPr>
                        </pic:nvPicPr>
                        <pic:blipFill>
                          <a:blip r:embed="rId15"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399665" cy="1799590"/>
                  <wp:effectExtent l="19050" t="0" r="510" b="0"/>
                  <wp:docPr id="16" name="图片 69" descr="D:\Documents\Tencent Files\767025510\FileRecv\MobileFile\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9" descr="D:\Documents\Tencent Files\767025510\FileRecv\MobileFile\IMG_7369.JPG"/>
                          <pic:cNvPicPr>
                            <a:picLocks noChangeAspect="1" noChangeArrowheads="1"/>
                          </pic:cNvPicPr>
                        </pic:nvPicPr>
                        <pic:blipFill>
                          <a:blip r:embed="rId16"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荧光粉贮存区（1#危险废物贮存间）              荧光粉贮存标识牌</w:t>
            </w:r>
          </w:p>
          <w:p>
            <w:pPr>
              <w:pStyle w:val="40"/>
              <w:rPr>
                <w:color w:val="000000" w:themeColor="text1"/>
                <w:szCs w:val="21"/>
              </w:rPr>
            </w:pPr>
            <w:r>
              <w:rPr>
                <w:color w:val="000000" w:themeColor="text1"/>
                <w:szCs w:val="21"/>
              </w:rPr>
              <w:drawing>
                <wp:inline distT="0" distB="0" distL="0" distR="0">
                  <wp:extent cx="2399665" cy="1799590"/>
                  <wp:effectExtent l="19050" t="0" r="510" b="0"/>
                  <wp:docPr id="66" name="图片 66" descr="D:\Documents\Tencent Files\767025510\FileRecv\MobileFile\IMG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Documents\Tencent Files\767025510\FileRecv\MobileFile\IMG_7370.JPG"/>
                          <pic:cNvPicPr>
                            <a:picLocks noChangeAspect="1" noChangeArrowheads="1"/>
                          </pic:cNvPicPr>
                        </pic:nvPicPr>
                        <pic:blipFill>
                          <a:blip r:embed="rId17"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399665" cy="1799590"/>
                  <wp:effectExtent l="19050" t="0" r="510" b="0"/>
                  <wp:docPr id="12" name="图片 68" descr="D:\Documents\Tencent Files\767025510\FileRecv\MobileFile\IMG_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8" descr="D:\Documents\Tencent Files\767025510\FileRecv\MobileFile\IMG_7368.JPG"/>
                          <pic:cNvPicPr>
                            <a:picLocks noChangeAspect="1" noChangeArrowheads="1"/>
                          </pic:cNvPicPr>
                        </pic:nvPicPr>
                        <pic:blipFill>
                          <a:blip r:embed="rId18"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含汞灯管、含铅粉尘贮存区（1#危险废物贮存间）      含汞灯管、含铅粉尘贮存标识牌</w:t>
            </w:r>
          </w:p>
          <w:p>
            <w:pPr>
              <w:pStyle w:val="40"/>
              <w:rPr>
                <w:color w:val="000000" w:themeColor="text1"/>
                <w:szCs w:val="21"/>
              </w:rPr>
            </w:pPr>
            <w:r>
              <w:rPr>
                <w:color w:val="000000" w:themeColor="text1"/>
                <w:szCs w:val="21"/>
              </w:rPr>
              <w:drawing>
                <wp:inline distT="0" distB="0" distL="0" distR="0">
                  <wp:extent cx="2401570" cy="1799590"/>
                  <wp:effectExtent l="19050" t="0" r="0" b="0"/>
                  <wp:docPr id="17" name="图片 4" descr="E:\工作\2东川\1冰箱线项目\现场照片\新建文件夹 (2)\IMG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E:\工作\2东川\1冰箱线项目\现场照片\新建文件夹 (2)\IMG_1936.JPG"/>
                          <pic:cNvPicPr>
                            <a:picLocks noChangeAspect="1" noChangeArrowheads="1"/>
                          </pic:cNvPicPr>
                        </pic:nvPicPr>
                        <pic:blipFill>
                          <a:blip r:embed="rId19" cstate="print"/>
                          <a:srcRect/>
                          <a:stretch>
                            <a:fillRect/>
                          </a:stretch>
                        </pic:blipFill>
                        <pic:spPr>
                          <a:xfrm>
                            <a:off x="0" y="0"/>
                            <a:ext cx="2401735"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399665" cy="1799590"/>
                  <wp:effectExtent l="19050" t="0" r="300" b="0"/>
                  <wp:docPr id="18" name="图片 3" descr="E:\工作\2东川\1冰箱线项目\现场照片\新建文件夹 (2)\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工作\2东川\1冰箱线项目\现场照片\新建文件夹 (2)\IMG_1933.JPG"/>
                          <pic:cNvPicPr>
                            <a:picLocks noChangeAspect="1" noChangeArrowheads="1"/>
                          </pic:cNvPicPr>
                        </pic:nvPicPr>
                        <pic:blipFill>
                          <a:blip r:embed="rId20" cstate="print"/>
                          <a:srcRect/>
                          <a:stretch>
                            <a:fillRect/>
                          </a:stretch>
                        </pic:blipFill>
                        <pic:spPr>
                          <a:xfrm>
                            <a:off x="0" y="0"/>
                            <a:ext cx="2400000" cy="1800000"/>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废矿物油贮存区（2#危险废物贮存间）               废矿物油贮存标识牌</w:t>
            </w: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pStyle w:val="40"/>
              <w:rPr>
                <w:color w:val="000000" w:themeColor="text1"/>
                <w:szCs w:val="21"/>
              </w:rPr>
            </w:pPr>
            <w:r>
              <w:rPr>
                <w:color w:val="000000" w:themeColor="text1"/>
                <w:szCs w:val="21"/>
              </w:rPr>
              <w:drawing>
                <wp:inline distT="0" distB="0" distL="0" distR="0">
                  <wp:extent cx="2400935" cy="1800860"/>
                  <wp:effectExtent l="19050" t="0" r="0" b="0"/>
                  <wp:docPr id="6" name="图片 15" descr="C:\Users\ADMINI~1\AppData\Local\Temp\WeChat Files\ddebc9a3383a79fd39c876c3297f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C:\Users\ADMINI~1\AppData\Local\Temp\WeChat Files\ddebc9a3383a79fd39c876c3297fb23.jpg"/>
                          <pic:cNvPicPr>
                            <a:picLocks noChangeAspect="1" noChangeArrowheads="1"/>
                          </pic:cNvPicPr>
                        </pic:nvPicPr>
                        <pic:blipFill>
                          <a:blip r:embed="rId21" cstate="print"/>
                          <a:srcRect/>
                          <a:stretch>
                            <a:fillRect/>
                          </a:stretch>
                        </pic:blipFill>
                        <pic:spPr>
                          <a:xfrm>
                            <a:off x="0" y="0"/>
                            <a:ext cx="2401200" cy="1801368"/>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400935" cy="1800225"/>
                  <wp:effectExtent l="19050" t="0" r="0" b="0"/>
                  <wp:docPr id="9" name="图片 1" descr="C:\Users\ADMINI~1\AppData\Local\Temp\WeChat Files\c6208be6832cbe0c3fbaee5da31e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1\AppData\Local\Temp\WeChat Files\c6208be6832cbe0c3fbaee5da31e8f6.jpg"/>
                          <pic:cNvPicPr>
                            <a:picLocks noChangeAspect="1" noChangeArrowheads="1"/>
                          </pic:cNvPicPr>
                        </pic:nvPicPr>
                        <pic:blipFill>
                          <a:blip r:embed="rId22" cstate="print"/>
                          <a:srcRect/>
                          <a:stretch>
                            <a:fillRect/>
                          </a:stretch>
                        </pic:blipFill>
                        <pic:spPr>
                          <a:xfrm>
                            <a:off x="0" y="0"/>
                            <a:ext cx="2401200" cy="1800225"/>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制冷剂贮存区（4危险废物贮存间）              制冷剂贮存标识牌</w:t>
            </w:r>
          </w:p>
          <w:p>
            <w:pPr>
              <w:jc w:val="center"/>
              <w:rPr>
                <w:color w:val="000000" w:themeColor="text1"/>
              </w:rPr>
            </w:pPr>
            <w:r>
              <w:rPr>
                <w:color w:val="000000" w:themeColor="text1"/>
              </w:rPr>
              <w:drawing>
                <wp:inline distT="0" distB="0" distL="0" distR="0">
                  <wp:extent cx="2399665" cy="1799590"/>
                  <wp:effectExtent l="19050" t="0" r="510" b="0"/>
                  <wp:docPr id="60" name="图片 60" descr="D:\Documents\Tencent Files\767025510\FileRecv\MobileFile\IMG_7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Documents\Tencent Files\767025510\FileRecv\MobileFile\IMG_7354.JPG"/>
                          <pic:cNvPicPr>
                            <a:picLocks noChangeAspect="1" noChangeArrowheads="1"/>
                          </pic:cNvPicPr>
                        </pic:nvPicPr>
                        <pic:blipFill>
                          <a:blip r:embed="rId23"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color w:val="000000" w:themeColor="text1"/>
              </w:rPr>
              <w:t xml:space="preserve">    </w:t>
            </w:r>
            <w:r>
              <w:rPr>
                <w:color w:val="000000" w:themeColor="text1"/>
              </w:rPr>
              <w:drawing>
                <wp:inline distT="0" distB="0" distL="0" distR="0">
                  <wp:extent cx="2399665" cy="1799590"/>
                  <wp:effectExtent l="19050" t="0" r="510" b="0"/>
                  <wp:docPr id="3" name="图片 61" descr="D:\Documents\Tencent Files\767025510\FileRecv\MobileFile\IMG_7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descr="D:\Documents\Tencent Files\767025510\FileRecv\MobileFile\IMG_7358.JPG"/>
                          <pic:cNvPicPr>
                            <a:picLocks noChangeAspect="1" noChangeArrowheads="1"/>
                          </pic:cNvPicPr>
                        </pic:nvPicPr>
                        <pic:blipFill>
                          <a:blip r:embed="rId24"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rPr>
                <w:color w:val="000000" w:themeColor="text1"/>
                <w:szCs w:val="21"/>
              </w:rPr>
            </w:pPr>
            <w:r>
              <w:rPr>
                <w:rFonts w:hint="eastAsia"/>
                <w:color w:val="000000" w:themeColor="text1"/>
                <w:szCs w:val="21"/>
              </w:rPr>
              <w:t>废电路板贮存区                   废电路板贮存标识牌</w:t>
            </w:r>
          </w:p>
          <w:p>
            <w:pPr>
              <w:pStyle w:val="40"/>
              <w:rPr>
                <w:color w:val="000000" w:themeColor="text1"/>
                <w:szCs w:val="21"/>
              </w:rPr>
            </w:pPr>
            <w:r>
              <w:rPr>
                <w:color w:val="000000" w:themeColor="text1"/>
                <w:szCs w:val="21"/>
              </w:rPr>
              <w:drawing>
                <wp:inline distT="0" distB="0" distL="0" distR="0">
                  <wp:extent cx="2399665" cy="1799590"/>
                  <wp:effectExtent l="19050" t="0" r="510" b="0"/>
                  <wp:docPr id="62" name="图片 62" descr="D:\Documents\Tencent Files\767025510\FileRecv\MobileFile\IMG_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Documents\Tencent Files\767025510\FileRecv\MobileFile\IMG_7360.JPG"/>
                          <pic:cNvPicPr>
                            <a:picLocks noChangeAspect="1" noChangeArrowheads="1"/>
                          </pic:cNvPicPr>
                        </pic:nvPicPr>
                        <pic:blipFill>
                          <a:blip r:embed="rId25"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399665" cy="1799590"/>
                  <wp:effectExtent l="19050" t="0" r="510" b="0"/>
                  <wp:docPr id="5" name="图片 63" descr="D:\Documents\Tencent Files\767025510\FileRecv\MobileFile\IMG_7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D:\Documents\Tencent Files\767025510\FileRecv\MobileFile\IMG_7359.JPG"/>
                          <pic:cNvPicPr>
                            <a:picLocks noChangeAspect="1" noChangeArrowheads="1"/>
                          </pic:cNvPicPr>
                        </pic:nvPicPr>
                        <pic:blipFill>
                          <a:blip r:embed="rId26"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废弃的阴极射线管（锥玻璃）含铅贮存区            锥玻璃贮存标识牌</w:t>
            </w:r>
          </w:p>
          <w:p>
            <w:pPr>
              <w:pStyle w:val="40"/>
              <w:rPr>
                <w:color w:val="000000" w:themeColor="text1"/>
                <w:szCs w:val="21"/>
              </w:rPr>
            </w:pPr>
            <w:r>
              <w:rPr>
                <w:color w:val="000000" w:themeColor="text1"/>
                <w:szCs w:val="21"/>
              </w:rPr>
              <w:drawing>
                <wp:inline distT="0" distB="0" distL="0" distR="0">
                  <wp:extent cx="2399665" cy="1799590"/>
                  <wp:effectExtent l="19050" t="0" r="510" b="0"/>
                  <wp:docPr id="65" name="图片 65" descr="D:\Documents\Tencent Files\767025510\FileRecv\MobileFile\IMG_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Documents\Tencent Files\767025510\FileRecv\MobileFile\IMG_7366.JPG"/>
                          <pic:cNvPicPr>
                            <a:picLocks noChangeAspect="1" noChangeArrowheads="1"/>
                          </pic:cNvPicPr>
                        </pic:nvPicPr>
                        <pic:blipFill>
                          <a:blip r:embed="rId27" cstate="print"/>
                          <a:srcRect/>
                          <a:stretch>
                            <a:fillRect/>
                          </a:stretch>
                        </pic:blipFill>
                        <pic:spPr>
                          <a:xfrm>
                            <a:off x="0" y="0"/>
                            <a:ext cx="2399790"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399665" cy="1799590"/>
                  <wp:effectExtent l="19050" t="0" r="510" b="0"/>
                  <wp:docPr id="64" name="图片 64" descr="D:\Documents\Tencent Files\767025510\FileRecv\MobileFile\IMG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Documents\Tencent Files\767025510\FileRecv\MobileFile\IMG_7364.JPG"/>
                          <pic:cNvPicPr>
                            <a:picLocks noChangeAspect="1" noChangeArrowheads="1"/>
                          </pic:cNvPicPr>
                        </pic:nvPicPr>
                        <pic:blipFill>
                          <a:blip r:embed="rId28" cstate="print"/>
                          <a:srcRect/>
                          <a:stretch>
                            <a:fillRect/>
                          </a:stretch>
                        </pic:blipFill>
                        <pic:spPr>
                          <a:xfrm>
                            <a:off x="0" y="0"/>
                            <a:ext cx="2399790" cy="1800000"/>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屏玻璃（普通玻璃）贮存场所                    屏玻璃贮存标识牌</w:t>
            </w:r>
          </w:p>
          <w:p>
            <w:pPr>
              <w:pStyle w:val="40"/>
              <w:rPr>
                <w:color w:val="000000" w:themeColor="text1"/>
                <w:szCs w:val="21"/>
              </w:rPr>
            </w:pPr>
            <w:r>
              <w:rPr>
                <w:color w:val="000000" w:themeColor="text1"/>
                <w:szCs w:val="21"/>
              </w:rPr>
              <w:drawing>
                <wp:inline distT="0" distB="0" distL="0" distR="0">
                  <wp:extent cx="2401570" cy="1799590"/>
                  <wp:effectExtent l="19050" t="0" r="0" b="0"/>
                  <wp:docPr id="10" name="图片 7" descr="E:\工作\2东川\1冰箱线项目\现场照片\新建文件夹 (2)\IMG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E:\工作\2东川\1冰箱线项目\现场照片\新建文件夹 (2)\IMG_1902.JPG"/>
                          <pic:cNvPicPr>
                            <a:picLocks noChangeAspect="1" noChangeArrowheads="1"/>
                          </pic:cNvPicPr>
                        </pic:nvPicPr>
                        <pic:blipFill>
                          <a:blip r:embed="rId29" cstate="print"/>
                          <a:srcRect/>
                          <a:stretch>
                            <a:fillRect/>
                          </a:stretch>
                        </pic:blipFill>
                        <pic:spPr>
                          <a:xfrm>
                            <a:off x="0" y="0"/>
                            <a:ext cx="2401735"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401570" cy="1799590"/>
                  <wp:effectExtent l="19050" t="0" r="0" b="0"/>
                  <wp:docPr id="11" name="图片 9" descr="E:\工作\2东川\1冰箱线项目\现场照片\新建文件夹 (2)\IMG_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工作\2东川\1冰箱线项目\现场照片\新建文件夹 (2)\IMG_1923.JPG"/>
                          <pic:cNvPicPr>
                            <a:picLocks noChangeAspect="1" noChangeArrowheads="1"/>
                          </pic:cNvPicPr>
                        </pic:nvPicPr>
                        <pic:blipFill>
                          <a:blip r:embed="rId30" cstate="print"/>
                          <a:srcRect/>
                          <a:stretch>
                            <a:fillRect/>
                          </a:stretch>
                        </pic:blipFill>
                        <pic:spPr>
                          <a:xfrm>
                            <a:off x="0" y="0"/>
                            <a:ext cx="2401735" cy="1800000"/>
                          </a:xfrm>
                          <a:prstGeom prst="rect">
                            <a:avLst/>
                          </a:prstGeom>
                          <a:noFill/>
                          <a:ln w="9525">
                            <a:noFill/>
                            <a:miter lim="800000"/>
                            <a:headEnd/>
                            <a:tailEnd/>
                          </a:ln>
                        </pic:spPr>
                      </pic:pic>
                    </a:graphicData>
                  </a:graphic>
                </wp:inline>
              </w:drawing>
            </w:r>
          </w:p>
          <w:p>
            <w:pPr>
              <w:pStyle w:val="40"/>
              <w:jc w:val="left"/>
              <w:rPr>
                <w:color w:val="000000" w:themeColor="text1"/>
                <w:szCs w:val="21"/>
              </w:rPr>
            </w:pPr>
            <w:r>
              <w:rPr>
                <w:rFonts w:hint="eastAsia"/>
                <w:color w:val="000000" w:themeColor="text1"/>
                <w:szCs w:val="21"/>
              </w:rPr>
              <w:t xml:space="preserve">                 钢/铁暂存区                      废旧有色金属（铜/铝）暂存区</w:t>
            </w:r>
          </w:p>
          <w:p>
            <w:pPr>
              <w:pStyle w:val="40"/>
              <w:rPr>
                <w:color w:val="000000" w:themeColor="text1"/>
                <w:szCs w:val="21"/>
              </w:rPr>
            </w:pPr>
            <w:r>
              <w:rPr>
                <w:color w:val="000000" w:themeColor="text1"/>
                <w:szCs w:val="21"/>
              </w:rPr>
              <w:drawing>
                <wp:inline distT="0" distB="0" distL="0" distR="0">
                  <wp:extent cx="2401570" cy="1799590"/>
                  <wp:effectExtent l="19050" t="0" r="0" b="0"/>
                  <wp:docPr id="13" name="图片 10" descr="E:\工作\2东川\1冰箱线项目\现场照片\新建文件夹 (2)\IMG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E:\工作\2东川\1冰箱线项目\现场照片\新建文件夹 (2)\IMG_1928.JPG"/>
                          <pic:cNvPicPr>
                            <a:picLocks noChangeAspect="1" noChangeArrowheads="1"/>
                          </pic:cNvPicPr>
                        </pic:nvPicPr>
                        <pic:blipFill>
                          <a:blip r:embed="rId31" cstate="print"/>
                          <a:srcRect/>
                          <a:stretch>
                            <a:fillRect/>
                          </a:stretch>
                        </pic:blipFill>
                        <pic:spPr>
                          <a:xfrm>
                            <a:off x="0" y="0"/>
                            <a:ext cx="2401735" cy="1800000"/>
                          </a:xfrm>
                          <a:prstGeom prst="rect">
                            <a:avLst/>
                          </a:prstGeom>
                          <a:noFill/>
                          <a:ln w="9525">
                            <a:noFill/>
                            <a:miter lim="800000"/>
                            <a:headEnd/>
                            <a:tailEnd/>
                          </a:ln>
                        </pic:spPr>
                      </pic:pic>
                    </a:graphicData>
                  </a:graphic>
                </wp:inline>
              </w:drawing>
            </w:r>
            <w:r>
              <w:rPr>
                <w:rFonts w:hint="eastAsia"/>
                <w:color w:val="000000" w:themeColor="text1"/>
                <w:szCs w:val="21"/>
              </w:rPr>
              <w:t xml:space="preserve">     </w:t>
            </w:r>
            <w:r>
              <w:rPr>
                <w:color w:val="000000" w:themeColor="text1"/>
                <w:szCs w:val="21"/>
              </w:rPr>
              <w:drawing>
                <wp:inline distT="0" distB="0" distL="0" distR="0">
                  <wp:extent cx="2401570" cy="1799590"/>
                  <wp:effectExtent l="19050" t="0" r="0" b="0"/>
                  <wp:docPr id="14" name="图片 11" descr="E:\工作\2东川\1冰箱线项目\现场照片\新建文件夹 (2)\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E:\工作\2东川\1冰箱线项目\现场照片\新建文件夹 (2)\IMG_1926.JPG"/>
                          <pic:cNvPicPr>
                            <a:picLocks noChangeAspect="1" noChangeArrowheads="1"/>
                          </pic:cNvPicPr>
                        </pic:nvPicPr>
                        <pic:blipFill>
                          <a:blip r:embed="rId32" cstate="print"/>
                          <a:srcRect/>
                          <a:stretch>
                            <a:fillRect/>
                          </a:stretch>
                        </pic:blipFill>
                        <pic:spPr>
                          <a:xfrm>
                            <a:off x="0" y="0"/>
                            <a:ext cx="2401735" cy="1800000"/>
                          </a:xfrm>
                          <a:prstGeom prst="rect">
                            <a:avLst/>
                          </a:prstGeom>
                          <a:noFill/>
                          <a:ln w="9525">
                            <a:noFill/>
                            <a:miter lim="800000"/>
                            <a:headEnd/>
                            <a:tailEnd/>
                          </a:ln>
                        </pic:spPr>
                      </pic:pic>
                    </a:graphicData>
                  </a:graphic>
                </wp:inline>
              </w:drawing>
            </w:r>
          </w:p>
          <w:p>
            <w:pPr>
              <w:pStyle w:val="40"/>
              <w:rPr>
                <w:color w:val="000000" w:themeColor="text1"/>
                <w:szCs w:val="21"/>
              </w:rPr>
            </w:pPr>
            <w:r>
              <w:rPr>
                <w:rFonts w:hint="eastAsia"/>
                <w:color w:val="000000" w:themeColor="text1"/>
                <w:szCs w:val="21"/>
              </w:rPr>
              <w:t>废塑料暂存区                         废塑料暂存区</w:t>
            </w:r>
          </w:p>
          <w:p>
            <w:pPr>
              <w:spacing w:beforeLines="50" w:line="360" w:lineRule="auto"/>
              <w:ind w:firstLine="361" w:firstLineChars="150"/>
              <w:rPr>
                <w:rFonts w:ascii="Times New Roman" w:hAnsi="Times New Roman" w:cs="Times New Roman"/>
                <w:b/>
                <w:color w:val="000000" w:themeColor="text1"/>
                <w:sz w:val="24"/>
              </w:rPr>
            </w:pPr>
            <w:r>
              <w:rPr>
                <w:rFonts w:hint="eastAsia" w:ascii="Times New Roman" w:hAnsi="Times New Roman" w:cs="Times New Roman"/>
                <w:b/>
                <w:color w:val="000000" w:themeColor="text1"/>
                <w:sz w:val="24"/>
              </w:rPr>
              <w:t>（3）产生量及处置情况</w:t>
            </w:r>
          </w:p>
          <w:p>
            <w:pPr>
              <w:spacing w:line="360" w:lineRule="auto"/>
              <w:ind w:firstLine="480" w:firstLineChars="200"/>
              <w:rPr>
                <w:rFonts w:hint="eastAsia" w:ascii="Times New Roman" w:hAnsi="Times New Roman" w:cs="Times New Roman"/>
                <w:color w:val="000000" w:themeColor="text1"/>
                <w:sz w:val="24"/>
              </w:rPr>
            </w:pPr>
            <w:r>
              <w:rPr>
                <w:rFonts w:hint="eastAsia" w:ascii="Times New Roman" w:hAnsi="Times New Roman" w:cs="Times New Roman"/>
                <w:color w:val="000000" w:themeColor="text1"/>
                <w:sz w:val="24"/>
              </w:rPr>
              <w:t>根据业主提供的资料核算，以及业主提供的处置措施，项目固体废物处置情况如下表所示。</w:t>
            </w:r>
          </w:p>
          <w:p>
            <w:pPr>
              <w:spacing w:line="360" w:lineRule="auto"/>
              <w:ind w:firstLine="480" w:firstLineChars="200"/>
              <w:rPr>
                <w:rFonts w:hint="eastAsia" w:ascii="Times New Roman" w:hAnsi="Times New Roman" w:cs="Times New Roman"/>
                <w:color w:val="000000" w:themeColor="text1"/>
                <w:sz w:val="24"/>
              </w:rPr>
            </w:pPr>
          </w:p>
          <w:p>
            <w:pPr>
              <w:spacing w:line="360" w:lineRule="auto"/>
              <w:ind w:firstLine="480" w:firstLineChars="200"/>
              <w:rPr>
                <w:rFonts w:hint="eastAsia" w:ascii="Times New Roman" w:hAnsi="Times New Roman" w:cs="Times New Roman"/>
                <w:color w:val="000000" w:themeColor="text1"/>
                <w:sz w:val="24"/>
              </w:rPr>
            </w:pPr>
          </w:p>
          <w:p>
            <w:pPr>
              <w:spacing w:line="360" w:lineRule="auto"/>
              <w:ind w:firstLine="480" w:firstLineChars="200"/>
              <w:rPr>
                <w:rFonts w:hint="eastAsia" w:ascii="Times New Roman" w:hAnsi="Times New Roman" w:cs="Times New Roman"/>
                <w:color w:val="000000" w:themeColor="text1"/>
                <w:sz w:val="24"/>
              </w:rPr>
            </w:pPr>
          </w:p>
          <w:p>
            <w:pPr>
              <w:spacing w:line="360" w:lineRule="auto"/>
              <w:ind w:firstLine="480" w:firstLineChars="200"/>
              <w:rPr>
                <w:rFonts w:ascii="Times New Roman" w:hAnsi="Times New Roman" w:cs="Times New Roman"/>
                <w:color w:val="000000" w:themeColor="text1"/>
                <w:sz w:val="24"/>
              </w:rPr>
            </w:pPr>
          </w:p>
          <w:p>
            <w:pPr>
              <w:pStyle w:val="15"/>
              <w:spacing w:after="0"/>
              <w:ind w:left="0" w:leftChars="0"/>
              <w:jc w:val="center"/>
              <w:rPr>
                <w:b/>
                <w:color w:val="000000" w:themeColor="text1"/>
                <w:sz w:val="21"/>
                <w:szCs w:val="21"/>
              </w:rPr>
            </w:pPr>
            <w:r>
              <w:rPr>
                <w:rFonts w:hint="eastAsia"/>
                <w:b/>
                <w:color w:val="000000" w:themeColor="text1"/>
                <w:sz w:val="21"/>
                <w:szCs w:val="21"/>
              </w:rPr>
              <w:t>表2.10.4-</w:t>
            </w:r>
            <w:r>
              <w:rPr>
                <w:b/>
                <w:color w:val="000000" w:themeColor="text1"/>
                <w:sz w:val="21"/>
                <w:szCs w:val="21"/>
              </w:rPr>
              <w:t>-</w:t>
            </w:r>
            <w:r>
              <w:rPr>
                <w:rFonts w:hint="eastAsia"/>
                <w:b/>
                <w:color w:val="000000" w:themeColor="text1"/>
                <w:sz w:val="21"/>
                <w:szCs w:val="21"/>
              </w:rPr>
              <w:t>3</w:t>
            </w:r>
            <w:r>
              <w:rPr>
                <w:b/>
                <w:color w:val="000000" w:themeColor="text1"/>
                <w:sz w:val="21"/>
                <w:szCs w:val="21"/>
              </w:rPr>
              <w:t xml:space="preserve"> 现有项目固体废物产生及处置情况一览表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90"/>
              <w:gridCol w:w="910"/>
              <w:gridCol w:w="1134"/>
              <w:gridCol w:w="1134"/>
              <w:gridCol w:w="1134"/>
              <w:gridCol w:w="1276"/>
              <w:gridCol w:w="286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 w:hRule="atLeast"/>
              </w:trPr>
              <w:tc>
                <w:tcPr>
                  <w:tcW w:w="590" w:type="dxa"/>
                  <w:vMerge w:val="restart"/>
                  <w:vAlign w:val="center"/>
                </w:tcPr>
                <w:p>
                  <w:pPr>
                    <w:pStyle w:val="30"/>
                    <w:spacing w:line="360" w:lineRule="exact"/>
                    <w:rPr>
                      <w:color w:val="000000" w:themeColor="text1"/>
                      <w:szCs w:val="21"/>
                    </w:rPr>
                  </w:pPr>
                  <w:r>
                    <w:rPr>
                      <w:rFonts w:hint="eastAsia"/>
                      <w:color w:val="000000" w:themeColor="text1"/>
                      <w:szCs w:val="21"/>
                    </w:rPr>
                    <w:t>序号</w:t>
                  </w:r>
                </w:p>
              </w:tc>
              <w:tc>
                <w:tcPr>
                  <w:tcW w:w="910" w:type="dxa"/>
                  <w:vMerge w:val="restart"/>
                  <w:vAlign w:val="center"/>
                </w:tcPr>
                <w:p>
                  <w:pPr>
                    <w:pStyle w:val="30"/>
                    <w:spacing w:line="360" w:lineRule="exact"/>
                    <w:rPr>
                      <w:color w:val="000000" w:themeColor="text1"/>
                      <w:szCs w:val="21"/>
                    </w:rPr>
                  </w:pPr>
                  <w:r>
                    <w:rPr>
                      <w:rFonts w:hint="eastAsia"/>
                      <w:color w:val="000000" w:themeColor="text1"/>
                      <w:szCs w:val="21"/>
                    </w:rPr>
                    <w:t>固废</w:t>
                  </w:r>
                  <w:r>
                    <w:rPr>
                      <w:color w:val="000000" w:themeColor="text1"/>
                      <w:szCs w:val="21"/>
                    </w:rPr>
                    <w:t>名称</w:t>
                  </w:r>
                </w:p>
              </w:tc>
              <w:tc>
                <w:tcPr>
                  <w:tcW w:w="2268" w:type="dxa"/>
                  <w:gridSpan w:val="2"/>
                  <w:vAlign w:val="center"/>
                </w:tcPr>
                <w:p>
                  <w:pPr>
                    <w:pStyle w:val="30"/>
                    <w:spacing w:line="360" w:lineRule="exact"/>
                    <w:rPr>
                      <w:color w:val="000000" w:themeColor="text1"/>
                      <w:szCs w:val="21"/>
                    </w:rPr>
                  </w:pPr>
                  <w:r>
                    <w:rPr>
                      <w:rFonts w:hint="eastAsia"/>
                      <w:color w:val="000000" w:themeColor="text1"/>
                      <w:szCs w:val="21"/>
                    </w:rPr>
                    <w:t>固体废物</w:t>
                  </w:r>
                  <w:r>
                    <w:rPr>
                      <w:color w:val="000000" w:themeColor="text1"/>
                      <w:szCs w:val="21"/>
                    </w:rPr>
                    <w:t>产生量</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固废</w:t>
                  </w:r>
                  <w:r>
                    <w:rPr>
                      <w:color w:val="000000" w:themeColor="text1"/>
                      <w:szCs w:val="21"/>
                    </w:rPr>
                    <w:t>属性</w:t>
                  </w:r>
                </w:p>
              </w:tc>
              <w:tc>
                <w:tcPr>
                  <w:tcW w:w="1276" w:type="dxa"/>
                  <w:vMerge w:val="restart"/>
                  <w:tcBorders>
                    <w:right w:val="single" w:color="auto" w:sz="4" w:space="0"/>
                  </w:tcBorders>
                  <w:vAlign w:val="center"/>
                </w:tcPr>
                <w:p>
                  <w:pPr>
                    <w:pStyle w:val="30"/>
                    <w:spacing w:line="360" w:lineRule="exact"/>
                    <w:rPr>
                      <w:color w:val="000000" w:themeColor="text1"/>
                      <w:szCs w:val="21"/>
                    </w:rPr>
                  </w:pPr>
                  <w:r>
                    <w:rPr>
                      <w:rFonts w:eastAsiaTheme="minorEastAsia"/>
                      <w:color w:val="000000" w:themeColor="text1"/>
                      <w:szCs w:val="21"/>
                    </w:rPr>
                    <w:t>贮存方式</w:t>
                  </w:r>
                </w:p>
              </w:tc>
              <w:tc>
                <w:tcPr>
                  <w:tcW w:w="2866" w:type="dxa"/>
                  <w:vMerge w:val="restart"/>
                  <w:tcBorders>
                    <w:left w:val="single" w:color="auto" w:sz="4" w:space="0"/>
                  </w:tcBorders>
                  <w:vAlign w:val="center"/>
                </w:tcPr>
                <w:p>
                  <w:pPr>
                    <w:pStyle w:val="30"/>
                    <w:spacing w:line="360" w:lineRule="exact"/>
                    <w:rPr>
                      <w:color w:val="000000" w:themeColor="text1"/>
                      <w:szCs w:val="21"/>
                    </w:rPr>
                  </w:pPr>
                  <w:r>
                    <w:rPr>
                      <w:rFonts w:eastAsiaTheme="minorEastAsia"/>
                      <w:color w:val="000000" w:themeColor="text1"/>
                      <w:szCs w:val="21"/>
                    </w:rPr>
                    <w:t>利用处置方式和去向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9" w:hRule="atLeast"/>
              </w:trPr>
              <w:tc>
                <w:tcPr>
                  <w:tcW w:w="590" w:type="dxa"/>
                  <w:vMerge w:val="continue"/>
                  <w:vAlign w:val="center"/>
                </w:tcPr>
                <w:p>
                  <w:pPr>
                    <w:pStyle w:val="30"/>
                    <w:spacing w:line="360" w:lineRule="exact"/>
                    <w:rPr>
                      <w:color w:val="000000" w:themeColor="text1"/>
                      <w:szCs w:val="21"/>
                    </w:rPr>
                  </w:pPr>
                </w:p>
              </w:tc>
              <w:tc>
                <w:tcPr>
                  <w:tcW w:w="910" w:type="dxa"/>
                  <w:vMerge w:val="continue"/>
                  <w:vAlign w:val="center"/>
                </w:tcPr>
                <w:p>
                  <w:pPr>
                    <w:pStyle w:val="30"/>
                    <w:spacing w:line="360" w:lineRule="exact"/>
                    <w:rPr>
                      <w:color w:val="000000" w:themeColor="text1"/>
                      <w:szCs w:val="21"/>
                    </w:rPr>
                  </w:pPr>
                </w:p>
              </w:tc>
              <w:tc>
                <w:tcPr>
                  <w:tcW w:w="1134" w:type="dxa"/>
                  <w:vAlign w:val="center"/>
                </w:tcPr>
                <w:p>
                  <w:pPr>
                    <w:pStyle w:val="30"/>
                    <w:spacing w:line="360" w:lineRule="exact"/>
                    <w:rPr>
                      <w:color w:val="000000" w:themeColor="text1"/>
                      <w:szCs w:val="21"/>
                    </w:rPr>
                  </w:pPr>
                  <w:r>
                    <w:rPr>
                      <w:rFonts w:hint="eastAsia"/>
                      <w:color w:val="000000" w:themeColor="text1"/>
                      <w:szCs w:val="21"/>
                    </w:rPr>
                    <w:t>实际平均产生量（t/a）</w:t>
                  </w:r>
                </w:p>
              </w:tc>
              <w:tc>
                <w:tcPr>
                  <w:tcW w:w="1134" w:type="dxa"/>
                  <w:vAlign w:val="center"/>
                </w:tcPr>
                <w:p>
                  <w:pPr>
                    <w:pStyle w:val="30"/>
                    <w:spacing w:line="360" w:lineRule="exact"/>
                    <w:rPr>
                      <w:color w:val="000000" w:themeColor="text1"/>
                      <w:szCs w:val="21"/>
                    </w:rPr>
                  </w:pPr>
                  <w:r>
                    <w:rPr>
                      <w:rFonts w:hint="eastAsia"/>
                      <w:color w:val="000000" w:themeColor="text1"/>
                      <w:szCs w:val="21"/>
                    </w:rPr>
                    <w:t>满负荷产生量（t/a）</w:t>
                  </w:r>
                </w:p>
              </w:tc>
              <w:tc>
                <w:tcPr>
                  <w:tcW w:w="1134" w:type="dxa"/>
                  <w:vMerge w:val="continue"/>
                  <w:vAlign w:val="center"/>
                </w:tcPr>
                <w:p>
                  <w:pPr>
                    <w:pStyle w:val="30"/>
                    <w:spacing w:line="360" w:lineRule="exact"/>
                    <w:rPr>
                      <w:color w:val="000000" w:themeColor="text1"/>
                      <w:szCs w:val="21"/>
                    </w:rPr>
                  </w:pPr>
                </w:p>
              </w:tc>
              <w:tc>
                <w:tcPr>
                  <w:tcW w:w="1276" w:type="dxa"/>
                  <w:vMerge w:val="continue"/>
                  <w:tcBorders>
                    <w:right w:val="single" w:color="auto" w:sz="4" w:space="0"/>
                  </w:tcBorders>
                  <w:vAlign w:val="center"/>
                </w:tcPr>
                <w:p>
                  <w:pPr>
                    <w:pStyle w:val="30"/>
                    <w:spacing w:line="360" w:lineRule="exact"/>
                    <w:rPr>
                      <w:color w:val="000000" w:themeColor="text1"/>
                      <w:szCs w:val="21"/>
                    </w:rPr>
                  </w:pPr>
                </w:p>
              </w:tc>
              <w:tc>
                <w:tcPr>
                  <w:tcW w:w="2866" w:type="dxa"/>
                  <w:vMerge w:val="continue"/>
                  <w:tcBorders>
                    <w:left w:val="single" w:color="auto" w:sz="4" w:space="0"/>
                  </w:tcBorders>
                  <w:vAlign w:val="center"/>
                </w:tcPr>
                <w:p>
                  <w:pPr>
                    <w:pStyle w:val="30"/>
                    <w:spacing w:line="360" w:lineRule="exact"/>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w:t>
                  </w:r>
                </w:p>
              </w:tc>
              <w:tc>
                <w:tcPr>
                  <w:tcW w:w="910" w:type="dxa"/>
                  <w:vAlign w:val="center"/>
                </w:tcPr>
                <w:p>
                  <w:pPr>
                    <w:pStyle w:val="30"/>
                    <w:spacing w:line="360" w:lineRule="exact"/>
                    <w:rPr>
                      <w:color w:val="000000" w:themeColor="text1"/>
                      <w:szCs w:val="21"/>
                    </w:rPr>
                  </w:pPr>
                  <w:r>
                    <w:rPr>
                      <w:rFonts w:hint="eastAsia"/>
                      <w:color w:val="000000" w:themeColor="text1"/>
                      <w:szCs w:val="21"/>
                    </w:rPr>
                    <w:t>废塑料</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5079.49</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9013.84</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暂存于塑料暂存区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已和清远市联和再生资源有限公司</w:t>
                  </w:r>
                  <w:r>
                    <w:rPr>
                      <w:rFonts w:hint="eastAsia"/>
                      <w:color w:val="000000" w:themeColor="text1"/>
                    </w:rPr>
                    <w:t>、</w:t>
                  </w:r>
                  <w:r>
                    <w:rPr>
                      <w:rFonts w:hint="eastAsia" w:ascii="Calibri" w:hAnsi="Calibri"/>
                      <w:color w:val="000000" w:themeColor="text1"/>
                    </w:rPr>
                    <w:t>云南昆船环保技术有限公司等21家公司签订合同，通过招投标情况决定委托处置单位。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2</w:t>
                  </w:r>
                </w:p>
              </w:tc>
              <w:tc>
                <w:tcPr>
                  <w:tcW w:w="910" w:type="dxa"/>
                  <w:vAlign w:val="center"/>
                </w:tcPr>
                <w:p>
                  <w:pPr>
                    <w:pStyle w:val="30"/>
                    <w:spacing w:line="360" w:lineRule="exact"/>
                    <w:rPr>
                      <w:color w:val="000000" w:themeColor="text1"/>
                      <w:szCs w:val="21"/>
                    </w:rPr>
                  </w:pPr>
                  <w:r>
                    <w:rPr>
                      <w:rFonts w:hint="eastAsia"/>
                      <w:color w:val="000000" w:themeColor="text1"/>
                      <w:szCs w:val="21"/>
                    </w:rPr>
                    <w:t>废旧有色金属（铜/铝等）</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1542.24</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5041.7</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暂存于废旧有色金属（铜/铝）暂存区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已和天津通宜顺金属制品有限公司</w:t>
                  </w:r>
                  <w:r>
                    <w:rPr>
                      <w:rFonts w:hint="eastAsia"/>
                      <w:color w:val="000000" w:themeColor="text1"/>
                    </w:rPr>
                    <w:t>、</w:t>
                  </w:r>
                  <w:r>
                    <w:rPr>
                      <w:rFonts w:hint="eastAsia" w:ascii="Calibri" w:hAnsi="Calibri"/>
                      <w:color w:val="000000" w:themeColor="text1"/>
                    </w:rPr>
                    <w:t>曲靖市马龙区巨龙机电制造有限公司等16家公司签订合同，通过招投标情况决定委托处置单位。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3</w:t>
                  </w:r>
                </w:p>
              </w:tc>
              <w:tc>
                <w:tcPr>
                  <w:tcW w:w="910" w:type="dxa"/>
                  <w:vAlign w:val="center"/>
                </w:tcPr>
                <w:p>
                  <w:pPr>
                    <w:pStyle w:val="30"/>
                    <w:spacing w:line="360" w:lineRule="exact"/>
                    <w:rPr>
                      <w:color w:val="000000" w:themeColor="text1"/>
                      <w:szCs w:val="21"/>
                    </w:rPr>
                  </w:pPr>
                  <w:r>
                    <w:rPr>
                      <w:rFonts w:hint="eastAsia"/>
                      <w:color w:val="000000" w:themeColor="text1"/>
                      <w:szCs w:val="21"/>
                    </w:rPr>
                    <w:t>废钢/铁</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11411.99</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24859.77</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暂存于钢/铁暂存区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已和玉溪保家再生资源有限公司</w:t>
                  </w:r>
                  <w:r>
                    <w:rPr>
                      <w:rFonts w:hint="eastAsia"/>
                      <w:color w:val="000000" w:themeColor="text1"/>
                    </w:rPr>
                    <w:t>、</w:t>
                  </w:r>
                  <w:r>
                    <w:rPr>
                      <w:rFonts w:hint="eastAsia" w:ascii="Calibri" w:hAnsi="Calibri"/>
                      <w:color w:val="000000" w:themeColor="text1"/>
                    </w:rPr>
                    <w:t>天津凯成发金属制品有限公司</w:t>
                  </w:r>
                  <w:r>
                    <w:rPr>
                      <w:rFonts w:hint="eastAsia"/>
                      <w:color w:val="000000" w:themeColor="text1"/>
                    </w:rPr>
                    <w:t>、</w:t>
                  </w:r>
                  <w:r>
                    <w:rPr>
                      <w:rFonts w:hint="eastAsia" w:ascii="Calibri" w:hAnsi="Calibri"/>
                      <w:color w:val="000000" w:themeColor="text1"/>
                    </w:rPr>
                    <w:t>安宁市伟中铸造有限公司签订合同，通过招投标情况决定委托处置单位。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4</w:t>
                  </w:r>
                </w:p>
              </w:tc>
              <w:tc>
                <w:tcPr>
                  <w:tcW w:w="910" w:type="dxa"/>
                  <w:vAlign w:val="center"/>
                </w:tcPr>
                <w:p>
                  <w:pPr>
                    <w:pStyle w:val="30"/>
                    <w:spacing w:line="360" w:lineRule="exact"/>
                    <w:rPr>
                      <w:color w:val="000000" w:themeColor="text1"/>
                      <w:szCs w:val="21"/>
                    </w:rPr>
                  </w:pPr>
                  <w:r>
                    <w:rPr>
                      <w:rFonts w:hint="eastAsia"/>
                      <w:color w:val="000000" w:themeColor="text1"/>
                      <w:szCs w:val="21"/>
                    </w:rPr>
                    <w:t>废玻璃</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1936.72</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4281.98</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暂存于废玻璃暂存区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已和泸州永恒玻璃有限公司</w:t>
                  </w:r>
                  <w:r>
                    <w:rPr>
                      <w:rFonts w:hint="eastAsia"/>
                      <w:color w:val="000000" w:themeColor="text1"/>
                    </w:rPr>
                    <w:t>、</w:t>
                  </w:r>
                  <w:r>
                    <w:rPr>
                      <w:rFonts w:hint="eastAsia" w:ascii="Calibri" w:hAnsi="Calibri"/>
                      <w:color w:val="000000" w:themeColor="text1"/>
                    </w:rPr>
                    <w:t>四川省泸州市海纳环保科技有限公司</w:t>
                  </w:r>
                  <w:r>
                    <w:rPr>
                      <w:rFonts w:hint="eastAsia"/>
                      <w:color w:val="000000" w:themeColor="text1"/>
                    </w:rPr>
                    <w:t>、</w:t>
                  </w:r>
                  <w:r>
                    <w:rPr>
                      <w:rFonts w:hint="eastAsia" w:ascii="Calibri" w:hAnsi="Calibri"/>
                      <w:color w:val="000000" w:themeColor="text1"/>
                    </w:rPr>
                    <w:t>四川吉晶安新材料科技有限公司签订合同，通过招投标情况决定委托处置单位。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5</w:t>
                  </w:r>
                </w:p>
              </w:tc>
              <w:tc>
                <w:tcPr>
                  <w:tcW w:w="910" w:type="dxa"/>
                  <w:vAlign w:val="center"/>
                </w:tcPr>
                <w:p>
                  <w:pPr>
                    <w:pStyle w:val="30"/>
                    <w:spacing w:line="360" w:lineRule="exact"/>
                    <w:rPr>
                      <w:color w:val="000000" w:themeColor="text1"/>
                      <w:szCs w:val="21"/>
                    </w:rPr>
                  </w:pPr>
                  <w:r>
                    <w:rPr>
                      <w:rFonts w:hint="eastAsia"/>
                      <w:color w:val="000000" w:themeColor="text1"/>
                      <w:szCs w:val="21"/>
                    </w:rPr>
                    <w:t>泡棉</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787.78</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2625.92</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6</w:t>
                  </w:r>
                </w:p>
              </w:tc>
              <w:tc>
                <w:tcPr>
                  <w:tcW w:w="910" w:type="dxa"/>
                  <w:vAlign w:val="center"/>
                </w:tcPr>
                <w:p>
                  <w:pPr>
                    <w:pStyle w:val="30"/>
                    <w:spacing w:line="360" w:lineRule="exact"/>
                    <w:rPr>
                      <w:color w:val="000000" w:themeColor="text1"/>
                      <w:szCs w:val="21"/>
                    </w:rPr>
                  </w:pPr>
                  <w:r>
                    <w:rPr>
                      <w:rFonts w:hint="eastAsia"/>
                      <w:color w:val="000000" w:themeColor="text1"/>
                      <w:szCs w:val="21"/>
                    </w:rPr>
                    <w:t>废电子配件（开关、电容、电源线等）</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315.322</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658.39</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已和北京国浩贸易有限公司</w:t>
                  </w:r>
                  <w:r>
                    <w:rPr>
                      <w:rFonts w:hint="eastAsia"/>
                      <w:color w:val="000000" w:themeColor="text1"/>
                    </w:rPr>
                    <w:t>、</w:t>
                  </w:r>
                  <w:r>
                    <w:rPr>
                      <w:rFonts w:hint="eastAsia" w:ascii="Calibri" w:hAnsi="Calibri"/>
                      <w:color w:val="000000" w:themeColor="text1"/>
                    </w:rPr>
                    <w:t>河南京飞再生资源有限公司签订合同，通过招投标情况决定委托处置单位。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7</w:t>
                  </w:r>
                </w:p>
              </w:tc>
              <w:tc>
                <w:tcPr>
                  <w:tcW w:w="910" w:type="dxa"/>
                  <w:vAlign w:val="center"/>
                </w:tcPr>
                <w:p>
                  <w:pPr>
                    <w:pStyle w:val="30"/>
                    <w:spacing w:line="360" w:lineRule="exact"/>
                    <w:rPr>
                      <w:color w:val="000000" w:themeColor="text1"/>
                      <w:szCs w:val="21"/>
                    </w:rPr>
                  </w:pPr>
                  <w:r>
                    <w:rPr>
                      <w:rFonts w:hint="eastAsia"/>
                      <w:color w:val="000000" w:themeColor="text1"/>
                      <w:szCs w:val="21"/>
                    </w:rPr>
                    <w:t>废矿物油</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8.09</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27.41</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900-219-08</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暂存于2#危险废物贮存间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云南圣邦科技有限公司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8</w:t>
                  </w:r>
                </w:p>
              </w:tc>
              <w:tc>
                <w:tcPr>
                  <w:tcW w:w="910" w:type="dxa"/>
                  <w:vAlign w:val="center"/>
                </w:tcPr>
                <w:p>
                  <w:pPr>
                    <w:pStyle w:val="30"/>
                    <w:spacing w:line="360" w:lineRule="exact"/>
                    <w:rPr>
                      <w:color w:val="000000" w:themeColor="text1"/>
                      <w:szCs w:val="21"/>
                    </w:rPr>
                  </w:pPr>
                  <w:r>
                    <w:rPr>
                      <w:rFonts w:hint="eastAsia"/>
                      <w:color w:val="000000" w:themeColor="text1"/>
                      <w:szCs w:val="21"/>
                    </w:rPr>
                    <w:t>废电路板</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232.59</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394.72</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900-045-49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暂存于废电路板贮存区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贵州鸿鹄环保实业有限公司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9</w:t>
                  </w:r>
                </w:p>
              </w:tc>
              <w:tc>
                <w:tcPr>
                  <w:tcW w:w="910" w:type="dxa"/>
                  <w:vAlign w:val="center"/>
                </w:tcPr>
                <w:p>
                  <w:pPr>
                    <w:pStyle w:val="30"/>
                    <w:spacing w:line="360" w:lineRule="exact"/>
                    <w:rPr>
                      <w:color w:val="000000" w:themeColor="text1"/>
                      <w:szCs w:val="21"/>
                    </w:rPr>
                  </w:pPr>
                  <w:r>
                    <w:rPr>
                      <w:rFonts w:hint="eastAsia"/>
                      <w:color w:val="000000" w:themeColor="text1"/>
                      <w:szCs w:val="21"/>
                    </w:rPr>
                    <w:t>含汞灯管</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0.02</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11.77</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900-023-29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10</w:t>
                  </w:r>
                </w:p>
              </w:tc>
              <w:tc>
                <w:tcPr>
                  <w:tcW w:w="910" w:type="dxa"/>
                  <w:vAlign w:val="center"/>
                </w:tcPr>
                <w:p>
                  <w:pPr>
                    <w:pStyle w:val="30"/>
                    <w:spacing w:line="360" w:lineRule="exact"/>
                    <w:rPr>
                      <w:color w:val="000000" w:themeColor="text1"/>
                      <w:szCs w:val="21"/>
                    </w:rPr>
                  </w:pPr>
                  <w:r>
                    <w:rPr>
                      <w:rFonts w:hint="eastAsia"/>
                      <w:color w:val="000000" w:themeColor="text1"/>
                      <w:szCs w:val="21"/>
                    </w:rPr>
                    <w:t>制冷剂</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0.35</w:t>
                  </w:r>
                </w:p>
              </w:tc>
              <w:tc>
                <w:tcPr>
                  <w:tcW w:w="1134" w:type="dxa"/>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2.49</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暂存于4危险废物贮存间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委托天津澳宏环保材料有限公司处置。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11</w:t>
                  </w:r>
                </w:p>
              </w:tc>
              <w:tc>
                <w:tcPr>
                  <w:tcW w:w="910" w:type="dxa"/>
                  <w:vAlign w:val="center"/>
                </w:tcPr>
                <w:p>
                  <w:pPr>
                    <w:pStyle w:val="30"/>
                    <w:spacing w:line="360" w:lineRule="exact"/>
                    <w:rPr>
                      <w:color w:val="000000" w:themeColor="text1"/>
                      <w:szCs w:val="21"/>
                    </w:rPr>
                  </w:pPr>
                  <w:r>
                    <w:rPr>
                      <w:rFonts w:hint="eastAsia"/>
                      <w:color w:val="000000" w:themeColor="text1"/>
                      <w:szCs w:val="21"/>
                    </w:rPr>
                    <w:t>背光模组</w:t>
                  </w:r>
                </w:p>
              </w:tc>
              <w:tc>
                <w:tcPr>
                  <w:tcW w:w="1134" w:type="dxa"/>
                  <w:vAlign w:val="center"/>
                </w:tcPr>
                <w:p>
                  <w:pPr>
                    <w:pStyle w:val="30"/>
                    <w:spacing w:line="360" w:lineRule="exact"/>
                    <w:rPr>
                      <w:color w:val="000000" w:themeColor="text1"/>
                      <w:szCs w:val="21"/>
                    </w:rPr>
                  </w:pPr>
                  <w:r>
                    <w:rPr>
                      <w:color w:val="000000" w:themeColor="text1"/>
                      <w:szCs w:val="21"/>
                    </w:rPr>
                    <w:t>1.55</w:t>
                  </w:r>
                </w:p>
              </w:tc>
              <w:tc>
                <w:tcPr>
                  <w:tcW w:w="1134" w:type="dxa"/>
                  <w:vAlign w:val="center"/>
                </w:tcPr>
                <w:p>
                  <w:pPr>
                    <w:pStyle w:val="30"/>
                    <w:spacing w:line="360" w:lineRule="exact"/>
                    <w:rPr>
                      <w:color w:val="000000" w:themeColor="text1"/>
                      <w:szCs w:val="21"/>
                    </w:rPr>
                  </w:pPr>
                  <w:r>
                    <w:rPr>
                      <w:color w:val="000000" w:themeColor="text1"/>
                      <w:szCs w:val="21"/>
                    </w:rPr>
                    <w:t>15.52</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900-023-29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12</w:t>
                  </w:r>
                </w:p>
              </w:tc>
              <w:tc>
                <w:tcPr>
                  <w:tcW w:w="910" w:type="dxa"/>
                  <w:vAlign w:val="center"/>
                </w:tcPr>
                <w:p>
                  <w:pPr>
                    <w:pStyle w:val="30"/>
                    <w:spacing w:line="360" w:lineRule="exact"/>
                    <w:rPr>
                      <w:color w:val="000000" w:themeColor="text1"/>
                      <w:szCs w:val="21"/>
                    </w:rPr>
                  </w:pPr>
                  <w:r>
                    <w:rPr>
                      <w:rFonts w:hint="eastAsia"/>
                      <w:color w:val="000000" w:themeColor="text1"/>
                      <w:szCs w:val="21"/>
                    </w:rPr>
                    <w:t>废弃的阴极射线管（锥玻璃）</w:t>
                  </w:r>
                </w:p>
              </w:tc>
              <w:tc>
                <w:tcPr>
                  <w:tcW w:w="1134" w:type="dxa"/>
                  <w:vAlign w:val="center"/>
                </w:tcPr>
                <w:p>
                  <w:pPr>
                    <w:pStyle w:val="30"/>
                    <w:spacing w:line="360" w:lineRule="exact"/>
                    <w:rPr>
                      <w:color w:val="000000" w:themeColor="text1"/>
                      <w:szCs w:val="21"/>
                    </w:rPr>
                  </w:pPr>
                  <w:r>
                    <w:rPr>
                      <w:color w:val="000000" w:themeColor="text1"/>
                      <w:szCs w:val="21"/>
                    </w:rPr>
                    <w:t>1980</w:t>
                  </w:r>
                </w:p>
              </w:tc>
              <w:tc>
                <w:tcPr>
                  <w:tcW w:w="1134" w:type="dxa"/>
                  <w:vAlign w:val="center"/>
                </w:tcPr>
                <w:p>
                  <w:pPr>
                    <w:pStyle w:val="30"/>
                    <w:spacing w:line="360" w:lineRule="exact"/>
                    <w:rPr>
                      <w:color w:val="000000" w:themeColor="text1"/>
                      <w:szCs w:val="21"/>
                    </w:rPr>
                  </w:pPr>
                  <w:r>
                    <w:rPr>
                      <w:color w:val="000000" w:themeColor="text1"/>
                      <w:szCs w:val="21"/>
                    </w:rPr>
                    <w:t>2475</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900-044-49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暂存于废弃的阴极射线管（锥玻璃）含铅贮存区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13</w:t>
                  </w:r>
                </w:p>
              </w:tc>
              <w:tc>
                <w:tcPr>
                  <w:tcW w:w="910" w:type="dxa"/>
                  <w:vAlign w:val="center"/>
                </w:tcPr>
                <w:p>
                  <w:pPr>
                    <w:pStyle w:val="30"/>
                    <w:spacing w:line="360" w:lineRule="exact"/>
                    <w:rPr>
                      <w:color w:val="000000" w:themeColor="text1"/>
                      <w:szCs w:val="21"/>
                    </w:rPr>
                  </w:pPr>
                  <w:r>
                    <w:rPr>
                      <w:rFonts w:hint="eastAsia"/>
                      <w:color w:val="000000" w:themeColor="text1"/>
                      <w:szCs w:val="21"/>
                    </w:rPr>
                    <w:t>荧光粉</w:t>
                  </w:r>
                </w:p>
              </w:tc>
              <w:tc>
                <w:tcPr>
                  <w:tcW w:w="1134" w:type="dxa"/>
                  <w:vAlign w:val="center"/>
                </w:tcPr>
                <w:p>
                  <w:pPr>
                    <w:pStyle w:val="30"/>
                    <w:spacing w:line="360" w:lineRule="exact"/>
                    <w:rPr>
                      <w:color w:val="000000" w:themeColor="text1"/>
                      <w:szCs w:val="21"/>
                    </w:rPr>
                  </w:pPr>
                  <w:r>
                    <w:rPr>
                      <w:color w:val="000000" w:themeColor="text1"/>
                      <w:szCs w:val="21"/>
                    </w:rPr>
                    <w:t>180</w:t>
                  </w:r>
                </w:p>
              </w:tc>
              <w:tc>
                <w:tcPr>
                  <w:tcW w:w="1134" w:type="dxa"/>
                  <w:vAlign w:val="center"/>
                </w:tcPr>
                <w:p>
                  <w:pPr>
                    <w:pStyle w:val="30"/>
                    <w:spacing w:line="360" w:lineRule="exact"/>
                    <w:rPr>
                      <w:color w:val="000000" w:themeColor="text1"/>
                      <w:szCs w:val="21"/>
                    </w:rPr>
                  </w:pPr>
                  <w:r>
                    <w:rPr>
                      <w:color w:val="000000" w:themeColor="text1"/>
                      <w:szCs w:val="21"/>
                    </w:rPr>
                    <w:t>225</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900-044-49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14</w:t>
                  </w:r>
                </w:p>
              </w:tc>
              <w:tc>
                <w:tcPr>
                  <w:tcW w:w="910" w:type="dxa"/>
                  <w:vAlign w:val="center"/>
                </w:tcPr>
                <w:p>
                  <w:pPr>
                    <w:pStyle w:val="30"/>
                    <w:spacing w:line="360" w:lineRule="exact"/>
                    <w:rPr>
                      <w:color w:val="000000" w:themeColor="text1"/>
                      <w:szCs w:val="21"/>
                    </w:rPr>
                  </w:pPr>
                  <w:r>
                    <w:rPr>
                      <w:rFonts w:hint="eastAsia"/>
                      <w:color w:val="000000" w:themeColor="text1"/>
                      <w:szCs w:val="21"/>
                    </w:rPr>
                    <w:t>废弃细碎料</w:t>
                  </w:r>
                </w:p>
              </w:tc>
              <w:tc>
                <w:tcPr>
                  <w:tcW w:w="1134" w:type="dxa"/>
                  <w:vAlign w:val="center"/>
                </w:tcPr>
                <w:p>
                  <w:pPr>
                    <w:pStyle w:val="30"/>
                    <w:spacing w:line="360" w:lineRule="exact"/>
                    <w:rPr>
                      <w:color w:val="000000" w:themeColor="text1"/>
                      <w:szCs w:val="21"/>
                    </w:rPr>
                  </w:pPr>
                  <w:r>
                    <w:rPr>
                      <w:rFonts w:hint="eastAsia"/>
                      <w:color w:val="000000" w:themeColor="text1"/>
                      <w:szCs w:val="21"/>
                    </w:rPr>
                    <w:t>428.4</w:t>
                  </w:r>
                </w:p>
              </w:tc>
              <w:tc>
                <w:tcPr>
                  <w:tcW w:w="1134" w:type="dxa"/>
                  <w:vAlign w:val="center"/>
                </w:tcPr>
                <w:p>
                  <w:pPr>
                    <w:pStyle w:val="30"/>
                    <w:spacing w:line="360" w:lineRule="exact"/>
                    <w:rPr>
                      <w:color w:val="000000" w:themeColor="text1"/>
                      <w:szCs w:val="21"/>
                    </w:rPr>
                  </w:pPr>
                  <w:r>
                    <w:rPr>
                      <w:rFonts w:hint="eastAsia"/>
                      <w:color w:val="000000" w:themeColor="text1"/>
                      <w:szCs w:val="21"/>
                    </w:rPr>
                    <w:t>1057.2</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15</w:t>
                  </w:r>
                </w:p>
              </w:tc>
              <w:tc>
                <w:tcPr>
                  <w:tcW w:w="910" w:type="dxa"/>
                  <w:vAlign w:val="center"/>
                </w:tcPr>
                <w:p>
                  <w:pPr>
                    <w:pStyle w:val="30"/>
                    <w:spacing w:line="360" w:lineRule="exact"/>
                    <w:rPr>
                      <w:color w:val="000000" w:themeColor="text1"/>
                      <w:szCs w:val="21"/>
                    </w:rPr>
                  </w:pPr>
                  <w:r>
                    <w:rPr>
                      <w:rFonts w:hint="eastAsia"/>
                      <w:color w:val="000000" w:themeColor="text1"/>
                      <w:szCs w:val="21"/>
                    </w:rPr>
                    <w:t>废活性炭（吸附有机废气）</w:t>
                  </w:r>
                </w:p>
              </w:tc>
              <w:tc>
                <w:tcPr>
                  <w:tcW w:w="1134" w:type="dxa"/>
                  <w:vAlign w:val="center"/>
                </w:tcPr>
                <w:p>
                  <w:pPr>
                    <w:pStyle w:val="30"/>
                    <w:spacing w:line="360" w:lineRule="exact"/>
                    <w:rPr>
                      <w:color w:val="000000" w:themeColor="text1"/>
                      <w:szCs w:val="21"/>
                    </w:rPr>
                  </w:pPr>
                  <w:r>
                    <w:rPr>
                      <w:color w:val="000000" w:themeColor="text1"/>
                      <w:szCs w:val="21"/>
                    </w:rPr>
                    <w:t>0.05</w:t>
                  </w:r>
                </w:p>
              </w:tc>
              <w:tc>
                <w:tcPr>
                  <w:tcW w:w="1134" w:type="dxa"/>
                  <w:vAlign w:val="center"/>
                </w:tcPr>
                <w:p>
                  <w:pPr>
                    <w:pStyle w:val="30"/>
                    <w:spacing w:line="360" w:lineRule="exact"/>
                    <w:rPr>
                      <w:color w:val="000000" w:themeColor="text1"/>
                      <w:szCs w:val="21"/>
                    </w:rPr>
                  </w:pPr>
                  <w:r>
                    <w:rPr>
                      <w:color w:val="000000" w:themeColor="text1"/>
                      <w:szCs w:val="21"/>
                    </w:rPr>
                    <w:t>0.06</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900-039-49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暂存于3#危险废物贮存间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16</w:t>
                  </w:r>
                </w:p>
              </w:tc>
              <w:tc>
                <w:tcPr>
                  <w:tcW w:w="910" w:type="dxa"/>
                  <w:vAlign w:val="center"/>
                </w:tcPr>
                <w:p>
                  <w:pPr>
                    <w:pStyle w:val="30"/>
                    <w:spacing w:line="360" w:lineRule="exact"/>
                    <w:rPr>
                      <w:color w:val="000000" w:themeColor="text1"/>
                      <w:szCs w:val="21"/>
                    </w:rPr>
                  </w:pPr>
                  <w:r>
                    <w:rPr>
                      <w:rFonts w:hint="eastAsia"/>
                      <w:color w:val="000000" w:themeColor="text1"/>
                      <w:szCs w:val="21"/>
                    </w:rPr>
                    <w:t>收集粉尘</w:t>
                  </w:r>
                </w:p>
              </w:tc>
              <w:tc>
                <w:tcPr>
                  <w:tcW w:w="1134" w:type="dxa"/>
                  <w:vAlign w:val="center"/>
                </w:tcPr>
                <w:p>
                  <w:pPr>
                    <w:pStyle w:val="30"/>
                    <w:spacing w:line="360" w:lineRule="exact"/>
                    <w:rPr>
                      <w:color w:val="000000" w:themeColor="text1"/>
                      <w:szCs w:val="21"/>
                    </w:rPr>
                  </w:pPr>
                  <w:r>
                    <w:rPr>
                      <w:color w:val="000000" w:themeColor="text1"/>
                      <w:szCs w:val="21"/>
                    </w:rPr>
                    <w:t>20.65</w:t>
                  </w:r>
                </w:p>
              </w:tc>
              <w:tc>
                <w:tcPr>
                  <w:tcW w:w="1134" w:type="dxa"/>
                  <w:vAlign w:val="center"/>
                </w:tcPr>
                <w:p>
                  <w:pPr>
                    <w:pStyle w:val="30"/>
                    <w:spacing w:line="360" w:lineRule="exact"/>
                    <w:rPr>
                      <w:color w:val="000000" w:themeColor="text1"/>
                      <w:szCs w:val="21"/>
                    </w:rPr>
                  </w:pPr>
                  <w:r>
                    <w:rPr>
                      <w:color w:val="000000" w:themeColor="text1"/>
                      <w:szCs w:val="21"/>
                    </w:rPr>
                    <w:t>25.12</w:t>
                  </w:r>
                </w:p>
              </w:tc>
              <w:tc>
                <w:tcPr>
                  <w:tcW w:w="1134" w:type="dxa"/>
                  <w:vAlign w:val="center"/>
                </w:tcPr>
                <w:p>
                  <w:pPr>
                    <w:pStyle w:val="30"/>
                    <w:spacing w:line="360" w:lineRule="exact"/>
                    <w:rPr>
                      <w:color w:val="000000" w:themeColor="text1"/>
                      <w:szCs w:val="21"/>
                    </w:rPr>
                  </w:pPr>
                  <w:r>
                    <w:rPr>
                      <w:rFonts w:hint="eastAsia"/>
                      <w:color w:val="000000" w:themeColor="text1"/>
                      <w:szCs w:val="21"/>
                    </w:rPr>
                    <w:t>一般工业固体废物</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17</w:t>
                  </w:r>
                </w:p>
              </w:tc>
              <w:tc>
                <w:tcPr>
                  <w:tcW w:w="910" w:type="dxa"/>
                  <w:vAlign w:val="center"/>
                </w:tcPr>
                <w:p>
                  <w:pPr>
                    <w:pStyle w:val="30"/>
                    <w:spacing w:line="360" w:lineRule="exact"/>
                    <w:rPr>
                      <w:color w:val="000000" w:themeColor="text1"/>
                      <w:szCs w:val="21"/>
                    </w:rPr>
                  </w:pPr>
                  <w:r>
                    <w:rPr>
                      <w:rFonts w:hint="eastAsia"/>
                      <w:color w:val="000000" w:themeColor="text1"/>
                      <w:szCs w:val="21"/>
                    </w:rPr>
                    <w:t>收集含铅粉尘</w:t>
                  </w:r>
                </w:p>
              </w:tc>
              <w:tc>
                <w:tcPr>
                  <w:tcW w:w="1134" w:type="dxa"/>
                  <w:vAlign w:val="center"/>
                </w:tcPr>
                <w:p>
                  <w:pPr>
                    <w:pStyle w:val="30"/>
                    <w:spacing w:line="360" w:lineRule="exact"/>
                    <w:rPr>
                      <w:color w:val="000000" w:themeColor="text1"/>
                      <w:szCs w:val="21"/>
                    </w:rPr>
                  </w:pPr>
                  <w:r>
                    <w:rPr>
                      <w:color w:val="000000" w:themeColor="text1"/>
                      <w:szCs w:val="21"/>
                    </w:rPr>
                    <w:t>0.58</w:t>
                  </w:r>
                </w:p>
              </w:tc>
              <w:tc>
                <w:tcPr>
                  <w:tcW w:w="1134" w:type="dxa"/>
                  <w:vAlign w:val="center"/>
                </w:tcPr>
                <w:p>
                  <w:pPr>
                    <w:pStyle w:val="30"/>
                    <w:spacing w:line="360" w:lineRule="exact"/>
                    <w:rPr>
                      <w:color w:val="000000" w:themeColor="text1"/>
                      <w:szCs w:val="21"/>
                    </w:rPr>
                  </w:pPr>
                  <w:r>
                    <w:rPr>
                      <w:color w:val="000000" w:themeColor="text1"/>
                      <w:szCs w:val="21"/>
                    </w:rPr>
                    <w:t>0.65</w:t>
                  </w:r>
                </w:p>
              </w:tc>
              <w:tc>
                <w:tcPr>
                  <w:tcW w:w="1134" w:type="dxa"/>
                  <w:vAlign w:val="center"/>
                </w:tcPr>
                <w:p>
                  <w:pPr>
                    <w:pStyle w:val="30"/>
                    <w:spacing w:line="360" w:lineRule="exact"/>
                    <w:rPr>
                      <w:color w:val="000000" w:themeColor="text1"/>
                      <w:szCs w:val="21"/>
                    </w:rPr>
                  </w:pPr>
                  <w:r>
                    <w:rPr>
                      <w:rFonts w:hint="eastAsia"/>
                      <w:color w:val="000000" w:themeColor="text1"/>
                      <w:szCs w:val="21"/>
                    </w:rPr>
                    <w:t>危险废物（危废代码：</w:t>
                  </w:r>
                  <w:r>
                    <w:rPr>
                      <w:color w:val="000000" w:themeColor="text1"/>
                      <w:szCs w:val="21"/>
                    </w:rPr>
                    <w:t>900-044-49</w:t>
                  </w:r>
                  <w:r>
                    <w:rPr>
                      <w:rFonts w:hint="eastAsia"/>
                      <w:color w:val="000000" w:themeColor="text1"/>
                      <w:szCs w:val="21"/>
                    </w:rPr>
                    <w:t>）</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2866" w:type="dxa"/>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18</w:t>
                  </w:r>
                </w:p>
              </w:tc>
              <w:tc>
                <w:tcPr>
                  <w:tcW w:w="910" w:type="dxa"/>
                  <w:vAlign w:val="center"/>
                </w:tcPr>
                <w:p>
                  <w:pPr>
                    <w:pStyle w:val="30"/>
                    <w:spacing w:line="360" w:lineRule="exact"/>
                    <w:rPr>
                      <w:color w:val="000000" w:themeColor="text1"/>
                      <w:szCs w:val="21"/>
                    </w:rPr>
                  </w:pPr>
                  <w:r>
                    <w:rPr>
                      <w:rFonts w:hint="eastAsia"/>
                      <w:color w:val="000000" w:themeColor="text1"/>
                      <w:szCs w:val="21"/>
                    </w:rPr>
                    <w:t>生活垃圾</w:t>
                  </w:r>
                </w:p>
              </w:tc>
              <w:tc>
                <w:tcPr>
                  <w:tcW w:w="1134" w:type="dxa"/>
                  <w:vAlign w:val="center"/>
                </w:tcPr>
                <w:p>
                  <w:pPr>
                    <w:pStyle w:val="30"/>
                    <w:spacing w:line="360" w:lineRule="exact"/>
                    <w:rPr>
                      <w:color w:val="000000" w:themeColor="text1"/>
                      <w:szCs w:val="21"/>
                    </w:rPr>
                  </w:pPr>
                  <w:r>
                    <w:rPr>
                      <w:color w:val="000000" w:themeColor="text1"/>
                      <w:szCs w:val="21"/>
                    </w:rPr>
                    <w:t>24.6</w:t>
                  </w:r>
                </w:p>
              </w:tc>
              <w:tc>
                <w:tcPr>
                  <w:tcW w:w="1134" w:type="dxa"/>
                  <w:vAlign w:val="center"/>
                </w:tcPr>
                <w:p>
                  <w:pPr>
                    <w:pStyle w:val="30"/>
                    <w:spacing w:line="360" w:lineRule="exact"/>
                    <w:rPr>
                      <w:color w:val="000000" w:themeColor="text1"/>
                      <w:szCs w:val="21"/>
                    </w:rPr>
                  </w:pPr>
                  <w:r>
                    <w:rPr>
                      <w:color w:val="000000" w:themeColor="text1"/>
                      <w:szCs w:val="21"/>
                    </w:rPr>
                    <w:t>24.6</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生活固废</w:t>
                  </w: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日产日清</w:t>
                  </w:r>
                </w:p>
              </w:tc>
              <w:tc>
                <w:tcPr>
                  <w:tcW w:w="2866" w:type="dxa"/>
                  <w:vMerge w:val="restart"/>
                  <w:tcBorders>
                    <w:lef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委托环卫部门处置。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19</w:t>
                  </w:r>
                </w:p>
              </w:tc>
              <w:tc>
                <w:tcPr>
                  <w:tcW w:w="91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餐厨废物</w:t>
                  </w:r>
                </w:p>
              </w:tc>
              <w:tc>
                <w:tcPr>
                  <w:tcW w:w="113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w:t>
                  </w:r>
                </w:p>
              </w:tc>
              <w:tc>
                <w:tcPr>
                  <w:tcW w:w="113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w:t>
                  </w:r>
                </w:p>
              </w:tc>
              <w:tc>
                <w:tcPr>
                  <w:tcW w:w="1134" w:type="dxa"/>
                  <w:vMerge w:val="continue"/>
                  <w:vAlign w:val="center"/>
                </w:tcPr>
                <w:p>
                  <w:pPr>
                    <w:pStyle w:val="30"/>
                    <w:spacing w:line="360" w:lineRule="exact"/>
                    <w:rPr>
                      <w:color w:val="000000" w:themeColor="text1"/>
                      <w:szCs w:val="21"/>
                    </w:rPr>
                  </w:pP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w:t>
                  </w:r>
                </w:p>
              </w:tc>
              <w:tc>
                <w:tcPr>
                  <w:tcW w:w="2866" w:type="dxa"/>
                  <w:vMerge w:val="continue"/>
                  <w:tcBorders>
                    <w:left w:val="single" w:color="auto" w:sz="4" w:space="0"/>
                  </w:tcBorders>
                  <w:vAlign w:val="center"/>
                </w:tcPr>
                <w:p>
                  <w:pPr>
                    <w:pStyle w:val="30"/>
                    <w:spacing w:line="360" w:lineRule="exact"/>
                    <w:ind w:firstLine="210" w:firstLineChars="100"/>
                    <w:jc w:val="left"/>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90" w:type="dxa"/>
                  <w:vAlign w:val="center"/>
                </w:tcPr>
                <w:p>
                  <w:pPr>
                    <w:pStyle w:val="30"/>
                    <w:spacing w:line="360" w:lineRule="exact"/>
                    <w:rPr>
                      <w:color w:val="000000" w:themeColor="text1"/>
                      <w:szCs w:val="21"/>
                    </w:rPr>
                  </w:pPr>
                  <w:r>
                    <w:rPr>
                      <w:rFonts w:hint="eastAsia"/>
                      <w:color w:val="000000" w:themeColor="text1"/>
                      <w:szCs w:val="21"/>
                    </w:rPr>
                    <w:t>20</w:t>
                  </w:r>
                </w:p>
              </w:tc>
              <w:tc>
                <w:tcPr>
                  <w:tcW w:w="91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隔油池浮油</w:t>
                  </w:r>
                </w:p>
              </w:tc>
              <w:tc>
                <w:tcPr>
                  <w:tcW w:w="113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0.09</w:t>
                  </w:r>
                </w:p>
              </w:tc>
              <w:tc>
                <w:tcPr>
                  <w:tcW w:w="113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0.09</w:t>
                  </w:r>
                </w:p>
              </w:tc>
              <w:tc>
                <w:tcPr>
                  <w:tcW w:w="1134" w:type="dxa"/>
                  <w:vMerge w:val="continue"/>
                  <w:vAlign w:val="center"/>
                </w:tcPr>
                <w:p>
                  <w:pPr>
                    <w:pStyle w:val="30"/>
                    <w:spacing w:line="360" w:lineRule="exact"/>
                    <w:rPr>
                      <w:color w:val="000000" w:themeColor="text1"/>
                      <w:szCs w:val="21"/>
                    </w:rPr>
                  </w:pPr>
                </w:p>
              </w:tc>
              <w:tc>
                <w:tcPr>
                  <w:tcW w:w="1276" w:type="dxa"/>
                  <w:tcBorders>
                    <w:right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w:t>
                  </w:r>
                </w:p>
              </w:tc>
              <w:tc>
                <w:tcPr>
                  <w:tcW w:w="2866" w:type="dxa"/>
                  <w:vMerge w:val="continue"/>
                  <w:tcBorders>
                    <w:left w:val="single" w:color="auto" w:sz="4" w:space="0"/>
                  </w:tcBorders>
                  <w:vAlign w:val="center"/>
                </w:tcPr>
                <w:p>
                  <w:pPr>
                    <w:pStyle w:val="30"/>
                    <w:spacing w:line="360" w:lineRule="exact"/>
                    <w:ind w:firstLine="210" w:firstLineChars="100"/>
                    <w:jc w:val="left"/>
                    <w:rPr>
                      <w:color w:val="000000" w:themeColor="text1"/>
                      <w:szCs w:val="21"/>
                    </w:rPr>
                  </w:pP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w:t>
            </w:r>
            <w:r>
              <w:rPr>
                <w:rFonts w:hint="eastAsia" w:ascii="Times New Roman" w:hAnsi="Times New Roman" w:cs="Times New Roman"/>
                <w:color w:val="000000" w:themeColor="text1"/>
                <w:sz w:val="24"/>
              </w:rPr>
              <w:t>现有</w:t>
            </w:r>
            <w:r>
              <w:rPr>
                <w:rFonts w:ascii="Times New Roman" w:hAnsi="Times New Roman" w:cs="Times New Roman"/>
                <w:color w:val="000000" w:themeColor="text1"/>
                <w:sz w:val="24"/>
              </w:rPr>
              <w:t>项目</w:t>
            </w:r>
            <w:r>
              <w:rPr>
                <w:rFonts w:hint="eastAsia" w:ascii="Times New Roman" w:hAnsi="Times New Roman" w:cs="Times New Roman"/>
                <w:color w:val="000000" w:themeColor="text1"/>
                <w:sz w:val="24"/>
              </w:rPr>
              <w:t>产生的危险废物处置可达到</w:t>
            </w:r>
            <w:r>
              <w:rPr>
                <w:rFonts w:ascii="Times New Roman" w:hAnsi="Times New Roman" w:cs="Times New Roman"/>
                <w:color w:val="000000" w:themeColor="text1"/>
                <w:sz w:val="24"/>
              </w:rPr>
              <w:t>《危险废物贮存污染控制标准》（GB18597-2001）及修改单</w:t>
            </w:r>
            <w:r>
              <w:rPr>
                <w:rFonts w:hint="eastAsia" w:ascii="Times New Roman" w:hAnsi="Times New Roman" w:cs="Times New Roman"/>
                <w:color w:val="000000" w:themeColor="text1"/>
                <w:sz w:val="24"/>
              </w:rPr>
              <w:t>的要求，而制冷剂处置可达到</w:t>
            </w:r>
            <w:r>
              <w:rPr>
                <w:rFonts w:ascii="Times New Roman" w:hAnsi="Times New Roman" w:cs="Times New Roman"/>
                <w:color w:val="000000" w:themeColor="text1"/>
                <w:sz w:val="24"/>
              </w:rPr>
              <w:t>《废弃电器电子产品处理污染控制技术规范》（HJ527-2010）</w:t>
            </w:r>
            <w:r>
              <w:rPr>
                <w:rFonts w:hint="eastAsia" w:ascii="Times New Roman" w:hAnsi="Times New Roman" w:cs="Times New Roman"/>
                <w:color w:val="000000" w:themeColor="text1"/>
                <w:sz w:val="24"/>
              </w:rPr>
              <w:t>的</w:t>
            </w:r>
            <w:r>
              <w:rPr>
                <w:rFonts w:ascii="Times New Roman" w:hAnsi="Times New Roman" w:cs="Times New Roman"/>
                <w:color w:val="000000" w:themeColor="text1"/>
                <w:sz w:val="24"/>
              </w:rPr>
              <w:t>要求</w:t>
            </w:r>
            <w:r>
              <w:rPr>
                <w:rFonts w:hint="eastAsia" w:ascii="Times New Roman" w:hAnsi="Times New Roman" w:cs="Times New Roman"/>
                <w:color w:val="000000" w:themeColor="text1"/>
                <w:sz w:val="24"/>
              </w:rPr>
              <w:t>，一般工业固体废物处置率为100%，对环境影响较小。</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2.11 与现有工程有关的主要环境问题及整改措施</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2.11.1 存在的主要问题</w:t>
            </w:r>
          </w:p>
          <w:p>
            <w:pPr>
              <w:pStyle w:val="38"/>
              <w:ind w:firstLine="480"/>
              <w:rPr>
                <w:color w:val="000000" w:themeColor="text1"/>
                <w:szCs w:val="21"/>
              </w:rPr>
            </w:pPr>
            <w:r>
              <w:rPr>
                <w:rFonts w:hint="eastAsia"/>
                <w:color w:val="000000" w:themeColor="text1"/>
                <w:szCs w:val="21"/>
              </w:rPr>
              <w:t>根据调查，目前项目主要存在的问题如下：</w:t>
            </w:r>
          </w:p>
          <w:p>
            <w:pPr>
              <w:pStyle w:val="38"/>
              <w:ind w:firstLine="480"/>
              <w:rPr>
                <w:color w:val="000000" w:themeColor="text1"/>
                <w:szCs w:val="21"/>
              </w:rPr>
            </w:pPr>
            <w:r>
              <w:rPr>
                <w:rFonts w:hint="eastAsia"/>
                <w:color w:val="000000" w:themeColor="text1"/>
                <w:szCs w:val="21"/>
              </w:rPr>
              <w:t>①</w:t>
            </w:r>
            <w:r>
              <w:rPr>
                <w:color w:val="000000" w:themeColor="text1"/>
                <w:szCs w:val="21"/>
              </w:rPr>
              <w:t>1号废旧电视机（CRT）处理线</w:t>
            </w:r>
            <w:r>
              <w:rPr>
                <w:rFonts w:hint="eastAsia"/>
                <w:color w:val="000000" w:themeColor="text1"/>
                <w:szCs w:val="21"/>
              </w:rPr>
              <w:t>废气处理设施的1个破碎区的破碎粉尘收集设施存在维护不到位的情况，使其粉尘无法有效收集和处置。</w:t>
            </w:r>
          </w:p>
          <w:p>
            <w:pPr>
              <w:pStyle w:val="38"/>
              <w:ind w:firstLine="480"/>
              <w:rPr>
                <w:color w:val="000000" w:themeColor="text1"/>
                <w:szCs w:val="21"/>
              </w:rPr>
            </w:pPr>
            <w:r>
              <w:rPr>
                <w:rFonts w:hint="eastAsia"/>
                <w:color w:val="000000" w:themeColor="text1"/>
                <w:szCs w:val="21"/>
              </w:rPr>
              <w:t>②</w:t>
            </w:r>
            <w:r>
              <w:rPr>
                <w:color w:val="000000" w:themeColor="text1"/>
                <w:szCs w:val="21"/>
              </w:rPr>
              <w:t>项目针对办公生活区，已配套设置了1个2m³的隔油池、3个5m³的化粪池和1</w:t>
            </w:r>
            <w:r>
              <w:rPr>
                <w:rFonts w:hint="eastAsia"/>
                <w:color w:val="000000" w:themeColor="text1"/>
                <w:szCs w:val="21"/>
              </w:rPr>
              <w:t>个</w:t>
            </w:r>
            <w:r>
              <w:rPr>
                <w:color w:val="000000" w:themeColor="text1"/>
                <w:szCs w:val="21"/>
              </w:rPr>
              <w:t>10m³/d的</w:t>
            </w:r>
            <w:r>
              <w:rPr>
                <w:rFonts w:hint="eastAsia"/>
                <w:color w:val="000000" w:themeColor="text1"/>
                <w:szCs w:val="21"/>
              </w:rPr>
              <w:t>污水收集池对生活污水进行处理，处理后回用于绿化不外排；但不能稳定达到</w:t>
            </w:r>
            <w:r>
              <w:rPr>
                <w:color w:val="000000" w:themeColor="text1"/>
                <w:szCs w:val="21"/>
              </w:rPr>
              <w:t>《城市污水再生利用 城市杂用水水质》（GB/T18920-2020）城市绿化标准</w:t>
            </w:r>
            <w:r>
              <w:rPr>
                <w:rFonts w:hint="eastAsia"/>
                <w:color w:val="000000" w:themeColor="text1"/>
                <w:szCs w:val="21"/>
              </w:rPr>
              <w:t>。</w:t>
            </w:r>
          </w:p>
          <w:p>
            <w:pPr>
              <w:pStyle w:val="38"/>
              <w:ind w:firstLine="480"/>
              <w:rPr>
                <w:color w:val="000000" w:themeColor="text1"/>
                <w:szCs w:val="21"/>
              </w:rPr>
            </w:pPr>
            <w:r>
              <w:rPr>
                <w:rFonts w:hint="eastAsia"/>
                <w:color w:val="000000" w:themeColor="text1"/>
                <w:szCs w:val="21"/>
              </w:rPr>
              <w:t>③目前项目未考虑厂区初期雨水的收集和处置，不能满足《排污许可证申请与核发技术规范 废弃资源加工工业》（HJ1034-2019）的管理要求。</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2.12.2 整改措施</w:t>
            </w:r>
          </w:p>
          <w:p>
            <w:pPr>
              <w:pStyle w:val="38"/>
              <w:ind w:firstLine="480"/>
              <w:rPr>
                <w:color w:val="000000" w:themeColor="text1"/>
                <w:szCs w:val="21"/>
              </w:rPr>
            </w:pPr>
            <w:r>
              <w:rPr>
                <w:rFonts w:hint="eastAsia"/>
                <w:color w:val="000000" w:themeColor="text1"/>
                <w:szCs w:val="21"/>
              </w:rPr>
              <w:t>①加强对</w:t>
            </w:r>
            <w:r>
              <w:rPr>
                <w:color w:val="000000" w:themeColor="text1"/>
                <w:szCs w:val="21"/>
              </w:rPr>
              <w:t>废旧电视机（CRT）处理线</w:t>
            </w:r>
            <w:r>
              <w:rPr>
                <w:rFonts w:hint="eastAsia"/>
                <w:color w:val="000000" w:themeColor="text1"/>
                <w:szCs w:val="21"/>
              </w:rPr>
              <w:t>废气处理设施的1个破碎区的破碎粉尘收集设施及其他污染物收集和处置设施的检查和维修，确保各污染防治措施可得到合理处置，达标排放。</w:t>
            </w:r>
          </w:p>
          <w:p>
            <w:pPr>
              <w:pStyle w:val="38"/>
              <w:ind w:firstLine="480"/>
              <w:rPr>
                <w:color w:val="000000" w:themeColor="text1"/>
                <w:szCs w:val="21"/>
              </w:rPr>
            </w:pPr>
            <w:r>
              <w:rPr>
                <w:rFonts w:hint="eastAsia"/>
                <w:color w:val="000000" w:themeColor="text1"/>
                <w:szCs w:val="21"/>
              </w:rPr>
              <w:t>②项目拟建设1套处理能力为30m³/d的一体化污水处理设施对生活污水进行处理，生活污水经隔油池、化粪池和一体化污水处理设施处理后，可稳定达到</w:t>
            </w:r>
            <w:r>
              <w:rPr>
                <w:color w:val="000000" w:themeColor="text1"/>
                <w:szCs w:val="21"/>
              </w:rPr>
              <w:t>《城市污水再生利用 城市杂用水水质》（GB/T18920-2020）城市绿化标准回用于绿化</w:t>
            </w:r>
            <w:r>
              <w:rPr>
                <w:rFonts w:hint="eastAsia"/>
                <w:color w:val="000000" w:themeColor="text1"/>
                <w:szCs w:val="21"/>
              </w:rPr>
              <w:t>，</w:t>
            </w:r>
            <w:r>
              <w:rPr>
                <w:color w:val="000000" w:themeColor="text1"/>
                <w:szCs w:val="21"/>
              </w:rPr>
              <w:t>不外排</w:t>
            </w:r>
            <w:r>
              <w:rPr>
                <w:rFonts w:hint="eastAsia"/>
                <w:color w:val="000000" w:themeColor="text1"/>
                <w:szCs w:val="21"/>
              </w:rPr>
              <w:t>。</w:t>
            </w:r>
          </w:p>
          <w:p>
            <w:pPr>
              <w:pStyle w:val="38"/>
              <w:ind w:firstLine="480"/>
              <w:rPr>
                <w:color w:val="000000" w:themeColor="text1"/>
                <w:szCs w:val="21"/>
              </w:rPr>
            </w:pPr>
            <w:r>
              <w:rPr>
                <w:rFonts w:hint="eastAsia"/>
                <w:color w:val="000000" w:themeColor="text1"/>
                <w:szCs w:val="21"/>
              </w:rPr>
              <w:t>③项目</w:t>
            </w:r>
            <w:r>
              <w:rPr>
                <w:color w:val="000000" w:themeColor="text1"/>
                <w:szCs w:val="21"/>
              </w:rPr>
              <w:t>拟建设1个30m³的初期雨水收集池，对厂区的初期雨水进行收集；收集沉淀处理后回用于项目区绿化，不外排。</w:t>
            </w:r>
          </w:p>
          <w:p>
            <w:pPr>
              <w:pStyle w:val="38"/>
              <w:ind w:firstLine="480"/>
              <w:rPr>
                <w:color w:val="000000" w:themeColor="text1"/>
                <w:szCs w:val="21"/>
              </w:rPr>
            </w:pPr>
          </w:p>
          <w:p>
            <w:pPr>
              <w:pStyle w:val="38"/>
              <w:ind w:firstLine="480"/>
              <w:rPr>
                <w:color w:val="000000" w:themeColor="text1"/>
                <w:szCs w:val="21"/>
              </w:rPr>
            </w:pPr>
          </w:p>
          <w:p>
            <w:pPr>
              <w:pStyle w:val="38"/>
              <w:ind w:firstLine="480"/>
              <w:rPr>
                <w:color w:val="000000" w:themeColor="text1"/>
                <w:szCs w:val="21"/>
              </w:rPr>
            </w:pPr>
          </w:p>
          <w:p>
            <w:pPr>
              <w:pStyle w:val="38"/>
              <w:ind w:firstLine="480"/>
              <w:rPr>
                <w:color w:val="000000" w:themeColor="text1"/>
                <w:szCs w:val="21"/>
              </w:rPr>
            </w:pPr>
          </w:p>
          <w:p>
            <w:pPr>
              <w:pStyle w:val="38"/>
              <w:ind w:firstLine="480"/>
              <w:rPr>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rFonts w:hint="eastAsia"/>
                <w:color w:val="000000" w:themeColor="text1"/>
                <w:szCs w:val="21"/>
              </w:rPr>
            </w:pPr>
          </w:p>
          <w:p>
            <w:pPr>
              <w:pStyle w:val="38"/>
              <w:ind w:firstLine="480"/>
              <w:rPr>
                <w:color w:val="000000" w:themeColor="text1"/>
                <w:szCs w:val="21"/>
              </w:rPr>
            </w:pPr>
          </w:p>
          <w:p>
            <w:pPr>
              <w:pStyle w:val="38"/>
              <w:ind w:firstLine="480"/>
              <w:rPr>
                <w:color w:val="000000" w:themeColor="text1"/>
                <w:szCs w:val="21"/>
              </w:rPr>
            </w:pPr>
          </w:p>
          <w:p>
            <w:pPr>
              <w:pStyle w:val="38"/>
              <w:ind w:firstLine="480"/>
              <w:rPr>
                <w:color w:val="000000" w:themeColor="text1"/>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三、区域环境质量现状、环境保护目标及评价标准</w:t>
      </w:r>
    </w:p>
    <w:tbl>
      <w:tblPr>
        <w:tblStyle w:val="20"/>
        <w:tblW w:w="92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区域环境质量现状</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 环境质量现状</w:t>
            </w:r>
          </w:p>
          <w:p>
            <w:pPr>
              <w:pStyle w:val="38"/>
              <w:ind w:firstLine="482"/>
              <w:rPr>
                <w:rFonts w:eastAsiaTheme="minorEastAsia"/>
                <w:b/>
                <w:color w:val="000000" w:themeColor="text1"/>
                <w:szCs w:val="24"/>
              </w:rPr>
            </w:pPr>
            <w:r>
              <w:rPr>
                <w:rFonts w:eastAsiaTheme="minorEastAsia"/>
                <w:b/>
                <w:color w:val="000000" w:themeColor="text1"/>
                <w:szCs w:val="24"/>
              </w:rPr>
              <w:t>3.1.1 环境空气质量现状</w:t>
            </w:r>
          </w:p>
          <w:p>
            <w:pPr>
              <w:pStyle w:val="38"/>
              <w:ind w:firstLine="361" w:firstLineChars="150"/>
              <w:rPr>
                <w:rFonts w:eastAsiaTheme="minorEastAsia"/>
                <w:color w:val="000000" w:themeColor="text1"/>
                <w:szCs w:val="24"/>
              </w:rPr>
            </w:pPr>
            <w:r>
              <w:rPr>
                <w:rFonts w:hint="eastAsia"/>
                <w:b/>
                <w:color w:val="000000" w:themeColor="text1"/>
                <w:szCs w:val="24"/>
              </w:rPr>
              <w:t>（1）常规污染物达标情况</w:t>
            </w:r>
          </w:p>
          <w:p>
            <w:pPr>
              <w:pStyle w:val="38"/>
              <w:ind w:firstLine="480"/>
              <w:rPr>
                <w:rFonts w:eastAsiaTheme="minorEastAsia"/>
                <w:color w:val="000000" w:themeColor="text1"/>
                <w:szCs w:val="24"/>
              </w:rPr>
            </w:pPr>
            <w:r>
              <w:rPr>
                <w:rFonts w:eastAsiaTheme="minorEastAsia"/>
                <w:color w:val="000000" w:themeColor="text1"/>
                <w:szCs w:val="24"/>
              </w:rPr>
              <w:t>项目位于昆明市东川区再就业特区天生桥特色产业园，属于环境空气二类区，执行《环境空气质量标准》（GB3095-2012）二级标准。该园区属于东川区管辖的异地工业园区，该区域位于寻甸县境内；根据寻甸回族彝族自治县人民政府发布的《2020-02寻甸县监测站空气质量月报表》，2020年2月寻甸县监测站空气质量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000000" w:themeColor="text1"/>
                <w:sz w:val="21"/>
                <w:szCs w:val="21"/>
              </w:rPr>
            </w:pPr>
            <w:r>
              <w:rPr>
                <w:rFonts w:hAnsi="Times New Roman" w:eastAsia="宋体"/>
                <w:bCs/>
                <w:snapToGrid w:val="0"/>
                <w:color w:val="000000" w:themeColor="text1"/>
                <w:sz w:val="21"/>
                <w:szCs w:val="21"/>
              </w:rPr>
              <w:t>表3.1.1-1   2020年2月寻甸县监测站空气质量月报表</w:t>
            </w:r>
          </w:p>
          <w:tbl>
            <w:tblPr>
              <w:tblStyle w:val="19"/>
              <w:tblW w:w="5000" w:type="pct"/>
              <w:tblInd w:w="0" w:type="dxa"/>
              <w:tblLayout w:type="fixed"/>
              <w:tblCellMar>
                <w:top w:w="0" w:type="dxa"/>
                <w:left w:w="108" w:type="dxa"/>
                <w:bottom w:w="0" w:type="dxa"/>
                <w:right w:w="108" w:type="dxa"/>
              </w:tblCellMar>
            </w:tblPr>
            <w:tblGrid>
              <w:gridCol w:w="928"/>
              <w:gridCol w:w="1191"/>
              <w:gridCol w:w="1191"/>
              <w:gridCol w:w="1490"/>
              <w:gridCol w:w="1491"/>
              <w:gridCol w:w="1339"/>
              <w:gridCol w:w="1424"/>
            </w:tblGrid>
            <w:tr>
              <w:tblPrEx>
                <w:tblCellMar>
                  <w:top w:w="0" w:type="dxa"/>
                  <w:left w:w="108" w:type="dxa"/>
                  <w:bottom w:w="0" w:type="dxa"/>
                  <w:right w:w="108" w:type="dxa"/>
                </w:tblCellMar>
              </w:tblPrEx>
              <w:trPr>
                <w:trHeight w:val="282" w:hRule="atLeast"/>
              </w:trPr>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pacing w:line="360" w:lineRule="exact"/>
                    <w:rPr>
                      <w:rFonts w:eastAsiaTheme="minorEastAsia"/>
                      <w:color w:val="000000" w:themeColor="text1"/>
                      <w:szCs w:val="21"/>
                      <w:lang w:val="en-US"/>
                    </w:rPr>
                  </w:pPr>
                  <w:r>
                    <w:rPr>
                      <w:rFonts w:eastAsiaTheme="minorEastAsia"/>
                      <w:color w:val="000000" w:themeColor="text1"/>
                      <w:szCs w:val="21"/>
                      <w:lang w:val="en-US"/>
                    </w:rPr>
                    <w:t>监测时间</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SO</w:t>
                  </w:r>
                  <w:r>
                    <w:rPr>
                      <w:rFonts w:eastAsiaTheme="minorEastAsia"/>
                      <w:color w:val="000000" w:themeColor="text1"/>
                      <w:szCs w:val="21"/>
                      <w:vertAlign w:val="subscript"/>
                      <w:lang w:val="en-US"/>
                    </w:rPr>
                    <w:t>2</w:t>
                  </w:r>
                </w:p>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（ug/m³）</w:t>
                  </w:r>
                </w:p>
              </w:tc>
              <w:tc>
                <w:tcPr>
                  <w:tcW w:w="1134"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vertAlign w:val="subscript"/>
                      <w:lang w:val="en-US"/>
                    </w:rPr>
                  </w:pPr>
                  <w:r>
                    <w:rPr>
                      <w:rFonts w:eastAsiaTheme="minorEastAsia"/>
                      <w:color w:val="000000" w:themeColor="text1"/>
                      <w:szCs w:val="21"/>
                      <w:lang w:val="en-US"/>
                    </w:rPr>
                    <w:t>NO</w:t>
                  </w:r>
                  <w:r>
                    <w:rPr>
                      <w:rFonts w:eastAsiaTheme="minorEastAsia"/>
                      <w:color w:val="000000" w:themeColor="text1"/>
                      <w:szCs w:val="21"/>
                      <w:vertAlign w:val="subscript"/>
                      <w:lang w:val="en-US"/>
                    </w:rPr>
                    <w:t>2</w:t>
                  </w:r>
                </w:p>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（ug/m³）</w:t>
                  </w:r>
                </w:p>
              </w:tc>
              <w:tc>
                <w:tcPr>
                  <w:tcW w:w="1417"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CO</w:t>
                  </w:r>
                </w:p>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（mg/m³）</w:t>
                  </w:r>
                </w:p>
              </w:tc>
              <w:tc>
                <w:tcPr>
                  <w:tcW w:w="1418"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O</w:t>
                  </w:r>
                  <w:r>
                    <w:rPr>
                      <w:rFonts w:eastAsiaTheme="minorEastAsia"/>
                      <w:color w:val="000000" w:themeColor="text1"/>
                      <w:szCs w:val="21"/>
                      <w:vertAlign w:val="subscript"/>
                      <w:lang w:val="en-US"/>
                    </w:rPr>
                    <w:t>3</w:t>
                  </w:r>
                  <w:r>
                    <w:rPr>
                      <w:rFonts w:eastAsiaTheme="minorEastAsia"/>
                      <w:color w:val="000000" w:themeColor="text1"/>
                      <w:szCs w:val="21"/>
                      <w:lang w:val="en-US"/>
                    </w:rPr>
                    <w:t>-8h</w:t>
                  </w:r>
                </w:p>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（ug/m³）</w:t>
                  </w:r>
                </w:p>
              </w:tc>
              <w:tc>
                <w:tcPr>
                  <w:tcW w:w="1275"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vertAlign w:val="subscript"/>
                      <w:lang w:val="en-US"/>
                    </w:rPr>
                  </w:pPr>
                  <w:r>
                    <w:rPr>
                      <w:rFonts w:eastAsiaTheme="minorEastAsia"/>
                      <w:color w:val="000000" w:themeColor="text1"/>
                      <w:szCs w:val="21"/>
                      <w:lang w:val="en-US"/>
                    </w:rPr>
                    <w:t>PM</w:t>
                  </w:r>
                  <w:r>
                    <w:rPr>
                      <w:rFonts w:eastAsiaTheme="minorEastAsia"/>
                      <w:color w:val="000000" w:themeColor="text1"/>
                      <w:szCs w:val="21"/>
                      <w:vertAlign w:val="subscript"/>
                      <w:lang w:val="en-US"/>
                    </w:rPr>
                    <w:t>10</w:t>
                  </w:r>
                </w:p>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（ug/m³）</w:t>
                  </w:r>
                </w:p>
              </w:tc>
              <w:tc>
                <w:tcPr>
                  <w:tcW w:w="1355" w:type="dxa"/>
                  <w:tcBorders>
                    <w:top w:val="single" w:color="000000" w:sz="4" w:space="0"/>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PM</w:t>
                  </w:r>
                  <w:r>
                    <w:rPr>
                      <w:rFonts w:eastAsiaTheme="minorEastAsia"/>
                      <w:color w:val="000000" w:themeColor="text1"/>
                      <w:szCs w:val="21"/>
                      <w:vertAlign w:val="subscript"/>
                      <w:lang w:val="en-US"/>
                    </w:rPr>
                    <w:t>2.5</w:t>
                  </w:r>
                  <w:r>
                    <w:rPr>
                      <w:rFonts w:eastAsiaTheme="minorEastAsia"/>
                      <w:color w:val="000000" w:themeColor="text1"/>
                      <w:szCs w:val="21"/>
                      <w:lang w:val="en-US"/>
                    </w:rPr>
                    <w:t>（ug/m³）</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02-01</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0.6</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34</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32</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02-02</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0.5</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88</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31</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02-03</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52</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33</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25</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02-04</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13</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92</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45</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43</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02-05</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11</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0.7</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102</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37</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29</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0.5</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92</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28</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0.7</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104</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41</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34</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39</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02-09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11</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26</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21</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02-10</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0.9</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71</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24</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18</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02-11</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0.6</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105</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28</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23</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02-12</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11</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0.6</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89</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22</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18</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02-13</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0.6</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25</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19</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02-14</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0.6</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109</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33</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32</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02-15</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0.7</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71</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35</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27</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0.7</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75</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35</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23</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14</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0.9</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47</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51</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45</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15</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0.9</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45</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56</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53</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02-19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13</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91</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46</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47</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02-20</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16</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44</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02-21</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14</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0.9</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62</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56</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02-22</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11</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105</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46</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02-23</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106</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54</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45</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02-24</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13</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0.8</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100</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42</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43</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02-25</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13</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0.6</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103</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34</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26</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02-26</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15</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0.7</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101</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42</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40</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16</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123</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62</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02-28</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16</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0.9</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83</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46</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43</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02-29</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16</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0.7</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103</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39</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35</w:t>
                  </w:r>
                </w:p>
              </w:tc>
            </w:tr>
            <w:tr>
              <w:tblPrEx>
                <w:tblCellMar>
                  <w:top w:w="0" w:type="dxa"/>
                  <w:left w:w="108" w:type="dxa"/>
                  <w:bottom w:w="0" w:type="dxa"/>
                  <w:right w:w="108" w:type="dxa"/>
                </w:tblCellMar>
              </w:tblPrEx>
              <w:trPr>
                <w:trHeight w:val="300" w:hRule="atLeast"/>
              </w:trPr>
              <w:tc>
                <w:tcPr>
                  <w:tcW w:w="882" w:type="dxa"/>
                  <w:tcBorders>
                    <w:top w:val="nil"/>
                    <w:left w:val="single" w:color="000000" w:sz="4" w:space="0"/>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标准值</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150</w:t>
                  </w:r>
                </w:p>
              </w:tc>
              <w:tc>
                <w:tcPr>
                  <w:tcW w:w="1134"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80</w:t>
                  </w:r>
                </w:p>
              </w:tc>
              <w:tc>
                <w:tcPr>
                  <w:tcW w:w="1417"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4</w:t>
                  </w:r>
                </w:p>
              </w:tc>
              <w:tc>
                <w:tcPr>
                  <w:tcW w:w="1418"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160</w:t>
                  </w:r>
                </w:p>
              </w:tc>
              <w:tc>
                <w:tcPr>
                  <w:tcW w:w="127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150</w:t>
                  </w:r>
                </w:p>
              </w:tc>
              <w:tc>
                <w:tcPr>
                  <w:tcW w:w="1355" w:type="dxa"/>
                  <w:tcBorders>
                    <w:top w:val="nil"/>
                    <w:left w:val="nil"/>
                    <w:bottom w:val="single" w:color="000000" w:sz="4" w:space="0"/>
                    <w:right w:val="single" w:color="000000" w:sz="4" w:space="0"/>
                  </w:tcBorders>
                  <w:shd w:val="clear" w:color="auto" w:fill="auto"/>
                  <w:vAlign w:val="center"/>
                </w:tcPr>
                <w:p>
                  <w:pPr>
                    <w:pStyle w:val="30"/>
                    <w:spacing w:line="360" w:lineRule="exact"/>
                    <w:ind w:left="11"/>
                    <w:rPr>
                      <w:rFonts w:eastAsiaTheme="minorEastAsia"/>
                      <w:color w:val="000000" w:themeColor="text1"/>
                      <w:szCs w:val="21"/>
                      <w:lang w:val="en-US"/>
                    </w:rPr>
                  </w:pPr>
                  <w:r>
                    <w:rPr>
                      <w:rFonts w:eastAsiaTheme="minorEastAsia"/>
                      <w:color w:val="000000" w:themeColor="text1"/>
                      <w:szCs w:val="21"/>
                      <w:lang w:val="en-US"/>
                    </w:rPr>
                    <w:t>75</w:t>
                  </w:r>
                </w:p>
              </w:tc>
            </w:tr>
          </w:tbl>
          <w:p>
            <w:pPr>
              <w:pStyle w:val="38"/>
              <w:spacing w:beforeLines="50"/>
              <w:ind w:firstLine="480"/>
              <w:rPr>
                <w:rFonts w:eastAsiaTheme="minorEastAsia"/>
                <w:color w:val="000000" w:themeColor="text1"/>
                <w:szCs w:val="24"/>
              </w:rPr>
            </w:pPr>
            <w:r>
              <w:rPr>
                <w:rFonts w:eastAsiaTheme="minorEastAsia"/>
                <w:color w:val="000000" w:themeColor="text1"/>
                <w:szCs w:val="24"/>
              </w:rPr>
              <w:t>由上表可知，寻甸县2020年2月环境空气质量可达到《环境空气质量标准》（GB3095-2012）二级标准。因此该项目位于环境空气质量达标区。</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（2）特征污染物达标情况</w:t>
            </w:r>
          </w:p>
          <w:p>
            <w:pPr>
              <w:pStyle w:val="38"/>
              <w:ind w:firstLine="480"/>
              <w:rPr>
                <w:color w:val="000000" w:themeColor="text1"/>
                <w:szCs w:val="24"/>
              </w:rPr>
            </w:pPr>
            <w:r>
              <w:rPr>
                <w:rFonts w:hint="eastAsia"/>
                <w:color w:val="000000" w:themeColor="text1"/>
                <w:szCs w:val="24"/>
              </w:rPr>
              <w:t>根据项目特点，本项目排放的特征污染物为TSP、铅及其化合物、汞及其化合物，但具有国家标准的特征污染物为TSP、铅及其化合物，根据建设单位委托中佰科技（云南）有限公司出具的《云南华再新源环保产业发展有限公司自行监测（2021年上半年）报告》，根据中佰科技（云南）有限公司于2021年5月21日对厂区上风向进行颗粒物、铅及其化合物进行了监测，其监测结果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000000" w:themeColor="text1"/>
                <w:sz w:val="21"/>
                <w:szCs w:val="21"/>
              </w:rPr>
            </w:pPr>
            <w:r>
              <w:rPr>
                <w:rFonts w:hAnsi="Times New Roman" w:eastAsia="宋体"/>
                <w:bCs/>
                <w:snapToGrid w:val="0"/>
                <w:color w:val="000000" w:themeColor="text1"/>
                <w:sz w:val="21"/>
                <w:szCs w:val="21"/>
              </w:rPr>
              <w:t>表3.1.1-</w:t>
            </w:r>
            <w:r>
              <w:rPr>
                <w:rFonts w:hint="eastAsia" w:hAnsi="Times New Roman" w:eastAsia="宋体"/>
                <w:bCs/>
                <w:snapToGrid w:val="0"/>
                <w:color w:val="000000" w:themeColor="text1"/>
                <w:sz w:val="21"/>
                <w:szCs w:val="21"/>
              </w:rPr>
              <w:t>2</w:t>
            </w:r>
            <w:r>
              <w:rPr>
                <w:rFonts w:hAnsi="Times New Roman" w:eastAsia="宋体"/>
                <w:bCs/>
                <w:snapToGrid w:val="0"/>
                <w:color w:val="000000" w:themeColor="text1"/>
                <w:sz w:val="21"/>
                <w:szCs w:val="21"/>
              </w:rPr>
              <w:t xml:space="preserve">   </w:t>
            </w:r>
            <w:r>
              <w:rPr>
                <w:rFonts w:hint="eastAsia" w:hAnsi="Times New Roman" w:eastAsia="宋体"/>
                <w:bCs/>
                <w:snapToGrid w:val="0"/>
                <w:color w:val="000000" w:themeColor="text1"/>
                <w:sz w:val="21"/>
                <w:szCs w:val="21"/>
              </w:rPr>
              <w:t xml:space="preserve">特征污染物环境质量现状一览表 </w:t>
            </w:r>
            <w:r>
              <w:rPr>
                <w:rFonts w:hAnsi="Times New Roman" w:eastAsia="宋体"/>
                <w:bCs/>
                <w:snapToGrid w:val="0"/>
                <w:color w:val="000000" w:themeColor="text1"/>
                <w:sz w:val="21"/>
                <w:szCs w:val="21"/>
              </w:rPr>
              <w:t>mg/m³</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490"/>
              <w:gridCol w:w="2152"/>
              <w:gridCol w:w="1818"/>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2" w:type="pct"/>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监测点位</w:t>
                  </w:r>
                </w:p>
              </w:tc>
              <w:tc>
                <w:tcPr>
                  <w:tcW w:w="2013" w:type="pct"/>
                  <w:gridSpan w:val="2"/>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采样时间</w:t>
                  </w:r>
                </w:p>
              </w:tc>
              <w:tc>
                <w:tcPr>
                  <w:tcW w:w="1005"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颗粒物</w:t>
                  </w:r>
                </w:p>
              </w:tc>
              <w:tc>
                <w:tcPr>
                  <w:tcW w:w="1350"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铅及其化合物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2" w:type="pct"/>
                  <w:vMerge w:val="restart"/>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厂界上风向</w:t>
                  </w:r>
                </w:p>
              </w:tc>
              <w:tc>
                <w:tcPr>
                  <w:tcW w:w="824" w:type="pct"/>
                  <w:vMerge w:val="restart"/>
                  <w:tcBorders>
                    <w:top w:val="single" w:color="auto" w:sz="4" w:space="0"/>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2021/05/21</w:t>
                  </w:r>
                </w:p>
              </w:tc>
              <w:tc>
                <w:tcPr>
                  <w:tcW w:w="1190" w:type="pct"/>
                  <w:tcBorders>
                    <w:top w:val="single" w:color="auto" w:sz="4" w:space="0"/>
                    <w:left w:val="single" w:color="auto" w:sz="4" w:space="0"/>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08：00-09：00</w:t>
                  </w:r>
                </w:p>
              </w:tc>
              <w:tc>
                <w:tcPr>
                  <w:tcW w:w="1005"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0.199</w:t>
                  </w:r>
                </w:p>
              </w:tc>
              <w:tc>
                <w:tcPr>
                  <w:tcW w:w="1350"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6×10</w:t>
                  </w:r>
                  <w:r>
                    <w:rPr>
                      <w:rFonts w:hint="eastAsia" w:eastAsiaTheme="minorEastAsia"/>
                      <w:color w:val="000000" w:themeColor="text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2" w:type="pct"/>
                  <w:vMerge w:val="continue"/>
                  <w:tcBorders>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p>
              </w:tc>
              <w:tc>
                <w:tcPr>
                  <w:tcW w:w="824" w:type="pct"/>
                  <w:vMerge w:val="continue"/>
                  <w:tcBorders>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p>
              </w:tc>
              <w:tc>
                <w:tcPr>
                  <w:tcW w:w="1190" w:type="pct"/>
                  <w:tcBorders>
                    <w:top w:val="single" w:color="auto" w:sz="4" w:space="0"/>
                    <w:left w:val="single" w:color="auto" w:sz="4" w:space="0"/>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12：00-13：00</w:t>
                  </w:r>
                </w:p>
              </w:tc>
              <w:tc>
                <w:tcPr>
                  <w:tcW w:w="1005"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0.185</w:t>
                  </w:r>
                </w:p>
              </w:tc>
              <w:tc>
                <w:tcPr>
                  <w:tcW w:w="1350"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7×10</w:t>
                  </w:r>
                  <w:r>
                    <w:rPr>
                      <w:rFonts w:hint="eastAsia" w:eastAsiaTheme="minorEastAsia"/>
                      <w:color w:val="000000" w:themeColor="text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2" w:type="pct"/>
                  <w:vMerge w:val="continue"/>
                  <w:tcBorders>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p>
              </w:tc>
              <w:tc>
                <w:tcPr>
                  <w:tcW w:w="824" w:type="pct"/>
                  <w:vMerge w:val="continue"/>
                  <w:tcBorders>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p>
              </w:tc>
              <w:tc>
                <w:tcPr>
                  <w:tcW w:w="1190" w:type="pct"/>
                  <w:tcBorders>
                    <w:top w:val="single" w:color="auto" w:sz="4" w:space="0"/>
                    <w:left w:val="single" w:color="auto" w:sz="4" w:space="0"/>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16：00-17：00</w:t>
                  </w:r>
                </w:p>
              </w:tc>
              <w:tc>
                <w:tcPr>
                  <w:tcW w:w="1005"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0.234</w:t>
                  </w:r>
                </w:p>
              </w:tc>
              <w:tc>
                <w:tcPr>
                  <w:tcW w:w="1350"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8×10</w:t>
                  </w:r>
                  <w:r>
                    <w:rPr>
                      <w:rFonts w:hint="eastAsia" w:eastAsiaTheme="minorEastAsia"/>
                      <w:color w:val="000000" w:themeColor="text1"/>
                      <w:szCs w:val="21"/>
                      <w:vertAlign w:val="superscript"/>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646" w:type="pct"/>
                  <w:gridSpan w:val="3"/>
                  <w:tcBorders>
                    <w:left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标准</w:t>
                  </w:r>
                </w:p>
              </w:tc>
              <w:tc>
                <w:tcPr>
                  <w:tcW w:w="1005"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0.3</w:t>
                  </w:r>
                </w:p>
              </w:tc>
              <w:tc>
                <w:tcPr>
                  <w:tcW w:w="1350" w:type="pct"/>
                  <w:tcBorders>
                    <w:top w:val="single" w:color="auto" w:sz="4" w:space="0"/>
                    <w:left w:val="nil"/>
                    <w:bottom w:val="single" w:color="auto" w:sz="4" w:space="0"/>
                    <w:right w:val="single" w:color="auto" w:sz="4" w:space="0"/>
                  </w:tcBorders>
                  <w:vAlign w:val="center"/>
                </w:tcPr>
                <w:p>
                  <w:pPr>
                    <w:pStyle w:val="30"/>
                    <w:spacing w:line="360" w:lineRule="exact"/>
                    <w:ind w:left="11"/>
                    <w:rPr>
                      <w:rFonts w:eastAsiaTheme="minorEastAsia"/>
                      <w:color w:val="000000" w:themeColor="text1"/>
                      <w:szCs w:val="21"/>
                      <w:lang w:val="en-US"/>
                    </w:rPr>
                  </w:pPr>
                  <w:r>
                    <w:rPr>
                      <w:rFonts w:hint="eastAsia" w:eastAsiaTheme="minorEastAsia"/>
                      <w:color w:val="000000" w:themeColor="text1"/>
                      <w:szCs w:val="21"/>
                      <w:lang w:val="en-US"/>
                    </w:rPr>
                    <w:t>0.001（季平均值）</w:t>
                  </w:r>
                </w:p>
              </w:tc>
            </w:tr>
          </w:tbl>
          <w:p>
            <w:pPr>
              <w:pStyle w:val="38"/>
              <w:spacing w:beforeLines="50"/>
              <w:ind w:firstLine="480"/>
              <w:rPr>
                <w:color w:val="000000" w:themeColor="text1"/>
                <w:szCs w:val="24"/>
              </w:rPr>
            </w:pPr>
            <w:r>
              <w:rPr>
                <w:rFonts w:hint="eastAsia"/>
                <w:color w:val="000000" w:themeColor="text1"/>
                <w:szCs w:val="24"/>
              </w:rPr>
              <w:t>由上表可知，项目区域TSP、铅及其化合物</w:t>
            </w:r>
            <w:r>
              <w:rPr>
                <w:rFonts w:eastAsiaTheme="minorEastAsia"/>
                <w:color w:val="000000" w:themeColor="text1"/>
                <w:szCs w:val="24"/>
              </w:rPr>
              <w:t>可达到《环境空气质量标准》（GB3095-2012）二级标准。</w:t>
            </w:r>
          </w:p>
          <w:p>
            <w:pPr>
              <w:pStyle w:val="38"/>
              <w:ind w:firstLine="482"/>
              <w:rPr>
                <w:rFonts w:eastAsiaTheme="minorEastAsia"/>
                <w:b/>
                <w:color w:val="000000" w:themeColor="text1"/>
                <w:szCs w:val="24"/>
              </w:rPr>
            </w:pPr>
            <w:r>
              <w:rPr>
                <w:rFonts w:eastAsiaTheme="minorEastAsia"/>
                <w:b/>
                <w:color w:val="000000" w:themeColor="text1"/>
                <w:szCs w:val="24"/>
              </w:rPr>
              <w:t>3.1.2 地表水环境质量现状</w:t>
            </w:r>
          </w:p>
          <w:p>
            <w:pPr>
              <w:pStyle w:val="38"/>
              <w:ind w:firstLine="480"/>
              <w:rPr>
                <w:color w:val="000000" w:themeColor="text1"/>
                <w:szCs w:val="24"/>
              </w:rPr>
            </w:pPr>
            <w:r>
              <w:rPr>
                <w:color w:val="000000" w:themeColor="text1"/>
                <w:szCs w:val="24"/>
              </w:rPr>
              <w:t>项目所在区域属于黑泥沟的汇水范围，该沟渠位于项目北侧648m处，黑泥沟地表水通过甸头大河最终汇入小江，甸头大河为小江（清水海-入金沙江口段）的支流，区域地表水最终汇集于小江；根据云南省水利厅发布的《云南省水功能区划》（2014版），小江（清水海-入金沙江口段）到2030年的水质目标为III类水体，执行《地表水环境质量标准》（GB3838-2002）</w:t>
            </w:r>
            <w:r>
              <w:rPr>
                <w:color w:val="000000" w:themeColor="text1"/>
                <w:szCs w:val="24"/>
              </w:rPr>
              <w:fldChar w:fldCharType="begin"/>
            </w:r>
            <w:r>
              <w:rPr>
                <w:color w:val="000000" w:themeColor="text1"/>
                <w:szCs w:val="24"/>
              </w:rPr>
              <w:instrText xml:space="preserve"> = 3 \* ROMAN </w:instrText>
            </w:r>
            <w:r>
              <w:rPr>
                <w:color w:val="000000" w:themeColor="text1"/>
                <w:szCs w:val="24"/>
              </w:rPr>
              <w:fldChar w:fldCharType="separate"/>
            </w:r>
            <w:r>
              <w:rPr>
                <w:color w:val="000000" w:themeColor="text1"/>
                <w:szCs w:val="24"/>
              </w:rPr>
              <w:t>II</w:t>
            </w:r>
            <w:r>
              <w:rPr>
                <w:color w:val="000000" w:themeColor="text1"/>
                <w:szCs w:val="24"/>
              </w:rPr>
              <w:fldChar w:fldCharType="end"/>
            </w:r>
            <w:r>
              <w:rPr>
                <w:color w:val="000000" w:themeColor="text1"/>
                <w:szCs w:val="24"/>
              </w:rPr>
              <w:t>I类标准。黑泥沟、甸头大河均无环境功能区划，根据水功能区划原则，参照执行小江河段的功能区划，亦执行《地表水环境质量标准》（GB3838-2002）III类水标准。</w:t>
            </w:r>
          </w:p>
          <w:p>
            <w:pPr>
              <w:pStyle w:val="38"/>
              <w:ind w:firstLine="480"/>
              <w:rPr>
                <w:color w:val="000000" w:themeColor="text1"/>
                <w:szCs w:val="24"/>
              </w:rPr>
            </w:pPr>
            <w:r>
              <w:rPr>
                <w:color w:val="000000" w:themeColor="text1"/>
                <w:szCs w:val="24"/>
              </w:rPr>
              <w:t>在环评编制期间，收集了东川区监测站201</w:t>
            </w:r>
            <w:r>
              <w:rPr>
                <w:rFonts w:hint="eastAsia"/>
                <w:color w:val="000000" w:themeColor="text1"/>
                <w:szCs w:val="24"/>
              </w:rPr>
              <w:t>9</w:t>
            </w:r>
            <w:r>
              <w:rPr>
                <w:color w:val="000000" w:themeColor="text1"/>
                <w:szCs w:val="24"/>
              </w:rPr>
              <w:t>年</w:t>
            </w:r>
            <w:r>
              <w:rPr>
                <w:rFonts w:hint="eastAsia"/>
                <w:color w:val="000000" w:themeColor="text1"/>
                <w:szCs w:val="24"/>
              </w:rPr>
              <w:t>12月</w:t>
            </w:r>
            <w:r>
              <w:rPr>
                <w:color w:val="000000" w:themeColor="text1"/>
                <w:szCs w:val="24"/>
              </w:rPr>
              <w:t>对</w:t>
            </w:r>
            <w:r>
              <w:rPr>
                <w:rFonts w:hint="eastAsia"/>
                <w:color w:val="000000" w:themeColor="text1"/>
                <w:szCs w:val="24"/>
              </w:rPr>
              <w:t>小江</w:t>
            </w:r>
            <w:r>
              <w:rPr>
                <w:color w:val="000000" w:themeColor="text1"/>
                <w:szCs w:val="24"/>
              </w:rPr>
              <w:t>姑海断面的环境现状监测统计数据，如下表所示。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000000" w:themeColor="text1"/>
                <w:sz w:val="21"/>
                <w:szCs w:val="21"/>
              </w:rPr>
            </w:pPr>
            <w:r>
              <w:rPr>
                <w:rFonts w:hAnsi="Times New Roman" w:eastAsia="宋体"/>
                <w:bCs/>
                <w:snapToGrid w:val="0"/>
                <w:color w:val="000000" w:themeColor="text1"/>
                <w:sz w:val="21"/>
                <w:szCs w:val="21"/>
              </w:rPr>
              <w:t>表3.</w:t>
            </w:r>
            <w:r>
              <w:rPr>
                <w:rFonts w:hint="eastAsia" w:hAnsi="Times New Roman" w:eastAsia="宋体"/>
                <w:bCs/>
                <w:snapToGrid w:val="0"/>
                <w:color w:val="000000" w:themeColor="text1"/>
                <w:sz w:val="21"/>
                <w:szCs w:val="21"/>
              </w:rPr>
              <w:t>1.</w:t>
            </w:r>
            <w:r>
              <w:rPr>
                <w:rFonts w:hAnsi="Times New Roman" w:eastAsia="宋体"/>
                <w:bCs/>
                <w:snapToGrid w:val="0"/>
                <w:color w:val="000000" w:themeColor="text1"/>
                <w:sz w:val="21"/>
                <w:szCs w:val="21"/>
              </w:rPr>
              <w:t xml:space="preserve">2-1 </w:t>
            </w:r>
            <w:r>
              <w:rPr>
                <w:rFonts w:hint="eastAsia" w:hAnsi="Times New Roman" w:eastAsia="宋体"/>
                <w:bCs/>
                <w:snapToGrid w:val="0"/>
                <w:color w:val="000000" w:themeColor="text1"/>
                <w:sz w:val="21"/>
                <w:szCs w:val="21"/>
              </w:rPr>
              <w:t>小江</w:t>
            </w:r>
            <w:r>
              <w:rPr>
                <w:rFonts w:hAnsi="Times New Roman" w:eastAsia="宋体"/>
                <w:bCs/>
                <w:snapToGrid w:val="0"/>
                <w:color w:val="000000" w:themeColor="text1"/>
                <w:sz w:val="21"/>
                <w:szCs w:val="21"/>
              </w:rPr>
              <w:t>姑海断面水质检测结果一览表   单位：mg/L</w:t>
            </w:r>
          </w:p>
          <w:tbl>
            <w:tblPr>
              <w:tblStyle w:val="19"/>
              <w:tblW w:w="5000" w:type="pct"/>
              <w:jc w:val="center"/>
              <w:tblLayout w:type="fixed"/>
              <w:tblCellMar>
                <w:top w:w="0" w:type="dxa"/>
                <w:left w:w="108" w:type="dxa"/>
                <w:bottom w:w="0" w:type="dxa"/>
                <w:right w:w="108" w:type="dxa"/>
              </w:tblCellMar>
            </w:tblPr>
            <w:tblGrid>
              <w:gridCol w:w="1199"/>
              <w:gridCol w:w="2139"/>
              <w:gridCol w:w="1962"/>
              <w:gridCol w:w="1718"/>
              <w:gridCol w:w="2035"/>
            </w:tblGrid>
            <w:tr>
              <w:tblPrEx>
                <w:tblCellMar>
                  <w:top w:w="0" w:type="dxa"/>
                  <w:left w:w="108" w:type="dxa"/>
                  <w:bottom w:w="0" w:type="dxa"/>
                  <w:right w:w="108" w:type="dxa"/>
                </w:tblCellMar>
              </w:tblPrEx>
              <w:trPr>
                <w:trHeight w:val="148"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序号</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监测项目</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姑海</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标准值</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达标情况</w:t>
                  </w:r>
                </w:p>
              </w:tc>
            </w:tr>
            <w:tr>
              <w:tblPrEx>
                <w:tblCellMar>
                  <w:top w:w="0" w:type="dxa"/>
                  <w:left w:w="108" w:type="dxa"/>
                  <w:bottom w:w="0" w:type="dxa"/>
                  <w:right w:w="108" w:type="dxa"/>
                </w:tblCellMar>
              </w:tblPrEx>
              <w:trPr>
                <w:trHeight w:val="300" w:hRule="atLeast"/>
                <w:jc w:val="center"/>
              </w:trPr>
              <w:tc>
                <w:tcPr>
                  <w:tcW w:w="1140" w:type="dxa"/>
                  <w:tcBorders>
                    <w:top w:val="nil"/>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1</w:t>
                  </w:r>
                </w:p>
              </w:tc>
              <w:tc>
                <w:tcPr>
                  <w:tcW w:w="20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pH（无量纲）</w:t>
                  </w:r>
                </w:p>
              </w:tc>
              <w:tc>
                <w:tcPr>
                  <w:tcW w:w="1865"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8.20</w:t>
                  </w:r>
                </w:p>
              </w:tc>
              <w:tc>
                <w:tcPr>
                  <w:tcW w:w="16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6-9</w:t>
                  </w:r>
                </w:p>
              </w:tc>
              <w:tc>
                <w:tcPr>
                  <w:tcW w:w="1934"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nil"/>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w:t>
                  </w:r>
                </w:p>
              </w:tc>
              <w:tc>
                <w:tcPr>
                  <w:tcW w:w="20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CODcr</w:t>
                  </w:r>
                </w:p>
              </w:tc>
              <w:tc>
                <w:tcPr>
                  <w:tcW w:w="1865"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6</w:t>
                  </w:r>
                </w:p>
              </w:tc>
              <w:tc>
                <w:tcPr>
                  <w:tcW w:w="16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20</w:t>
                  </w:r>
                </w:p>
              </w:tc>
              <w:tc>
                <w:tcPr>
                  <w:tcW w:w="1934"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nil"/>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3</w:t>
                  </w:r>
                </w:p>
              </w:tc>
              <w:tc>
                <w:tcPr>
                  <w:tcW w:w="20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BOD</w:t>
                  </w:r>
                  <w:r>
                    <w:rPr>
                      <w:color w:val="000000" w:themeColor="text1"/>
                      <w:szCs w:val="21"/>
                      <w:vertAlign w:val="subscript"/>
                    </w:rPr>
                    <w:t>5</w:t>
                  </w:r>
                </w:p>
              </w:tc>
              <w:tc>
                <w:tcPr>
                  <w:tcW w:w="1865"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2</w:t>
                  </w:r>
                </w:p>
              </w:tc>
              <w:tc>
                <w:tcPr>
                  <w:tcW w:w="16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4</w:t>
                  </w:r>
                </w:p>
              </w:tc>
              <w:tc>
                <w:tcPr>
                  <w:tcW w:w="1934"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nil"/>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5</w:t>
                  </w:r>
                </w:p>
              </w:tc>
              <w:tc>
                <w:tcPr>
                  <w:tcW w:w="20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1865"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0.08</w:t>
                  </w:r>
                </w:p>
              </w:tc>
              <w:tc>
                <w:tcPr>
                  <w:tcW w:w="16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1.0</w:t>
                  </w:r>
                </w:p>
              </w:tc>
              <w:tc>
                <w:tcPr>
                  <w:tcW w:w="1934"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nil"/>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6</w:t>
                  </w:r>
                </w:p>
              </w:tc>
              <w:tc>
                <w:tcPr>
                  <w:tcW w:w="20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TP</w:t>
                  </w:r>
                </w:p>
              </w:tc>
              <w:tc>
                <w:tcPr>
                  <w:tcW w:w="1865"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0.05</w:t>
                  </w:r>
                </w:p>
              </w:tc>
              <w:tc>
                <w:tcPr>
                  <w:tcW w:w="16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w:t>
                  </w:r>
                  <w:r>
                    <w:rPr>
                      <w:rFonts w:hint="eastAsia"/>
                      <w:color w:val="000000" w:themeColor="text1"/>
                      <w:szCs w:val="21"/>
                    </w:rPr>
                    <w:t>2</w:t>
                  </w:r>
                </w:p>
              </w:tc>
              <w:tc>
                <w:tcPr>
                  <w:tcW w:w="1934"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nil"/>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7</w:t>
                  </w:r>
                </w:p>
              </w:tc>
              <w:tc>
                <w:tcPr>
                  <w:tcW w:w="20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阴离子表面活性剂</w:t>
                  </w:r>
                </w:p>
              </w:tc>
              <w:tc>
                <w:tcPr>
                  <w:tcW w:w="1865"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0.05L</w:t>
                  </w:r>
                </w:p>
              </w:tc>
              <w:tc>
                <w:tcPr>
                  <w:tcW w:w="1633"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w:t>
                  </w:r>
                  <w:r>
                    <w:rPr>
                      <w:rFonts w:hint="eastAsia"/>
                      <w:color w:val="000000" w:themeColor="text1"/>
                      <w:szCs w:val="21"/>
                    </w:rPr>
                    <w:t>2</w:t>
                  </w:r>
                </w:p>
              </w:tc>
              <w:tc>
                <w:tcPr>
                  <w:tcW w:w="1934" w:type="dxa"/>
                  <w:tcBorders>
                    <w:top w:val="nil"/>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8</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锌</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0.05L</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1.0</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9</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氟化物</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0.2</w:t>
                  </w:r>
                  <w:r>
                    <w:rPr>
                      <w:rFonts w:hint="eastAsia"/>
                      <w:color w:val="000000" w:themeColor="text1"/>
                      <w:szCs w:val="21"/>
                    </w:rPr>
                    <w:t>0</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1.0</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10</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砷</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0.0003L</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0.05</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11</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汞</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0.0004L</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0.0001</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12</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镉</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0.0001L</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0.005</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13</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六价铬</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0.004L</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0.05</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14</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铅</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0.002L</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0.05</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r>
              <w:tblPrEx>
                <w:tblCellMar>
                  <w:top w:w="0" w:type="dxa"/>
                  <w:left w:w="108" w:type="dxa"/>
                  <w:bottom w:w="0" w:type="dxa"/>
                  <w:right w:w="108" w:type="dxa"/>
                </w:tblCellMar>
              </w:tblPrEx>
              <w:trPr>
                <w:trHeight w:val="300" w:hRule="atLeast"/>
                <w:jc w:val="center"/>
              </w:trPr>
              <w:tc>
                <w:tcPr>
                  <w:tcW w:w="1140"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15</w:t>
                  </w:r>
                </w:p>
              </w:tc>
              <w:tc>
                <w:tcPr>
                  <w:tcW w:w="20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粪大肠菌群</w:t>
                  </w:r>
                </w:p>
              </w:tc>
              <w:tc>
                <w:tcPr>
                  <w:tcW w:w="1865"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500</w:t>
                  </w:r>
                </w:p>
              </w:tc>
              <w:tc>
                <w:tcPr>
                  <w:tcW w:w="1633"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20000个/L</w:t>
                  </w:r>
                </w:p>
              </w:tc>
              <w:tc>
                <w:tcPr>
                  <w:tcW w:w="1934" w:type="dxa"/>
                  <w:tcBorders>
                    <w:top w:val="single" w:color="auto" w:sz="4" w:space="0"/>
                    <w:left w:val="nil"/>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达标</w:t>
                  </w:r>
                </w:p>
              </w:tc>
            </w:tr>
          </w:tbl>
          <w:p>
            <w:pPr>
              <w:pStyle w:val="38"/>
              <w:spacing w:beforeLines="50"/>
              <w:ind w:firstLine="480"/>
              <w:rPr>
                <w:color w:val="000000" w:themeColor="text1"/>
                <w:szCs w:val="24"/>
              </w:rPr>
            </w:pPr>
            <w:r>
              <w:rPr>
                <w:rFonts w:hint="eastAsia"/>
                <w:bCs/>
                <w:color w:val="000000" w:themeColor="text1"/>
                <w:szCs w:val="24"/>
              </w:rPr>
              <w:t>由上表可知，小江</w:t>
            </w:r>
            <w:r>
              <w:rPr>
                <w:bCs/>
                <w:color w:val="000000" w:themeColor="text1"/>
                <w:szCs w:val="24"/>
              </w:rPr>
              <w:t>姑海断面</w:t>
            </w:r>
            <w:r>
              <w:rPr>
                <w:rFonts w:hint="eastAsia"/>
                <w:bCs/>
                <w:color w:val="000000" w:themeColor="text1"/>
                <w:szCs w:val="24"/>
              </w:rPr>
              <w:t>上述监测指标可达到《地表水环境质量标准》（GB3838-2002）III类标准限值要求</w:t>
            </w:r>
            <w:r>
              <w:rPr>
                <w:bCs/>
                <w:color w:val="000000" w:themeColor="text1"/>
                <w:szCs w:val="24"/>
              </w:rPr>
              <w:t>。</w:t>
            </w:r>
          </w:p>
          <w:p>
            <w:pPr>
              <w:pStyle w:val="38"/>
              <w:ind w:firstLine="482"/>
              <w:rPr>
                <w:rFonts w:eastAsiaTheme="minorEastAsia"/>
                <w:b/>
                <w:color w:val="000000" w:themeColor="text1"/>
                <w:szCs w:val="24"/>
              </w:rPr>
            </w:pPr>
            <w:r>
              <w:rPr>
                <w:rFonts w:eastAsiaTheme="minorEastAsia"/>
                <w:b/>
                <w:color w:val="000000" w:themeColor="text1"/>
                <w:szCs w:val="24"/>
              </w:rPr>
              <w:t>3.1.</w:t>
            </w:r>
            <w:r>
              <w:rPr>
                <w:rFonts w:hint="eastAsia" w:eastAsiaTheme="minorEastAsia"/>
                <w:b/>
                <w:color w:val="000000" w:themeColor="text1"/>
                <w:szCs w:val="24"/>
              </w:rPr>
              <w:t>3</w:t>
            </w:r>
            <w:r>
              <w:rPr>
                <w:rFonts w:eastAsiaTheme="minorEastAsia"/>
                <w:b/>
                <w:color w:val="000000" w:themeColor="text1"/>
                <w:szCs w:val="24"/>
              </w:rPr>
              <w:t xml:space="preserve"> 声环境质量现状</w:t>
            </w:r>
          </w:p>
          <w:p>
            <w:pPr>
              <w:pStyle w:val="38"/>
              <w:ind w:firstLine="480"/>
              <w:rPr>
                <w:rFonts w:eastAsiaTheme="minorEastAsia"/>
                <w:color w:val="000000" w:themeColor="text1"/>
                <w:szCs w:val="24"/>
              </w:rPr>
            </w:pPr>
            <w:r>
              <w:rPr>
                <w:rFonts w:eastAsiaTheme="minorEastAsia"/>
                <w:color w:val="000000" w:themeColor="text1"/>
                <w:szCs w:val="24"/>
              </w:rPr>
              <w:t>项目位于昆明市东川区再就业特区天生桥特色产业园，按照《声环境功能区划分技术规范》（GB/T15190-2014）的划分要求，项目区域为3类区。在项目区50m范围内无声环境保护目标；根据《建设项目环境影响报告表编制技术指南》（污染影响类）（试行）的要求，可不进行声环境质量现状调查，根据</w:t>
            </w:r>
            <w:r>
              <w:rPr>
                <w:rFonts w:hint="eastAsia" w:eastAsiaTheme="minorEastAsia"/>
                <w:color w:val="000000" w:themeColor="text1"/>
                <w:szCs w:val="24"/>
              </w:rPr>
              <w:t>项目自行监测结果</w:t>
            </w:r>
            <w:r>
              <w:rPr>
                <w:rFonts w:eastAsiaTheme="minorEastAsia"/>
                <w:color w:val="000000" w:themeColor="text1"/>
                <w:szCs w:val="24"/>
              </w:rPr>
              <w:t>，项目区域声环境可达到《声环境质量标准》（GB3096-2008）3类区标准。</w:t>
            </w:r>
          </w:p>
          <w:p>
            <w:pPr>
              <w:pStyle w:val="38"/>
              <w:ind w:firstLine="482"/>
              <w:rPr>
                <w:rFonts w:eastAsiaTheme="minorEastAsia"/>
                <w:b/>
                <w:color w:val="000000" w:themeColor="text1"/>
                <w:szCs w:val="24"/>
              </w:rPr>
            </w:pPr>
            <w:bookmarkStart w:id="2" w:name="_Toc248077256"/>
            <w:r>
              <w:rPr>
                <w:rFonts w:eastAsiaTheme="minorEastAsia"/>
                <w:b/>
                <w:color w:val="000000" w:themeColor="text1"/>
                <w:szCs w:val="24"/>
              </w:rPr>
              <w:t>3.1.</w:t>
            </w:r>
            <w:r>
              <w:rPr>
                <w:rFonts w:hint="eastAsia" w:eastAsiaTheme="minorEastAsia"/>
                <w:b/>
                <w:color w:val="000000" w:themeColor="text1"/>
                <w:szCs w:val="24"/>
              </w:rPr>
              <w:t>4</w:t>
            </w:r>
            <w:r>
              <w:rPr>
                <w:rFonts w:eastAsiaTheme="minorEastAsia"/>
                <w:b/>
                <w:color w:val="000000" w:themeColor="text1"/>
                <w:szCs w:val="24"/>
              </w:rPr>
              <w:t xml:space="preserve"> 生态环境质量现状</w:t>
            </w:r>
            <w:bookmarkEnd w:id="2"/>
          </w:p>
          <w:p>
            <w:pPr>
              <w:pStyle w:val="38"/>
              <w:ind w:firstLine="480"/>
              <w:rPr>
                <w:rFonts w:eastAsiaTheme="minorEastAsia"/>
                <w:color w:val="000000" w:themeColor="text1"/>
                <w:szCs w:val="24"/>
              </w:rPr>
            </w:pPr>
            <w:r>
              <w:rPr>
                <w:rFonts w:eastAsiaTheme="minorEastAsia"/>
                <w:color w:val="000000" w:themeColor="text1"/>
                <w:szCs w:val="24"/>
              </w:rPr>
              <w:t>项目位于云南省东川再就业特区天生桥特色产业园，根据现场调查，厂区范围主要为人工生态系统，该区域的天然植被已较少，总体来说该区域地表植被种类较少，生物多样性较差，生态环境自身调控能力较低。项目区及周边200m范围内未发现珍稀濒危和国家重点保护野生动植物，无国家重点保护的鸟类、两栖类、爬行类、哺乳类动物种类分布。</w:t>
            </w:r>
          </w:p>
          <w:p>
            <w:pPr>
              <w:pStyle w:val="38"/>
              <w:ind w:firstLine="482"/>
              <w:rPr>
                <w:rFonts w:eastAsiaTheme="minorEastAsia"/>
                <w:b/>
                <w:color w:val="000000" w:themeColor="text1"/>
                <w:szCs w:val="24"/>
              </w:rPr>
            </w:pPr>
            <w:r>
              <w:rPr>
                <w:rFonts w:hint="eastAsia" w:eastAsiaTheme="minorEastAsia"/>
                <w:b/>
                <w:color w:val="000000" w:themeColor="text1"/>
                <w:szCs w:val="24"/>
              </w:rPr>
              <w:t>3.1.5 地下水、土壤环境</w:t>
            </w:r>
          </w:p>
          <w:p>
            <w:pPr>
              <w:pStyle w:val="38"/>
              <w:ind w:firstLine="480"/>
              <w:rPr>
                <w:rFonts w:eastAsiaTheme="minorEastAsia"/>
                <w:color w:val="000000" w:themeColor="text1"/>
                <w:szCs w:val="24"/>
              </w:rPr>
            </w:pPr>
            <w:r>
              <w:rPr>
                <w:rFonts w:hint="eastAsia" w:eastAsiaTheme="minorEastAsia"/>
                <w:color w:val="000000" w:themeColor="text1"/>
                <w:szCs w:val="24"/>
              </w:rPr>
              <w:t>本改扩建项目属于废弃电器电子产品物理拆解、分类收集项目，</w:t>
            </w:r>
            <w:r>
              <w:rPr>
                <w:rFonts w:eastAsiaTheme="minorEastAsia"/>
                <w:color w:val="000000" w:themeColor="text1"/>
                <w:szCs w:val="24"/>
              </w:rPr>
              <w:t>项目不涉及</w:t>
            </w:r>
            <w:r>
              <w:rPr>
                <w:rFonts w:hint="eastAsia" w:eastAsiaTheme="minorEastAsia"/>
                <w:color w:val="000000" w:themeColor="text1"/>
                <w:szCs w:val="24"/>
              </w:rPr>
              <w:t>后续</w:t>
            </w:r>
            <w:r>
              <w:rPr>
                <w:rFonts w:eastAsiaTheme="minorEastAsia"/>
                <w:color w:val="000000" w:themeColor="text1"/>
                <w:szCs w:val="24"/>
              </w:rPr>
              <w:t>处置、加工及再生利用</w:t>
            </w:r>
            <w:r>
              <w:rPr>
                <w:rFonts w:hint="eastAsia" w:eastAsiaTheme="minorEastAsia"/>
                <w:color w:val="000000" w:themeColor="text1"/>
                <w:szCs w:val="24"/>
              </w:rPr>
              <w:t>，基本上不存在地下水、土壤环境污染途径，且厂界外500m范围内不涉及集中式饮用水水源和热水、矿泉水、温泉等特殊地下水资源，项目不开展地下水和土壤环境质量现状调查。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270"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环境保护目标</w:t>
            </w:r>
          </w:p>
          <w:p>
            <w:pPr>
              <w:pStyle w:val="38"/>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根据《建设项目环境影响报告表编制技术指南》（污染影响类）（试行）的要求，编制报告表的建设项目环境保护目标类别包括大气环境、声环境、地下水环境和生态环境。本项目设置的环境保护目标具体如下。</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3.2 环境保护目标</w:t>
            </w:r>
          </w:p>
          <w:p>
            <w:pPr>
              <w:pStyle w:val="38"/>
              <w:ind w:firstLine="482"/>
              <w:rPr>
                <w:rFonts w:eastAsiaTheme="minorEastAsia"/>
                <w:b/>
                <w:color w:val="000000" w:themeColor="text1"/>
                <w:szCs w:val="24"/>
              </w:rPr>
            </w:pPr>
            <w:r>
              <w:rPr>
                <w:rFonts w:eastAsiaTheme="minorEastAsia"/>
                <w:b/>
                <w:color w:val="000000" w:themeColor="text1"/>
                <w:szCs w:val="24"/>
              </w:rPr>
              <w:t>3.2.1 大气环境保护目标</w:t>
            </w:r>
          </w:p>
          <w:p>
            <w:pPr>
              <w:pStyle w:val="38"/>
              <w:ind w:firstLine="480"/>
              <w:rPr>
                <w:rFonts w:eastAsiaTheme="minorEastAsia"/>
                <w:color w:val="000000" w:themeColor="text1"/>
                <w:szCs w:val="24"/>
              </w:rPr>
            </w:pPr>
            <w:r>
              <w:rPr>
                <w:rFonts w:eastAsiaTheme="minorEastAsia"/>
                <w:color w:val="000000" w:themeColor="text1"/>
                <w:szCs w:val="24"/>
              </w:rPr>
              <w:t>根据《环境影响评价技术导则-大气环境》（HJ2.2-2018）中对于大气环境保护目标的要求，环境空气保护目标指评价范围内按GB 3095规定划分为一类区的自然保护区、风景名胜区和其他需要特殊保护的区域，二类区中的居住区、文化区和农村地区中人群较集中的区域。</w:t>
            </w:r>
          </w:p>
          <w:p>
            <w:pPr>
              <w:pStyle w:val="38"/>
              <w:ind w:firstLine="480"/>
              <w:rPr>
                <w:rFonts w:eastAsiaTheme="minorEastAsia"/>
                <w:color w:val="000000" w:themeColor="text1"/>
                <w:szCs w:val="24"/>
              </w:rPr>
            </w:pPr>
            <w:r>
              <w:rPr>
                <w:rFonts w:eastAsiaTheme="minorEastAsia"/>
                <w:color w:val="000000" w:themeColor="text1"/>
                <w:szCs w:val="24"/>
              </w:rPr>
              <w:t>根据调查，该改扩建项目主要大气环境保护目标如下表所示。</w:t>
            </w:r>
          </w:p>
          <w:p>
            <w:pPr>
              <w:pStyle w:val="32"/>
              <w:widowControl/>
              <w:tabs>
                <w:tab w:val="left" w:pos="540"/>
                <w:tab w:val="left" w:pos="851"/>
                <w:tab w:val="left" w:pos="994"/>
                <w:tab w:val="left" w:pos="1260"/>
                <w:tab w:val="left" w:pos="3108"/>
                <w:tab w:val="left" w:pos="3150"/>
              </w:tabs>
              <w:snapToGrid/>
              <w:spacing w:beforeLines="0"/>
              <w:textAlignment w:val="auto"/>
              <w:rPr>
                <w:rFonts w:hAnsi="Times New Roman" w:eastAsia="宋体"/>
                <w:bCs/>
                <w:snapToGrid w:val="0"/>
                <w:color w:val="000000" w:themeColor="text1"/>
                <w:sz w:val="21"/>
                <w:szCs w:val="21"/>
              </w:rPr>
            </w:pPr>
            <w:r>
              <w:rPr>
                <w:rFonts w:hAnsi="Times New Roman" w:eastAsia="宋体"/>
                <w:bCs/>
                <w:snapToGrid w:val="0"/>
                <w:color w:val="000000" w:themeColor="text1"/>
                <w:sz w:val="21"/>
                <w:szCs w:val="21"/>
              </w:rPr>
              <w:t>表3</w:t>
            </w:r>
            <w:r>
              <w:rPr>
                <w:rFonts w:hint="eastAsia" w:hAnsi="Times New Roman" w:eastAsia="宋体"/>
                <w:bCs/>
                <w:snapToGrid w:val="0"/>
                <w:color w:val="000000" w:themeColor="text1"/>
                <w:sz w:val="21"/>
                <w:szCs w:val="21"/>
              </w:rPr>
              <w:t>.2.1</w:t>
            </w:r>
            <w:r>
              <w:rPr>
                <w:rFonts w:hAnsi="Times New Roman" w:eastAsia="宋体"/>
                <w:bCs/>
                <w:snapToGrid w:val="0"/>
                <w:color w:val="000000" w:themeColor="text1"/>
                <w:sz w:val="21"/>
                <w:szCs w:val="21"/>
              </w:rPr>
              <w:t>-1 环境空气保护目标</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9"/>
              <w:gridCol w:w="1559"/>
              <w:gridCol w:w="1417"/>
              <w:gridCol w:w="851"/>
              <w:gridCol w:w="1417"/>
              <w:gridCol w:w="709"/>
              <w:gridCol w:w="851"/>
              <w:gridCol w:w="8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Merge w:val="restart"/>
                  <w:vAlign w:val="center"/>
                </w:tcPr>
                <w:p>
                  <w:pPr>
                    <w:pStyle w:val="30"/>
                    <w:spacing w:line="360" w:lineRule="exact"/>
                    <w:rPr>
                      <w:color w:val="000000" w:themeColor="text1"/>
                      <w:kern w:val="0"/>
                      <w:szCs w:val="21"/>
                    </w:rPr>
                  </w:pPr>
                  <w:r>
                    <w:rPr>
                      <w:color w:val="000000" w:themeColor="text1"/>
                      <w:kern w:val="0"/>
                      <w:szCs w:val="21"/>
                    </w:rPr>
                    <w:t>名称</w:t>
                  </w:r>
                </w:p>
              </w:tc>
              <w:tc>
                <w:tcPr>
                  <w:tcW w:w="2976" w:type="dxa"/>
                  <w:gridSpan w:val="2"/>
                  <w:vAlign w:val="center"/>
                </w:tcPr>
                <w:p>
                  <w:pPr>
                    <w:pStyle w:val="30"/>
                    <w:spacing w:line="360" w:lineRule="exact"/>
                    <w:rPr>
                      <w:color w:val="000000" w:themeColor="text1"/>
                      <w:kern w:val="0"/>
                      <w:szCs w:val="21"/>
                    </w:rPr>
                  </w:pPr>
                  <w:r>
                    <w:rPr>
                      <w:color w:val="000000" w:themeColor="text1"/>
                      <w:kern w:val="0"/>
                      <w:szCs w:val="21"/>
                    </w:rPr>
                    <w:t>坐标/m</w:t>
                  </w:r>
                </w:p>
              </w:tc>
              <w:tc>
                <w:tcPr>
                  <w:tcW w:w="851" w:type="dxa"/>
                  <w:vMerge w:val="restart"/>
                  <w:vAlign w:val="center"/>
                </w:tcPr>
                <w:p>
                  <w:pPr>
                    <w:pStyle w:val="30"/>
                    <w:spacing w:line="360" w:lineRule="exact"/>
                    <w:rPr>
                      <w:color w:val="000000" w:themeColor="text1"/>
                      <w:kern w:val="0"/>
                      <w:szCs w:val="21"/>
                    </w:rPr>
                  </w:pPr>
                  <w:r>
                    <w:rPr>
                      <w:color w:val="000000" w:themeColor="text1"/>
                      <w:kern w:val="0"/>
                      <w:szCs w:val="21"/>
                    </w:rPr>
                    <w:t>保护对象</w:t>
                  </w:r>
                </w:p>
              </w:tc>
              <w:tc>
                <w:tcPr>
                  <w:tcW w:w="1417" w:type="dxa"/>
                  <w:vMerge w:val="restart"/>
                  <w:vAlign w:val="center"/>
                </w:tcPr>
                <w:p>
                  <w:pPr>
                    <w:pStyle w:val="30"/>
                    <w:spacing w:line="360" w:lineRule="exact"/>
                    <w:rPr>
                      <w:color w:val="000000" w:themeColor="text1"/>
                      <w:kern w:val="0"/>
                      <w:szCs w:val="21"/>
                    </w:rPr>
                  </w:pPr>
                  <w:r>
                    <w:rPr>
                      <w:color w:val="000000" w:themeColor="text1"/>
                      <w:kern w:val="0"/>
                      <w:szCs w:val="21"/>
                    </w:rPr>
                    <w:t>保护内容</w:t>
                  </w:r>
                </w:p>
              </w:tc>
              <w:tc>
                <w:tcPr>
                  <w:tcW w:w="709" w:type="dxa"/>
                  <w:vMerge w:val="restart"/>
                  <w:vAlign w:val="center"/>
                </w:tcPr>
                <w:p>
                  <w:pPr>
                    <w:pStyle w:val="30"/>
                    <w:spacing w:line="360" w:lineRule="exact"/>
                    <w:rPr>
                      <w:color w:val="000000" w:themeColor="text1"/>
                      <w:kern w:val="0"/>
                      <w:szCs w:val="21"/>
                    </w:rPr>
                  </w:pPr>
                  <w:r>
                    <w:rPr>
                      <w:color w:val="000000" w:themeColor="text1"/>
                      <w:kern w:val="0"/>
                      <w:szCs w:val="21"/>
                    </w:rPr>
                    <w:t>环境功能区</w:t>
                  </w:r>
                </w:p>
              </w:tc>
              <w:tc>
                <w:tcPr>
                  <w:tcW w:w="851" w:type="dxa"/>
                  <w:vMerge w:val="restart"/>
                  <w:vAlign w:val="center"/>
                </w:tcPr>
                <w:p>
                  <w:pPr>
                    <w:pStyle w:val="30"/>
                    <w:spacing w:line="360" w:lineRule="exact"/>
                    <w:rPr>
                      <w:color w:val="000000" w:themeColor="text1"/>
                      <w:kern w:val="0"/>
                      <w:szCs w:val="21"/>
                    </w:rPr>
                  </w:pPr>
                  <w:r>
                    <w:rPr>
                      <w:color w:val="000000" w:themeColor="text1"/>
                      <w:kern w:val="0"/>
                      <w:szCs w:val="21"/>
                    </w:rPr>
                    <w:t>相对厂址方位</w:t>
                  </w:r>
                </w:p>
              </w:tc>
              <w:tc>
                <w:tcPr>
                  <w:tcW w:w="881" w:type="dxa"/>
                  <w:vMerge w:val="restart"/>
                  <w:vAlign w:val="center"/>
                </w:tcPr>
                <w:p>
                  <w:pPr>
                    <w:pStyle w:val="30"/>
                    <w:spacing w:line="360" w:lineRule="exact"/>
                    <w:rPr>
                      <w:color w:val="000000" w:themeColor="text1"/>
                      <w:kern w:val="0"/>
                      <w:szCs w:val="21"/>
                    </w:rPr>
                  </w:pPr>
                  <w:r>
                    <w:rPr>
                      <w:color w:val="000000" w:themeColor="text1"/>
                      <w:kern w:val="0"/>
                      <w:szCs w:val="21"/>
                    </w:rPr>
                    <w:t>相对厂界距离/m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Merge w:val="continue"/>
                  <w:vAlign w:val="center"/>
                </w:tcPr>
                <w:p>
                  <w:pPr>
                    <w:pStyle w:val="30"/>
                    <w:spacing w:line="360" w:lineRule="exact"/>
                    <w:rPr>
                      <w:color w:val="000000" w:themeColor="text1"/>
                      <w:kern w:val="0"/>
                      <w:szCs w:val="21"/>
                    </w:rPr>
                  </w:pPr>
                </w:p>
              </w:tc>
              <w:tc>
                <w:tcPr>
                  <w:tcW w:w="1559" w:type="dxa"/>
                  <w:vAlign w:val="center"/>
                </w:tcPr>
                <w:p>
                  <w:pPr>
                    <w:pStyle w:val="30"/>
                    <w:spacing w:line="360" w:lineRule="exact"/>
                    <w:rPr>
                      <w:color w:val="000000" w:themeColor="text1"/>
                      <w:kern w:val="0"/>
                      <w:szCs w:val="21"/>
                    </w:rPr>
                  </w:pPr>
                  <w:r>
                    <w:rPr>
                      <w:color w:val="000000" w:themeColor="text1"/>
                      <w:kern w:val="0"/>
                      <w:szCs w:val="21"/>
                    </w:rPr>
                    <w:t>X</w:t>
                  </w:r>
                </w:p>
              </w:tc>
              <w:tc>
                <w:tcPr>
                  <w:tcW w:w="1417" w:type="dxa"/>
                  <w:vAlign w:val="center"/>
                </w:tcPr>
                <w:p>
                  <w:pPr>
                    <w:pStyle w:val="30"/>
                    <w:spacing w:line="360" w:lineRule="exact"/>
                    <w:rPr>
                      <w:color w:val="000000" w:themeColor="text1"/>
                      <w:kern w:val="0"/>
                      <w:szCs w:val="21"/>
                    </w:rPr>
                  </w:pPr>
                  <w:r>
                    <w:rPr>
                      <w:color w:val="000000" w:themeColor="text1"/>
                      <w:kern w:val="0"/>
                      <w:szCs w:val="21"/>
                    </w:rPr>
                    <w:t>Y</w:t>
                  </w:r>
                </w:p>
              </w:tc>
              <w:tc>
                <w:tcPr>
                  <w:tcW w:w="851" w:type="dxa"/>
                  <w:vMerge w:val="continue"/>
                  <w:vAlign w:val="center"/>
                </w:tcPr>
                <w:p>
                  <w:pPr>
                    <w:pStyle w:val="30"/>
                    <w:spacing w:line="360" w:lineRule="exact"/>
                    <w:rPr>
                      <w:color w:val="000000" w:themeColor="text1"/>
                      <w:kern w:val="0"/>
                      <w:szCs w:val="21"/>
                    </w:rPr>
                  </w:pPr>
                </w:p>
              </w:tc>
              <w:tc>
                <w:tcPr>
                  <w:tcW w:w="1417" w:type="dxa"/>
                  <w:vMerge w:val="continue"/>
                  <w:vAlign w:val="center"/>
                </w:tcPr>
                <w:p>
                  <w:pPr>
                    <w:pStyle w:val="30"/>
                    <w:spacing w:line="360" w:lineRule="exact"/>
                    <w:rPr>
                      <w:color w:val="000000" w:themeColor="text1"/>
                      <w:kern w:val="0"/>
                      <w:szCs w:val="21"/>
                    </w:rPr>
                  </w:pPr>
                </w:p>
              </w:tc>
              <w:tc>
                <w:tcPr>
                  <w:tcW w:w="709" w:type="dxa"/>
                  <w:vMerge w:val="continue"/>
                  <w:vAlign w:val="center"/>
                </w:tcPr>
                <w:p>
                  <w:pPr>
                    <w:pStyle w:val="30"/>
                    <w:spacing w:line="360" w:lineRule="exact"/>
                    <w:rPr>
                      <w:color w:val="000000" w:themeColor="text1"/>
                      <w:kern w:val="0"/>
                      <w:szCs w:val="21"/>
                    </w:rPr>
                  </w:pPr>
                </w:p>
              </w:tc>
              <w:tc>
                <w:tcPr>
                  <w:tcW w:w="851" w:type="dxa"/>
                  <w:vMerge w:val="continue"/>
                  <w:vAlign w:val="center"/>
                </w:tcPr>
                <w:p>
                  <w:pPr>
                    <w:pStyle w:val="30"/>
                    <w:spacing w:line="360" w:lineRule="exact"/>
                    <w:rPr>
                      <w:color w:val="000000" w:themeColor="text1"/>
                      <w:kern w:val="0"/>
                      <w:szCs w:val="21"/>
                    </w:rPr>
                  </w:pPr>
                </w:p>
              </w:tc>
              <w:tc>
                <w:tcPr>
                  <w:tcW w:w="881" w:type="dxa"/>
                  <w:vMerge w:val="continue"/>
                  <w:vAlign w:val="center"/>
                </w:tcPr>
                <w:p>
                  <w:pPr>
                    <w:pStyle w:val="30"/>
                    <w:spacing w:line="360" w:lineRule="exact"/>
                    <w:rPr>
                      <w:color w:val="000000" w:themeColor="text1"/>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天生村</w:t>
                  </w:r>
                </w:p>
              </w:tc>
              <w:tc>
                <w:tcPr>
                  <w:tcW w:w="1559" w:type="dxa"/>
                  <w:vAlign w:val="center"/>
                </w:tcPr>
                <w:p>
                  <w:pPr>
                    <w:pStyle w:val="30"/>
                    <w:spacing w:line="360" w:lineRule="exact"/>
                    <w:rPr>
                      <w:color w:val="000000" w:themeColor="text1"/>
                      <w:kern w:val="0"/>
                      <w:szCs w:val="21"/>
                    </w:rPr>
                  </w:pPr>
                  <w:r>
                    <w:rPr>
                      <w:color w:val="000000" w:themeColor="text1"/>
                      <w:kern w:val="0"/>
                      <w:szCs w:val="21"/>
                    </w:rPr>
                    <w:t>103°14′27.51″</w:t>
                  </w:r>
                </w:p>
              </w:tc>
              <w:tc>
                <w:tcPr>
                  <w:tcW w:w="1417" w:type="dxa"/>
                  <w:vAlign w:val="center"/>
                </w:tcPr>
                <w:p>
                  <w:pPr>
                    <w:pStyle w:val="30"/>
                    <w:spacing w:line="360" w:lineRule="exact"/>
                    <w:rPr>
                      <w:color w:val="000000" w:themeColor="text1"/>
                      <w:kern w:val="0"/>
                      <w:szCs w:val="21"/>
                    </w:rPr>
                  </w:pPr>
                  <w:r>
                    <w:rPr>
                      <w:color w:val="000000" w:themeColor="text1"/>
                      <w:kern w:val="0"/>
                      <w:szCs w:val="21"/>
                    </w:rPr>
                    <w:t>25°38′22.51″</w:t>
                  </w:r>
                </w:p>
              </w:tc>
              <w:tc>
                <w:tcPr>
                  <w:tcW w:w="851" w:type="dxa"/>
                  <w:vAlign w:val="center"/>
                </w:tcPr>
                <w:p>
                  <w:pPr>
                    <w:pStyle w:val="30"/>
                    <w:spacing w:line="360" w:lineRule="exact"/>
                    <w:rPr>
                      <w:color w:val="000000" w:themeColor="text1"/>
                      <w:kern w:val="0"/>
                      <w:szCs w:val="21"/>
                    </w:rPr>
                  </w:pPr>
                  <w:r>
                    <w:rPr>
                      <w:color w:val="000000" w:themeColor="text1"/>
                      <w:kern w:val="0"/>
                      <w:szCs w:val="21"/>
                    </w:rPr>
                    <w:t>居民区</w:t>
                  </w:r>
                </w:p>
              </w:tc>
              <w:tc>
                <w:tcPr>
                  <w:tcW w:w="1417" w:type="dxa"/>
                  <w:vAlign w:val="center"/>
                </w:tcPr>
                <w:p>
                  <w:pPr>
                    <w:pStyle w:val="30"/>
                    <w:spacing w:line="360" w:lineRule="exact"/>
                    <w:rPr>
                      <w:color w:val="000000" w:themeColor="text1"/>
                      <w:kern w:val="0"/>
                      <w:szCs w:val="21"/>
                    </w:rPr>
                  </w:pPr>
                  <w:r>
                    <w:rPr>
                      <w:rFonts w:hint="eastAsia"/>
                      <w:color w:val="000000" w:themeColor="text1"/>
                      <w:kern w:val="0"/>
                      <w:szCs w:val="21"/>
                    </w:rPr>
                    <w:t>80户/245人</w:t>
                  </w:r>
                </w:p>
              </w:tc>
              <w:tc>
                <w:tcPr>
                  <w:tcW w:w="709" w:type="dxa"/>
                  <w:vMerge w:val="restart"/>
                  <w:vAlign w:val="center"/>
                </w:tcPr>
                <w:p>
                  <w:pPr>
                    <w:pStyle w:val="30"/>
                    <w:spacing w:line="360" w:lineRule="exact"/>
                    <w:rPr>
                      <w:color w:val="000000" w:themeColor="text1"/>
                      <w:kern w:val="0"/>
                      <w:szCs w:val="21"/>
                    </w:rPr>
                  </w:pPr>
                  <w:r>
                    <w:rPr>
                      <w:color w:val="000000" w:themeColor="text1"/>
                      <w:kern w:val="0"/>
                      <w:szCs w:val="21"/>
                    </w:rPr>
                    <w:t>二类区</w:t>
                  </w:r>
                </w:p>
              </w:tc>
              <w:tc>
                <w:tcPr>
                  <w:tcW w:w="851" w:type="dxa"/>
                  <w:vAlign w:val="center"/>
                </w:tcPr>
                <w:p>
                  <w:pPr>
                    <w:pStyle w:val="30"/>
                    <w:spacing w:line="360" w:lineRule="exact"/>
                    <w:rPr>
                      <w:color w:val="000000" w:themeColor="text1"/>
                      <w:kern w:val="0"/>
                      <w:szCs w:val="21"/>
                    </w:rPr>
                  </w:pPr>
                  <w:r>
                    <w:rPr>
                      <w:color w:val="000000" w:themeColor="text1"/>
                      <w:kern w:val="0"/>
                      <w:szCs w:val="21"/>
                    </w:rPr>
                    <w:t>西侧</w:t>
                  </w:r>
                </w:p>
              </w:tc>
              <w:tc>
                <w:tcPr>
                  <w:tcW w:w="881" w:type="dxa"/>
                  <w:vAlign w:val="center"/>
                </w:tcPr>
                <w:p>
                  <w:pPr>
                    <w:pStyle w:val="30"/>
                    <w:spacing w:line="360" w:lineRule="exact"/>
                    <w:rPr>
                      <w:color w:val="000000" w:themeColor="text1"/>
                      <w:kern w:val="0"/>
                      <w:szCs w:val="21"/>
                    </w:rPr>
                  </w:pPr>
                  <w:r>
                    <w:rPr>
                      <w:color w:val="000000" w:themeColor="text1"/>
                      <w:kern w:val="0"/>
                      <w:szCs w:val="21"/>
                    </w:rPr>
                    <w:t>1116m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大凹子农场</w:t>
                  </w:r>
                </w:p>
              </w:tc>
              <w:tc>
                <w:tcPr>
                  <w:tcW w:w="1559" w:type="dxa"/>
                  <w:vAlign w:val="center"/>
                </w:tcPr>
                <w:p>
                  <w:pPr>
                    <w:pStyle w:val="30"/>
                    <w:spacing w:line="360" w:lineRule="exact"/>
                    <w:rPr>
                      <w:color w:val="000000" w:themeColor="text1"/>
                      <w:kern w:val="0"/>
                      <w:szCs w:val="21"/>
                    </w:rPr>
                  </w:pPr>
                  <w:r>
                    <w:rPr>
                      <w:color w:val="000000" w:themeColor="text1"/>
                      <w:kern w:val="0"/>
                      <w:szCs w:val="21"/>
                    </w:rPr>
                    <w:t>103°15′02.39″</w:t>
                  </w:r>
                </w:p>
              </w:tc>
              <w:tc>
                <w:tcPr>
                  <w:tcW w:w="1417" w:type="dxa"/>
                  <w:vAlign w:val="center"/>
                </w:tcPr>
                <w:p>
                  <w:pPr>
                    <w:pStyle w:val="30"/>
                    <w:spacing w:line="360" w:lineRule="exact"/>
                    <w:rPr>
                      <w:color w:val="000000" w:themeColor="text1"/>
                      <w:kern w:val="0"/>
                      <w:szCs w:val="21"/>
                    </w:rPr>
                  </w:pPr>
                  <w:r>
                    <w:rPr>
                      <w:color w:val="000000" w:themeColor="text1"/>
                      <w:kern w:val="0"/>
                      <w:szCs w:val="21"/>
                    </w:rPr>
                    <w:t>25°38′09.65″</w:t>
                  </w:r>
                </w:p>
              </w:tc>
              <w:tc>
                <w:tcPr>
                  <w:tcW w:w="851" w:type="dxa"/>
                  <w:vAlign w:val="center"/>
                </w:tcPr>
                <w:p>
                  <w:pPr>
                    <w:pStyle w:val="30"/>
                    <w:spacing w:line="360" w:lineRule="exact"/>
                    <w:rPr>
                      <w:color w:val="000000" w:themeColor="text1"/>
                      <w:kern w:val="0"/>
                      <w:szCs w:val="21"/>
                    </w:rPr>
                  </w:pPr>
                  <w:r>
                    <w:rPr>
                      <w:color w:val="000000" w:themeColor="text1"/>
                      <w:kern w:val="0"/>
                      <w:szCs w:val="21"/>
                    </w:rPr>
                    <w:t>居民区</w:t>
                  </w:r>
                </w:p>
              </w:tc>
              <w:tc>
                <w:tcPr>
                  <w:tcW w:w="1417" w:type="dxa"/>
                  <w:vAlign w:val="center"/>
                </w:tcPr>
                <w:p>
                  <w:pPr>
                    <w:pStyle w:val="30"/>
                    <w:spacing w:line="360" w:lineRule="exact"/>
                    <w:rPr>
                      <w:color w:val="000000" w:themeColor="text1"/>
                      <w:kern w:val="0"/>
                      <w:szCs w:val="21"/>
                    </w:rPr>
                  </w:pPr>
                  <w:r>
                    <w:rPr>
                      <w:rFonts w:hint="eastAsia"/>
                      <w:color w:val="000000" w:themeColor="text1"/>
                      <w:kern w:val="0"/>
                      <w:szCs w:val="21"/>
                    </w:rPr>
                    <w:t>5</w:t>
                  </w:r>
                  <w:r>
                    <w:rPr>
                      <w:color w:val="000000" w:themeColor="text1"/>
                      <w:kern w:val="0"/>
                      <w:szCs w:val="21"/>
                    </w:rPr>
                    <w:t>户</w:t>
                  </w:r>
                  <w:r>
                    <w:rPr>
                      <w:rFonts w:hint="eastAsia"/>
                      <w:color w:val="000000" w:themeColor="text1"/>
                      <w:kern w:val="0"/>
                      <w:szCs w:val="21"/>
                    </w:rPr>
                    <w:t>/18</w:t>
                  </w:r>
                  <w:r>
                    <w:rPr>
                      <w:color w:val="000000" w:themeColor="text1"/>
                      <w:kern w:val="0"/>
                      <w:szCs w:val="21"/>
                    </w:rPr>
                    <w:t>人</w:t>
                  </w:r>
                </w:p>
              </w:tc>
              <w:tc>
                <w:tcPr>
                  <w:tcW w:w="709" w:type="dxa"/>
                  <w:vMerge w:val="continue"/>
                  <w:vAlign w:val="center"/>
                </w:tcPr>
                <w:p>
                  <w:pPr>
                    <w:pStyle w:val="30"/>
                    <w:spacing w:line="360" w:lineRule="exact"/>
                    <w:rPr>
                      <w:color w:val="000000" w:themeColor="text1"/>
                      <w:kern w:val="0"/>
                      <w:szCs w:val="21"/>
                    </w:rPr>
                  </w:pPr>
                </w:p>
              </w:tc>
              <w:tc>
                <w:tcPr>
                  <w:tcW w:w="851" w:type="dxa"/>
                  <w:vAlign w:val="center"/>
                </w:tcPr>
                <w:p>
                  <w:pPr>
                    <w:pStyle w:val="30"/>
                    <w:spacing w:line="360" w:lineRule="exact"/>
                    <w:rPr>
                      <w:color w:val="000000" w:themeColor="text1"/>
                      <w:kern w:val="0"/>
                      <w:szCs w:val="21"/>
                    </w:rPr>
                  </w:pPr>
                  <w:r>
                    <w:rPr>
                      <w:color w:val="000000" w:themeColor="text1"/>
                      <w:kern w:val="0"/>
                      <w:szCs w:val="21"/>
                    </w:rPr>
                    <w:t>西南侧</w:t>
                  </w:r>
                </w:p>
              </w:tc>
              <w:tc>
                <w:tcPr>
                  <w:tcW w:w="881" w:type="dxa"/>
                  <w:vAlign w:val="center"/>
                </w:tcPr>
                <w:p>
                  <w:pPr>
                    <w:pStyle w:val="30"/>
                    <w:spacing w:line="360" w:lineRule="exact"/>
                    <w:rPr>
                      <w:color w:val="000000" w:themeColor="text1"/>
                      <w:kern w:val="0"/>
                      <w:szCs w:val="21"/>
                    </w:rPr>
                  </w:pPr>
                  <w:r>
                    <w:rPr>
                      <w:color w:val="000000" w:themeColor="text1"/>
                      <w:kern w:val="0"/>
                      <w:szCs w:val="21"/>
                    </w:rPr>
                    <w:t>4</w:t>
                  </w:r>
                  <w:r>
                    <w:rPr>
                      <w:rFonts w:hint="eastAsia"/>
                      <w:color w:val="000000" w:themeColor="text1"/>
                      <w:kern w:val="0"/>
                      <w:szCs w:val="21"/>
                    </w:rPr>
                    <w:t>35</w:t>
                  </w:r>
                  <w:r>
                    <w:rPr>
                      <w:color w:val="000000" w:themeColor="text1"/>
                      <w:kern w:val="0"/>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园区管委会</w:t>
                  </w:r>
                </w:p>
              </w:tc>
              <w:tc>
                <w:tcPr>
                  <w:tcW w:w="1559" w:type="dxa"/>
                  <w:vAlign w:val="center"/>
                </w:tcPr>
                <w:p>
                  <w:pPr>
                    <w:pStyle w:val="30"/>
                    <w:spacing w:line="360" w:lineRule="exact"/>
                    <w:rPr>
                      <w:color w:val="000000" w:themeColor="text1"/>
                      <w:kern w:val="0"/>
                      <w:szCs w:val="21"/>
                    </w:rPr>
                  </w:pPr>
                  <w:r>
                    <w:rPr>
                      <w:color w:val="000000" w:themeColor="text1"/>
                      <w:kern w:val="0"/>
                      <w:szCs w:val="21"/>
                    </w:rPr>
                    <w:t>103°15′26.17″</w:t>
                  </w:r>
                </w:p>
              </w:tc>
              <w:tc>
                <w:tcPr>
                  <w:tcW w:w="1417" w:type="dxa"/>
                  <w:vAlign w:val="center"/>
                </w:tcPr>
                <w:p>
                  <w:pPr>
                    <w:pStyle w:val="30"/>
                    <w:spacing w:line="360" w:lineRule="exact"/>
                    <w:rPr>
                      <w:color w:val="000000" w:themeColor="text1"/>
                      <w:kern w:val="0"/>
                      <w:szCs w:val="21"/>
                    </w:rPr>
                  </w:pPr>
                  <w:r>
                    <w:rPr>
                      <w:color w:val="000000" w:themeColor="text1"/>
                      <w:kern w:val="0"/>
                      <w:szCs w:val="21"/>
                    </w:rPr>
                    <w:t>25°38′13.94″</w:t>
                  </w:r>
                </w:p>
              </w:tc>
              <w:tc>
                <w:tcPr>
                  <w:tcW w:w="851" w:type="dxa"/>
                  <w:vAlign w:val="center"/>
                </w:tcPr>
                <w:p>
                  <w:pPr>
                    <w:pStyle w:val="30"/>
                    <w:spacing w:line="360" w:lineRule="exact"/>
                    <w:rPr>
                      <w:color w:val="000000" w:themeColor="text1"/>
                      <w:kern w:val="0"/>
                      <w:szCs w:val="21"/>
                    </w:rPr>
                  </w:pPr>
                  <w:r>
                    <w:rPr>
                      <w:color w:val="000000" w:themeColor="text1"/>
                      <w:kern w:val="0"/>
                      <w:szCs w:val="21"/>
                    </w:rPr>
                    <w:t>办公区</w:t>
                  </w:r>
                </w:p>
              </w:tc>
              <w:tc>
                <w:tcPr>
                  <w:tcW w:w="1417" w:type="dxa"/>
                  <w:vAlign w:val="center"/>
                </w:tcPr>
                <w:p>
                  <w:pPr>
                    <w:pStyle w:val="30"/>
                    <w:spacing w:line="360" w:lineRule="exact"/>
                    <w:rPr>
                      <w:color w:val="000000" w:themeColor="text1"/>
                      <w:kern w:val="0"/>
                      <w:szCs w:val="21"/>
                    </w:rPr>
                  </w:pPr>
                  <w:r>
                    <w:rPr>
                      <w:rFonts w:hint="eastAsia"/>
                      <w:color w:val="000000" w:themeColor="text1"/>
                      <w:kern w:val="0"/>
                      <w:szCs w:val="21"/>
                    </w:rPr>
                    <w:t>20人</w:t>
                  </w:r>
                </w:p>
              </w:tc>
              <w:tc>
                <w:tcPr>
                  <w:tcW w:w="709" w:type="dxa"/>
                  <w:vMerge w:val="continue"/>
                  <w:vAlign w:val="center"/>
                </w:tcPr>
                <w:p>
                  <w:pPr>
                    <w:pStyle w:val="30"/>
                    <w:spacing w:line="360" w:lineRule="exact"/>
                    <w:rPr>
                      <w:color w:val="000000" w:themeColor="text1"/>
                      <w:kern w:val="0"/>
                      <w:szCs w:val="21"/>
                    </w:rPr>
                  </w:pPr>
                </w:p>
              </w:tc>
              <w:tc>
                <w:tcPr>
                  <w:tcW w:w="851" w:type="dxa"/>
                  <w:vAlign w:val="center"/>
                </w:tcPr>
                <w:p>
                  <w:pPr>
                    <w:pStyle w:val="30"/>
                    <w:spacing w:line="360" w:lineRule="exact"/>
                    <w:rPr>
                      <w:color w:val="000000" w:themeColor="text1"/>
                      <w:kern w:val="0"/>
                      <w:szCs w:val="21"/>
                    </w:rPr>
                  </w:pPr>
                  <w:r>
                    <w:rPr>
                      <w:color w:val="000000" w:themeColor="text1"/>
                      <w:kern w:val="0"/>
                      <w:szCs w:val="21"/>
                    </w:rPr>
                    <w:t>东南侧</w:t>
                  </w:r>
                </w:p>
              </w:tc>
              <w:tc>
                <w:tcPr>
                  <w:tcW w:w="881" w:type="dxa"/>
                  <w:vAlign w:val="center"/>
                </w:tcPr>
                <w:p>
                  <w:pPr>
                    <w:pStyle w:val="30"/>
                    <w:spacing w:line="360" w:lineRule="exact"/>
                    <w:rPr>
                      <w:color w:val="000000" w:themeColor="text1"/>
                      <w:kern w:val="0"/>
                      <w:szCs w:val="21"/>
                    </w:rPr>
                  </w:pPr>
                  <w:r>
                    <w:rPr>
                      <w:color w:val="000000" w:themeColor="text1"/>
                      <w:kern w:val="0"/>
                      <w:szCs w:val="21"/>
                    </w:rPr>
                    <w:t>386m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草海子村</w:t>
                  </w:r>
                </w:p>
              </w:tc>
              <w:tc>
                <w:tcPr>
                  <w:tcW w:w="1559" w:type="dxa"/>
                  <w:vAlign w:val="center"/>
                </w:tcPr>
                <w:p>
                  <w:pPr>
                    <w:pStyle w:val="30"/>
                    <w:spacing w:line="360" w:lineRule="exact"/>
                    <w:rPr>
                      <w:color w:val="000000" w:themeColor="text1"/>
                      <w:kern w:val="0"/>
                      <w:szCs w:val="21"/>
                    </w:rPr>
                  </w:pPr>
                  <w:r>
                    <w:rPr>
                      <w:color w:val="000000" w:themeColor="text1"/>
                      <w:kern w:val="0"/>
                      <w:szCs w:val="21"/>
                    </w:rPr>
                    <w:t>103°15′52.11″</w:t>
                  </w:r>
                </w:p>
              </w:tc>
              <w:tc>
                <w:tcPr>
                  <w:tcW w:w="1417" w:type="dxa"/>
                  <w:vAlign w:val="center"/>
                </w:tcPr>
                <w:p>
                  <w:pPr>
                    <w:pStyle w:val="30"/>
                    <w:spacing w:line="360" w:lineRule="exact"/>
                    <w:rPr>
                      <w:color w:val="000000" w:themeColor="text1"/>
                      <w:kern w:val="0"/>
                      <w:szCs w:val="21"/>
                    </w:rPr>
                  </w:pPr>
                  <w:r>
                    <w:rPr>
                      <w:color w:val="000000" w:themeColor="text1"/>
                      <w:kern w:val="0"/>
                      <w:szCs w:val="21"/>
                    </w:rPr>
                    <w:t>25°38′17.18″</w:t>
                  </w:r>
                </w:p>
              </w:tc>
              <w:tc>
                <w:tcPr>
                  <w:tcW w:w="851" w:type="dxa"/>
                  <w:vAlign w:val="center"/>
                </w:tcPr>
                <w:p>
                  <w:pPr>
                    <w:pStyle w:val="30"/>
                    <w:spacing w:line="360" w:lineRule="exact"/>
                    <w:rPr>
                      <w:color w:val="000000" w:themeColor="text1"/>
                      <w:kern w:val="0"/>
                      <w:szCs w:val="21"/>
                    </w:rPr>
                  </w:pPr>
                  <w:r>
                    <w:rPr>
                      <w:color w:val="000000" w:themeColor="text1"/>
                      <w:kern w:val="0"/>
                      <w:szCs w:val="21"/>
                    </w:rPr>
                    <w:t>居民区</w:t>
                  </w:r>
                </w:p>
              </w:tc>
              <w:tc>
                <w:tcPr>
                  <w:tcW w:w="1417" w:type="dxa"/>
                  <w:vAlign w:val="center"/>
                </w:tcPr>
                <w:p>
                  <w:pPr>
                    <w:pStyle w:val="30"/>
                    <w:spacing w:line="360" w:lineRule="exact"/>
                    <w:rPr>
                      <w:color w:val="000000" w:themeColor="text1"/>
                      <w:kern w:val="0"/>
                      <w:szCs w:val="21"/>
                    </w:rPr>
                  </w:pPr>
                  <w:r>
                    <w:rPr>
                      <w:color w:val="000000" w:themeColor="text1"/>
                      <w:kern w:val="0"/>
                      <w:szCs w:val="21"/>
                    </w:rPr>
                    <w:t>3户</w:t>
                  </w:r>
                  <w:r>
                    <w:rPr>
                      <w:rFonts w:hint="eastAsia"/>
                      <w:color w:val="000000" w:themeColor="text1"/>
                      <w:kern w:val="0"/>
                      <w:szCs w:val="21"/>
                    </w:rPr>
                    <w:t>/18</w:t>
                  </w:r>
                  <w:r>
                    <w:rPr>
                      <w:color w:val="000000" w:themeColor="text1"/>
                      <w:kern w:val="0"/>
                      <w:szCs w:val="21"/>
                    </w:rPr>
                    <w:t>人</w:t>
                  </w:r>
                </w:p>
              </w:tc>
              <w:tc>
                <w:tcPr>
                  <w:tcW w:w="709" w:type="dxa"/>
                  <w:vMerge w:val="continue"/>
                  <w:vAlign w:val="center"/>
                </w:tcPr>
                <w:p>
                  <w:pPr>
                    <w:pStyle w:val="30"/>
                    <w:spacing w:line="360" w:lineRule="exact"/>
                    <w:rPr>
                      <w:color w:val="000000" w:themeColor="text1"/>
                      <w:kern w:val="0"/>
                      <w:szCs w:val="21"/>
                    </w:rPr>
                  </w:pPr>
                </w:p>
              </w:tc>
              <w:tc>
                <w:tcPr>
                  <w:tcW w:w="851" w:type="dxa"/>
                  <w:vAlign w:val="center"/>
                </w:tcPr>
                <w:p>
                  <w:pPr>
                    <w:pStyle w:val="30"/>
                    <w:spacing w:line="360" w:lineRule="exact"/>
                    <w:rPr>
                      <w:color w:val="000000" w:themeColor="text1"/>
                      <w:kern w:val="0"/>
                      <w:szCs w:val="21"/>
                    </w:rPr>
                  </w:pPr>
                  <w:r>
                    <w:rPr>
                      <w:color w:val="000000" w:themeColor="text1"/>
                      <w:kern w:val="0"/>
                      <w:szCs w:val="21"/>
                    </w:rPr>
                    <w:t>东侧</w:t>
                  </w:r>
                </w:p>
              </w:tc>
              <w:tc>
                <w:tcPr>
                  <w:tcW w:w="881" w:type="dxa"/>
                  <w:vAlign w:val="center"/>
                </w:tcPr>
                <w:p>
                  <w:pPr>
                    <w:pStyle w:val="30"/>
                    <w:spacing w:line="360" w:lineRule="exact"/>
                    <w:rPr>
                      <w:color w:val="000000" w:themeColor="text1"/>
                      <w:kern w:val="0"/>
                      <w:szCs w:val="21"/>
                    </w:rPr>
                  </w:pPr>
                  <w:r>
                    <w:rPr>
                      <w:color w:val="000000" w:themeColor="text1"/>
                      <w:kern w:val="0"/>
                      <w:szCs w:val="21"/>
                    </w:rPr>
                    <w:t>1008m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三家村</w:t>
                  </w:r>
                </w:p>
              </w:tc>
              <w:tc>
                <w:tcPr>
                  <w:tcW w:w="1559" w:type="dxa"/>
                  <w:vAlign w:val="center"/>
                </w:tcPr>
                <w:p>
                  <w:pPr>
                    <w:pStyle w:val="30"/>
                    <w:spacing w:line="360" w:lineRule="exact"/>
                    <w:rPr>
                      <w:color w:val="000000" w:themeColor="text1"/>
                      <w:kern w:val="0"/>
                      <w:szCs w:val="21"/>
                    </w:rPr>
                  </w:pPr>
                  <w:r>
                    <w:rPr>
                      <w:color w:val="000000" w:themeColor="text1"/>
                      <w:kern w:val="0"/>
                      <w:szCs w:val="21"/>
                    </w:rPr>
                    <w:t>103°15′46.71″</w:t>
                  </w:r>
                </w:p>
              </w:tc>
              <w:tc>
                <w:tcPr>
                  <w:tcW w:w="1417" w:type="dxa"/>
                  <w:vAlign w:val="center"/>
                </w:tcPr>
                <w:p>
                  <w:pPr>
                    <w:pStyle w:val="30"/>
                    <w:spacing w:line="360" w:lineRule="exact"/>
                    <w:rPr>
                      <w:color w:val="000000" w:themeColor="text1"/>
                      <w:kern w:val="0"/>
                      <w:szCs w:val="21"/>
                    </w:rPr>
                  </w:pPr>
                  <w:r>
                    <w:rPr>
                      <w:color w:val="000000" w:themeColor="text1"/>
                      <w:kern w:val="0"/>
                      <w:szCs w:val="21"/>
                    </w:rPr>
                    <w:t>25°38′47.66″</w:t>
                  </w:r>
                </w:p>
              </w:tc>
              <w:tc>
                <w:tcPr>
                  <w:tcW w:w="851" w:type="dxa"/>
                  <w:vAlign w:val="center"/>
                </w:tcPr>
                <w:p>
                  <w:pPr>
                    <w:pStyle w:val="30"/>
                    <w:spacing w:line="360" w:lineRule="exact"/>
                    <w:rPr>
                      <w:color w:val="000000" w:themeColor="text1"/>
                      <w:kern w:val="0"/>
                      <w:szCs w:val="21"/>
                    </w:rPr>
                  </w:pPr>
                  <w:r>
                    <w:rPr>
                      <w:color w:val="000000" w:themeColor="text1"/>
                      <w:kern w:val="0"/>
                      <w:szCs w:val="21"/>
                    </w:rPr>
                    <w:t>居民区</w:t>
                  </w:r>
                </w:p>
              </w:tc>
              <w:tc>
                <w:tcPr>
                  <w:tcW w:w="1417" w:type="dxa"/>
                  <w:vAlign w:val="center"/>
                </w:tcPr>
                <w:p>
                  <w:pPr>
                    <w:pStyle w:val="30"/>
                    <w:spacing w:line="360" w:lineRule="exact"/>
                    <w:rPr>
                      <w:color w:val="000000" w:themeColor="text1"/>
                      <w:kern w:val="0"/>
                      <w:szCs w:val="21"/>
                    </w:rPr>
                  </w:pPr>
                  <w:r>
                    <w:rPr>
                      <w:rFonts w:hint="eastAsia"/>
                      <w:color w:val="000000" w:themeColor="text1"/>
                      <w:kern w:val="0"/>
                      <w:szCs w:val="21"/>
                    </w:rPr>
                    <w:t>26</w:t>
                  </w:r>
                  <w:r>
                    <w:rPr>
                      <w:color w:val="000000" w:themeColor="text1"/>
                      <w:kern w:val="0"/>
                      <w:szCs w:val="21"/>
                    </w:rPr>
                    <w:t>户</w:t>
                  </w:r>
                  <w:r>
                    <w:rPr>
                      <w:rFonts w:hint="eastAsia"/>
                      <w:color w:val="000000" w:themeColor="text1"/>
                      <w:kern w:val="0"/>
                      <w:szCs w:val="21"/>
                    </w:rPr>
                    <w:t>/79</w:t>
                  </w:r>
                  <w:r>
                    <w:rPr>
                      <w:color w:val="000000" w:themeColor="text1"/>
                      <w:kern w:val="0"/>
                      <w:szCs w:val="21"/>
                    </w:rPr>
                    <w:t>人</w:t>
                  </w:r>
                </w:p>
              </w:tc>
              <w:tc>
                <w:tcPr>
                  <w:tcW w:w="709" w:type="dxa"/>
                  <w:vMerge w:val="continue"/>
                  <w:vAlign w:val="center"/>
                </w:tcPr>
                <w:p>
                  <w:pPr>
                    <w:pStyle w:val="30"/>
                    <w:spacing w:line="360" w:lineRule="exact"/>
                    <w:rPr>
                      <w:color w:val="000000" w:themeColor="text1"/>
                      <w:kern w:val="0"/>
                      <w:szCs w:val="21"/>
                    </w:rPr>
                  </w:pPr>
                </w:p>
              </w:tc>
              <w:tc>
                <w:tcPr>
                  <w:tcW w:w="851" w:type="dxa"/>
                  <w:vAlign w:val="center"/>
                </w:tcPr>
                <w:p>
                  <w:pPr>
                    <w:pStyle w:val="30"/>
                    <w:spacing w:line="360" w:lineRule="exact"/>
                    <w:rPr>
                      <w:color w:val="000000" w:themeColor="text1"/>
                      <w:kern w:val="0"/>
                      <w:szCs w:val="21"/>
                    </w:rPr>
                  </w:pPr>
                  <w:r>
                    <w:rPr>
                      <w:color w:val="000000" w:themeColor="text1"/>
                      <w:kern w:val="0"/>
                      <w:szCs w:val="21"/>
                    </w:rPr>
                    <w:t>东北侧</w:t>
                  </w:r>
                </w:p>
              </w:tc>
              <w:tc>
                <w:tcPr>
                  <w:tcW w:w="881" w:type="dxa"/>
                  <w:vAlign w:val="center"/>
                </w:tcPr>
                <w:p>
                  <w:pPr>
                    <w:pStyle w:val="30"/>
                    <w:spacing w:line="360" w:lineRule="exact"/>
                    <w:rPr>
                      <w:color w:val="000000" w:themeColor="text1"/>
                      <w:kern w:val="0"/>
                      <w:szCs w:val="21"/>
                    </w:rPr>
                  </w:pPr>
                  <w:r>
                    <w:rPr>
                      <w:color w:val="000000" w:themeColor="text1"/>
                      <w:kern w:val="0"/>
                      <w:szCs w:val="21"/>
                    </w:rPr>
                    <w:t>1125m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黑泥沟村</w:t>
                  </w:r>
                </w:p>
              </w:tc>
              <w:tc>
                <w:tcPr>
                  <w:tcW w:w="1559" w:type="dxa"/>
                  <w:vAlign w:val="center"/>
                </w:tcPr>
                <w:p>
                  <w:pPr>
                    <w:pStyle w:val="30"/>
                    <w:spacing w:line="360" w:lineRule="exact"/>
                    <w:rPr>
                      <w:color w:val="000000" w:themeColor="text1"/>
                      <w:kern w:val="0"/>
                      <w:szCs w:val="21"/>
                    </w:rPr>
                  </w:pPr>
                  <w:r>
                    <w:rPr>
                      <w:color w:val="000000" w:themeColor="text1"/>
                      <w:kern w:val="0"/>
                      <w:szCs w:val="21"/>
                    </w:rPr>
                    <w:t>103°15′28.74″</w:t>
                  </w:r>
                </w:p>
              </w:tc>
              <w:tc>
                <w:tcPr>
                  <w:tcW w:w="1417" w:type="dxa"/>
                  <w:vAlign w:val="center"/>
                </w:tcPr>
                <w:p>
                  <w:pPr>
                    <w:pStyle w:val="30"/>
                    <w:spacing w:line="360" w:lineRule="exact"/>
                    <w:rPr>
                      <w:color w:val="000000" w:themeColor="text1"/>
                      <w:kern w:val="0"/>
                      <w:szCs w:val="21"/>
                    </w:rPr>
                  </w:pPr>
                  <w:r>
                    <w:rPr>
                      <w:color w:val="000000" w:themeColor="text1"/>
                      <w:kern w:val="0"/>
                      <w:szCs w:val="21"/>
                    </w:rPr>
                    <w:t>25°38′37.64″</w:t>
                  </w:r>
                </w:p>
              </w:tc>
              <w:tc>
                <w:tcPr>
                  <w:tcW w:w="851" w:type="dxa"/>
                  <w:vAlign w:val="center"/>
                </w:tcPr>
                <w:p>
                  <w:pPr>
                    <w:pStyle w:val="30"/>
                    <w:spacing w:line="360" w:lineRule="exact"/>
                    <w:rPr>
                      <w:color w:val="000000" w:themeColor="text1"/>
                      <w:kern w:val="0"/>
                      <w:szCs w:val="21"/>
                    </w:rPr>
                  </w:pPr>
                  <w:r>
                    <w:rPr>
                      <w:color w:val="000000" w:themeColor="text1"/>
                      <w:kern w:val="0"/>
                      <w:szCs w:val="21"/>
                    </w:rPr>
                    <w:t>居民区</w:t>
                  </w:r>
                </w:p>
              </w:tc>
              <w:tc>
                <w:tcPr>
                  <w:tcW w:w="1417" w:type="dxa"/>
                  <w:vAlign w:val="center"/>
                </w:tcPr>
                <w:p>
                  <w:pPr>
                    <w:pStyle w:val="30"/>
                    <w:spacing w:line="360" w:lineRule="exact"/>
                    <w:rPr>
                      <w:color w:val="000000" w:themeColor="text1"/>
                      <w:kern w:val="0"/>
                      <w:szCs w:val="21"/>
                    </w:rPr>
                  </w:pPr>
                  <w:r>
                    <w:rPr>
                      <w:rFonts w:hint="eastAsia"/>
                      <w:color w:val="000000" w:themeColor="text1"/>
                      <w:kern w:val="0"/>
                      <w:szCs w:val="21"/>
                    </w:rPr>
                    <w:t>110</w:t>
                  </w:r>
                  <w:r>
                    <w:rPr>
                      <w:color w:val="000000" w:themeColor="text1"/>
                      <w:kern w:val="0"/>
                      <w:szCs w:val="21"/>
                    </w:rPr>
                    <w:t>户</w:t>
                  </w:r>
                  <w:r>
                    <w:rPr>
                      <w:rFonts w:hint="eastAsia"/>
                      <w:color w:val="000000" w:themeColor="text1"/>
                      <w:kern w:val="0"/>
                      <w:szCs w:val="21"/>
                    </w:rPr>
                    <w:t>/408</w:t>
                  </w:r>
                  <w:r>
                    <w:rPr>
                      <w:color w:val="000000" w:themeColor="text1"/>
                      <w:kern w:val="0"/>
                      <w:szCs w:val="21"/>
                    </w:rPr>
                    <w:t>人</w:t>
                  </w:r>
                </w:p>
              </w:tc>
              <w:tc>
                <w:tcPr>
                  <w:tcW w:w="709" w:type="dxa"/>
                  <w:vMerge w:val="continue"/>
                  <w:vAlign w:val="center"/>
                </w:tcPr>
                <w:p>
                  <w:pPr>
                    <w:pStyle w:val="30"/>
                    <w:spacing w:line="360" w:lineRule="exact"/>
                    <w:rPr>
                      <w:color w:val="000000" w:themeColor="text1"/>
                      <w:kern w:val="0"/>
                      <w:szCs w:val="21"/>
                    </w:rPr>
                  </w:pPr>
                </w:p>
              </w:tc>
              <w:tc>
                <w:tcPr>
                  <w:tcW w:w="851" w:type="dxa"/>
                  <w:vAlign w:val="center"/>
                </w:tcPr>
                <w:p>
                  <w:pPr>
                    <w:pStyle w:val="30"/>
                    <w:spacing w:line="360" w:lineRule="exact"/>
                    <w:rPr>
                      <w:color w:val="000000" w:themeColor="text1"/>
                      <w:kern w:val="0"/>
                      <w:szCs w:val="21"/>
                    </w:rPr>
                  </w:pPr>
                  <w:r>
                    <w:rPr>
                      <w:color w:val="000000" w:themeColor="text1"/>
                      <w:kern w:val="0"/>
                      <w:szCs w:val="21"/>
                    </w:rPr>
                    <w:t>东北侧</w:t>
                  </w:r>
                </w:p>
              </w:tc>
              <w:tc>
                <w:tcPr>
                  <w:tcW w:w="881" w:type="dxa"/>
                  <w:vAlign w:val="center"/>
                </w:tcPr>
                <w:p>
                  <w:pPr>
                    <w:pStyle w:val="30"/>
                    <w:spacing w:line="360" w:lineRule="exact"/>
                    <w:rPr>
                      <w:color w:val="000000" w:themeColor="text1"/>
                      <w:kern w:val="0"/>
                      <w:szCs w:val="21"/>
                    </w:rPr>
                  </w:pPr>
                  <w:r>
                    <w:rPr>
                      <w:color w:val="000000" w:themeColor="text1"/>
                      <w:kern w:val="0"/>
                      <w:szCs w:val="21"/>
                    </w:rPr>
                    <w:t>4</w:t>
                  </w:r>
                  <w:r>
                    <w:rPr>
                      <w:rFonts w:hint="eastAsia"/>
                      <w:color w:val="000000" w:themeColor="text1"/>
                      <w:kern w:val="0"/>
                      <w:szCs w:val="21"/>
                    </w:rPr>
                    <w:t>86</w:t>
                  </w:r>
                  <w:r>
                    <w:rPr>
                      <w:color w:val="000000" w:themeColor="text1"/>
                      <w:kern w:val="0"/>
                      <w:szCs w:val="21"/>
                    </w:rPr>
                    <w: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59" w:type="dxa"/>
                  <w:vAlign w:val="center"/>
                </w:tcPr>
                <w:p>
                  <w:pPr>
                    <w:pStyle w:val="30"/>
                    <w:spacing w:line="360" w:lineRule="exact"/>
                    <w:rPr>
                      <w:color w:val="000000" w:themeColor="text1"/>
                      <w:kern w:val="0"/>
                      <w:szCs w:val="21"/>
                    </w:rPr>
                  </w:pPr>
                  <w:r>
                    <w:rPr>
                      <w:color w:val="000000" w:themeColor="text1"/>
                      <w:kern w:val="0"/>
                      <w:szCs w:val="21"/>
                    </w:rPr>
                    <w:t>柳树河村</w:t>
                  </w:r>
                </w:p>
              </w:tc>
              <w:tc>
                <w:tcPr>
                  <w:tcW w:w="1559" w:type="dxa"/>
                  <w:vAlign w:val="center"/>
                </w:tcPr>
                <w:p>
                  <w:pPr>
                    <w:pStyle w:val="30"/>
                    <w:spacing w:line="360" w:lineRule="exact"/>
                    <w:rPr>
                      <w:color w:val="000000" w:themeColor="text1"/>
                      <w:kern w:val="0"/>
                      <w:szCs w:val="21"/>
                    </w:rPr>
                  </w:pPr>
                  <w:r>
                    <w:rPr>
                      <w:color w:val="000000" w:themeColor="text1"/>
                      <w:kern w:val="0"/>
                      <w:szCs w:val="21"/>
                    </w:rPr>
                    <w:t>103°15′14.65″</w:t>
                  </w:r>
                </w:p>
              </w:tc>
              <w:tc>
                <w:tcPr>
                  <w:tcW w:w="1417" w:type="dxa"/>
                  <w:vAlign w:val="center"/>
                </w:tcPr>
                <w:p>
                  <w:pPr>
                    <w:pStyle w:val="30"/>
                    <w:spacing w:line="360" w:lineRule="exact"/>
                    <w:rPr>
                      <w:color w:val="000000" w:themeColor="text1"/>
                      <w:kern w:val="0"/>
                      <w:szCs w:val="21"/>
                    </w:rPr>
                  </w:pPr>
                  <w:r>
                    <w:rPr>
                      <w:color w:val="000000" w:themeColor="text1"/>
                      <w:kern w:val="0"/>
                      <w:szCs w:val="21"/>
                    </w:rPr>
                    <w:t>25°38′50.52″</w:t>
                  </w:r>
                </w:p>
              </w:tc>
              <w:tc>
                <w:tcPr>
                  <w:tcW w:w="851" w:type="dxa"/>
                  <w:vAlign w:val="center"/>
                </w:tcPr>
                <w:p>
                  <w:pPr>
                    <w:pStyle w:val="30"/>
                    <w:spacing w:line="360" w:lineRule="exact"/>
                    <w:rPr>
                      <w:color w:val="000000" w:themeColor="text1"/>
                      <w:kern w:val="0"/>
                      <w:szCs w:val="21"/>
                    </w:rPr>
                  </w:pPr>
                  <w:r>
                    <w:rPr>
                      <w:color w:val="000000" w:themeColor="text1"/>
                      <w:kern w:val="0"/>
                      <w:szCs w:val="21"/>
                    </w:rPr>
                    <w:t>居民区</w:t>
                  </w:r>
                </w:p>
              </w:tc>
              <w:tc>
                <w:tcPr>
                  <w:tcW w:w="1417" w:type="dxa"/>
                  <w:vAlign w:val="center"/>
                </w:tcPr>
                <w:p>
                  <w:pPr>
                    <w:pStyle w:val="30"/>
                    <w:spacing w:line="360" w:lineRule="exact"/>
                    <w:rPr>
                      <w:color w:val="000000" w:themeColor="text1"/>
                      <w:kern w:val="0"/>
                      <w:szCs w:val="21"/>
                    </w:rPr>
                  </w:pPr>
                  <w:r>
                    <w:rPr>
                      <w:rFonts w:hint="eastAsia"/>
                      <w:color w:val="000000" w:themeColor="text1"/>
                      <w:kern w:val="0"/>
                      <w:szCs w:val="21"/>
                    </w:rPr>
                    <w:t>70</w:t>
                  </w:r>
                  <w:r>
                    <w:rPr>
                      <w:color w:val="000000" w:themeColor="text1"/>
                      <w:kern w:val="0"/>
                      <w:szCs w:val="21"/>
                    </w:rPr>
                    <w:t>户</w:t>
                  </w:r>
                  <w:r>
                    <w:rPr>
                      <w:rFonts w:hint="eastAsia"/>
                      <w:color w:val="000000" w:themeColor="text1"/>
                      <w:kern w:val="0"/>
                      <w:szCs w:val="21"/>
                    </w:rPr>
                    <w:t>/229</w:t>
                  </w:r>
                  <w:r>
                    <w:rPr>
                      <w:color w:val="000000" w:themeColor="text1"/>
                      <w:kern w:val="0"/>
                      <w:szCs w:val="21"/>
                    </w:rPr>
                    <w:t>人</w:t>
                  </w:r>
                </w:p>
              </w:tc>
              <w:tc>
                <w:tcPr>
                  <w:tcW w:w="709" w:type="dxa"/>
                  <w:vMerge w:val="continue"/>
                  <w:vAlign w:val="center"/>
                </w:tcPr>
                <w:p>
                  <w:pPr>
                    <w:pStyle w:val="30"/>
                    <w:spacing w:line="360" w:lineRule="exact"/>
                    <w:rPr>
                      <w:color w:val="000000" w:themeColor="text1"/>
                      <w:kern w:val="0"/>
                      <w:szCs w:val="21"/>
                    </w:rPr>
                  </w:pPr>
                </w:p>
              </w:tc>
              <w:tc>
                <w:tcPr>
                  <w:tcW w:w="851" w:type="dxa"/>
                  <w:vAlign w:val="center"/>
                </w:tcPr>
                <w:p>
                  <w:pPr>
                    <w:pStyle w:val="30"/>
                    <w:spacing w:line="360" w:lineRule="exact"/>
                    <w:rPr>
                      <w:color w:val="000000" w:themeColor="text1"/>
                      <w:kern w:val="0"/>
                      <w:szCs w:val="21"/>
                    </w:rPr>
                  </w:pPr>
                  <w:r>
                    <w:rPr>
                      <w:color w:val="000000" w:themeColor="text1"/>
                      <w:kern w:val="0"/>
                      <w:szCs w:val="21"/>
                    </w:rPr>
                    <w:t>北侧</w:t>
                  </w:r>
                </w:p>
              </w:tc>
              <w:tc>
                <w:tcPr>
                  <w:tcW w:w="881" w:type="dxa"/>
                  <w:vAlign w:val="center"/>
                </w:tcPr>
                <w:p>
                  <w:pPr>
                    <w:pStyle w:val="30"/>
                    <w:spacing w:line="360" w:lineRule="exact"/>
                    <w:rPr>
                      <w:color w:val="000000" w:themeColor="text1"/>
                      <w:kern w:val="0"/>
                      <w:szCs w:val="21"/>
                    </w:rPr>
                  </w:pPr>
                  <w:r>
                    <w:rPr>
                      <w:color w:val="000000" w:themeColor="text1"/>
                      <w:kern w:val="0"/>
                      <w:szCs w:val="21"/>
                    </w:rPr>
                    <w:t>680m</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3.2.2 地表水环境保护目标</w:t>
            </w:r>
          </w:p>
          <w:p>
            <w:pPr>
              <w:pStyle w:val="38"/>
              <w:ind w:firstLine="480"/>
              <w:rPr>
                <w:rFonts w:hint="eastAsia" w:eastAsiaTheme="minorEastAsia"/>
                <w:color w:val="000000" w:themeColor="text1"/>
                <w:szCs w:val="24"/>
              </w:rPr>
            </w:pPr>
            <w:r>
              <w:rPr>
                <w:rFonts w:eastAsiaTheme="minorEastAsia"/>
                <w:color w:val="000000" w:themeColor="text1"/>
                <w:szCs w:val="24"/>
              </w:rPr>
              <w:t>根据《建设项目环境影响报告表编制技术指南》（污染影响类）（试行）的要求，未要求设施地表水环境保护目标；根据调查，本改扩建项目区属于黑泥沟的汇水范围，因此拟将黑泥沟列入本改扩建项目水环境保护目标。具体如下表所示。</w:t>
            </w:r>
          </w:p>
          <w:p>
            <w:pPr>
              <w:pStyle w:val="38"/>
              <w:ind w:firstLine="480"/>
              <w:rPr>
                <w:rFonts w:eastAsiaTheme="minorEastAsia"/>
                <w:color w:val="000000" w:themeColor="text1"/>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表3.2.2-1  地表水环境保护目标及保护级别一览表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990"/>
              <w:gridCol w:w="2824"/>
              <w:gridCol w:w="1413"/>
              <w:gridCol w:w="849"/>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812"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环境要素</w:t>
                  </w:r>
                </w:p>
              </w:tc>
              <w:tc>
                <w:tcPr>
                  <w:tcW w:w="9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保护目标</w:t>
                  </w:r>
                </w:p>
              </w:tc>
              <w:tc>
                <w:tcPr>
                  <w:tcW w:w="2853"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坐标</w:t>
                  </w:r>
                </w:p>
              </w:tc>
              <w:tc>
                <w:tcPr>
                  <w:tcW w:w="1426"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与项目区的方位及距离</w:t>
                  </w:r>
                </w:p>
              </w:tc>
              <w:tc>
                <w:tcPr>
                  <w:tcW w:w="856"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高差</w:t>
                  </w:r>
                </w:p>
              </w:tc>
              <w:tc>
                <w:tcPr>
                  <w:tcW w:w="2185"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12" w:type="dxa"/>
                  <w:tcBorders>
                    <w:top w:val="single" w:color="auto" w:sz="4" w:space="0"/>
                    <w:left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地表水</w:t>
                  </w:r>
                </w:p>
              </w:tc>
              <w:tc>
                <w:tcPr>
                  <w:tcW w:w="998"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4"/>
                    </w:rPr>
                    <w:t>黑泥沟</w:t>
                  </w:r>
                </w:p>
              </w:tc>
              <w:tc>
                <w:tcPr>
                  <w:tcW w:w="2853" w:type="dxa"/>
                  <w:tcBorders>
                    <w:top w:val="single" w:color="auto" w:sz="4" w:space="0"/>
                    <w:left w:val="single" w:color="auto" w:sz="4" w:space="0"/>
                    <w:right w:val="single" w:color="auto" w:sz="4" w:space="0"/>
                  </w:tcBorders>
                  <w:vAlign w:val="center"/>
                </w:tcPr>
                <w:p>
                  <w:pPr>
                    <w:pStyle w:val="30"/>
                    <w:spacing w:line="360" w:lineRule="exact"/>
                    <w:ind w:firstLine="210" w:firstLineChars="100"/>
                    <w:jc w:val="left"/>
                    <w:rPr>
                      <w:color w:val="000000" w:themeColor="text1"/>
                      <w:szCs w:val="21"/>
                    </w:rPr>
                  </w:pPr>
                  <w:r>
                    <w:rPr>
                      <w:color w:val="000000" w:themeColor="text1"/>
                      <w:szCs w:val="21"/>
                    </w:rPr>
                    <w:t>起点：东经103°15′10.21″，北纬25°38′46.98″</w:t>
                  </w:r>
                </w:p>
                <w:p>
                  <w:pPr>
                    <w:pStyle w:val="30"/>
                    <w:spacing w:line="360" w:lineRule="exact"/>
                    <w:ind w:firstLine="210" w:firstLineChars="100"/>
                    <w:jc w:val="left"/>
                    <w:rPr>
                      <w:color w:val="000000" w:themeColor="text1"/>
                      <w:szCs w:val="21"/>
                    </w:rPr>
                  </w:pPr>
                  <w:r>
                    <w:rPr>
                      <w:color w:val="000000" w:themeColor="text1"/>
                      <w:szCs w:val="21"/>
                    </w:rPr>
                    <w:t>终点：东经103°15′01.11″，北纬25°39′04.52″</w:t>
                  </w:r>
                </w:p>
              </w:tc>
              <w:tc>
                <w:tcPr>
                  <w:tcW w:w="1426"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北侧64</w:t>
                  </w:r>
                  <w:r>
                    <w:rPr>
                      <w:rFonts w:hint="eastAsia"/>
                      <w:color w:val="000000" w:themeColor="text1"/>
                      <w:szCs w:val="21"/>
                    </w:rPr>
                    <w:t>8</w:t>
                  </w:r>
                  <w:r>
                    <w:rPr>
                      <w:color w:val="000000" w:themeColor="text1"/>
                      <w:szCs w:val="21"/>
                    </w:rPr>
                    <w:t>m</w:t>
                  </w:r>
                </w:p>
              </w:tc>
              <w:tc>
                <w:tcPr>
                  <w:tcW w:w="856"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34m</w:t>
                  </w:r>
                </w:p>
              </w:tc>
              <w:tc>
                <w:tcPr>
                  <w:tcW w:w="2185" w:type="dxa"/>
                  <w:tcBorders>
                    <w:top w:val="single" w:color="auto" w:sz="4" w:space="0"/>
                    <w:left w:val="single" w:color="auto" w:sz="4" w:space="0"/>
                    <w:right w:val="single" w:color="auto" w:sz="4" w:space="0"/>
                  </w:tcBorders>
                  <w:vAlign w:val="center"/>
                </w:tcPr>
                <w:p>
                  <w:pPr>
                    <w:pStyle w:val="30"/>
                    <w:spacing w:line="360" w:lineRule="exact"/>
                    <w:ind w:firstLine="210" w:firstLineChars="100"/>
                    <w:jc w:val="left"/>
                    <w:rPr>
                      <w:color w:val="000000" w:themeColor="text1"/>
                      <w:szCs w:val="21"/>
                    </w:rPr>
                  </w:pPr>
                  <w:r>
                    <w:rPr>
                      <w:color w:val="000000" w:themeColor="text1"/>
                      <w:szCs w:val="21"/>
                    </w:rPr>
                    <w:t>《地表水环境质量标准》（GB3838-2002）III类标准</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3.2.3 地下水环境保护目标</w:t>
            </w:r>
          </w:p>
          <w:p>
            <w:pPr>
              <w:pStyle w:val="38"/>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地表水环境保护目标为厂界外500m范围内的地下水集中式饮用水水源和热水、矿泉水、温泉等特殊地下水资源。根据调查，项目位于昆明市东川区再就业特区天生桥特色产业园，本改扩建项目选址不涉及到地下水集中式饮用水水源和热水、矿泉水、温泉等特殊地下水资源。</w:t>
            </w:r>
          </w:p>
          <w:p>
            <w:pPr>
              <w:pStyle w:val="38"/>
              <w:ind w:firstLine="482"/>
              <w:rPr>
                <w:rFonts w:eastAsiaTheme="minorEastAsia"/>
                <w:b/>
                <w:color w:val="000000" w:themeColor="text1"/>
                <w:szCs w:val="24"/>
              </w:rPr>
            </w:pPr>
            <w:r>
              <w:rPr>
                <w:rFonts w:eastAsiaTheme="minorEastAsia"/>
                <w:b/>
                <w:color w:val="000000" w:themeColor="text1"/>
                <w:szCs w:val="24"/>
              </w:rPr>
              <w:t>3.2.4 声环境环境保护目标</w:t>
            </w:r>
          </w:p>
          <w:p>
            <w:pPr>
              <w:pStyle w:val="38"/>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根据《建设项目环境影响报告表编制技术指南》（污染影响类）（试行）的要求，本项目声环境评价范围为50m</w:t>
            </w:r>
            <w:r>
              <w:rPr>
                <w:rFonts w:hint="eastAsia" w:eastAsiaTheme="minorEastAsia"/>
                <w:color w:val="000000" w:themeColor="text1"/>
                <w:szCs w:val="24"/>
              </w:rPr>
              <w:t>，</w:t>
            </w:r>
            <w:r>
              <w:rPr>
                <w:rFonts w:eastAsiaTheme="minorEastAsia"/>
                <w:color w:val="000000" w:themeColor="text1"/>
                <w:szCs w:val="24"/>
              </w:rPr>
              <w:t>根据现场调查，本项目50m范围内无声环境保护目标。</w:t>
            </w:r>
          </w:p>
          <w:p>
            <w:pPr>
              <w:pStyle w:val="38"/>
              <w:ind w:firstLine="482"/>
              <w:rPr>
                <w:rFonts w:eastAsiaTheme="minorEastAsia"/>
                <w:b/>
                <w:color w:val="000000" w:themeColor="text1"/>
                <w:szCs w:val="24"/>
              </w:rPr>
            </w:pPr>
            <w:r>
              <w:rPr>
                <w:rFonts w:eastAsiaTheme="minorEastAsia"/>
                <w:b/>
                <w:color w:val="000000" w:themeColor="text1"/>
                <w:szCs w:val="24"/>
              </w:rPr>
              <w:t>3.2.5 生态环境保护目标</w:t>
            </w:r>
          </w:p>
          <w:p>
            <w:pPr>
              <w:pStyle w:val="38"/>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生态环境保护目标主要为在产业园区外建设项目新增用地范围内的生态环境保护目标。本改扩建项目位于云南省东川再就业特区天生桥特色产业园，属于工业园区，且不新增用地，因此不设置生态环境保护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70"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污染物排放控制标准</w:t>
            </w:r>
          </w:p>
          <w:p>
            <w:pPr>
              <w:pStyle w:val="38"/>
              <w:ind w:firstLine="480"/>
              <w:rPr>
                <w:rFonts w:eastAsiaTheme="minorEastAsia"/>
                <w:color w:val="000000" w:themeColor="text1"/>
                <w:szCs w:val="24"/>
              </w:rPr>
            </w:pPr>
            <w:r>
              <w:rPr>
                <w:rFonts w:eastAsiaTheme="minorEastAsia"/>
                <w:color w:val="000000" w:themeColor="text1"/>
                <w:szCs w:val="24"/>
              </w:rPr>
              <w:t>根据《建设项目环境影响报告表编制技术指南》（污染影响类）（试行）的要求，只需填写污染物控制标准，不需填写环境质量标准。但由于环评涉及环境质量现状评价，因此拟填写环境质量标准和污染物排放控制标准。具体如下。</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 环境质量标准</w:t>
            </w:r>
          </w:p>
          <w:p>
            <w:pPr>
              <w:pStyle w:val="38"/>
              <w:ind w:firstLine="482"/>
              <w:rPr>
                <w:rFonts w:eastAsiaTheme="minorEastAsia"/>
                <w:b/>
                <w:color w:val="000000" w:themeColor="text1"/>
                <w:szCs w:val="24"/>
              </w:rPr>
            </w:pPr>
            <w:r>
              <w:rPr>
                <w:rFonts w:eastAsiaTheme="minorEastAsia"/>
                <w:b/>
                <w:color w:val="000000" w:themeColor="text1"/>
                <w:szCs w:val="24"/>
              </w:rPr>
              <w:t>3.3.1环境空气质量标准</w:t>
            </w:r>
          </w:p>
          <w:p>
            <w:pPr>
              <w:pStyle w:val="38"/>
              <w:ind w:firstLine="480"/>
              <w:rPr>
                <w:rFonts w:hint="eastAsia" w:eastAsiaTheme="minorEastAsia"/>
                <w:color w:val="000000" w:themeColor="text1"/>
                <w:szCs w:val="24"/>
              </w:rPr>
            </w:pPr>
            <w:r>
              <w:rPr>
                <w:rFonts w:eastAsiaTheme="minorEastAsia"/>
                <w:color w:val="000000" w:themeColor="text1"/>
                <w:szCs w:val="24"/>
              </w:rPr>
              <w:t>本项目位于昆明市东川区再就业特区天生桥特色产业园区，属于环境空气二类区，执行《环境空气质量标准》（GB3095-2012）二级标准。</w:t>
            </w:r>
          </w:p>
          <w:p>
            <w:pPr>
              <w:pStyle w:val="38"/>
              <w:ind w:firstLine="480"/>
              <w:rPr>
                <w:rFonts w:eastAsiaTheme="minorEastAsia"/>
                <w:color w:val="000000" w:themeColor="text1"/>
                <w:szCs w:val="24"/>
              </w:rPr>
            </w:pPr>
            <w:r>
              <w:rPr>
                <w:rFonts w:eastAsiaTheme="minorEastAsia"/>
                <w:color w:val="000000" w:themeColor="text1"/>
                <w:szCs w:val="24"/>
              </w:rPr>
              <w:t>标准限值详见下表。</w:t>
            </w:r>
          </w:p>
          <w:p>
            <w:pPr>
              <w:jc w:val="center"/>
              <w:rPr>
                <w:rFonts w:hint="eastAsia" w:ascii="Times New Roman" w:hAnsi="Times New Roman" w:cs="Times New Roman"/>
                <w:b/>
                <w:color w:val="000000" w:themeColor="text1"/>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表3.3.1-1 环境空气污染物浓度限值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551"/>
              <w:gridCol w:w="2489"/>
              <w:gridCol w:w="1941"/>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3" w:type="dxa"/>
                  <w:gridSpan w:val="2"/>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污染物项目</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平均时间</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二级浓度限值</w:t>
                  </w:r>
                </w:p>
              </w:tc>
              <w:tc>
                <w:tcPr>
                  <w:tcW w:w="1271" w:type="dxa"/>
                  <w:tcBorders>
                    <w:top w:val="single" w:color="auto" w:sz="4" w:space="0"/>
                    <w:left w:val="single" w:color="000000"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tcBorders>
                    <w:top w:val="single" w:color="auto" w:sz="4" w:space="0"/>
                    <w:left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基本项目</w:t>
                  </w:r>
                </w:p>
              </w:tc>
              <w:tc>
                <w:tcPr>
                  <w:tcW w:w="2551" w:type="dxa"/>
                  <w:vMerge w:val="restart"/>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二氧化硫（SO</w:t>
                  </w:r>
                  <w:r>
                    <w:rPr>
                      <w:color w:val="000000" w:themeColor="text1"/>
                      <w:szCs w:val="21"/>
                      <w:vertAlign w:val="subscript"/>
                    </w:rPr>
                    <w:t>2</w:t>
                  </w:r>
                  <w:r>
                    <w:rPr>
                      <w:color w:val="000000" w:themeColor="text1"/>
                      <w:szCs w:val="21"/>
                    </w:rPr>
                    <w:t>）</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60</w:t>
                  </w:r>
                </w:p>
              </w:tc>
              <w:tc>
                <w:tcPr>
                  <w:tcW w:w="1271" w:type="dxa"/>
                  <w:vMerge w:val="restart"/>
                  <w:tcBorders>
                    <w:top w:val="single" w:color="auto" w:sz="4" w:space="0"/>
                    <w:left w:val="single" w:color="000000" w:sz="4" w:space="0"/>
                    <w:right w:val="single" w:color="auto" w:sz="4" w:space="0"/>
                  </w:tcBorders>
                  <w:vAlign w:val="center"/>
                </w:tcPr>
                <w:p>
                  <w:pPr>
                    <w:pStyle w:val="30"/>
                    <w:spacing w:line="360" w:lineRule="exact"/>
                    <w:rPr>
                      <w:color w:val="000000" w:themeColor="text1"/>
                      <w:szCs w:val="21"/>
                    </w:rPr>
                  </w:pPr>
                  <w:r>
                    <w:rPr>
                      <w:color w:val="000000" w:themeColor="text1"/>
                      <w:szCs w:val="21"/>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24小时平均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150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1小时平均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500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restart"/>
                  <w:tcBorders>
                    <w:top w:val="single" w:color="auto" w:sz="4" w:space="0"/>
                    <w:left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二氧化氮（NO</w:t>
                  </w:r>
                  <w:r>
                    <w:rPr>
                      <w:color w:val="000000" w:themeColor="text1"/>
                      <w:szCs w:val="21"/>
                      <w:vertAlign w:val="subscript"/>
                    </w:rPr>
                    <w:t>2</w:t>
                  </w:r>
                  <w:r>
                    <w:rPr>
                      <w:color w:val="000000" w:themeColor="text1"/>
                      <w:szCs w:val="21"/>
                    </w:rPr>
                    <w:t>）</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40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24小时平均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80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1小时平均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200</w:t>
                  </w:r>
                </w:p>
              </w:tc>
              <w:tc>
                <w:tcPr>
                  <w:tcW w:w="1271" w:type="dxa"/>
                  <w:vMerge w:val="continue"/>
                  <w:tcBorders>
                    <w:left w:val="single" w:color="000000" w:sz="4" w:space="0"/>
                    <w:bottom w:val="single" w:color="auto"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restart"/>
                  <w:tcBorders>
                    <w:left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一氧化碳（CO）</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24小时平均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4</w:t>
                  </w:r>
                </w:p>
              </w:tc>
              <w:tc>
                <w:tcPr>
                  <w:tcW w:w="1271" w:type="dxa"/>
                  <w:vMerge w:val="restart"/>
                  <w:tcBorders>
                    <w:top w:val="single" w:color="auto" w:sz="4" w:space="0"/>
                    <w:left w:val="single" w:color="000000" w:sz="4" w:space="0"/>
                    <w:right w:val="single" w:color="auto" w:sz="4" w:space="0"/>
                  </w:tcBorders>
                  <w:vAlign w:val="center"/>
                </w:tcPr>
                <w:p>
                  <w:pPr>
                    <w:pStyle w:val="30"/>
                    <w:spacing w:line="360" w:lineRule="exact"/>
                    <w:rPr>
                      <w:color w:val="000000" w:themeColor="text1"/>
                      <w:szCs w:val="21"/>
                    </w:rPr>
                  </w:pPr>
                  <w:r>
                    <w:rPr>
                      <w:color w:val="000000" w:themeColor="text1"/>
                      <w:szCs w:val="21"/>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1小时平均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10</w:t>
                  </w:r>
                </w:p>
              </w:tc>
              <w:tc>
                <w:tcPr>
                  <w:tcW w:w="1271" w:type="dxa"/>
                  <w:vMerge w:val="continue"/>
                  <w:tcBorders>
                    <w:left w:val="single" w:color="000000" w:sz="4" w:space="0"/>
                    <w:bottom w:val="single" w:color="auto"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restart"/>
                  <w:tcBorders>
                    <w:left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臭氧（O</w:t>
                  </w:r>
                  <w:r>
                    <w:rPr>
                      <w:color w:val="000000" w:themeColor="text1"/>
                      <w:szCs w:val="21"/>
                      <w:vertAlign w:val="subscript"/>
                    </w:rPr>
                    <w:t>3</w:t>
                  </w:r>
                  <w:r>
                    <w:rPr>
                      <w:color w:val="000000" w:themeColor="text1"/>
                      <w:szCs w:val="21"/>
                    </w:rPr>
                    <w:t>）</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日最大8小时平均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160</w:t>
                  </w:r>
                </w:p>
              </w:tc>
              <w:tc>
                <w:tcPr>
                  <w:tcW w:w="1271" w:type="dxa"/>
                  <w:vMerge w:val="restart"/>
                  <w:tcBorders>
                    <w:left w:val="single" w:color="000000" w:sz="4" w:space="0"/>
                    <w:right w:val="single" w:color="auto" w:sz="4" w:space="0"/>
                  </w:tcBorders>
                  <w:vAlign w:val="center"/>
                </w:tcPr>
                <w:p>
                  <w:pPr>
                    <w:pStyle w:val="30"/>
                    <w:spacing w:line="360" w:lineRule="exact"/>
                    <w:rPr>
                      <w:color w:val="000000" w:themeColor="text1"/>
                      <w:szCs w:val="21"/>
                    </w:rPr>
                  </w:pPr>
                  <w:r>
                    <w:rPr>
                      <w:color w:val="000000" w:themeColor="text1"/>
                      <w:szCs w:val="21"/>
                    </w:rPr>
                    <w:t>ug/m³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1小时平均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200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restart"/>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颗粒物（粒径小于等于10um）</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70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24小时平均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150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restart"/>
                  <w:tcBorders>
                    <w:top w:val="single" w:color="auto" w:sz="4" w:space="0"/>
                    <w:left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颗粒物（粒径小于等于2.5um）</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35</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24小时平均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75</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tcBorders>
                    <w:left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其他项目</w:t>
                  </w:r>
                </w:p>
              </w:tc>
              <w:tc>
                <w:tcPr>
                  <w:tcW w:w="2551" w:type="dxa"/>
                  <w:vMerge w:val="restart"/>
                  <w:tcBorders>
                    <w:left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总悬浮颗粒物（TSP）</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200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24小时平均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color w:val="000000" w:themeColor="text1"/>
                      <w:szCs w:val="21"/>
                    </w:rPr>
                    <w:t>300</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restart"/>
                  <w:tcBorders>
                    <w:left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铅（Pb）</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rFonts w:hint="eastAsia"/>
                      <w:color w:val="000000" w:themeColor="text1"/>
                      <w:szCs w:val="21"/>
                    </w:rPr>
                    <w:t>0.5</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季</w:t>
                  </w:r>
                  <w:r>
                    <w:rPr>
                      <w:color w:val="000000" w:themeColor="text1"/>
                      <w:szCs w:val="21"/>
                    </w:rPr>
                    <w:t>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rFonts w:hint="eastAsia"/>
                      <w:color w:val="000000" w:themeColor="text1"/>
                      <w:szCs w:val="21"/>
                    </w:rPr>
                    <w:t>1</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Borders>
                    <w:left w:val="single" w:color="auto" w:sz="4" w:space="0"/>
                    <w:right w:val="single" w:color="auto" w:sz="4" w:space="0"/>
                  </w:tcBorders>
                  <w:vAlign w:val="center"/>
                </w:tcPr>
                <w:p>
                  <w:pPr>
                    <w:pStyle w:val="30"/>
                    <w:spacing w:line="360" w:lineRule="exact"/>
                    <w:rPr>
                      <w:color w:val="000000" w:themeColor="text1"/>
                      <w:szCs w:val="21"/>
                    </w:rPr>
                  </w:pPr>
                </w:p>
              </w:tc>
              <w:tc>
                <w:tcPr>
                  <w:tcW w:w="2551" w:type="dxa"/>
                  <w:tcBorders>
                    <w:left w:val="single" w:color="auto" w:sz="4" w:space="0"/>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汞（Hg）</w:t>
                  </w:r>
                </w:p>
              </w:tc>
              <w:tc>
                <w:tcPr>
                  <w:tcW w:w="2489" w:type="dxa"/>
                  <w:tcBorders>
                    <w:top w:val="single" w:color="auto" w:sz="4" w:space="0"/>
                    <w:left w:val="single" w:color="auto" w:sz="4" w:space="0"/>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年平均</w:t>
                  </w:r>
                </w:p>
              </w:tc>
              <w:tc>
                <w:tcPr>
                  <w:tcW w:w="1941" w:type="dxa"/>
                  <w:tcBorders>
                    <w:top w:val="single" w:color="auto" w:sz="4" w:space="0"/>
                    <w:left w:val="single" w:color="auto" w:sz="4" w:space="0"/>
                    <w:bottom w:val="single" w:color="auto" w:sz="4" w:space="0"/>
                    <w:right w:val="single" w:color="000000" w:sz="4" w:space="0"/>
                  </w:tcBorders>
                  <w:vAlign w:val="center"/>
                </w:tcPr>
                <w:p>
                  <w:pPr>
                    <w:pStyle w:val="30"/>
                    <w:spacing w:line="360" w:lineRule="exact"/>
                    <w:rPr>
                      <w:color w:val="000000" w:themeColor="text1"/>
                      <w:szCs w:val="21"/>
                    </w:rPr>
                  </w:pPr>
                  <w:r>
                    <w:rPr>
                      <w:rFonts w:hint="eastAsia"/>
                      <w:color w:val="000000" w:themeColor="text1"/>
                      <w:szCs w:val="21"/>
                    </w:rPr>
                    <w:t>0.05</w:t>
                  </w:r>
                </w:p>
              </w:tc>
              <w:tc>
                <w:tcPr>
                  <w:tcW w:w="1271" w:type="dxa"/>
                  <w:vMerge w:val="continue"/>
                  <w:tcBorders>
                    <w:left w:val="single" w:color="000000" w:sz="4" w:space="0"/>
                    <w:right w:val="single" w:color="auto" w:sz="4" w:space="0"/>
                  </w:tcBorders>
                  <w:vAlign w:val="center"/>
                </w:tcPr>
                <w:p>
                  <w:pPr>
                    <w:pStyle w:val="30"/>
                    <w:spacing w:line="360" w:lineRule="exact"/>
                    <w:rPr>
                      <w:color w:val="000000" w:themeColor="text1"/>
                      <w:szCs w:val="21"/>
                    </w:rPr>
                  </w:pP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3.3.2 地表水环境</w:t>
            </w:r>
          </w:p>
          <w:p>
            <w:pPr>
              <w:pStyle w:val="38"/>
              <w:ind w:firstLine="480"/>
              <w:rPr>
                <w:rFonts w:eastAsiaTheme="minorEastAsia"/>
                <w:color w:val="000000" w:themeColor="text1"/>
                <w:szCs w:val="24"/>
              </w:rPr>
            </w:pPr>
            <w:r>
              <w:rPr>
                <w:rFonts w:eastAsiaTheme="minorEastAsia"/>
                <w:color w:val="000000" w:themeColor="text1"/>
                <w:szCs w:val="24"/>
              </w:rPr>
              <w:t>项目所在区域属于黑泥沟的汇水范围，该沟渠位于项目北侧648m处，黑泥沟地表水通过甸头大河最终汇入小江，甸头大河为小江（清水海-入金沙江口段）的支流，区域地表水最终汇集于小江；根据云南省水利厅发布的《云南省水功能区划》（2014版），小江（清水海-入金沙江口段）到2030年的水质目标为III类水体，执行《地表水环境质量标准》（GB3838-2002）</w:t>
            </w:r>
            <w:r>
              <w:rPr>
                <w:rFonts w:eastAsiaTheme="minorEastAsia"/>
                <w:color w:val="000000" w:themeColor="text1"/>
                <w:szCs w:val="24"/>
              </w:rPr>
              <w:fldChar w:fldCharType="begin"/>
            </w:r>
            <w:r>
              <w:rPr>
                <w:rFonts w:eastAsiaTheme="minorEastAsia"/>
                <w:color w:val="000000" w:themeColor="text1"/>
                <w:szCs w:val="24"/>
              </w:rPr>
              <w:instrText xml:space="preserve"> = 3 \* ROMAN </w:instrText>
            </w:r>
            <w:r>
              <w:rPr>
                <w:rFonts w:eastAsiaTheme="minorEastAsia"/>
                <w:color w:val="000000" w:themeColor="text1"/>
                <w:szCs w:val="24"/>
              </w:rPr>
              <w:fldChar w:fldCharType="separate"/>
            </w:r>
            <w:r>
              <w:rPr>
                <w:rFonts w:eastAsiaTheme="minorEastAsia"/>
                <w:color w:val="000000" w:themeColor="text1"/>
                <w:szCs w:val="24"/>
              </w:rPr>
              <w:t>II</w:t>
            </w:r>
            <w:r>
              <w:rPr>
                <w:rFonts w:eastAsiaTheme="minorEastAsia"/>
                <w:color w:val="000000" w:themeColor="text1"/>
                <w:szCs w:val="24"/>
              </w:rPr>
              <w:fldChar w:fldCharType="end"/>
            </w:r>
            <w:r>
              <w:rPr>
                <w:rFonts w:eastAsiaTheme="minorEastAsia"/>
                <w:color w:val="000000" w:themeColor="text1"/>
                <w:szCs w:val="24"/>
              </w:rPr>
              <w:t>I类标准。黑泥沟、甸头大河均无环境功能区划，根据水功能区划原则，参照执行小江河段的功能区划，亦执行《地表水环境质量标准》（GB3838-2002）III类水标准。标准限值详见下表。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表3.3.2-1 地表水环境质量评价标准值  单位：mg/L</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6"/>
              <w:gridCol w:w="1633"/>
              <w:gridCol w:w="1643"/>
              <w:gridCol w:w="2293"/>
              <w:gridCol w:w="18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项目</w:t>
                  </w:r>
                </w:p>
              </w:tc>
              <w:tc>
                <w:tcPr>
                  <w:tcW w:w="1633" w:type="dxa"/>
                  <w:vAlign w:val="center"/>
                </w:tcPr>
                <w:p>
                  <w:pPr>
                    <w:pStyle w:val="30"/>
                    <w:spacing w:line="360" w:lineRule="exact"/>
                    <w:ind w:left="11"/>
                    <w:rPr>
                      <w:color w:val="000000" w:themeColor="text1"/>
                      <w:szCs w:val="21"/>
                    </w:rPr>
                  </w:pPr>
                  <w:r>
                    <w:rPr>
                      <w:color w:val="000000" w:themeColor="text1"/>
                      <w:szCs w:val="21"/>
                    </w:rPr>
                    <w:t>pH</w:t>
                  </w:r>
                </w:p>
              </w:tc>
              <w:tc>
                <w:tcPr>
                  <w:tcW w:w="1643" w:type="dxa"/>
                  <w:vAlign w:val="center"/>
                </w:tcPr>
                <w:p>
                  <w:pPr>
                    <w:pStyle w:val="30"/>
                    <w:spacing w:line="360" w:lineRule="exact"/>
                    <w:ind w:left="11"/>
                    <w:rPr>
                      <w:color w:val="000000" w:themeColor="text1"/>
                      <w:szCs w:val="21"/>
                    </w:rPr>
                  </w:pPr>
                  <w:r>
                    <w:rPr>
                      <w:color w:val="000000" w:themeColor="text1"/>
                      <w:szCs w:val="21"/>
                    </w:rPr>
                    <w:t>CODcr</w:t>
                  </w:r>
                </w:p>
              </w:tc>
              <w:tc>
                <w:tcPr>
                  <w:tcW w:w="2293" w:type="dxa"/>
                  <w:vAlign w:val="center"/>
                </w:tcPr>
                <w:p>
                  <w:pPr>
                    <w:pStyle w:val="30"/>
                    <w:spacing w:line="360" w:lineRule="exact"/>
                    <w:ind w:left="11"/>
                    <w:rPr>
                      <w:color w:val="000000" w:themeColor="text1"/>
                      <w:szCs w:val="21"/>
                    </w:rPr>
                  </w:pPr>
                  <w:r>
                    <w:rPr>
                      <w:color w:val="000000" w:themeColor="text1"/>
                      <w:szCs w:val="21"/>
                    </w:rPr>
                    <w:t>BOD</w:t>
                  </w:r>
                  <w:r>
                    <w:rPr>
                      <w:color w:val="000000" w:themeColor="text1"/>
                      <w:szCs w:val="21"/>
                      <w:vertAlign w:val="subscript"/>
                    </w:rPr>
                    <w:t>5</w:t>
                  </w:r>
                </w:p>
              </w:tc>
              <w:tc>
                <w:tcPr>
                  <w:tcW w:w="1809" w:type="dxa"/>
                  <w:vAlign w:val="center"/>
                </w:tcPr>
                <w:p>
                  <w:pPr>
                    <w:pStyle w:val="30"/>
                    <w:spacing w:line="360" w:lineRule="exact"/>
                    <w:ind w:left="11"/>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III类</w:t>
                  </w:r>
                </w:p>
              </w:tc>
              <w:tc>
                <w:tcPr>
                  <w:tcW w:w="1633" w:type="dxa"/>
                  <w:vAlign w:val="center"/>
                </w:tcPr>
                <w:p>
                  <w:pPr>
                    <w:pStyle w:val="30"/>
                    <w:spacing w:line="360" w:lineRule="exact"/>
                    <w:ind w:left="11"/>
                    <w:rPr>
                      <w:color w:val="000000" w:themeColor="text1"/>
                      <w:szCs w:val="21"/>
                    </w:rPr>
                  </w:pPr>
                  <w:r>
                    <w:rPr>
                      <w:color w:val="000000" w:themeColor="text1"/>
                      <w:szCs w:val="21"/>
                    </w:rPr>
                    <w:t>6-9</w:t>
                  </w:r>
                </w:p>
              </w:tc>
              <w:tc>
                <w:tcPr>
                  <w:tcW w:w="1643" w:type="dxa"/>
                  <w:vAlign w:val="center"/>
                </w:tcPr>
                <w:p>
                  <w:pPr>
                    <w:pStyle w:val="30"/>
                    <w:spacing w:line="360" w:lineRule="exact"/>
                    <w:ind w:left="11"/>
                    <w:rPr>
                      <w:color w:val="000000" w:themeColor="text1"/>
                      <w:szCs w:val="21"/>
                    </w:rPr>
                  </w:pPr>
                  <w:r>
                    <w:rPr>
                      <w:color w:val="000000" w:themeColor="text1"/>
                      <w:szCs w:val="21"/>
                    </w:rPr>
                    <w:t>≤20</w:t>
                  </w:r>
                </w:p>
              </w:tc>
              <w:tc>
                <w:tcPr>
                  <w:tcW w:w="2293" w:type="dxa"/>
                  <w:vAlign w:val="center"/>
                </w:tcPr>
                <w:p>
                  <w:pPr>
                    <w:pStyle w:val="30"/>
                    <w:spacing w:line="360" w:lineRule="exact"/>
                    <w:ind w:left="11"/>
                    <w:rPr>
                      <w:color w:val="000000" w:themeColor="text1"/>
                      <w:szCs w:val="21"/>
                    </w:rPr>
                  </w:pPr>
                  <w:r>
                    <w:rPr>
                      <w:color w:val="000000" w:themeColor="text1"/>
                      <w:szCs w:val="21"/>
                    </w:rPr>
                    <w:t>≤4</w:t>
                  </w:r>
                </w:p>
              </w:tc>
              <w:tc>
                <w:tcPr>
                  <w:tcW w:w="1809" w:type="dxa"/>
                  <w:vAlign w:val="center"/>
                </w:tcPr>
                <w:p>
                  <w:pPr>
                    <w:pStyle w:val="30"/>
                    <w:spacing w:line="360" w:lineRule="exact"/>
                    <w:ind w:left="11"/>
                    <w:rPr>
                      <w:color w:val="000000" w:themeColor="text1"/>
                      <w:szCs w:val="21"/>
                    </w:rPr>
                  </w:pPr>
                  <w:r>
                    <w:rPr>
                      <w:color w:val="000000" w:themeColor="text1"/>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项目</w:t>
                  </w:r>
                </w:p>
              </w:tc>
              <w:tc>
                <w:tcPr>
                  <w:tcW w:w="1633" w:type="dxa"/>
                  <w:vAlign w:val="center"/>
                </w:tcPr>
                <w:p>
                  <w:pPr>
                    <w:pStyle w:val="30"/>
                    <w:spacing w:line="360" w:lineRule="exact"/>
                    <w:ind w:left="11"/>
                    <w:rPr>
                      <w:color w:val="000000" w:themeColor="text1"/>
                      <w:szCs w:val="21"/>
                    </w:rPr>
                  </w:pPr>
                  <w:r>
                    <w:rPr>
                      <w:color w:val="000000" w:themeColor="text1"/>
                      <w:szCs w:val="21"/>
                    </w:rPr>
                    <w:t>总磷</w:t>
                  </w:r>
                </w:p>
              </w:tc>
              <w:tc>
                <w:tcPr>
                  <w:tcW w:w="1643" w:type="dxa"/>
                  <w:vAlign w:val="center"/>
                </w:tcPr>
                <w:p>
                  <w:pPr>
                    <w:pStyle w:val="30"/>
                    <w:spacing w:line="360" w:lineRule="exact"/>
                    <w:ind w:left="11"/>
                    <w:rPr>
                      <w:color w:val="000000" w:themeColor="text1"/>
                      <w:szCs w:val="21"/>
                    </w:rPr>
                  </w:pPr>
                  <w:r>
                    <w:rPr>
                      <w:color w:val="000000" w:themeColor="text1"/>
                      <w:szCs w:val="21"/>
                    </w:rPr>
                    <w:t>石油类</w:t>
                  </w:r>
                </w:p>
              </w:tc>
              <w:tc>
                <w:tcPr>
                  <w:tcW w:w="2293"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阴离子表面活性剂</w:t>
                  </w:r>
                </w:p>
              </w:tc>
              <w:tc>
                <w:tcPr>
                  <w:tcW w:w="1809"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粪大肠菌群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5" w:hRule="atLeast"/>
                <w:jc w:val="center"/>
              </w:trPr>
              <w:tc>
                <w:tcPr>
                  <w:tcW w:w="1666" w:type="dxa"/>
                  <w:vAlign w:val="center"/>
                </w:tcPr>
                <w:p>
                  <w:pPr>
                    <w:pStyle w:val="30"/>
                    <w:spacing w:line="360" w:lineRule="exact"/>
                    <w:ind w:left="11"/>
                    <w:rPr>
                      <w:color w:val="000000" w:themeColor="text1"/>
                      <w:szCs w:val="21"/>
                    </w:rPr>
                  </w:pPr>
                  <w:r>
                    <w:rPr>
                      <w:color w:val="000000" w:themeColor="text1"/>
                      <w:szCs w:val="21"/>
                    </w:rPr>
                    <w:t>III类</w:t>
                  </w:r>
                </w:p>
              </w:tc>
              <w:tc>
                <w:tcPr>
                  <w:tcW w:w="1633" w:type="dxa"/>
                  <w:vAlign w:val="center"/>
                </w:tcPr>
                <w:p>
                  <w:pPr>
                    <w:pStyle w:val="30"/>
                    <w:spacing w:line="360" w:lineRule="exact"/>
                    <w:ind w:left="11"/>
                    <w:rPr>
                      <w:color w:val="000000" w:themeColor="text1"/>
                      <w:szCs w:val="21"/>
                    </w:rPr>
                  </w:pPr>
                  <w:r>
                    <w:rPr>
                      <w:color w:val="000000" w:themeColor="text1"/>
                      <w:szCs w:val="21"/>
                    </w:rPr>
                    <w:t>≤0.2</w:t>
                  </w:r>
                </w:p>
              </w:tc>
              <w:tc>
                <w:tcPr>
                  <w:tcW w:w="1643" w:type="dxa"/>
                  <w:vAlign w:val="center"/>
                </w:tcPr>
                <w:p>
                  <w:pPr>
                    <w:pStyle w:val="30"/>
                    <w:spacing w:line="360" w:lineRule="exact"/>
                    <w:ind w:left="11"/>
                    <w:rPr>
                      <w:color w:val="000000" w:themeColor="text1"/>
                      <w:szCs w:val="21"/>
                    </w:rPr>
                  </w:pPr>
                  <w:r>
                    <w:rPr>
                      <w:color w:val="000000" w:themeColor="text1"/>
                      <w:szCs w:val="21"/>
                    </w:rPr>
                    <w:t>≤0.05</w:t>
                  </w:r>
                </w:p>
              </w:tc>
              <w:tc>
                <w:tcPr>
                  <w:tcW w:w="2293"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≤0.2</w:t>
                  </w:r>
                </w:p>
              </w:tc>
              <w:tc>
                <w:tcPr>
                  <w:tcW w:w="1809"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20000个/L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项目</w:t>
                  </w:r>
                </w:p>
              </w:tc>
              <w:tc>
                <w:tcPr>
                  <w:tcW w:w="1633" w:type="dxa"/>
                  <w:vAlign w:val="center"/>
                </w:tcPr>
                <w:p>
                  <w:pPr>
                    <w:pStyle w:val="30"/>
                    <w:spacing w:line="360" w:lineRule="exact"/>
                    <w:ind w:left="11"/>
                    <w:rPr>
                      <w:color w:val="000000" w:themeColor="text1"/>
                      <w:szCs w:val="21"/>
                    </w:rPr>
                  </w:pPr>
                  <w:r>
                    <w:rPr>
                      <w:rFonts w:hint="eastAsia"/>
                      <w:color w:val="000000" w:themeColor="text1"/>
                      <w:szCs w:val="21"/>
                    </w:rPr>
                    <w:t>Hg</w:t>
                  </w:r>
                </w:p>
              </w:tc>
              <w:tc>
                <w:tcPr>
                  <w:tcW w:w="1643" w:type="dxa"/>
                  <w:vAlign w:val="center"/>
                </w:tcPr>
                <w:p>
                  <w:pPr>
                    <w:pStyle w:val="30"/>
                    <w:spacing w:line="360" w:lineRule="exact"/>
                    <w:ind w:left="11"/>
                    <w:rPr>
                      <w:color w:val="000000" w:themeColor="text1"/>
                      <w:szCs w:val="21"/>
                    </w:rPr>
                  </w:pPr>
                  <w:r>
                    <w:rPr>
                      <w:color w:val="000000" w:themeColor="text1"/>
                      <w:szCs w:val="21"/>
                    </w:rPr>
                    <w:t>Pb</w:t>
                  </w:r>
                </w:p>
              </w:tc>
              <w:tc>
                <w:tcPr>
                  <w:tcW w:w="2293" w:type="dxa"/>
                  <w:vAlign w:val="center"/>
                </w:tcPr>
                <w:p>
                  <w:pPr>
                    <w:pStyle w:val="30"/>
                    <w:spacing w:line="360" w:lineRule="exact"/>
                    <w:ind w:left="11"/>
                    <w:rPr>
                      <w:color w:val="000000" w:themeColor="text1"/>
                      <w:szCs w:val="21"/>
                    </w:rPr>
                  </w:pPr>
                  <w:r>
                    <w:rPr>
                      <w:color w:val="000000" w:themeColor="text1"/>
                      <w:szCs w:val="21"/>
                    </w:rPr>
                    <w:t>Cd</w:t>
                  </w:r>
                </w:p>
              </w:tc>
              <w:tc>
                <w:tcPr>
                  <w:tcW w:w="1809"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Cu</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III类</w:t>
                  </w:r>
                </w:p>
              </w:tc>
              <w:tc>
                <w:tcPr>
                  <w:tcW w:w="1633" w:type="dxa"/>
                  <w:vAlign w:val="center"/>
                </w:tcPr>
                <w:p>
                  <w:pPr>
                    <w:pStyle w:val="30"/>
                    <w:spacing w:line="360" w:lineRule="exact"/>
                    <w:ind w:left="11"/>
                    <w:rPr>
                      <w:color w:val="000000" w:themeColor="text1"/>
                      <w:szCs w:val="21"/>
                    </w:rPr>
                  </w:pPr>
                  <w:r>
                    <w:rPr>
                      <w:color w:val="000000" w:themeColor="text1"/>
                      <w:szCs w:val="21"/>
                    </w:rPr>
                    <w:t>≤</w:t>
                  </w:r>
                  <w:r>
                    <w:rPr>
                      <w:rFonts w:hint="eastAsia"/>
                      <w:color w:val="000000" w:themeColor="text1"/>
                      <w:szCs w:val="21"/>
                    </w:rPr>
                    <w:t>0.0001</w:t>
                  </w:r>
                </w:p>
              </w:tc>
              <w:tc>
                <w:tcPr>
                  <w:tcW w:w="1643" w:type="dxa"/>
                  <w:vAlign w:val="center"/>
                </w:tcPr>
                <w:p>
                  <w:pPr>
                    <w:pStyle w:val="30"/>
                    <w:spacing w:line="360" w:lineRule="exact"/>
                    <w:ind w:left="11"/>
                    <w:rPr>
                      <w:color w:val="000000" w:themeColor="text1"/>
                      <w:szCs w:val="21"/>
                    </w:rPr>
                  </w:pPr>
                  <w:r>
                    <w:rPr>
                      <w:color w:val="000000" w:themeColor="text1"/>
                      <w:szCs w:val="21"/>
                    </w:rPr>
                    <w:t>≤0.05</w:t>
                  </w:r>
                </w:p>
              </w:tc>
              <w:tc>
                <w:tcPr>
                  <w:tcW w:w="2293" w:type="dxa"/>
                  <w:vAlign w:val="center"/>
                </w:tcPr>
                <w:p>
                  <w:pPr>
                    <w:pStyle w:val="30"/>
                    <w:spacing w:line="360" w:lineRule="exact"/>
                    <w:ind w:left="11"/>
                    <w:rPr>
                      <w:color w:val="000000" w:themeColor="text1"/>
                      <w:szCs w:val="21"/>
                    </w:rPr>
                  </w:pPr>
                  <w:r>
                    <w:rPr>
                      <w:color w:val="000000" w:themeColor="text1"/>
                      <w:szCs w:val="21"/>
                    </w:rPr>
                    <w:t>≤0.005</w:t>
                  </w:r>
                </w:p>
              </w:tc>
              <w:tc>
                <w:tcPr>
                  <w:tcW w:w="1809"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项目</w:t>
                  </w:r>
                </w:p>
              </w:tc>
              <w:tc>
                <w:tcPr>
                  <w:tcW w:w="1633" w:type="dxa"/>
                  <w:vAlign w:val="center"/>
                </w:tcPr>
                <w:p>
                  <w:pPr>
                    <w:pStyle w:val="30"/>
                    <w:spacing w:line="360" w:lineRule="exact"/>
                    <w:ind w:left="11"/>
                    <w:rPr>
                      <w:color w:val="000000" w:themeColor="text1"/>
                      <w:szCs w:val="21"/>
                    </w:rPr>
                  </w:pPr>
                  <w:r>
                    <w:rPr>
                      <w:rFonts w:hint="eastAsia"/>
                      <w:color w:val="000000" w:themeColor="text1"/>
                      <w:szCs w:val="21"/>
                    </w:rPr>
                    <w:t>六价铬</w:t>
                  </w:r>
                </w:p>
              </w:tc>
              <w:tc>
                <w:tcPr>
                  <w:tcW w:w="1643"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As</w:t>
                  </w:r>
                </w:p>
              </w:tc>
              <w:tc>
                <w:tcPr>
                  <w:tcW w:w="2293"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Zn</w:t>
                  </w:r>
                </w:p>
              </w:tc>
              <w:tc>
                <w:tcPr>
                  <w:tcW w:w="1809"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氟化物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66" w:type="dxa"/>
                  <w:vAlign w:val="center"/>
                </w:tcPr>
                <w:p>
                  <w:pPr>
                    <w:pStyle w:val="30"/>
                    <w:spacing w:line="360" w:lineRule="exact"/>
                    <w:ind w:left="11"/>
                    <w:rPr>
                      <w:color w:val="000000" w:themeColor="text1"/>
                      <w:szCs w:val="21"/>
                    </w:rPr>
                  </w:pPr>
                  <w:r>
                    <w:rPr>
                      <w:color w:val="000000" w:themeColor="text1"/>
                      <w:szCs w:val="21"/>
                    </w:rPr>
                    <w:t>III类</w:t>
                  </w:r>
                </w:p>
              </w:tc>
              <w:tc>
                <w:tcPr>
                  <w:tcW w:w="1633" w:type="dxa"/>
                  <w:vAlign w:val="center"/>
                </w:tcPr>
                <w:p>
                  <w:pPr>
                    <w:pStyle w:val="30"/>
                    <w:spacing w:line="360" w:lineRule="exact"/>
                    <w:ind w:left="11"/>
                    <w:rPr>
                      <w:color w:val="000000" w:themeColor="text1"/>
                      <w:szCs w:val="21"/>
                    </w:rPr>
                  </w:pPr>
                  <w:r>
                    <w:rPr>
                      <w:color w:val="000000" w:themeColor="text1"/>
                      <w:szCs w:val="21"/>
                    </w:rPr>
                    <w:t>≤</w:t>
                  </w:r>
                  <w:r>
                    <w:rPr>
                      <w:rFonts w:hint="eastAsia"/>
                      <w:color w:val="000000" w:themeColor="text1"/>
                      <w:szCs w:val="21"/>
                    </w:rPr>
                    <w:t>0.05</w:t>
                  </w:r>
                </w:p>
              </w:tc>
              <w:tc>
                <w:tcPr>
                  <w:tcW w:w="1643"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≤0.05</w:t>
                  </w:r>
                </w:p>
              </w:tc>
              <w:tc>
                <w:tcPr>
                  <w:tcW w:w="2293"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≤1.0</w:t>
                  </w:r>
                </w:p>
              </w:tc>
              <w:tc>
                <w:tcPr>
                  <w:tcW w:w="1809" w:type="dxa"/>
                  <w:vAlign w:val="center"/>
                </w:tcPr>
                <w:p>
                  <w:pPr>
                    <w:spacing w:line="360" w:lineRule="exact"/>
                    <w:ind w:left="11"/>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w:t>
                  </w:r>
                  <w:r>
                    <w:rPr>
                      <w:rFonts w:hint="eastAsia" w:ascii="Times New Roman" w:hAnsi="Times New Roman" w:eastAsia="宋体" w:cs="Times New Roman"/>
                      <w:bCs/>
                      <w:snapToGrid w:val="0"/>
                      <w:color w:val="000000" w:themeColor="text1"/>
                      <w:kern w:val="32"/>
                      <w:lang w:val="zh-CN"/>
                    </w:rPr>
                    <w:t>1.0</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3.3.3 地下水质量标准</w:t>
            </w:r>
          </w:p>
          <w:p>
            <w:pPr>
              <w:pStyle w:val="38"/>
              <w:ind w:firstLine="480"/>
              <w:rPr>
                <w:rFonts w:eastAsiaTheme="minorEastAsia"/>
                <w:color w:val="000000" w:themeColor="text1"/>
                <w:szCs w:val="24"/>
              </w:rPr>
            </w:pPr>
            <w:r>
              <w:rPr>
                <w:rFonts w:eastAsiaTheme="minorEastAsia"/>
                <w:color w:val="000000" w:themeColor="text1"/>
                <w:szCs w:val="24"/>
              </w:rPr>
              <w:t>根据调查，项目所在区域的地下水主要功能为工农业用水，属于地下水质量III类。项目区域地下水执行《地下水质量标准》（GB/T14848-2017）</w:t>
            </w:r>
            <w:r>
              <w:rPr>
                <w:rFonts w:hint="eastAsia" w:eastAsiaTheme="minorEastAsia"/>
                <w:color w:val="000000" w:themeColor="text1"/>
                <w:szCs w:val="24"/>
              </w:rPr>
              <w:t>III</w:t>
            </w:r>
            <w:r>
              <w:rPr>
                <w:rFonts w:eastAsiaTheme="minorEastAsia"/>
                <w:color w:val="000000" w:themeColor="text1"/>
                <w:szCs w:val="24"/>
              </w:rPr>
              <w:t>类标准，标准值如下表所示。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表3.3.3-1  地下水质量标准限值  mg/L</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07"/>
              <w:gridCol w:w="1493"/>
              <w:gridCol w:w="1641"/>
              <w:gridCol w:w="1194"/>
              <w:gridCol w:w="1343"/>
              <w:gridCol w:w="1044"/>
              <w:gridCol w:w="11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47" w:type="dxa"/>
                  <w:vAlign w:val="center"/>
                </w:tcPr>
                <w:p>
                  <w:pPr>
                    <w:pStyle w:val="30"/>
                    <w:spacing w:line="360" w:lineRule="exact"/>
                    <w:rPr>
                      <w:color w:val="000000" w:themeColor="text1"/>
                      <w:szCs w:val="21"/>
                    </w:rPr>
                  </w:pPr>
                  <w:r>
                    <w:rPr>
                      <w:color w:val="000000" w:themeColor="text1"/>
                      <w:szCs w:val="21"/>
                    </w:rPr>
                    <w:t>污染物</w:t>
                  </w:r>
                </w:p>
              </w:tc>
              <w:tc>
                <w:tcPr>
                  <w:tcW w:w="1418" w:type="dxa"/>
                  <w:vAlign w:val="center"/>
                </w:tcPr>
                <w:p>
                  <w:pPr>
                    <w:pStyle w:val="30"/>
                    <w:spacing w:line="360" w:lineRule="exact"/>
                    <w:rPr>
                      <w:color w:val="000000" w:themeColor="text1"/>
                      <w:szCs w:val="21"/>
                    </w:rPr>
                  </w:pPr>
                  <w:r>
                    <w:rPr>
                      <w:color w:val="000000" w:themeColor="text1"/>
                      <w:szCs w:val="21"/>
                    </w:rPr>
                    <w:t>pH（无量纲）</w:t>
                  </w:r>
                </w:p>
              </w:tc>
              <w:tc>
                <w:tcPr>
                  <w:tcW w:w="1559" w:type="dxa"/>
                  <w:vAlign w:val="center"/>
                </w:tcPr>
                <w:p>
                  <w:pPr>
                    <w:pStyle w:val="30"/>
                    <w:spacing w:line="360" w:lineRule="exact"/>
                    <w:rPr>
                      <w:color w:val="000000" w:themeColor="text1"/>
                      <w:szCs w:val="21"/>
                    </w:rPr>
                  </w:pPr>
                  <w:r>
                    <w:rPr>
                      <w:color w:val="000000" w:themeColor="text1"/>
                      <w:szCs w:val="21"/>
                    </w:rPr>
                    <w:t>总硬度</w:t>
                  </w:r>
                </w:p>
              </w:tc>
              <w:tc>
                <w:tcPr>
                  <w:tcW w:w="1134" w:type="dxa"/>
                  <w:vAlign w:val="center"/>
                </w:tcPr>
                <w:p>
                  <w:pPr>
                    <w:pStyle w:val="30"/>
                    <w:spacing w:line="360" w:lineRule="exact"/>
                    <w:rPr>
                      <w:color w:val="000000" w:themeColor="text1"/>
                      <w:szCs w:val="21"/>
                    </w:rPr>
                  </w:pPr>
                  <w:r>
                    <w:rPr>
                      <w:color w:val="000000" w:themeColor="text1"/>
                      <w:szCs w:val="21"/>
                    </w:rPr>
                    <w:t>硫酸盐</w:t>
                  </w:r>
                </w:p>
              </w:tc>
              <w:tc>
                <w:tcPr>
                  <w:tcW w:w="1276" w:type="dxa"/>
                  <w:vAlign w:val="center"/>
                </w:tcPr>
                <w:p>
                  <w:pPr>
                    <w:pStyle w:val="30"/>
                    <w:spacing w:line="360" w:lineRule="exact"/>
                    <w:rPr>
                      <w:color w:val="000000" w:themeColor="text1"/>
                      <w:szCs w:val="21"/>
                    </w:rPr>
                  </w:pPr>
                  <w:r>
                    <w:rPr>
                      <w:color w:val="000000" w:themeColor="text1"/>
                      <w:szCs w:val="21"/>
                    </w:rPr>
                    <w:t>氯化物</w:t>
                  </w:r>
                </w:p>
              </w:tc>
              <w:tc>
                <w:tcPr>
                  <w:tcW w:w="992" w:type="dxa"/>
                  <w:vAlign w:val="center"/>
                </w:tcPr>
                <w:p>
                  <w:pPr>
                    <w:pStyle w:val="30"/>
                    <w:spacing w:line="360" w:lineRule="exact"/>
                    <w:rPr>
                      <w:color w:val="000000" w:themeColor="text1"/>
                      <w:szCs w:val="21"/>
                    </w:rPr>
                  </w:pPr>
                  <w:r>
                    <w:rPr>
                      <w:color w:val="000000" w:themeColor="text1"/>
                      <w:szCs w:val="21"/>
                    </w:rPr>
                    <w:t>汞</w:t>
                  </w:r>
                </w:p>
              </w:tc>
              <w:tc>
                <w:tcPr>
                  <w:tcW w:w="1066" w:type="dxa"/>
                  <w:vAlign w:val="center"/>
                </w:tcPr>
                <w:p>
                  <w:pPr>
                    <w:pStyle w:val="30"/>
                    <w:spacing w:line="360" w:lineRule="exact"/>
                    <w:rPr>
                      <w:color w:val="000000" w:themeColor="text1"/>
                      <w:szCs w:val="21"/>
                    </w:rPr>
                  </w:pPr>
                  <w:r>
                    <w:rPr>
                      <w:color w:val="000000" w:themeColor="text1"/>
                      <w:szCs w:val="21"/>
                    </w:rPr>
                    <w:t>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47" w:type="dxa"/>
                  <w:vAlign w:val="center"/>
                </w:tcPr>
                <w:p>
                  <w:pPr>
                    <w:pStyle w:val="30"/>
                    <w:spacing w:line="360" w:lineRule="exact"/>
                    <w:rPr>
                      <w:color w:val="000000" w:themeColor="text1"/>
                      <w:szCs w:val="21"/>
                    </w:rPr>
                  </w:pPr>
                  <w:r>
                    <w:rPr>
                      <w:color w:val="000000" w:themeColor="text1"/>
                      <w:szCs w:val="21"/>
                    </w:rPr>
                    <w:t>标准值</w:t>
                  </w:r>
                </w:p>
              </w:tc>
              <w:tc>
                <w:tcPr>
                  <w:tcW w:w="1418" w:type="dxa"/>
                  <w:vAlign w:val="center"/>
                </w:tcPr>
                <w:p>
                  <w:pPr>
                    <w:pStyle w:val="30"/>
                    <w:spacing w:line="360" w:lineRule="exact"/>
                    <w:rPr>
                      <w:color w:val="000000" w:themeColor="text1"/>
                      <w:szCs w:val="21"/>
                    </w:rPr>
                  </w:pPr>
                  <w:r>
                    <w:rPr>
                      <w:color w:val="000000" w:themeColor="text1"/>
                      <w:szCs w:val="21"/>
                    </w:rPr>
                    <w:t>6.5-8.5</w:t>
                  </w:r>
                </w:p>
              </w:tc>
              <w:tc>
                <w:tcPr>
                  <w:tcW w:w="1559" w:type="dxa"/>
                  <w:vAlign w:val="center"/>
                </w:tcPr>
                <w:p>
                  <w:pPr>
                    <w:pStyle w:val="30"/>
                    <w:spacing w:line="360" w:lineRule="exact"/>
                    <w:rPr>
                      <w:color w:val="000000" w:themeColor="text1"/>
                      <w:szCs w:val="21"/>
                    </w:rPr>
                  </w:pPr>
                  <w:r>
                    <w:rPr>
                      <w:color w:val="000000" w:themeColor="text1"/>
                      <w:szCs w:val="21"/>
                    </w:rPr>
                    <w:t>≤450</w:t>
                  </w:r>
                </w:p>
              </w:tc>
              <w:tc>
                <w:tcPr>
                  <w:tcW w:w="1134" w:type="dxa"/>
                  <w:vAlign w:val="center"/>
                </w:tcPr>
                <w:p>
                  <w:pPr>
                    <w:pStyle w:val="30"/>
                    <w:spacing w:line="360" w:lineRule="exact"/>
                    <w:rPr>
                      <w:color w:val="000000" w:themeColor="text1"/>
                      <w:szCs w:val="21"/>
                    </w:rPr>
                  </w:pPr>
                  <w:r>
                    <w:rPr>
                      <w:color w:val="000000" w:themeColor="text1"/>
                      <w:szCs w:val="21"/>
                    </w:rPr>
                    <w:t>≤250</w:t>
                  </w:r>
                </w:p>
              </w:tc>
              <w:tc>
                <w:tcPr>
                  <w:tcW w:w="1276" w:type="dxa"/>
                  <w:vAlign w:val="center"/>
                </w:tcPr>
                <w:p>
                  <w:pPr>
                    <w:pStyle w:val="30"/>
                    <w:spacing w:line="360" w:lineRule="exact"/>
                    <w:rPr>
                      <w:color w:val="000000" w:themeColor="text1"/>
                      <w:szCs w:val="21"/>
                    </w:rPr>
                  </w:pPr>
                  <w:r>
                    <w:rPr>
                      <w:color w:val="000000" w:themeColor="text1"/>
                      <w:szCs w:val="21"/>
                    </w:rPr>
                    <w:t>≤250</w:t>
                  </w:r>
                </w:p>
              </w:tc>
              <w:tc>
                <w:tcPr>
                  <w:tcW w:w="992" w:type="dxa"/>
                  <w:vAlign w:val="center"/>
                </w:tcPr>
                <w:p>
                  <w:pPr>
                    <w:pStyle w:val="30"/>
                    <w:spacing w:line="360" w:lineRule="exact"/>
                    <w:rPr>
                      <w:color w:val="000000" w:themeColor="text1"/>
                      <w:szCs w:val="21"/>
                    </w:rPr>
                  </w:pPr>
                  <w:r>
                    <w:rPr>
                      <w:color w:val="000000" w:themeColor="text1"/>
                      <w:szCs w:val="21"/>
                    </w:rPr>
                    <w:t>≤0.001</w:t>
                  </w:r>
                </w:p>
              </w:tc>
              <w:tc>
                <w:tcPr>
                  <w:tcW w:w="1066" w:type="dxa"/>
                  <w:vAlign w:val="center"/>
                </w:tcPr>
                <w:p>
                  <w:pPr>
                    <w:pStyle w:val="30"/>
                    <w:spacing w:line="360" w:lineRule="exact"/>
                    <w:rPr>
                      <w:color w:val="000000" w:themeColor="text1"/>
                      <w:szCs w:val="21"/>
                    </w:rPr>
                  </w:pPr>
                  <w:r>
                    <w:rPr>
                      <w:color w:val="000000" w:themeColor="text1"/>
                      <w:szCs w:val="21"/>
                    </w:rPr>
                    <w:t>≤0.3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47" w:type="dxa"/>
                  <w:vAlign w:val="center"/>
                </w:tcPr>
                <w:p>
                  <w:pPr>
                    <w:pStyle w:val="30"/>
                    <w:spacing w:line="360" w:lineRule="exact"/>
                    <w:rPr>
                      <w:color w:val="000000" w:themeColor="text1"/>
                      <w:szCs w:val="21"/>
                    </w:rPr>
                  </w:pPr>
                  <w:r>
                    <w:rPr>
                      <w:color w:val="000000" w:themeColor="text1"/>
                      <w:szCs w:val="21"/>
                    </w:rPr>
                    <w:t>污染物</w:t>
                  </w:r>
                </w:p>
              </w:tc>
              <w:tc>
                <w:tcPr>
                  <w:tcW w:w="1418" w:type="dxa"/>
                  <w:vAlign w:val="center"/>
                </w:tcPr>
                <w:p>
                  <w:pPr>
                    <w:pStyle w:val="30"/>
                    <w:spacing w:line="360" w:lineRule="exact"/>
                    <w:rPr>
                      <w:color w:val="000000" w:themeColor="text1"/>
                      <w:szCs w:val="21"/>
                    </w:rPr>
                  </w:pPr>
                  <w:r>
                    <w:rPr>
                      <w:color w:val="000000" w:themeColor="text1"/>
                      <w:szCs w:val="21"/>
                    </w:rPr>
                    <w:t>硝酸盐</w:t>
                  </w:r>
                </w:p>
              </w:tc>
              <w:tc>
                <w:tcPr>
                  <w:tcW w:w="1559" w:type="dxa"/>
                  <w:vAlign w:val="center"/>
                </w:tcPr>
                <w:p>
                  <w:pPr>
                    <w:pStyle w:val="30"/>
                    <w:spacing w:line="360" w:lineRule="exact"/>
                    <w:rPr>
                      <w:color w:val="000000" w:themeColor="text1"/>
                      <w:szCs w:val="21"/>
                    </w:rPr>
                  </w:pPr>
                  <w:r>
                    <w:rPr>
                      <w:color w:val="000000" w:themeColor="text1"/>
                      <w:szCs w:val="21"/>
                    </w:rPr>
                    <w:t>亚硝酸盐</w:t>
                  </w:r>
                </w:p>
              </w:tc>
              <w:tc>
                <w:tcPr>
                  <w:tcW w:w="1134" w:type="dxa"/>
                  <w:vAlign w:val="center"/>
                </w:tcPr>
                <w:p>
                  <w:pPr>
                    <w:pStyle w:val="30"/>
                    <w:spacing w:line="360" w:lineRule="exact"/>
                    <w:rPr>
                      <w:color w:val="000000" w:themeColor="text1"/>
                      <w:szCs w:val="21"/>
                    </w:rPr>
                  </w:pPr>
                  <w:r>
                    <w:rPr>
                      <w:color w:val="000000" w:themeColor="text1"/>
                      <w:szCs w:val="21"/>
                    </w:rPr>
                    <w:t>锌</w:t>
                  </w:r>
                </w:p>
              </w:tc>
              <w:tc>
                <w:tcPr>
                  <w:tcW w:w="1276" w:type="dxa"/>
                  <w:vAlign w:val="center"/>
                </w:tcPr>
                <w:p>
                  <w:pPr>
                    <w:pStyle w:val="30"/>
                    <w:spacing w:line="360" w:lineRule="exact"/>
                    <w:rPr>
                      <w:color w:val="000000" w:themeColor="text1"/>
                      <w:szCs w:val="21"/>
                    </w:rPr>
                  </w:pPr>
                  <w:r>
                    <w:rPr>
                      <w:color w:val="000000" w:themeColor="text1"/>
                      <w:szCs w:val="21"/>
                    </w:rPr>
                    <w:t>氨氮</w:t>
                  </w:r>
                </w:p>
              </w:tc>
              <w:tc>
                <w:tcPr>
                  <w:tcW w:w="992" w:type="dxa"/>
                  <w:vAlign w:val="center"/>
                </w:tcPr>
                <w:p>
                  <w:pPr>
                    <w:pStyle w:val="30"/>
                    <w:spacing w:line="360" w:lineRule="exact"/>
                    <w:rPr>
                      <w:color w:val="000000" w:themeColor="text1"/>
                      <w:szCs w:val="21"/>
                    </w:rPr>
                  </w:pPr>
                  <w:r>
                    <w:rPr>
                      <w:color w:val="000000" w:themeColor="text1"/>
                      <w:szCs w:val="21"/>
                    </w:rPr>
                    <w:t>铅</w:t>
                  </w:r>
                </w:p>
              </w:tc>
              <w:tc>
                <w:tcPr>
                  <w:tcW w:w="1066" w:type="dxa"/>
                  <w:vAlign w:val="center"/>
                </w:tcPr>
                <w:p>
                  <w:pPr>
                    <w:pStyle w:val="30"/>
                    <w:spacing w:line="360" w:lineRule="exact"/>
                    <w:rPr>
                      <w:color w:val="000000" w:themeColor="text1"/>
                      <w:szCs w:val="21"/>
                    </w:rPr>
                  </w:pPr>
                  <w:r>
                    <w:rPr>
                      <w:color w:val="000000" w:themeColor="text1"/>
                      <w:szCs w:val="21"/>
                    </w:rPr>
                    <w:t>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47" w:type="dxa"/>
                  <w:vAlign w:val="center"/>
                </w:tcPr>
                <w:p>
                  <w:pPr>
                    <w:pStyle w:val="30"/>
                    <w:spacing w:line="360" w:lineRule="exact"/>
                    <w:rPr>
                      <w:color w:val="000000" w:themeColor="text1"/>
                      <w:szCs w:val="21"/>
                    </w:rPr>
                  </w:pPr>
                  <w:r>
                    <w:rPr>
                      <w:color w:val="000000" w:themeColor="text1"/>
                      <w:szCs w:val="21"/>
                    </w:rPr>
                    <w:t>标准值</w:t>
                  </w:r>
                </w:p>
              </w:tc>
              <w:tc>
                <w:tcPr>
                  <w:tcW w:w="1418" w:type="dxa"/>
                  <w:vAlign w:val="center"/>
                </w:tcPr>
                <w:p>
                  <w:pPr>
                    <w:pStyle w:val="30"/>
                    <w:spacing w:line="360" w:lineRule="exact"/>
                    <w:rPr>
                      <w:color w:val="000000" w:themeColor="text1"/>
                      <w:szCs w:val="21"/>
                    </w:rPr>
                  </w:pPr>
                  <w:r>
                    <w:rPr>
                      <w:color w:val="000000" w:themeColor="text1"/>
                      <w:szCs w:val="21"/>
                    </w:rPr>
                    <w:t>≤20.0</w:t>
                  </w:r>
                </w:p>
              </w:tc>
              <w:tc>
                <w:tcPr>
                  <w:tcW w:w="1559" w:type="dxa"/>
                  <w:vAlign w:val="center"/>
                </w:tcPr>
                <w:p>
                  <w:pPr>
                    <w:pStyle w:val="30"/>
                    <w:spacing w:line="360" w:lineRule="exact"/>
                    <w:rPr>
                      <w:color w:val="000000" w:themeColor="text1"/>
                      <w:szCs w:val="21"/>
                    </w:rPr>
                  </w:pPr>
                  <w:r>
                    <w:rPr>
                      <w:color w:val="000000" w:themeColor="text1"/>
                      <w:szCs w:val="21"/>
                    </w:rPr>
                    <w:t>≤1.0</w:t>
                  </w:r>
                </w:p>
              </w:tc>
              <w:tc>
                <w:tcPr>
                  <w:tcW w:w="1134" w:type="dxa"/>
                  <w:vAlign w:val="center"/>
                </w:tcPr>
                <w:p>
                  <w:pPr>
                    <w:pStyle w:val="30"/>
                    <w:spacing w:line="360" w:lineRule="exact"/>
                    <w:rPr>
                      <w:color w:val="000000" w:themeColor="text1"/>
                      <w:szCs w:val="21"/>
                    </w:rPr>
                  </w:pPr>
                  <w:r>
                    <w:rPr>
                      <w:color w:val="000000" w:themeColor="text1"/>
                      <w:szCs w:val="21"/>
                    </w:rPr>
                    <w:t>≤1.0</w:t>
                  </w:r>
                </w:p>
              </w:tc>
              <w:tc>
                <w:tcPr>
                  <w:tcW w:w="1276" w:type="dxa"/>
                  <w:vAlign w:val="center"/>
                </w:tcPr>
                <w:p>
                  <w:pPr>
                    <w:pStyle w:val="30"/>
                    <w:spacing w:line="360" w:lineRule="exact"/>
                    <w:rPr>
                      <w:color w:val="000000" w:themeColor="text1"/>
                      <w:szCs w:val="21"/>
                    </w:rPr>
                  </w:pPr>
                  <w:r>
                    <w:rPr>
                      <w:color w:val="000000" w:themeColor="text1"/>
                      <w:szCs w:val="21"/>
                    </w:rPr>
                    <w:t>≤0.50</w:t>
                  </w:r>
                </w:p>
              </w:tc>
              <w:tc>
                <w:tcPr>
                  <w:tcW w:w="992" w:type="dxa"/>
                  <w:vAlign w:val="center"/>
                </w:tcPr>
                <w:p>
                  <w:pPr>
                    <w:pStyle w:val="30"/>
                    <w:spacing w:line="360" w:lineRule="exact"/>
                    <w:rPr>
                      <w:color w:val="000000" w:themeColor="text1"/>
                      <w:szCs w:val="21"/>
                    </w:rPr>
                  </w:pPr>
                  <w:r>
                    <w:rPr>
                      <w:color w:val="000000" w:themeColor="text1"/>
                      <w:szCs w:val="21"/>
                    </w:rPr>
                    <w:t>≤0.01</w:t>
                  </w:r>
                </w:p>
              </w:tc>
              <w:tc>
                <w:tcPr>
                  <w:tcW w:w="1066" w:type="dxa"/>
                  <w:vAlign w:val="center"/>
                </w:tcPr>
                <w:p>
                  <w:pPr>
                    <w:pStyle w:val="30"/>
                    <w:spacing w:line="360" w:lineRule="exact"/>
                    <w:rPr>
                      <w:color w:val="000000" w:themeColor="text1"/>
                      <w:szCs w:val="21"/>
                    </w:rPr>
                  </w:pPr>
                  <w:r>
                    <w:rPr>
                      <w:color w:val="000000" w:themeColor="text1"/>
                      <w:szCs w:val="21"/>
                    </w:rPr>
                    <w:t>≤0.20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47" w:type="dxa"/>
                  <w:vAlign w:val="center"/>
                </w:tcPr>
                <w:p>
                  <w:pPr>
                    <w:pStyle w:val="30"/>
                    <w:spacing w:line="360" w:lineRule="exact"/>
                    <w:rPr>
                      <w:color w:val="000000" w:themeColor="text1"/>
                      <w:szCs w:val="21"/>
                    </w:rPr>
                  </w:pPr>
                  <w:r>
                    <w:rPr>
                      <w:color w:val="000000" w:themeColor="text1"/>
                      <w:szCs w:val="21"/>
                    </w:rPr>
                    <w:t>污染物</w:t>
                  </w:r>
                </w:p>
              </w:tc>
              <w:tc>
                <w:tcPr>
                  <w:tcW w:w="1418" w:type="dxa"/>
                  <w:vAlign w:val="center"/>
                </w:tcPr>
                <w:p>
                  <w:pPr>
                    <w:pStyle w:val="30"/>
                    <w:spacing w:line="360" w:lineRule="exact"/>
                    <w:rPr>
                      <w:color w:val="000000" w:themeColor="text1"/>
                      <w:szCs w:val="21"/>
                    </w:rPr>
                  </w:pPr>
                  <w:r>
                    <w:rPr>
                      <w:color w:val="000000" w:themeColor="text1"/>
                      <w:szCs w:val="21"/>
                    </w:rPr>
                    <w:t>六价铬</w:t>
                  </w:r>
                </w:p>
              </w:tc>
              <w:tc>
                <w:tcPr>
                  <w:tcW w:w="1559" w:type="dxa"/>
                  <w:vAlign w:val="center"/>
                </w:tcPr>
                <w:p>
                  <w:pPr>
                    <w:pStyle w:val="30"/>
                    <w:spacing w:line="360" w:lineRule="exact"/>
                    <w:rPr>
                      <w:color w:val="000000" w:themeColor="text1"/>
                      <w:szCs w:val="21"/>
                    </w:rPr>
                  </w:pPr>
                  <w:r>
                    <w:rPr>
                      <w:color w:val="000000" w:themeColor="text1"/>
                      <w:szCs w:val="21"/>
                    </w:rPr>
                    <w:t>砷</w:t>
                  </w:r>
                </w:p>
              </w:tc>
              <w:tc>
                <w:tcPr>
                  <w:tcW w:w="1134" w:type="dxa"/>
                  <w:vAlign w:val="center"/>
                </w:tcPr>
                <w:p>
                  <w:pPr>
                    <w:pStyle w:val="30"/>
                    <w:spacing w:line="360" w:lineRule="exact"/>
                    <w:rPr>
                      <w:color w:val="000000" w:themeColor="text1"/>
                      <w:szCs w:val="21"/>
                    </w:rPr>
                  </w:pPr>
                  <w:r>
                    <w:rPr>
                      <w:color w:val="000000" w:themeColor="text1"/>
                      <w:szCs w:val="21"/>
                    </w:rPr>
                    <w:t>镉</w:t>
                  </w:r>
                </w:p>
              </w:tc>
              <w:tc>
                <w:tcPr>
                  <w:tcW w:w="1276" w:type="dxa"/>
                  <w:vAlign w:val="center"/>
                </w:tcPr>
                <w:p>
                  <w:pPr>
                    <w:pStyle w:val="30"/>
                    <w:spacing w:line="360" w:lineRule="exact"/>
                    <w:rPr>
                      <w:color w:val="000000" w:themeColor="text1"/>
                      <w:szCs w:val="21"/>
                    </w:rPr>
                  </w:pPr>
                  <w:r>
                    <w:rPr>
                      <w:color w:val="000000" w:themeColor="text1"/>
                      <w:szCs w:val="21"/>
                    </w:rPr>
                    <w:t>耗氧量</w:t>
                  </w:r>
                </w:p>
              </w:tc>
              <w:tc>
                <w:tcPr>
                  <w:tcW w:w="992" w:type="dxa"/>
                  <w:vAlign w:val="center"/>
                </w:tcPr>
                <w:p>
                  <w:pPr>
                    <w:pStyle w:val="30"/>
                    <w:spacing w:line="360" w:lineRule="exact"/>
                    <w:rPr>
                      <w:color w:val="000000" w:themeColor="text1"/>
                      <w:szCs w:val="21"/>
                    </w:rPr>
                  </w:pPr>
                  <w:r>
                    <w:rPr>
                      <w:color w:val="000000" w:themeColor="text1"/>
                      <w:szCs w:val="21"/>
                    </w:rPr>
                    <w:t>钠</w:t>
                  </w:r>
                </w:p>
              </w:tc>
              <w:tc>
                <w:tcPr>
                  <w:tcW w:w="1066" w:type="dxa"/>
                  <w:vAlign w:val="center"/>
                </w:tcPr>
                <w:p>
                  <w:pPr>
                    <w:pStyle w:val="30"/>
                    <w:spacing w:line="360" w:lineRule="exact"/>
                    <w:rPr>
                      <w:color w:val="000000" w:themeColor="text1"/>
                      <w:szCs w:val="21"/>
                    </w:rPr>
                  </w:pPr>
                  <w:r>
                    <w:rPr>
                      <w:color w:val="000000" w:themeColor="text1"/>
                      <w:szCs w:val="21"/>
                    </w:rPr>
                    <w:t>氟化物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47" w:type="dxa"/>
                  <w:vAlign w:val="center"/>
                </w:tcPr>
                <w:p>
                  <w:pPr>
                    <w:pStyle w:val="30"/>
                    <w:spacing w:line="360" w:lineRule="exact"/>
                    <w:rPr>
                      <w:color w:val="000000" w:themeColor="text1"/>
                      <w:szCs w:val="21"/>
                    </w:rPr>
                  </w:pPr>
                  <w:r>
                    <w:rPr>
                      <w:color w:val="000000" w:themeColor="text1"/>
                      <w:szCs w:val="21"/>
                    </w:rPr>
                    <w:t>标准值</w:t>
                  </w:r>
                </w:p>
              </w:tc>
              <w:tc>
                <w:tcPr>
                  <w:tcW w:w="1418" w:type="dxa"/>
                  <w:vAlign w:val="center"/>
                </w:tcPr>
                <w:p>
                  <w:pPr>
                    <w:pStyle w:val="30"/>
                    <w:spacing w:line="360" w:lineRule="exact"/>
                    <w:rPr>
                      <w:color w:val="000000" w:themeColor="text1"/>
                      <w:szCs w:val="21"/>
                    </w:rPr>
                  </w:pPr>
                  <w:r>
                    <w:rPr>
                      <w:color w:val="000000" w:themeColor="text1"/>
                      <w:szCs w:val="21"/>
                    </w:rPr>
                    <w:t>≤0.05</w:t>
                  </w:r>
                </w:p>
              </w:tc>
              <w:tc>
                <w:tcPr>
                  <w:tcW w:w="1559" w:type="dxa"/>
                  <w:vAlign w:val="center"/>
                </w:tcPr>
                <w:p>
                  <w:pPr>
                    <w:pStyle w:val="30"/>
                    <w:spacing w:line="360" w:lineRule="exact"/>
                    <w:rPr>
                      <w:color w:val="000000" w:themeColor="text1"/>
                      <w:szCs w:val="21"/>
                    </w:rPr>
                  </w:pPr>
                  <w:r>
                    <w:rPr>
                      <w:color w:val="000000" w:themeColor="text1"/>
                      <w:szCs w:val="21"/>
                    </w:rPr>
                    <w:t>≤0.01</w:t>
                  </w:r>
                </w:p>
              </w:tc>
              <w:tc>
                <w:tcPr>
                  <w:tcW w:w="1134" w:type="dxa"/>
                  <w:vAlign w:val="center"/>
                </w:tcPr>
                <w:p>
                  <w:pPr>
                    <w:pStyle w:val="30"/>
                    <w:spacing w:line="360" w:lineRule="exact"/>
                    <w:rPr>
                      <w:color w:val="000000" w:themeColor="text1"/>
                      <w:szCs w:val="21"/>
                    </w:rPr>
                  </w:pPr>
                  <w:r>
                    <w:rPr>
                      <w:color w:val="000000" w:themeColor="text1"/>
                      <w:szCs w:val="21"/>
                    </w:rPr>
                    <w:t>≤0.005</w:t>
                  </w:r>
                </w:p>
              </w:tc>
              <w:tc>
                <w:tcPr>
                  <w:tcW w:w="1276" w:type="dxa"/>
                  <w:vAlign w:val="center"/>
                </w:tcPr>
                <w:p>
                  <w:pPr>
                    <w:pStyle w:val="30"/>
                    <w:spacing w:line="360" w:lineRule="exact"/>
                    <w:rPr>
                      <w:color w:val="000000" w:themeColor="text1"/>
                      <w:szCs w:val="21"/>
                    </w:rPr>
                  </w:pPr>
                  <w:r>
                    <w:rPr>
                      <w:color w:val="000000" w:themeColor="text1"/>
                      <w:szCs w:val="21"/>
                    </w:rPr>
                    <w:t>≤3.0</w:t>
                  </w:r>
                </w:p>
              </w:tc>
              <w:tc>
                <w:tcPr>
                  <w:tcW w:w="992" w:type="dxa"/>
                  <w:vAlign w:val="center"/>
                </w:tcPr>
                <w:p>
                  <w:pPr>
                    <w:pStyle w:val="30"/>
                    <w:spacing w:line="360" w:lineRule="exact"/>
                    <w:rPr>
                      <w:color w:val="000000" w:themeColor="text1"/>
                      <w:szCs w:val="21"/>
                    </w:rPr>
                  </w:pPr>
                  <w:r>
                    <w:rPr>
                      <w:color w:val="000000" w:themeColor="text1"/>
                      <w:szCs w:val="21"/>
                    </w:rPr>
                    <w:t>≤200</w:t>
                  </w:r>
                </w:p>
              </w:tc>
              <w:tc>
                <w:tcPr>
                  <w:tcW w:w="1066" w:type="dxa"/>
                  <w:vAlign w:val="center"/>
                </w:tcPr>
                <w:p>
                  <w:pPr>
                    <w:pStyle w:val="30"/>
                    <w:spacing w:line="360" w:lineRule="exact"/>
                    <w:rPr>
                      <w:color w:val="000000" w:themeColor="text1"/>
                      <w:szCs w:val="21"/>
                    </w:rPr>
                  </w:pPr>
                  <w:r>
                    <w:rPr>
                      <w:color w:val="000000" w:themeColor="text1"/>
                      <w:szCs w:val="21"/>
                    </w:rPr>
                    <w:t>≤1.0</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3.3.4 声环境</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改扩建项目位于云南省东川再就业特区天生桥特色产业园，根据《东川再就业特区天生桥特色产业园总体规划环境影响报告书》的要求，园区声环境属于3类区，声环境执行《声环境质量标准》（GB3096-2008）3类区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表3.3.4-1  环境噪声限值  单位：dB（A）</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384"/>
              <w:gridCol w:w="2236"/>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152" w:type="dxa"/>
                  <w:vMerge w:val="restart"/>
                  <w:vAlign w:val="center"/>
                </w:tcPr>
                <w:p>
                  <w:pPr>
                    <w:pStyle w:val="30"/>
                    <w:spacing w:line="360" w:lineRule="exact"/>
                    <w:rPr>
                      <w:color w:val="000000" w:themeColor="text1"/>
                      <w:szCs w:val="21"/>
                    </w:rPr>
                  </w:pPr>
                  <w:r>
                    <w:rPr>
                      <w:color w:val="000000" w:themeColor="text1"/>
                      <w:szCs w:val="21"/>
                    </w:rPr>
                    <w:t>执行区域</w:t>
                  </w:r>
                </w:p>
              </w:tc>
              <w:tc>
                <w:tcPr>
                  <w:tcW w:w="2268" w:type="dxa"/>
                  <w:vMerge w:val="restart"/>
                  <w:vAlign w:val="center"/>
                </w:tcPr>
                <w:p>
                  <w:pPr>
                    <w:pStyle w:val="30"/>
                    <w:spacing w:line="360" w:lineRule="exact"/>
                    <w:rPr>
                      <w:color w:val="000000" w:themeColor="text1"/>
                      <w:szCs w:val="21"/>
                    </w:rPr>
                  </w:pPr>
                  <w:r>
                    <w:rPr>
                      <w:color w:val="000000" w:themeColor="text1"/>
                      <w:szCs w:val="21"/>
                    </w:rPr>
                    <w:t>声环境功能区类别</w:t>
                  </w:r>
                </w:p>
              </w:tc>
              <w:tc>
                <w:tcPr>
                  <w:tcW w:w="4185" w:type="dxa"/>
                  <w:gridSpan w:val="2"/>
                  <w:vAlign w:val="center"/>
                </w:tcPr>
                <w:p>
                  <w:pPr>
                    <w:pStyle w:val="30"/>
                    <w:spacing w:line="360" w:lineRule="exact"/>
                    <w:rPr>
                      <w:color w:val="000000" w:themeColor="text1"/>
                      <w:szCs w:val="21"/>
                    </w:rPr>
                  </w:pPr>
                  <w:r>
                    <w:rPr>
                      <w:color w:val="000000" w:themeColor="text1"/>
                      <w:szCs w:val="21"/>
                    </w:rPr>
                    <w:t>等效声级Leq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52" w:type="dxa"/>
                  <w:vMerge w:val="continue"/>
                  <w:vAlign w:val="center"/>
                </w:tcPr>
                <w:p>
                  <w:pPr>
                    <w:pStyle w:val="30"/>
                    <w:spacing w:line="360" w:lineRule="exact"/>
                    <w:rPr>
                      <w:color w:val="000000" w:themeColor="text1"/>
                      <w:szCs w:val="21"/>
                    </w:rPr>
                  </w:pPr>
                </w:p>
              </w:tc>
              <w:tc>
                <w:tcPr>
                  <w:tcW w:w="2268" w:type="dxa"/>
                  <w:vMerge w:val="continue"/>
                  <w:vAlign w:val="center"/>
                </w:tcPr>
                <w:p>
                  <w:pPr>
                    <w:pStyle w:val="30"/>
                    <w:spacing w:line="360" w:lineRule="exact"/>
                    <w:rPr>
                      <w:color w:val="000000" w:themeColor="text1"/>
                      <w:szCs w:val="21"/>
                    </w:rPr>
                  </w:pPr>
                </w:p>
              </w:tc>
              <w:tc>
                <w:tcPr>
                  <w:tcW w:w="2127" w:type="dxa"/>
                  <w:vAlign w:val="center"/>
                </w:tcPr>
                <w:p>
                  <w:pPr>
                    <w:pStyle w:val="30"/>
                    <w:spacing w:line="360" w:lineRule="exact"/>
                    <w:rPr>
                      <w:color w:val="000000" w:themeColor="text1"/>
                      <w:szCs w:val="21"/>
                    </w:rPr>
                  </w:pPr>
                  <w:r>
                    <w:rPr>
                      <w:color w:val="000000" w:themeColor="text1"/>
                      <w:szCs w:val="21"/>
                    </w:rPr>
                    <w:t>昼间</w:t>
                  </w:r>
                </w:p>
              </w:tc>
              <w:tc>
                <w:tcPr>
                  <w:tcW w:w="2058" w:type="dxa"/>
                  <w:vAlign w:val="center"/>
                </w:tcPr>
                <w:p>
                  <w:pPr>
                    <w:pStyle w:val="30"/>
                    <w:spacing w:line="360" w:lineRule="exact"/>
                    <w:rPr>
                      <w:color w:val="000000" w:themeColor="text1"/>
                      <w:szCs w:val="21"/>
                    </w:rPr>
                  </w:pPr>
                  <w:r>
                    <w:rPr>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2152" w:type="dxa"/>
                  <w:vAlign w:val="center"/>
                </w:tcPr>
                <w:p>
                  <w:pPr>
                    <w:pStyle w:val="30"/>
                    <w:spacing w:line="360" w:lineRule="exact"/>
                    <w:rPr>
                      <w:color w:val="000000" w:themeColor="text1"/>
                      <w:szCs w:val="21"/>
                    </w:rPr>
                  </w:pPr>
                  <w:r>
                    <w:rPr>
                      <w:color w:val="000000" w:themeColor="text1"/>
                      <w:szCs w:val="21"/>
                    </w:rPr>
                    <w:t>工业园区</w:t>
                  </w:r>
                </w:p>
              </w:tc>
              <w:tc>
                <w:tcPr>
                  <w:tcW w:w="2268" w:type="dxa"/>
                  <w:vAlign w:val="center"/>
                </w:tcPr>
                <w:p>
                  <w:pPr>
                    <w:pStyle w:val="30"/>
                    <w:spacing w:line="360" w:lineRule="exact"/>
                    <w:rPr>
                      <w:color w:val="000000" w:themeColor="text1"/>
                      <w:szCs w:val="21"/>
                    </w:rPr>
                  </w:pPr>
                  <w:r>
                    <w:rPr>
                      <w:color w:val="000000" w:themeColor="text1"/>
                      <w:szCs w:val="21"/>
                    </w:rPr>
                    <w:t>3类</w:t>
                  </w:r>
                </w:p>
              </w:tc>
              <w:tc>
                <w:tcPr>
                  <w:tcW w:w="2127" w:type="dxa"/>
                  <w:vAlign w:val="center"/>
                </w:tcPr>
                <w:p>
                  <w:pPr>
                    <w:pStyle w:val="30"/>
                    <w:spacing w:line="360" w:lineRule="exact"/>
                    <w:rPr>
                      <w:color w:val="000000" w:themeColor="text1"/>
                      <w:szCs w:val="21"/>
                    </w:rPr>
                  </w:pPr>
                  <w:r>
                    <w:rPr>
                      <w:color w:val="000000" w:themeColor="text1"/>
                      <w:szCs w:val="21"/>
                    </w:rPr>
                    <w:t>65</w:t>
                  </w:r>
                </w:p>
              </w:tc>
              <w:tc>
                <w:tcPr>
                  <w:tcW w:w="2058" w:type="dxa"/>
                  <w:vAlign w:val="center"/>
                </w:tcPr>
                <w:p>
                  <w:pPr>
                    <w:pStyle w:val="30"/>
                    <w:spacing w:line="360" w:lineRule="exact"/>
                    <w:rPr>
                      <w:color w:val="000000" w:themeColor="text1"/>
                      <w:szCs w:val="21"/>
                    </w:rPr>
                  </w:pPr>
                  <w:r>
                    <w:rPr>
                      <w:color w:val="000000" w:themeColor="text1"/>
                      <w:szCs w:val="21"/>
                    </w:rPr>
                    <w:t>55</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3.3.5 土壤环境</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本项目位于昆明市东川区再就业特区天生桥特色产业园，属于工业用地，土壤环境执行《土壤环境质量 建设用地土壤污染风险管控标准（试行）》（GB36600-2018）中第二类用地筛选值和管控值标准。标准值如下表所示。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表3.3.5-1 建设用地土壤污染风险筛选值和管制值 mg/kg</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605"/>
              <w:gridCol w:w="2210"/>
              <w:gridCol w:w="2208"/>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vMerge w:val="restart"/>
                  <w:tcBorders>
                    <w:top w:val="single" w:color="auto" w:sz="8" w:space="0"/>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序号</w:t>
                  </w:r>
                </w:p>
              </w:tc>
              <w:tc>
                <w:tcPr>
                  <w:tcW w:w="887" w:type="pct"/>
                  <w:vMerge w:val="restart"/>
                  <w:tcBorders>
                    <w:top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污染物项目</w:t>
                  </w:r>
                </w:p>
              </w:tc>
              <w:tc>
                <w:tcPr>
                  <w:tcW w:w="1222" w:type="pct"/>
                  <w:vMerge w:val="restart"/>
                  <w:tcBorders>
                    <w:top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CAS编号</w:t>
                  </w:r>
                </w:p>
              </w:tc>
              <w:tc>
                <w:tcPr>
                  <w:tcW w:w="2411" w:type="pct"/>
                  <w:gridSpan w:val="2"/>
                  <w:tcBorders>
                    <w:top w:val="single" w:color="auto" w:sz="8" w:space="0"/>
                  </w:tcBorders>
                  <w:vAlign w:val="center"/>
                </w:tcPr>
                <w:p>
                  <w:pPr>
                    <w:pStyle w:val="30"/>
                    <w:spacing w:line="360" w:lineRule="exact"/>
                    <w:rPr>
                      <w:color w:val="000000" w:themeColor="text1"/>
                      <w:szCs w:val="21"/>
                    </w:rPr>
                  </w:pPr>
                  <w:r>
                    <w:rPr>
                      <w:color w:val="000000" w:themeColor="text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80" w:type="pct"/>
                  <w:vMerge w:val="continue"/>
                  <w:tcBorders>
                    <w:left w:val="single" w:color="auto" w:sz="8" w:space="0"/>
                  </w:tcBorders>
                  <w:shd w:val="clear" w:color="auto" w:fill="auto"/>
                  <w:vAlign w:val="center"/>
                </w:tcPr>
                <w:p>
                  <w:pPr>
                    <w:pStyle w:val="30"/>
                    <w:spacing w:line="360" w:lineRule="exact"/>
                    <w:rPr>
                      <w:color w:val="000000" w:themeColor="text1"/>
                      <w:szCs w:val="21"/>
                    </w:rPr>
                  </w:pPr>
                </w:p>
              </w:tc>
              <w:tc>
                <w:tcPr>
                  <w:tcW w:w="887" w:type="pct"/>
                  <w:vMerge w:val="continue"/>
                  <w:shd w:val="clear" w:color="auto" w:fill="auto"/>
                  <w:vAlign w:val="center"/>
                </w:tcPr>
                <w:p>
                  <w:pPr>
                    <w:pStyle w:val="30"/>
                    <w:spacing w:line="360" w:lineRule="exact"/>
                    <w:rPr>
                      <w:color w:val="000000" w:themeColor="text1"/>
                      <w:szCs w:val="21"/>
                    </w:rPr>
                  </w:pPr>
                </w:p>
              </w:tc>
              <w:tc>
                <w:tcPr>
                  <w:tcW w:w="1222" w:type="pct"/>
                  <w:vMerge w:val="continue"/>
                  <w:shd w:val="clear" w:color="auto" w:fill="auto"/>
                  <w:vAlign w:val="center"/>
                </w:tcPr>
                <w:p>
                  <w:pPr>
                    <w:pStyle w:val="30"/>
                    <w:spacing w:line="360" w:lineRule="exact"/>
                    <w:rPr>
                      <w:color w:val="000000" w:themeColor="text1"/>
                      <w:szCs w:val="21"/>
                    </w:rPr>
                  </w:pPr>
                </w:p>
              </w:tc>
              <w:tc>
                <w:tcPr>
                  <w:tcW w:w="1221" w:type="pct"/>
                  <w:tcBorders>
                    <w:top w:val="single" w:color="auto" w:sz="8" w:space="0"/>
                  </w:tcBorders>
                  <w:vAlign w:val="center"/>
                </w:tcPr>
                <w:p>
                  <w:pPr>
                    <w:pStyle w:val="30"/>
                    <w:spacing w:line="360" w:lineRule="exact"/>
                    <w:rPr>
                      <w:color w:val="000000" w:themeColor="text1"/>
                      <w:szCs w:val="21"/>
                    </w:rPr>
                  </w:pPr>
                  <w:r>
                    <w:rPr>
                      <w:color w:val="000000" w:themeColor="text1"/>
                      <w:szCs w:val="21"/>
                    </w:rPr>
                    <w:t>筛选值</w:t>
                  </w:r>
                </w:p>
              </w:tc>
              <w:tc>
                <w:tcPr>
                  <w:tcW w:w="1190" w:type="pct"/>
                  <w:tcBorders>
                    <w:top w:val="single" w:color="auto" w:sz="8" w:space="0"/>
                  </w:tcBorders>
                  <w:vAlign w:val="center"/>
                </w:tcPr>
                <w:p>
                  <w:pPr>
                    <w:pStyle w:val="30"/>
                    <w:spacing w:line="360" w:lineRule="exact"/>
                    <w:rPr>
                      <w:color w:val="000000" w:themeColor="text1"/>
                      <w:szCs w:val="21"/>
                    </w:rPr>
                  </w:pPr>
                  <w:r>
                    <w:rPr>
                      <w:color w:val="000000" w:themeColor="text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w:t>
                  </w:r>
                </w:p>
              </w:tc>
              <w:tc>
                <w:tcPr>
                  <w:tcW w:w="887" w:type="pct"/>
                  <w:shd w:val="clear" w:color="auto" w:fill="auto"/>
                  <w:vAlign w:val="center"/>
                </w:tcPr>
                <w:p>
                  <w:pPr>
                    <w:pStyle w:val="30"/>
                    <w:spacing w:line="360" w:lineRule="exact"/>
                    <w:rPr>
                      <w:color w:val="000000" w:themeColor="text1"/>
                      <w:szCs w:val="21"/>
                    </w:rPr>
                  </w:pPr>
                  <w:r>
                    <w:rPr>
                      <w:color w:val="000000" w:themeColor="text1"/>
                      <w:szCs w:val="21"/>
                    </w:rPr>
                    <w:t>砷</w:t>
                  </w:r>
                </w:p>
              </w:tc>
              <w:tc>
                <w:tcPr>
                  <w:tcW w:w="1222" w:type="pct"/>
                  <w:shd w:val="clear" w:color="auto" w:fill="auto"/>
                  <w:vAlign w:val="center"/>
                </w:tcPr>
                <w:p>
                  <w:pPr>
                    <w:pStyle w:val="30"/>
                    <w:spacing w:line="360" w:lineRule="exact"/>
                    <w:rPr>
                      <w:color w:val="000000" w:themeColor="text1"/>
                      <w:szCs w:val="21"/>
                    </w:rPr>
                  </w:pPr>
                  <w:r>
                    <w:rPr>
                      <w:color w:val="000000" w:themeColor="text1"/>
                      <w:szCs w:val="21"/>
                    </w:rPr>
                    <w:t>7440-38-2</w:t>
                  </w:r>
                </w:p>
              </w:tc>
              <w:tc>
                <w:tcPr>
                  <w:tcW w:w="1221" w:type="pct"/>
                  <w:tcBorders>
                    <w:top w:val="single" w:color="auto" w:sz="8" w:space="0"/>
                  </w:tcBorders>
                  <w:vAlign w:val="center"/>
                </w:tcPr>
                <w:p>
                  <w:pPr>
                    <w:pStyle w:val="30"/>
                    <w:spacing w:line="360" w:lineRule="exact"/>
                    <w:rPr>
                      <w:color w:val="000000" w:themeColor="text1"/>
                      <w:szCs w:val="21"/>
                    </w:rPr>
                  </w:pPr>
                  <w:r>
                    <w:rPr>
                      <w:color w:val="000000" w:themeColor="text1"/>
                      <w:szCs w:val="21"/>
                    </w:rPr>
                    <w:t>60</w:t>
                  </w:r>
                </w:p>
              </w:tc>
              <w:tc>
                <w:tcPr>
                  <w:tcW w:w="1190" w:type="pct"/>
                  <w:tcBorders>
                    <w:top w:val="single" w:color="auto" w:sz="8" w:space="0"/>
                  </w:tcBorders>
                  <w:vAlign w:val="center"/>
                </w:tcPr>
                <w:p>
                  <w:pPr>
                    <w:pStyle w:val="30"/>
                    <w:spacing w:line="360" w:lineRule="exact"/>
                    <w:rPr>
                      <w:color w:val="000000" w:themeColor="text1"/>
                      <w:szCs w:val="21"/>
                    </w:rPr>
                  </w:pPr>
                  <w:r>
                    <w:rPr>
                      <w:color w:val="000000" w:themeColor="text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2</w:t>
                  </w:r>
                </w:p>
              </w:tc>
              <w:tc>
                <w:tcPr>
                  <w:tcW w:w="887" w:type="pct"/>
                  <w:shd w:val="clear" w:color="auto" w:fill="auto"/>
                  <w:vAlign w:val="center"/>
                </w:tcPr>
                <w:p>
                  <w:pPr>
                    <w:pStyle w:val="30"/>
                    <w:spacing w:line="360" w:lineRule="exact"/>
                    <w:rPr>
                      <w:color w:val="000000" w:themeColor="text1"/>
                      <w:szCs w:val="21"/>
                    </w:rPr>
                  </w:pPr>
                  <w:r>
                    <w:rPr>
                      <w:color w:val="000000" w:themeColor="text1"/>
                      <w:szCs w:val="21"/>
                    </w:rPr>
                    <w:t>镉</w:t>
                  </w:r>
                </w:p>
              </w:tc>
              <w:tc>
                <w:tcPr>
                  <w:tcW w:w="1222" w:type="pct"/>
                  <w:shd w:val="clear" w:color="auto" w:fill="auto"/>
                  <w:vAlign w:val="center"/>
                </w:tcPr>
                <w:p>
                  <w:pPr>
                    <w:pStyle w:val="30"/>
                    <w:spacing w:line="360" w:lineRule="exact"/>
                    <w:rPr>
                      <w:color w:val="000000" w:themeColor="text1"/>
                      <w:szCs w:val="21"/>
                    </w:rPr>
                  </w:pPr>
                  <w:r>
                    <w:rPr>
                      <w:color w:val="000000" w:themeColor="text1"/>
                      <w:szCs w:val="21"/>
                    </w:rPr>
                    <w:t>7440-43-9</w:t>
                  </w:r>
                </w:p>
              </w:tc>
              <w:tc>
                <w:tcPr>
                  <w:tcW w:w="1221" w:type="pct"/>
                  <w:tcBorders>
                    <w:top w:val="single" w:color="auto" w:sz="8" w:space="0"/>
                  </w:tcBorders>
                  <w:vAlign w:val="center"/>
                </w:tcPr>
                <w:p>
                  <w:pPr>
                    <w:pStyle w:val="30"/>
                    <w:spacing w:line="360" w:lineRule="exact"/>
                    <w:rPr>
                      <w:color w:val="000000" w:themeColor="text1"/>
                      <w:szCs w:val="21"/>
                    </w:rPr>
                  </w:pPr>
                  <w:r>
                    <w:rPr>
                      <w:color w:val="000000" w:themeColor="text1"/>
                      <w:szCs w:val="21"/>
                    </w:rPr>
                    <w:t>65</w:t>
                  </w:r>
                </w:p>
              </w:tc>
              <w:tc>
                <w:tcPr>
                  <w:tcW w:w="1190" w:type="pct"/>
                  <w:tcBorders>
                    <w:top w:val="single" w:color="auto" w:sz="8" w:space="0"/>
                  </w:tcBorders>
                  <w:vAlign w:val="center"/>
                </w:tcPr>
                <w:p>
                  <w:pPr>
                    <w:pStyle w:val="30"/>
                    <w:spacing w:line="360" w:lineRule="exact"/>
                    <w:rPr>
                      <w:color w:val="000000" w:themeColor="text1"/>
                      <w:szCs w:val="21"/>
                    </w:rPr>
                  </w:pPr>
                  <w:r>
                    <w:rPr>
                      <w:color w:val="000000" w:themeColor="text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3</w:t>
                  </w:r>
                </w:p>
              </w:tc>
              <w:tc>
                <w:tcPr>
                  <w:tcW w:w="887" w:type="pct"/>
                  <w:shd w:val="clear" w:color="auto" w:fill="auto"/>
                  <w:vAlign w:val="center"/>
                </w:tcPr>
                <w:p>
                  <w:pPr>
                    <w:pStyle w:val="30"/>
                    <w:spacing w:line="360" w:lineRule="exact"/>
                    <w:rPr>
                      <w:color w:val="000000" w:themeColor="text1"/>
                      <w:szCs w:val="21"/>
                    </w:rPr>
                  </w:pPr>
                  <w:r>
                    <w:rPr>
                      <w:color w:val="000000" w:themeColor="text1"/>
                      <w:szCs w:val="21"/>
                    </w:rPr>
                    <w:t>铬（六价）</w:t>
                  </w:r>
                </w:p>
              </w:tc>
              <w:tc>
                <w:tcPr>
                  <w:tcW w:w="1222" w:type="pct"/>
                  <w:shd w:val="clear" w:color="auto" w:fill="auto"/>
                  <w:vAlign w:val="center"/>
                </w:tcPr>
                <w:p>
                  <w:pPr>
                    <w:pStyle w:val="30"/>
                    <w:spacing w:line="360" w:lineRule="exact"/>
                    <w:rPr>
                      <w:color w:val="000000" w:themeColor="text1"/>
                      <w:szCs w:val="21"/>
                    </w:rPr>
                  </w:pPr>
                  <w:r>
                    <w:rPr>
                      <w:color w:val="000000" w:themeColor="text1"/>
                      <w:szCs w:val="21"/>
                    </w:rPr>
                    <w:t>18540-29-9</w:t>
                  </w:r>
                </w:p>
              </w:tc>
              <w:tc>
                <w:tcPr>
                  <w:tcW w:w="1221" w:type="pct"/>
                  <w:tcBorders>
                    <w:top w:val="single" w:color="auto" w:sz="8" w:space="0"/>
                  </w:tcBorders>
                  <w:vAlign w:val="center"/>
                </w:tcPr>
                <w:p>
                  <w:pPr>
                    <w:pStyle w:val="30"/>
                    <w:spacing w:line="360" w:lineRule="exact"/>
                    <w:rPr>
                      <w:color w:val="000000" w:themeColor="text1"/>
                      <w:szCs w:val="21"/>
                    </w:rPr>
                  </w:pPr>
                  <w:r>
                    <w:rPr>
                      <w:color w:val="000000" w:themeColor="text1"/>
                      <w:szCs w:val="21"/>
                    </w:rPr>
                    <w:t>5.7</w:t>
                  </w:r>
                </w:p>
              </w:tc>
              <w:tc>
                <w:tcPr>
                  <w:tcW w:w="1190" w:type="pct"/>
                  <w:tcBorders>
                    <w:top w:val="single" w:color="auto" w:sz="8" w:space="0"/>
                  </w:tcBorders>
                  <w:vAlign w:val="center"/>
                </w:tcPr>
                <w:p>
                  <w:pPr>
                    <w:pStyle w:val="30"/>
                    <w:spacing w:line="360" w:lineRule="exact"/>
                    <w:rPr>
                      <w:color w:val="000000" w:themeColor="text1"/>
                      <w:szCs w:val="21"/>
                    </w:rPr>
                  </w:pPr>
                  <w:r>
                    <w:rPr>
                      <w:color w:val="000000" w:themeColor="text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4</w:t>
                  </w:r>
                </w:p>
              </w:tc>
              <w:tc>
                <w:tcPr>
                  <w:tcW w:w="887" w:type="pct"/>
                  <w:shd w:val="clear" w:color="auto" w:fill="auto"/>
                  <w:vAlign w:val="center"/>
                </w:tcPr>
                <w:p>
                  <w:pPr>
                    <w:pStyle w:val="30"/>
                    <w:spacing w:line="360" w:lineRule="exact"/>
                    <w:rPr>
                      <w:color w:val="000000" w:themeColor="text1"/>
                      <w:szCs w:val="21"/>
                    </w:rPr>
                  </w:pPr>
                  <w:r>
                    <w:rPr>
                      <w:color w:val="000000" w:themeColor="text1"/>
                      <w:szCs w:val="21"/>
                    </w:rPr>
                    <w:t>铜</w:t>
                  </w:r>
                </w:p>
              </w:tc>
              <w:tc>
                <w:tcPr>
                  <w:tcW w:w="1222" w:type="pct"/>
                  <w:shd w:val="clear" w:color="auto" w:fill="auto"/>
                  <w:vAlign w:val="center"/>
                </w:tcPr>
                <w:p>
                  <w:pPr>
                    <w:pStyle w:val="30"/>
                    <w:spacing w:line="360" w:lineRule="exact"/>
                    <w:rPr>
                      <w:color w:val="000000" w:themeColor="text1"/>
                      <w:szCs w:val="21"/>
                    </w:rPr>
                  </w:pPr>
                  <w:r>
                    <w:rPr>
                      <w:color w:val="000000" w:themeColor="text1"/>
                      <w:szCs w:val="21"/>
                    </w:rPr>
                    <w:t>7440-50-8</w:t>
                  </w:r>
                </w:p>
              </w:tc>
              <w:tc>
                <w:tcPr>
                  <w:tcW w:w="1221" w:type="pct"/>
                  <w:vAlign w:val="center"/>
                </w:tcPr>
                <w:p>
                  <w:pPr>
                    <w:pStyle w:val="30"/>
                    <w:spacing w:line="360" w:lineRule="exact"/>
                    <w:rPr>
                      <w:color w:val="000000" w:themeColor="text1"/>
                      <w:szCs w:val="21"/>
                    </w:rPr>
                  </w:pPr>
                  <w:r>
                    <w:rPr>
                      <w:color w:val="000000" w:themeColor="text1"/>
                      <w:szCs w:val="21"/>
                    </w:rPr>
                    <w:t>18000</w:t>
                  </w:r>
                </w:p>
              </w:tc>
              <w:tc>
                <w:tcPr>
                  <w:tcW w:w="1190" w:type="pct"/>
                  <w:vAlign w:val="center"/>
                </w:tcPr>
                <w:p>
                  <w:pPr>
                    <w:pStyle w:val="30"/>
                    <w:spacing w:line="360" w:lineRule="exact"/>
                    <w:rPr>
                      <w:color w:val="000000" w:themeColor="text1"/>
                      <w:szCs w:val="21"/>
                    </w:rPr>
                  </w:pPr>
                  <w:r>
                    <w:rPr>
                      <w:color w:val="000000" w:themeColor="text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5</w:t>
                  </w:r>
                </w:p>
              </w:tc>
              <w:tc>
                <w:tcPr>
                  <w:tcW w:w="887" w:type="pct"/>
                  <w:shd w:val="clear" w:color="auto" w:fill="auto"/>
                  <w:vAlign w:val="center"/>
                </w:tcPr>
                <w:p>
                  <w:pPr>
                    <w:pStyle w:val="30"/>
                    <w:spacing w:line="360" w:lineRule="exact"/>
                    <w:rPr>
                      <w:color w:val="000000" w:themeColor="text1"/>
                      <w:szCs w:val="21"/>
                    </w:rPr>
                  </w:pPr>
                  <w:r>
                    <w:rPr>
                      <w:color w:val="000000" w:themeColor="text1"/>
                      <w:szCs w:val="21"/>
                    </w:rPr>
                    <w:t>铅</w:t>
                  </w:r>
                </w:p>
              </w:tc>
              <w:tc>
                <w:tcPr>
                  <w:tcW w:w="1222" w:type="pct"/>
                  <w:shd w:val="clear" w:color="auto" w:fill="auto"/>
                  <w:vAlign w:val="center"/>
                </w:tcPr>
                <w:p>
                  <w:pPr>
                    <w:pStyle w:val="30"/>
                    <w:spacing w:line="360" w:lineRule="exact"/>
                    <w:rPr>
                      <w:color w:val="000000" w:themeColor="text1"/>
                      <w:szCs w:val="21"/>
                    </w:rPr>
                  </w:pPr>
                  <w:r>
                    <w:rPr>
                      <w:color w:val="000000" w:themeColor="text1"/>
                      <w:szCs w:val="21"/>
                    </w:rPr>
                    <w:t>7439-92-1</w:t>
                  </w:r>
                </w:p>
              </w:tc>
              <w:tc>
                <w:tcPr>
                  <w:tcW w:w="1221" w:type="pct"/>
                  <w:vAlign w:val="center"/>
                </w:tcPr>
                <w:p>
                  <w:pPr>
                    <w:pStyle w:val="30"/>
                    <w:spacing w:line="360" w:lineRule="exact"/>
                    <w:rPr>
                      <w:color w:val="000000" w:themeColor="text1"/>
                      <w:szCs w:val="21"/>
                    </w:rPr>
                  </w:pPr>
                  <w:r>
                    <w:rPr>
                      <w:color w:val="000000" w:themeColor="text1"/>
                      <w:szCs w:val="21"/>
                    </w:rPr>
                    <w:t>800</w:t>
                  </w:r>
                </w:p>
              </w:tc>
              <w:tc>
                <w:tcPr>
                  <w:tcW w:w="1190" w:type="pct"/>
                  <w:vAlign w:val="center"/>
                </w:tcPr>
                <w:p>
                  <w:pPr>
                    <w:pStyle w:val="30"/>
                    <w:spacing w:line="360" w:lineRule="exact"/>
                    <w:rPr>
                      <w:color w:val="000000" w:themeColor="text1"/>
                      <w:szCs w:val="21"/>
                    </w:rPr>
                  </w:pPr>
                  <w:r>
                    <w:rPr>
                      <w:color w:val="000000" w:themeColor="text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6</w:t>
                  </w:r>
                </w:p>
              </w:tc>
              <w:tc>
                <w:tcPr>
                  <w:tcW w:w="887" w:type="pct"/>
                  <w:shd w:val="clear" w:color="auto" w:fill="auto"/>
                  <w:vAlign w:val="center"/>
                </w:tcPr>
                <w:p>
                  <w:pPr>
                    <w:pStyle w:val="30"/>
                    <w:spacing w:line="360" w:lineRule="exact"/>
                    <w:rPr>
                      <w:color w:val="000000" w:themeColor="text1"/>
                      <w:szCs w:val="21"/>
                    </w:rPr>
                  </w:pPr>
                  <w:r>
                    <w:rPr>
                      <w:color w:val="000000" w:themeColor="text1"/>
                      <w:szCs w:val="21"/>
                    </w:rPr>
                    <w:t>汞</w:t>
                  </w:r>
                </w:p>
              </w:tc>
              <w:tc>
                <w:tcPr>
                  <w:tcW w:w="1222" w:type="pct"/>
                  <w:shd w:val="clear" w:color="auto" w:fill="auto"/>
                  <w:vAlign w:val="center"/>
                </w:tcPr>
                <w:p>
                  <w:pPr>
                    <w:pStyle w:val="30"/>
                    <w:spacing w:line="360" w:lineRule="exact"/>
                    <w:rPr>
                      <w:color w:val="000000" w:themeColor="text1"/>
                      <w:szCs w:val="21"/>
                    </w:rPr>
                  </w:pPr>
                  <w:r>
                    <w:rPr>
                      <w:color w:val="000000" w:themeColor="text1"/>
                      <w:szCs w:val="21"/>
                    </w:rPr>
                    <w:t>7439-97-6</w:t>
                  </w:r>
                </w:p>
              </w:tc>
              <w:tc>
                <w:tcPr>
                  <w:tcW w:w="1221" w:type="pct"/>
                  <w:vAlign w:val="center"/>
                </w:tcPr>
                <w:p>
                  <w:pPr>
                    <w:pStyle w:val="30"/>
                    <w:spacing w:line="360" w:lineRule="exact"/>
                    <w:rPr>
                      <w:color w:val="000000" w:themeColor="text1"/>
                      <w:szCs w:val="21"/>
                    </w:rPr>
                  </w:pPr>
                  <w:r>
                    <w:rPr>
                      <w:color w:val="000000" w:themeColor="text1"/>
                      <w:szCs w:val="21"/>
                    </w:rPr>
                    <w:t>38</w:t>
                  </w:r>
                </w:p>
              </w:tc>
              <w:tc>
                <w:tcPr>
                  <w:tcW w:w="1190" w:type="pct"/>
                  <w:vAlign w:val="center"/>
                </w:tcPr>
                <w:p>
                  <w:pPr>
                    <w:pStyle w:val="30"/>
                    <w:spacing w:line="360" w:lineRule="exact"/>
                    <w:rPr>
                      <w:color w:val="000000" w:themeColor="text1"/>
                      <w:szCs w:val="21"/>
                    </w:rPr>
                  </w:pPr>
                  <w:r>
                    <w:rPr>
                      <w:color w:val="000000" w:themeColor="text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80" w:type="pct"/>
                  <w:tcBorders>
                    <w:left w:val="single" w:color="auto" w:sz="8" w:space="0"/>
                    <w:bottom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7</w:t>
                  </w:r>
                </w:p>
              </w:tc>
              <w:tc>
                <w:tcPr>
                  <w:tcW w:w="887" w:type="pct"/>
                  <w:tcBorders>
                    <w:bottom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镍</w:t>
                  </w:r>
                </w:p>
              </w:tc>
              <w:tc>
                <w:tcPr>
                  <w:tcW w:w="1222" w:type="pct"/>
                  <w:tcBorders>
                    <w:bottom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7440-02-0</w:t>
                  </w:r>
                </w:p>
              </w:tc>
              <w:tc>
                <w:tcPr>
                  <w:tcW w:w="1221" w:type="pct"/>
                  <w:tcBorders>
                    <w:bottom w:val="single" w:color="auto" w:sz="8" w:space="0"/>
                  </w:tcBorders>
                  <w:vAlign w:val="center"/>
                </w:tcPr>
                <w:p>
                  <w:pPr>
                    <w:pStyle w:val="30"/>
                    <w:spacing w:line="360" w:lineRule="exact"/>
                    <w:rPr>
                      <w:color w:val="000000" w:themeColor="text1"/>
                      <w:szCs w:val="21"/>
                    </w:rPr>
                  </w:pPr>
                  <w:r>
                    <w:rPr>
                      <w:color w:val="000000" w:themeColor="text1"/>
                      <w:szCs w:val="21"/>
                    </w:rPr>
                    <w:t>900</w:t>
                  </w:r>
                </w:p>
              </w:tc>
              <w:tc>
                <w:tcPr>
                  <w:tcW w:w="1190" w:type="pct"/>
                  <w:tcBorders>
                    <w:bottom w:val="single" w:color="auto" w:sz="8" w:space="0"/>
                  </w:tcBorders>
                  <w:vAlign w:val="center"/>
                </w:tcPr>
                <w:p>
                  <w:pPr>
                    <w:pStyle w:val="30"/>
                    <w:spacing w:line="360" w:lineRule="exact"/>
                    <w:rPr>
                      <w:color w:val="000000" w:themeColor="text1"/>
                      <w:szCs w:val="21"/>
                    </w:rPr>
                  </w:pPr>
                  <w:r>
                    <w:rPr>
                      <w:color w:val="000000" w:themeColor="text1"/>
                      <w:szCs w:val="21"/>
                    </w:rPr>
                    <w:t>2000</w:t>
                  </w:r>
                </w:p>
              </w:tc>
            </w:tr>
          </w:tbl>
          <w:p>
            <w:pPr>
              <w:autoSpaceDE w:val="0"/>
              <w:autoSpaceDN w:val="0"/>
              <w:spacing w:beforeLines="50" w:line="360" w:lineRule="auto"/>
              <w:ind w:firstLine="241" w:firstLineChars="1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 污染物排放控制标准</w:t>
            </w:r>
          </w:p>
          <w:p>
            <w:pPr>
              <w:pStyle w:val="38"/>
              <w:ind w:firstLine="482"/>
              <w:rPr>
                <w:rFonts w:eastAsiaTheme="minorEastAsia"/>
                <w:b/>
                <w:color w:val="000000" w:themeColor="text1"/>
                <w:szCs w:val="24"/>
              </w:rPr>
            </w:pPr>
            <w:r>
              <w:rPr>
                <w:rFonts w:eastAsiaTheme="minorEastAsia"/>
                <w:b/>
                <w:color w:val="000000" w:themeColor="text1"/>
                <w:szCs w:val="24"/>
              </w:rPr>
              <w:t>3.4.1 废气排放标准</w:t>
            </w:r>
          </w:p>
          <w:p>
            <w:pPr>
              <w:pStyle w:val="38"/>
              <w:ind w:firstLine="361" w:firstLineChars="150"/>
              <w:rPr>
                <w:rFonts w:eastAsiaTheme="minorEastAsia"/>
                <w:b/>
                <w:color w:val="000000" w:themeColor="text1"/>
              </w:rPr>
            </w:pPr>
            <w:r>
              <w:rPr>
                <w:rFonts w:eastAsiaTheme="minorEastAsia"/>
                <w:b/>
                <w:color w:val="000000" w:themeColor="text1"/>
              </w:rPr>
              <w:t>（1）施工期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施工期大气污染物排放执行《大气污染物综合排放标准》（GB16297-1996）表2中无组织排放浓度排放限值。标准值如下表所示。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3.4.1</w:t>
            </w:r>
            <w:r>
              <w:rPr>
                <w:rFonts w:ascii="Times New Roman" w:hAnsi="Times New Roman" w:cs="Times New Roman"/>
                <w:b/>
                <w:color w:val="000000" w:themeColor="text1"/>
                <w:szCs w:val="24"/>
              </w:rPr>
              <w:t xml:space="preserve">-1 </w:t>
            </w:r>
            <w:r>
              <w:rPr>
                <w:rFonts w:hint="eastAsia" w:ascii="Times New Roman" w:hAnsi="Times New Roman" w:cs="Times New Roman"/>
                <w:b/>
                <w:color w:val="000000" w:themeColor="text1"/>
                <w:szCs w:val="24"/>
              </w:rPr>
              <w:t xml:space="preserve"> </w:t>
            </w:r>
            <w:r>
              <w:rPr>
                <w:rFonts w:ascii="Times New Roman" w:hAnsi="Times New Roman" w:cs="Times New Roman"/>
                <w:b/>
                <w:color w:val="000000" w:themeColor="text1"/>
                <w:szCs w:val="24"/>
              </w:rPr>
              <w:t>大气污染物排放限值  单位：mg/m³</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3577"/>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76" w:type="dxa"/>
                </w:tcPr>
                <w:p>
                  <w:pPr>
                    <w:pStyle w:val="30"/>
                    <w:spacing w:line="360" w:lineRule="exact"/>
                    <w:rPr>
                      <w:color w:val="000000" w:themeColor="text1"/>
                      <w:szCs w:val="21"/>
                    </w:rPr>
                  </w:pPr>
                  <w:r>
                    <w:rPr>
                      <w:color w:val="000000" w:themeColor="text1"/>
                      <w:szCs w:val="21"/>
                    </w:rPr>
                    <w:t>污染物</w:t>
                  </w:r>
                </w:p>
              </w:tc>
              <w:tc>
                <w:tcPr>
                  <w:tcW w:w="3577" w:type="dxa"/>
                </w:tcPr>
                <w:p>
                  <w:pPr>
                    <w:pStyle w:val="30"/>
                    <w:spacing w:line="360" w:lineRule="exact"/>
                    <w:rPr>
                      <w:color w:val="000000" w:themeColor="text1"/>
                      <w:szCs w:val="21"/>
                    </w:rPr>
                  </w:pPr>
                  <w:r>
                    <w:rPr>
                      <w:color w:val="000000" w:themeColor="text1"/>
                      <w:szCs w:val="21"/>
                    </w:rPr>
                    <w:t>最高允许排放浓度</w:t>
                  </w:r>
                </w:p>
              </w:tc>
              <w:tc>
                <w:tcPr>
                  <w:tcW w:w="3291" w:type="dxa"/>
                </w:tcPr>
                <w:p>
                  <w:pPr>
                    <w:pStyle w:val="30"/>
                    <w:spacing w:line="360" w:lineRule="exact"/>
                    <w:rPr>
                      <w:color w:val="000000" w:themeColor="text1"/>
                      <w:szCs w:val="21"/>
                    </w:rPr>
                  </w:pPr>
                  <w:r>
                    <w:rPr>
                      <w:color w:val="000000" w:themeColor="text1"/>
                      <w:szCs w:val="21"/>
                    </w:rPr>
                    <w:tab/>
                  </w:r>
                  <w:r>
                    <w:rPr>
                      <w:color w:val="000000" w:themeColor="text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76" w:type="dxa"/>
                </w:tcPr>
                <w:p>
                  <w:pPr>
                    <w:pStyle w:val="30"/>
                    <w:spacing w:line="360" w:lineRule="exact"/>
                    <w:rPr>
                      <w:color w:val="000000" w:themeColor="text1"/>
                      <w:szCs w:val="21"/>
                    </w:rPr>
                  </w:pPr>
                  <w:r>
                    <w:rPr>
                      <w:color w:val="000000" w:themeColor="text1"/>
                      <w:szCs w:val="21"/>
                    </w:rPr>
                    <w:t>颗粒物</w:t>
                  </w:r>
                </w:p>
              </w:tc>
              <w:tc>
                <w:tcPr>
                  <w:tcW w:w="3577" w:type="dxa"/>
                </w:tcPr>
                <w:p>
                  <w:pPr>
                    <w:pStyle w:val="30"/>
                    <w:spacing w:line="360" w:lineRule="exact"/>
                    <w:rPr>
                      <w:color w:val="000000" w:themeColor="text1"/>
                      <w:szCs w:val="21"/>
                    </w:rPr>
                  </w:pPr>
                  <w:r>
                    <w:rPr>
                      <w:color w:val="000000" w:themeColor="text1"/>
                      <w:szCs w:val="21"/>
                    </w:rPr>
                    <w:t>--</w:t>
                  </w:r>
                </w:p>
              </w:tc>
              <w:tc>
                <w:tcPr>
                  <w:tcW w:w="3291" w:type="dxa"/>
                </w:tcPr>
                <w:p>
                  <w:pPr>
                    <w:pStyle w:val="30"/>
                    <w:spacing w:line="360" w:lineRule="exact"/>
                    <w:rPr>
                      <w:color w:val="000000" w:themeColor="text1"/>
                      <w:szCs w:val="21"/>
                    </w:rPr>
                  </w:pPr>
                  <w:r>
                    <w:rPr>
                      <w:color w:val="000000" w:themeColor="text1"/>
                      <w:szCs w:val="21"/>
                    </w:rPr>
                    <w:t>1.0</w:t>
                  </w:r>
                </w:p>
              </w:tc>
            </w:tr>
          </w:tbl>
          <w:p>
            <w:pPr>
              <w:pStyle w:val="38"/>
              <w:spacing w:beforeLines="50"/>
              <w:ind w:firstLine="361" w:firstLineChars="150"/>
              <w:rPr>
                <w:rFonts w:eastAsiaTheme="minorEastAsia"/>
                <w:b/>
                <w:color w:val="000000" w:themeColor="text1"/>
              </w:rPr>
            </w:pPr>
            <w:r>
              <w:rPr>
                <w:rFonts w:eastAsiaTheme="minorEastAsia"/>
                <w:b/>
                <w:color w:val="000000" w:themeColor="text1"/>
              </w:rPr>
              <w:t>（2）运营期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项目属于</w:t>
            </w:r>
            <w:r>
              <w:rPr>
                <w:rFonts w:hint="eastAsia" w:ascii="Times New Roman" w:hAnsi="Times New Roman" w:cs="Times New Roman"/>
                <w:color w:val="000000" w:themeColor="text1"/>
                <w:sz w:val="24"/>
                <w:szCs w:val="24"/>
              </w:rPr>
              <w:t>废弃电器电子产品拆解</w:t>
            </w:r>
            <w:r>
              <w:rPr>
                <w:rFonts w:ascii="Times New Roman" w:hAnsi="Times New Roman" w:cs="Times New Roman"/>
                <w:color w:val="000000" w:themeColor="text1"/>
                <w:sz w:val="24"/>
                <w:szCs w:val="24"/>
              </w:rPr>
              <w:t>项目</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项目产生的废气</w:t>
            </w:r>
            <w:r>
              <w:rPr>
                <w:rFonts w:hint="eastAsia" w:ascii="Times New Roman" w:hAnsi="Times New Roman" w:cs="Times New Roman"/>
                <w:color w:val="000000" w:themeColor="text1"/>
                <w:sz w:val="24"/>
                <w:szCs w:val="24"/>
              </w:rPr>
              <w:t>主要包括生产工艺废气和厨房油烟。</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①生产工艺废气执行标准</w:t>
            </w:r>
          </w:p>
          <w:p>
            <w:pPr>
              <w:pStyle w:val="64"/>
              <w:rPr>
                <w:rFonts w:ascii="Times New Roman" w:hAnsi="Times New Roman" w:cs="Times New Roman"/>
                <w:color w:val="000000" w:themeColor="text1"/>
              </w:rPr>
            </w:pPr>
            <w:r>
              <w:rPr>
                <w:rFonts w:hint="eastAsia" w:ascii="Times New Roman" w:hAnsi="Times New Roman" w:cs="Times New Roman"/>
                <w:color w:val="000000" w:themeColor="text1"/>
              </w:rPr>
              <w:t>本项目共设置4根排气筒，编号分别为DA001、DA002、DA003、DA005（DA004属于建设单位其他项目排气筒，与本项目无关）；其中DA001排放污染物为：颗粒物、汞及其化合物，DA002排放污染物为：颗粒物、铅及其化合物，DA003排放污染物为：颗粒物、非甲烷总烃，DA005排放污染物为：颗粒物。</w:t>
            </w:r>
            <w:r>
              <w:rPr>
                <w:rFonts w:ascii="Times New Roman" w:hAnsi="Times New Roman" w:cs="Times New Roman"/>
                <w:color w:val="000000" w:themeColor="text1"/>
              </w:rPr>
              <w:t>执行《大气污染物综合排放标准》（GB16297-1996）表2中的二级排放标准及无组织排放监控浓度限值，标准值如下表所示。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 xml:space="preserve">3.4.1-2  </w:t>
            </w:r>
            <w:r>
              <w:rPr>
                <w:rFonts w:ascii="Times New Roman" w:hAnsi="Times New Roman" w:cs="Times New Roman"/>
                <w:b/>
                <w:color w:val="000000" w:themeColor="text1"/>
                <w:szCs w:val="24"/>
              </w:rPr>
              <w:t>大气污染物浓度限值</w:t>
            </w:r>
          </w:p>
          <w:tbl>
            <w:tblPr>
              <w:tblStyle w:val="1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9"/>
              <w:gridCol w:w="2490"/>
              <w:gridCol w:w="2387"/>
              <w:gridCol w:w="26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2" w:type="dxa"/>
                  <w:vMerge w:val="restart"/>
                  <w:vAlign w:val="center"/>
                </w:tcPr>
                <w:p>
                  <w:pPr>
                    <w:pStyle w:val="30"/>
                    <w:spacing w:line="360" w:lineRule="exact"/>
                    <w:rPr>
                      <w:color w:val="000000" w:themeColor="text1"/>
                      <w:szCs w:val="21"/>
                    </w:rPr>
                  </w:pPr>
                  <w:r>
                    <w:rPr>
                      <w:color w:val="000000" w:themeColor="text1"/>
                      <w:szCs w:val="21"/>
                    </w:rPr>
                    <w:t>污染物</w:t>
                  </w:r>
                </w:p>
              </w:tc>
              <w:tc>
                <w:tcPr>
                  <w:tcW w:w="4633" w:type="dxa"/>
                  <w:gridSpan w:val="2"/>
                  <w:vAlign w:val="center"/>
                </w:tcPr>
                <w:p>
                  <w:pPr>
                    <w:pStyle w:val="30"/>
                    <w:spacing w:line="360" w:lineRule="exact"/>
                    <w:rPr>
                      <w:color w:val="000000" w:themeColor="text1"/>
                      <w:szCs w:val="21"/>
                    </w:rPr>
                  </w:pPr>
                  <w:r>
                    <w:rPr>
                      <w:color w:val="000000" w:themeColor="text1"/>
                      <w:szCs w:val="21"/>
                    </w:rPr>
                    <w:t>有组织排放标准</w:t>
                  </w:r>
                </w:p>
              </w:tc>
              <w:tc>
                <w:tcPr>
                  <w:tcW w:w="2481" w:type="dxa"/>
                  <w:vAlign w:val="center"/>
                </w:tcPr>
                <w:p>
                  <w:pPr>
                    <w:pStyle w:val="30"/>
                    <w:spacing w:line="360" w:lineRule="exact"/>
                    <w:rPr>
                      <w:color w:val="000000" w:themeColor="text1"/>
                      <w:szCs w:val="21"/>
                    </w:rPr>
                  </w:pPr>
                  <w:r>
                    <w:rPr>
                      <w:color w:val="000000" w:themeColor="text1"/>
                      <w:szCs w:val="21"/>
                    </w:rPr>
                    <w:t>无组织排放监控限值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2" w:type="dxa"/>
                  <w:vMerge w:val="continue"/>
                  <w:vAlign w:val="center"/>
                </w:tcPr>
                <w:p>
                  <w:pPr>
                    <w:pStyle w:val="30"/>
                    <w:spacing w:line="360" w:lineRule="exact"/>
                    <w:rPr>
                      <w:color w:val="000000" w:themeColor="text1"/>
                      <w:szCs w:val="21"/>
                    </w:rPr>
                  </w:pPr>
                </w:p>
              </w:tc>
              <w:tc>
                <w:tcPr>
                  <w:tcW w:w="2365" w:type="dxa"/>
                  <w:vAlign w:val="center"/>
                </w:tcPr>
                <w:p>
                  <w:pPr>
                    <w:pStyle w:val="30"/>
                    <w:spacing w:line="360" w:lineRule="exact"/>
                    <w:rPr>
                      <w:color w:val="000000" w:themeColor="text1"/>
                      <w:szCs w:val="21"/>
                    </w:rPr>
                  </w:pPr>
                  <w:r>
                    <w:rPr>
                      <w:color w:val="000000" w:themeColor="text1"/>
                      <w:szCs w:val="21"/>
                    </w:rPr>
                    <w:t>15m高排气筒排放速率（kg/h）</w:t>
                  </w:r>
                </w:p>
              </w:tc>
              <w:tc>
                <w:tcPr>
                  <w:tcW w:w="2268" w:type="dxa"/>
                  <w:vAlign w:val="center"/>
                </w:tcPr>
                <w:p>
                  <w:pPr>
                    <w:pStyle w:val="30"/>
                    <w:spacing w:line="360" w:lineRule="exact"/>
                    <w:rPr>
                      <w:color w:val="000000" w:themeColor="text1"/>
                      <w:szCs w:val="21"/>
                    </w:rPr>
                  </w:pPr>
                  <w:r>
                    <w:rPr>
                      <w:color w:val="000000" w:themeColor="text1"/>
                      <w:szCs w:val="21"/>
                    </w:rPr>
                    <w:t>最高允许排放浓度（mg/m³）</w:t>
                  </w:r>
                </w:p>
              </w:tc>
              <w:tc>
                <w:tcPr>
                  <w:tcW w:w="2481" w:type="dxa"/>
                  <w:vAlign w:val="center"/>
                </w:tcPr>
                <w:p>
                  <w:pPr>
                    <w:pStyle w:val="30"/>
                    <w:spacing w:line="360" w:lineRule="exact"/>
                    <w:rPr>
                      <w:color w:val="000000" w:themeColor="text1"/>
                      <w:szCs w:val="21"/>
                    </w:rPr>
                  </w:pPr>
                  <w:r>
                    <w:rPr>
                      <w:color w:val="000000" w:themeColor="text1"/>
                      <w:szCs w:val="21"/>
                    </w:rPr>
                    <w:t>周界外浓度最高点（mg/m³）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2" w:type="dxa"/>
                  <w:vAlign w:val="center"/>
                </w:tcPr>
                <w:p>
                  <w:pPr>
                    <w:pStyle w:val="30"/>
                    <w:spacing w:line="360" w:lineRule="exact"/>
                    <w:rPr>
                      <w:color w:val="000000" w:themeColor="text1"/>
                      <w:szCs w:val="21"/>
                    </w:rPr>
                  </w:pPr>
                  <w:r>
                    <w:rPr>
                      <w:color w:val="000000" w:themeColor="text1"/>
                      <w:szCs w:val="21"/>
                    </w:rPr>
                    <w:t>颗粒物</w:t>
                  </w:r>
                </w:p>
              </w:tc>
              <w:tc>
                <w:tcPr>
                  <w:tcW w:w="2365" w:type="dxa"/>
                  <w:vAlign w:val="center"/>
                </w:tcPr>
                <w:p>
                  <w:pPr>
                    <w:pStyle w:val="30"/>
                    <w:spacing w:line="360" w:lineRule="exact"/>
                    <w:rPr>
                      <w:color w:val="000000" w:themeColor="text1"/>
                      <w:szCs w:val="21"/>
                    </w:rPr>
                  </w:pPr>
                  <w:r>
                    <w:rPr>
                      <w:color w:val="000000" w:themeColor="text1"/>
                      <w:szCs w:val="21"/>
                    </w:rPr>
                    <w:t>3.5</w:t>
                  </w:r>
                </w:p>
              </w:tc>
              <w:tc>
                <w:tcPr>
                  <w:tcW w:w="2268" w:type="dxa"/>
                  <w:vAlign w:val="center"/>
                </w:tcPr>
                <w:p>
                  <w:pPr>
                    <w:pStyle w:val="30"/>
                    <w:spacing w:line="360" w:lineRule="exact"/>
                    <w:rPr>
                      <w:color w:val="000000" w:themeColor="text1"/>
                      <w:szCs w:val="21"/>
                    </w:rPr>
                  </w:pPr>
                  <w:r>
                    <w:rPr>
                      <w:color w:val="000000" w:themeColor="text1"/>
                      <w:szCs w:val="21"/>
                    </w:rPr>
                    <w:t>120</w:t>
                  </w:r>
                </w:p>
              </w:tc>
              <w:tc>
                <w:tcPr>
                  <w:tcW w:w="2481" w:type="dxa"/>
                  <w:vAlign w:val="center"/>
                </w:tcPr>
                <w:p>
                  <w:pPr>
                    <w:pStyle w:val="30"/>
                    <w:spacing w:line="360" w:lineRule="exact"/>
                    <w:rPr>
                      <w:color w:val="000000" w:themeColor="text1"/>
                      <w:szCs w:val="21"/>
                    </w:rPr>
                  </w:pPr>
                  <w:r>
                    <w:rPr>
                      <w:color w:val="000000" w:themeColor="text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 w:hRule="atLeast"/>
                <w:jc w:val="center"/>
              </w:trPr>
              <w:tc>
                <w:tcPr>
                  <w:tcW w:w="1472" w:type="dxa"/>
                  <w:vAlign w:val="center"/>
                </w:tcPr>
                <w:p>
                  <w:pPr>
                    <w:pStyle w:val="30"/>
                    <w:spacing w:line="360" w:lineRule="exact"/>
                    <w:rPr>
                      <w:color w:val="000000" w:themeColor="text1"/>
                      <w:szCs w:val="21"/>
                    </w:rPr>
                  </w:pPr>
                  <w:r>
                    <w:rPr>
                      <w:rFonts w:hint="eastAsia"/>
                      <w:color w:val="000000" w:themeColor="text1"/>
                      <w:szCs w:val="21"/>
                    </w:rPr>
                    <w:t>铅及其化合物</w:t>
                  </w:r>
                </w:p>
              </w:tc>
              <w:tc>
                <w:tcPr>
                  <w:tcW w:w="2365" w:type="dxa"/>
                  <w:vAlign w:val="center"/>
                </w:tcPr>
                <w:p>
                  <w:pPr>
                    <w:pStyle w:val="30"/>
                    <w:spacing w:line="360" w:lineRule="exact"/>
                    <w:rPr>
                      <w:color w:val="000000" w:themeColor="text1"/>
                      <w:szCs w:val="21"/>
                    </w:rPr>
                  </w:pPr>
                  <w:r>
                    <w:rPr>
                      <w:rFonts w:hint="eastAsia"/>
                      <w:color w:val="000000" w:themeColor="text1"/>
                      <w:szCs w:val="21"/>
                    </w:rPr>
                    <w:t>0.004</w:t>
                  </w:r>
                </w:p>
              </w:tc>
              <w:tc>
                <w:tcPr>
                  <w:tcW w:w="2268" w:type="dxa"/>
                  <w:vAlign w:val="center"/>
                </w:tcPr>
                <w:p>
                  <w:pPr>
                    <w:pStyle w:val="30"/>
                    <w:spacing w:line="360" w:lineRule="exact"/>
                    <w:rPr>
                      <w:color w:val="000000" w:themeColor="text1"/>
                      <w:szCs w:val="21"/>
                    </w:rPr>
                  </w:pPr>
                  <w:r>
                    <w:rPr>
                      <w:rFonts w:hint="eastAsia"/>
                      <w:color w:val="000000" w:themeColor="text1"/>
                      <w:szCs w:val="21"/>
                    </w:rPr>
                    <w:t>0.70</w:t>
                  </w:r>
                </w:p>
              </w:tc>
              <w:tc>
                <w:tcPr>
                  <w:tcW w:w="2481" w:type="dxa"/>
                  <w:vAlign w:val="center"/>
                </w:tcPr>
                <w:p>
                  <w:pPr>
                    <w:pStyle w:val="30"/>
                    <w:spacing w:line="360" w:lineRule="exact"/>
                    <w:rPr>
                      <w:color w:val="000000" w:themeColor="text1"/>
                      <w:szCs w:val="21"/>
                    </w:rPr>
                  </w:pPr>
                  <w:r>
                    <w:rPr>
                      <w:rFonts w:hint="eastAsia"/>
                      <w:color w:val="000000" w:themeColor="text1"/>
                      <w:szCs w:val="21"/>
                    </w:rPr>
                    <w:t>0.0060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2" w:type="dxa"/>
                  <w:vAlign w:val="center"/>
                </w:tcPr>
                <w:p>
                  <w:pPr>
                    <w:pStyle w:val="30"/>
                    <w:spacing w:line="360" w:lineRule="exact"/>
                    <w:rPr>
                      <w:color w:val="000000" w:themeColor="text1"/>
                      <w:szCs w:val="21"/>
                    </w:rPr>
                  </w:pPr>
                  <w:r>
                    <w:rPr>
                      <w:rFonts w:hint="eastAsia"/>
                      <w:color w:val="000000" w:themeColor="text1"/>
                      <w:szCs w:val="21"/>
                    </w:rPr>
                    <w:t>汞及其化合物</w:t>
                  </w:r>
                </w:p>
              </w:tc>
              <w:tc>
                <w:tcPr>
                  <w:tcW w:w="2365" w:type="dxa"/>
                  <w:vAlign w:val="center"/>
                </w:tcPr>
                <w:p>
                  <w:pPr>
                    <w:pStyle w:val="30"/>
                    <w:spacing w:line="360" w:lineRule="exact"/>
                    <w:rPr>
                      <w:color w:val="000000" w:themeColor="text1"/>
                      <w:szCs w:val="21"/>
                    </w:rPr>
                  </w:pPr>
                  <w:r>
                    <w:rPr>
                      <w:rFonts w:hint="eastAsia"/>
                      <w:color w:val="000000" w:themeColor="text1"/>
                      <w:szCs w:val="21"/>
                    </w:rPr>
                    <w:t>1.5×10</w:t>
                  </w:r>
                  <w:r>
                    <w:rPr>
                      <w:rFonts w:hint="eastAsia"/>
                      <w:color w:val="000000" w:themeColor="text1"/>
                      <w:szCs w:val="21"/>
                      <w:vertAlign w:val="superscript"/>
                    </w:rPr>
                    <w:t>-3</w:t>
                  </w:r>
                </w:p>
              </w:tc>
              <w:tc>
                <w:tcPr>
                  <w:tcW w:w="2268" w:type="dxa"/>
                  <w:vAlign w:val="center"/>
                </w:tcPr>
                <w:p>
                  <w:pPr>
                    <w:pStyle w:val="30"/>
                    <w:spacing w:line="360" w:lineRule="exact"/>
                    <w:rPr>
                      <w:color w:val="000000" w:themeColor="text1"/>
                      <w:szCs w:val="21"/>
                    </w:rPr>
                  </w:pPr>
                  <w:r>
                    <w:rPr>
                      <w:rFonts w:hint="eastAsia"/>
                      <w:color w:val="000000" w:themeColor="text1"/>
                      <w:szCs w:val="21"/>
                    </w:rPr>
                    <w:t>0.012</w:t>
                  </w:r>
                </w:p>
              </w:tc>
              <w:tc>
                <w:tcPr>
                  <w:tcW w:w="2481" w:type="dxa"/>
                  <w:vAlign w:val="center"/>
                </w:tcPr>
                <w:p>
                  <w:pPr>
                    <w:pStyle w:val="30"/>
                    <w:spacing w:line="360" w:lineRule="exact"/>
                    <w:rPr>
                      <w:color w:val="000000" w:themeColor="text1"/>
                      <w:szCs w:val="21"/>
                    </w:rPr>
                  </w:pPr>
                  <w:r>
                    <w:rPr>
                      <w:rFonts w:hint="eastAsia"/>
                      <w:color w:val="000000" w:themeColor="text1"/>
                      <w:szCs w:val="21"/>
                    </w:rPr>
                    <w:t>0.0012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2" w:type="dxa"/>
                  <w:vAlign w:val="center"/>
                </w:tcPr>
                <w:p>
                  <w:pPr>
                    <w:pStyle w:val="30"/>
                    <w:spacing w:line="360" w:lineRule="exact"/>
                    <w:rPr>
                      <w:color w:val="000000" w:themeColor="text1"/>
                      <w:szCs w:val="21"/>
                    </w:rPr>
                  </w:pPr>
                  <w:r>
                    <w:rPr>
                      <w:color w:val="000000" w:themeColor="text1"/>
                      <w:szCs w:val="21"/>
                    </w:rPr>
                    <w:t>非甲烷总烃</w:t>
                  </w:r>
                </w:p>
              </w:tc>
              <w:tc>
                <w:tcPr>
                  <w:tcW w:w="2365" w:type="dxa"/>
                  <w:vAlign w:val="center"/>
                </w:tcPr>
                <w:p>
                  <w:pPr>
                    <w:pStyle w:val="30"/>
                    <w:spacing w:line="360" w:lineRule="exact"/>
                    <w:rPr>
                      <w:color w:val="000000" w:themeColor="text1"/>
                      <w:szCs w:val="21"/>
                    </w:rPr>
                  </w:pPr>
                  <w:r>
                    <w:rPr>
                      <w:color w:val="000000" w:themeColor="text1"/>
                      <w:szCs w:val="21"/>
                    </w:rPr>
                    <w:t>10</w:t>
                  </w:r>
                </w:p>
              </w:tc>
              <w:tc>
                <w:tcPr>
                  <w:tcW w:w="2268" w:type="dxa"/>
                  <w:vAlign w:val="center"/>
                </w:tcPr>
                <w:p>
                  <w:pPr>
                    <w:pStyle w:val="30"/>
                    <w:spacing w:line="360" w:lineRule="exact"/>
                    <w:rPr>
                      <w:color w:val="000000" w:themeColor="text1"/>
                      <w:szCs w:val="21"/>
                    </w:rPr>
                  </w:pPr>
                  <w:r>
                    <w:rPr>
                      <w:color w:val="000000" w:themeColor="text1"/>
                      <w:szCs w:val="21"/>
                    </w:rPr>
                    <w:t>120</w:t>
                  </w:r>
                </w:p>
              </w:tc>
              <w:tc>
                <w:tcPr>
                  <w:tcW w:w="2481" w:type="dxa"/>
                  <w:vAlign w:val="center"/>
                </w:tcPr>
                <w:p>
                  <w:pPr>
                    <w:pStyle w:val="30"/>
                    <w:spacing w:line="360" w:lineRule="exact"/>
                    <w:rPr>
                      <w:color w:val="000000" w:themeColor="text1"/>
                      <w:szCs w:val="21"/>
                    </w:rPr>
                  </w:pPr>
                  <w:r>
                    <w:rPr>
                      <w:color w:val="000000" w:themeColor="text1"/>
                      <w:szCs w:val="21"/>
                    </w:rPr>
                    <w:t>4.0</w:t>
                  </w:r>
                </w:p>
              </w:tc>
            </w:tr>
          </w:tbl>
          <w:p>
            <w:pPr>
              <w:pStyle w:val="38"/>
              <w:spacing w:beforeLines="50"/>
              <w:ind w:firstLine="482"/>
              <w:rPr>
                <w:rFonts w:eastAsiaTheme="minorEastAsia"/>
                <w:b/>
                <w:color w:val="000000" w:themeColor="text1"/>
                <w:szCs w:val="24"/>
              </w:rPr>
            </w:pPr>
            <w:r>
              <w:rPr>
                <w:rFonts w:hint="eastAsia" w:eastAsiaTheme="minorEastAsia"/>
                <w:b/>
                <w:color w:val="000000" w:themeColor="text1"/>
                <w:szCs w:val="24"/>
              </w:rPr>
              <w:t>②厨房油烟</w:t>
            </w:r>
            <w:r>
              <w:rPr>
                <w:rFonts w:hint="eastAsia"/>
                <w:b/>
                <w:color w:val="000000" w:themeColor="text1"/>
                <w:szCs w:val="24"/>
              </w:rPr>
              <w:t>执行标准</w:t>
            </w:r>
          </w:p>
          <w:p>
            <w:pPr>
              <w:spacing w:line="360" w:lineRule="auto"/>
              <w:ind w:firstLine="480" w:firstLineChars="200"/>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项目设置一间厨房（含一个灶头），</w:t>
            </w:r>
            <w:r>
              <w:rPr>
                <w:rFonts w:hint="eastAsia" w:ascii="Times New Roman" w:cs="Times New Roman" w:hAnsiTheme="minorEastAsia"/>
                <w:color w:val="000000" w:themeColor="text1"/>
                <w:sz w:val="24"/>
                <w:szCs w:val="24"/>
              </w:rPr>
              <w:t>项目基准灶头数为1个，属于I型规模，</w:t>
            </w:r>
            <w:r>
              <w:rPr>
                <w:rFonts w:ascii="Times New Roman" w:cs="Times New Roman" w:hAnsiTheme="minorEastAsia"/>
                <w:color w:val="000000" w:themeColor="text1"/>
                <w:sz w:val="24"/>
                <w:szCs w:val="24"/>
              </w:rPr>
              <w:t>厨房油烟</w:t>
            </w:r>
            <w:r>
              <w:rPr>
                <w:rFonts w:hint="eastAsia" w:ascii="Times New Roman" w:cs="Times New Roman" w:hAnsiTheme="minorEastAsia"/>
                <w:color w:val="000000" w:themeColor="text1"/>
                <w:sz w:val="24"/>
                <w:szCs w:val="24"/>
              </w:rPr>
              <w:t>执行《昆明市地方标准 餐饮业油烟污染物排放要求》（DB5301/T50-2021），标准值如下表所示。</w:t>
            </w:r>
          </w:p>
          <w:p>
            <w:pPr>
              <w:jc w:val="center"/>
              <w:rPr>
                <w:rFonts w:ascii="Times New Roman" w:hAnsi="Times New Roman" w:cs="Times New Roman"/>
                <w:b/>
                <w:color w:val="000000" w:themeColor="text1"/>
                <w:szCs w:val="24"/>
              </w:rPr>
            </w:pPr>
            <w:r>
              <w:rPr>
                <w:rFonts w:hint="eastAsia" w:ascii="Times New Roman" w:hAnsi="Times New Roman" w:cs="Times New Roman"/>
                <w:b/>
                <w:color w:val="000000" w:themeColor="text1"/>
                <w:szCs w:val="24"/>
              </w:rPr>
              <w:t>表3.4.1-3  餐饮业油烟浓度排放限值</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14"/>
              <w:gridCol w:w="3015"/>
              <w:gridCol w:w="30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14" w:type="dxa"/>
                  <w:vAlign w:val="center"/>
                </w:tcPr>
                <w:p>
                  <w:pPr>
                    <w:pStyle w:val="30"/>
                    <w:spacing w:line="360" w:lineRule="exact"/>
                    <w:rPr>
                      <w:color w:val="000000" w:themeColor="text1"/>
                      <w:szCs w:val="21"/>
                    </w:rPr>
                  </w:pPr>
                  <w:r>
                    <w:rPr>
                      <w:rFonts w:hint="eastAsia"/>
                      <w:color w:val="000000" w:themeColor="text1"/>
                      <w:szCs w:val="21"/>
                    </w:rPr>
                    <w:t>污染项目</w:t>
                  </w:r>
                </w:p>
              </w:tc>
              <w:tc>
                <w:tcPr>
                  <w:tcW w:w="3015" w:type="dxa"/>
                  <w:vAlign w:val="center"/>
                </w:tcPr>
                <w:p>
                  <w:pPr>
                    <w:pStyle w:val="30"/>
                    <w:spacing w:line="360" w:lineRule="exact"/>
                    <w:rPr>
                      <w:color w:val="000000" w:themeColor="text1"/>
                      <w:szCs w:val="21"/>
                    </w:rPr>
                  </w:pPr>
                  <w:r>
                    <w:rPr>
                      <w:rFonts w:hint="eastAsia"/>
                      <w:color w:val="000000" w:themeColor="text1"/>
                      <w:szCs w:val="21"/>
                    </w:rPr>
                    <w:t>I型污染物排放限值，mg/</w:t>
                  </w:r>
                  <w:r>
                    <w:rPr>
                      <w:color w:val="000000" w:themeColor="text1"/>
                      <w:szCs w:val="21"/>
                    </w:rPr>
                    <w:t>m³</w:t>
                  </w:r>
                </w:p>
              </w:tc>
              <w:tc>
                <w:tcPr>
                  <w:tcW w:w="3015" w:type="dxa"/>
                  <w:vAlign w:val="center"/>
                </w:tcPr>
                <w:p>
                  <w:pPr>
                    <w:pStyle w:val="30"/>
                    <w:spacing w:line="360" w:lineRule="exact"/>
                    <w:rPr>
                      <w:color w:val="000000" w:themeColor="text1"/>
                      <w:szCs w:val="21"/>
                    </w:rPr>
                  </w:pPr>
                  <w:r>
                    <w:rPr>
                      <w:rFonts w:hint="eastAsia"/>
                      <w:color w:val="000000" w:themeColor="text1"/>
                      <w:szCs w:val="21"/>
                    </w:rPr>
                    <w:t>污染物排放监控位置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14" w:type="dxa"/>
                  <w:vAlign w:val="center"/>
                </w:tcPr>
                <w:p>
                  <w:pPr>
                    <w:pStyle w:val="30"/>
                    <w:spacing w:line="360" w:lineRule="exact"/>
                    <w:rPr>
                      <w:color w:val="000000" w:themeColor="text1"/>
                      <w:szCs w:val="21"/>
                    </w:rPr>
                  </w:pPr>
                  <w:r>
                    <w:rPr>
                      <w:rFonts w:hint="eastAsia"/>
                      <w:color w:val="000000" w:themeColor="text1"/>
                      <w:szCs w:val="21"/>
                    </w:rPr>
                    <w:t>油烟</w:t>
                  </w:r>
                </w:p>
              </w:tc>
              <w:tc>
                <w:tcPr>
                  <w:tcW w:w="3015" w:type="dxa"/>
                  <w:vAlign w:val="center"/>
                </w:tcPr>
                <w:p>
                  <w:pPr>
                    <w:pStyle w:val="30"/>
                    <w:spacing w:line="360" w:lineRule="exact"/>
                    <w:rPr>
                      <w:color w:val="000000" w:themeColor="text1"/>
                      <w:szCs w:val="21"/>
                    </w:rPr>
                  </w:pPr>
                  <w:r>
                    <w:rPr>
                      <w:rFonts w:hint="eastAsia"/>
                      <w:color w:val="000000" w:themeColor="text1"/>
                      <w:szCs w:val="21"/>
                    </w:rPr>
                    <w:t>1.0</w:t>
                  </w:r>
                </w:p>
              </w:tc>
              <w:tc>
                <w:tcPr>
                  <w:tcW w:w="3015" w:type="dxa"/>
                  <w:vAlign w:val="center"/>
                </w:tcPr>
                <w:p>
                  <w:pPr>
                    <w:pStyle w:val="30"/>
                    <w:spacing w:line="360" w:lineRule="exact"/>
                    <w:rPr>
                      <w:color w:val="000000" w:themeColor="text1"/>
                      <w:szCs w:val="21"/>
                    </w:rPr>
                  </w:pPr>
                  <w:r>
                    <w:rPr>
                      <w:rFonts w:hint="eastAsia"/>
                      <w:color w:val="000000" w:themeColor="text1"/>
                      <w:szCs w:val="21"/>
                    </w:rPr>
                    <w:t>排风管或排气筒</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3.4.2 废水排放标准</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（1）施工期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根据项目特点，本项目施工量较小，施工过程使用的少量施工用水全部自然蒸发，无废水产生。</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（2）运营期</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项目运营期废水包括生活污水、平衡盐水和初期雨水。项目生活污水经</w:t>
            </w:r>
            <w:r>
              <w:rPr>
                <w:rFonts w:ascii="Times New Roman" w:hAnsi="Times New Roman" w:cs="Times New Roman"/>
                <w:color w:val="000000" w:themeColor="text1"/>
                <w:sz w:val="24"/>
                <w:szCs w:val="24"/>
              </w:rPr>
              <w:t>1个2m³的隔油池、3个5m³的化粪池</w:t>
            </w:r>
            <w:r>
              <w:rPr>
                <w:rFonts w:hint="eastAsia" w:ascii="Times New Roman" w:hAnsi="Times New Roman" w:cs="Times New Roman"/>
                <w:color w:val="000000" w:themeColor="text1"/>
                <w:sz w:val="24"/>
                <w:szCs w:val="24"/>
              </w:rPr>
              <w:t>和1套处理能力为3</w:t>
            </w:r>
            <w:r>
              <w:rPr>
                <w:rFonts w:ascii="Times New Roman" w:hAnsi="Times New Roman" w:cs="Times New Roman"/>
                <w:color w:val="000000" w:themeColor="text1"/>
                <w:sz w:val="24"/>
                <w:szCs w:val="24"/>
              </w:rPr>
              <w:t>0m³/d</w:t>
            </w:r>
            <w:r>
              <w:rPr>
                <w:rFonts w:hint="eastAsia" w:ascii="Times New Roman" w:hAnsi="Times New Roman" w:cs="Times New Roman"/>
                <w:color w:val="000000" w:themeColor="text1"/>
                <w:sz w:val="24"/>
                <w:szCs w:val="24"/>
              </w:rPr>
              <w:t>的一体化污水处理后回用于绿化；平衡盐水按1:8的比例稀释后，回用于绿化；</w:t>
            </w:r>
            <w:r>
              <w:rPr>
                <w:rFonts w:ascii="Times New Roman" w:hAnsi="Times New Roman" w:cs="Times New Roman"/>
                <w:color w:val="000000" w:themeColor="text1"/>
                <w:sz w:val="24"/>
                <w:szCs w:val="24"/>
              </w:rPr>
              <w:t>初期雨水经1个30m³的初期雨水收集池收集沉淀处理后，回用于绿化。目前规划的东川再就业特区天生桥特色产业园污水处理厂还未建成，因此该项目排水拟按近期（园区污水处理厂建成前）和远期（园区污水处理厂建成后）考虑。</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w:t>
            </w:r>
            <w:r>
              <w:rPr>
                <w:rFonts w:ascii="Times New Roman" w:hAnsi="Times New Roman" w:cs="Times New Roman"/>
                <w:b/>
                <w:color w:val="000000" w:themeColor="text1"/>
                <w:sz w:val="24"/>
                <w:szCs w:val="24"/>
              </w:rPr>
              <w:t>近期（园区污水处理厂建成前）执行标准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近期（园区污水处理厂建成前），项目产生的</w:t>
            </w:r>
            <w:r>
              <w:rPr>
                <w:rFonts w:hint="eastAsia" w:ascii="Times New Roman" w:hAnsi="Times New Roman" w:cs="Times New Roman"/>
                <w:color w:val="000000" w:themeColor="text1"/>
                <w:sz w:val="24"/>
                <w:szCs w:val="24"/>
              </w:rPr>
              <w:t>废水</w:t>
            </w:r>
            <w:r>
              <w:rPr>
                <w:rFonts w:ascii="Times New Roman" w:hAnsi="Times New Roman" w:cs="Times New Roman"/>
                <w:color w:val="000000" w:themeColor="text1"/>
                <w:sz w:val="24"/>
                <w:szCs w:val="24"/>
              </w:rPr>
              <w:t>回用于绿化不外排；执行《城市污水再生利用 城市杂用水水质》（GB/T18920-2020）城市绿化标准。标准限值详见下表。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表3.4.2-</w:t>
            </w:r>
            <w:r>
              <w:rPr>
                <w:rFonts w:hint="eastAsia" w:ascii="Times New Roman" w:hAnsi="Times New Roman" w:cs="Times New Roman"/>
                <w:b/>
                <w:color w:val="000000" w:themeColor="text1"/>
                <w:szCs w:val="24"/>
              </w:rPr>
              <w:t>1</w:t>
            </w:r>
            <w:r>
              <w:rPr>
                <w:rFonts w:ascii="Times New Roman" w:hAnsi="Times New Roman" w:cs="Times New Roman"/>
                <w:b/>
                <w:color w:val="000000" w:themeColor="text1"/>
                <w:szCs w:val="24"/>
              </w:rPr>
              <w:t xml:space="preserve">  城市污水再生利用 城市杂用水标准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4618"/>
              <w:gridCol w:w="3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序号</w:t>
                  </w:r>
                </w:p>
              </w:tc>
              <w:tc>
                <w:tcPr>
                  <w:tcW w:w="4618" w:type="dxa"/>
                  <w:vAlign w:val="center"/>
                </w:tcPr>
                <w:p>
                  <w:pPr>
                    <w:pStyle w:val="30"/>
                    <w:spacing w:line="360" w:lineRule="exact"/>
                    <w:rPr>
                      <w:color w:val="000000" w:themeColor="text1"/>
                      <w:szCs w:val="21"/>
                    </w:rPr>
                  </w:pPr>
                  <w:r>
                    <w:rPr>
                      <w:color w:val="000000" w:themeColor="text1"/>
                      <w:szCs w:val="21"/>
                    </w:rPr>
                    <w:t>项目</w:t>
                  </w:r>
                </w:p>
              </w:tc>
              <w:tc>
                <w:tcPr>
                  <w:tcW w:w="3332" w:type="dxa"/>
                  <w:vAlign w:val="center"/>
                </w:tcPr>
                <w:p>
                  <w:pPr>
                    <w:pStyle w:val="30"/>
                    <w:spacing w:line="360" w:lineRule="exact"/>
                    <w:rPr>
                      <w:color w:val="000000" w:themeColor="text1"/>
                      <w:szCs w:val="21"/>
                    </w:rPr>
                  </w:pPr>
                  <w:r>
                    <w:rPr>
                      <w:color w:val="000000" w:themeColor="text1"/>
                      <w:szCs w:val="21"/>
                    </w:rPr>
                    <w:t>城市绿化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1</w:t>
                  </w:r>
                </w:p>
              </w:tc>
              <w:tc>
                <w:tcPr>
                  <w:tcW w:w="4618" w:type="dxa"/>
                  <w:vAlign w:val="center"/>
                </w:tcPr>
                <w:p>
                  <w:pPr>
                    <w:pStyle w:val="30"/>
                    <w:spacing w:line="360" w:lineRule="exact"/>
                    <w:rPr>
                      <w:color w:val="000000" w:themeColor="text1"/>
                      <w:szCs w:val="21"/>
                    </w:rPr>
                  </w:pPr>
                  <w:r>
                    <w:rPr>
                      <w:color w:val="000000" w:themeColor="text1"/>
                      <w:szCs w:val="21"/>
                    </w:rPr>
                    <w:t>pH</w:t>
                  </w:r>
                </w:p>
              </w:tc>
              <w:tc>
                <w:tcPr>
                  <w:tcW w:w="3332" w:type="dxa"/>
                  <w:vAlign w:val="center"/>
                </w:tcPr>
                <w:p>
                  <w:pPr>
                    <w:pStyle w:val="30"/>
                    <w:spacing w:line="360" w:lineRule="exact"/>
                    <w:rPr>
                      <w:color w:val="000000" w:themeColor="text1"/>
                      <w:szCs w:val="21"/>
                    </w:rPr>
                  </w:pPr>
                  <w:r>
                    <w:rPr>
                      <w:color w:val="000000" w:themeColor="text1"/>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2</w:t>
                  </w:r>
                </w:p>
              </w:tc>
              <w:tc>
                <w:tcPr>
                  <w:tcW w:w="4618" w:type="dxa"/>
                  <w:vAlign w:val="center"/>
                </w:tcPr>
                <w:p>
                  <w:pPr>
                    <w:pStyle w:val="30"/>
                    <w:spacing w:line="360" w:lineRule="exact"/>
                    <w:rPr>
                      <w:color w:val="000000" w:themeColor="text1"/>
                      <w:szCs w:val="21"/>
                    </w:rPr>
                  </w:pPr>
                  <w:r>
                    <w:rPr>
                      <w:color w:val="000000" w:themeColor="text1"/>
                      <w:szCs w:val="21"/>
                    </w:rPr>
                    <w:t>色（度）≤</w:t>
                  </w:r>
                </w:p>
              </w:tc>
              <w:tc>
                <w:tcPr>
                  <w:tcW w:w="3332" w:type="dxa"/>
                  <w:vAlign w:val="center"/>
                </w:tcPr>
                <w:p>
                  <w:pPr>
                    <w:pStyle w:val="30"/>
                    <w:spacing w:line="360" w:lineRule="exact"/>
                    <w:rPr>
                      <w:color w:val="000000" w:themeColor="text1"/>
                      <w:szCs w:val="21"/>
                    </w:rPr>
                  </w:pPr>
                  <w:r>
                    <w:rPr>
                      <w:rFonts w:hint="eastAsia"/>
                      <w:color w:val="000000" w:themeColor="text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3</w:t>
                  </w:r>
                </w:p>
              </w:tc>
              <w:tc>
                <w:tcPr>
                  <w:tcW w:w="4618" w:type="dxa"/>
                  <w:vAlign w:val="center"/>
                </w:tcPr>
                <w:p>
                  <w:pPr>
                    <w:pStyle w:val="30"/>
                    <w:spacing w:line="360" w:lineRule="exact"/>
                    <w:rPr>
                      <w:color w:val="000000" w:themeColor="text1"/>
                      <w:szCs w:val="21"/>
                    </w:rPr>
                  </w:pPr>
                  <w:r>
                    <w:rPr>
                      <w:color w:val="000000" w:themeColor="text1"/>
                      <w:szCs w:val="21"/>
                    </w:rPr>
                    <w:t>嗅</w:t>
                  </w:r>
                </w:p>
              </w:tc>
              <w:tc>
                <w:tcPr>
                  <w:tcW w:w="3332" w:type="dxa"/>
                  <w:vAlign w:val="center"/>
                </w:tcPr>
                <w:p>
                  <w:pPr>
                    <w:pStyle w:val="30"/>
                    <w:spacing w:line="360" w:lineRule="exact"/>
                    <w:rPr>
                      <w:color w:val="000000" w:themeColor="text1"/>
                      <w:szCs w:val="21"/>
                    </w:rPr>
                  </w:pPr>
                  <w:r>
                    <w:rPr>
                      <w:color w:val="000000" w:themeColor="text1"/>
                      <w:szCs w:val="21"/>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4</w:t>
                  </w:r>
                </w:p>
              </w:tc>
              <w:tc>
                <w:tcPr>
                  <w:tcW w:w="4618" w:type="dxa"/>
                  <w:vAlign w:val="center"/>
                </w:tcPr>
                <w:p>
                  <w:pPr>
                    <w:pStyle w:val="30"/>
                    <w:spacing w:line="360" w:lineRule="exact"/>
                    <w:rPr>
                      <w:color w:val="000000" w:themeColor="text1"/>
                      <w:szCs w:val="21"/>
                    </w:rPr>
                  </w:pPr>
                  <w:r>
                    <w:rPr>
                      <w:color w:val="000000" w:themeColor="text1"/>
                      <w:szCs w:val="21"/>
                    </w:rPr>
                    <w:t>浊度（NTU）≤</w:t>
                  </w:r>
                </w:p>
              </w:tc>
              <w:tc>
                <w:tcPr>
                  <w:tcW w:w="3332" w:type="dxa"/>
                  <w:vAlign w:val="center"/>
                </w:tcPr>
                <w:p>
                  <w:pPr>
                    <w:pStyle w:val="30"/>
                    <w:spacing w:line="360" w:lineRule="exact"/>
                    <w:rPr>
                      <w:color w:val="000000" w:themeColor="text1"/>
                      <w:szCs w:val="21"/>
                    </w:rPr>
                  </w:pPr>
                  <w:r>
                    <w:rPr>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5</w:t>
                  </w:r>
                </w:p>
              </w:tc>
              <w:tc>
                <w:tcPr>
                  <w:tcW w:w="4618" w:type="dxa"/>
                  <w:vAlign w:val="center"/>
                </w:tcPr>
                <w:p>
                  <w:pPr>
                    <w:pStyle w:val="30"/>
                    <w:spacing w:line="360" w:lineRule="exact"/>
                    <w:rPr>
                      <w:color w:val="000000" w:themeColor="text1"/>
                      <w:szCs w:val="21"/>
                    </w:rPr>
                  </w:pPr>
                  <w:r>
                    <w:rPr>
                      <w:color w:val="000000" w:themeColor="text1"/>
                      <w:szCs w:val="21"/>
                    </w:rPr>
                    <w:t>溶解性总固体（mg/L）≤</w:t>
                  </w:r>
                </w:p>
              </w:tc>
              <w:tc>
                <w:tcPr>
                  <w:tcW w:w="3332" w:type="dxa"/>
                  <w:vAlign w:val="center"/>
                </w:tcPr>
                <w:p>
                  <w:pPr>
                    <w:pStyle w:val="30"/>
                    <w:spacing w:line="360" w:lineRule="exact"/>
                    <w:rPr>
                      <w:color w:val="000000" w:themeColor="text1"/>
                      <w:szCs w:val="21"/>
                    </w:rPr>
                  </w:pPr>
                  <w:r>
                    <w:rPr>
                      <w:color w:val="000000" w:themeColor="text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6</w:t>
                  </w:r>
                </w:p>
              </w:tc>
              <w:tc>
                <w:tcPr>
                  <w:tcW w:w="4618" w:type="dxa"/>
                  <w:vAlign w:val="center"/>
                </w:tcPr>
                <w:p>
                  <w:pPr>
                    <w:pStyle w:val="30"/>
                    <w:spacing w:line="360" w:lineRule="exact"/>
                    <w:rPr>
                      <w:color w:val="000000" w:themeColor="text1"/>
                      <w:szCs w:val="21"/>
                    </w:rPr>
                  </w:pPr>
                  <w:r>
                    <w:rPr>
                      <w:color w:val="000000" w:themeColor="text1"/>
                      <w:szCs w:val="21"/>
                    </w:rPr>
                    <w:t>五日生化需氧量BOD</w:t>
                  </w:r>
                  <w:r>
                    <w:rPr>
                      <w:color w:val="000000" w:themeColor="text1"/>
                      <w:szCs w:val="21"/>
                      <w:vertAlign w:val="subscript"/>
                    </w:rPr>
                    <w:t>5</w:t>
                  </w:r>
                  <w:r>
                    <w:rPr>
                      <w:color w:val="000000" w:themeColor="text1"/>
                      <w:szCs w:val="21"/>
                    </w:rPr>
                    <w:t>（mg/L）≤</w:t>
                  </w:r>
                </w:p>
              </w:tc>
              <w:tc>
                <w:tcPr>
                  <w:tcW w:w="3332" w:type="dxa"/>
                  <w:vAlign w:val="center"/>
                </w:tcPr>
                <w:p>
                  <w:pPr>
                    <w:pStyle w:val="30"/>
                    <w:spacing w:line="360" w:lineRule="exact"/>
                    <w:rPr>
                      <w:color w:val="000000" w:themeColor="text1"/>
                      <w:szCs w:val="21"/>
                    </w:rPr>
                  </w:pPr>
                  <w:r>
                    <w:rPr>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7</w:t>
                  </w:r>
                </w:p>
              </w:tc>
              <w:tc>
                <w:tcPr>
                  <w:tcW w:w="4618" w:type="dxa"/>
                  <w:vAlign w:val="center"/>
                </w:tcPr>
                <w:p>
                  <w:pPr>
                    <w:pStyle w:val="30"/>
                    <w:spacing w:line="360" w:lineRule="exact"/>
                    <w:rPr>
                      <w:color w:val="000000" w:themeColor="text1"/>
                      <w:szCs w:val="21"/>
                    </w:rPr>
                  </w:pPr>
                  <w:r>
                    <w:rPr>
                      <w:color w:val="000000" w:themeColor="text1"/>
                      <w:szCs w:val="21"/>
                    </w:rPr>
                    <w:t>氨氮（mg/L）≤</w:t>
                  </w:r>
                </w:p>
              </w:tc>
              <w:tc>
                <w:tcPr>
                  <w:tcW w:w="3332" w:type="dxa"/>
                  <w:vAlign w:val="center"/>
                </w:tcPr>
                <w:p>
                  <w:pPr>
                    <w:pStyle w:val="30"/>
                    <w:spacing w:line="360" w:lineRule="exact"/>
                    <w:rPr>
                      <w:color w:val="000000" w:themeColor="text1"/>
                      <w:szCs w:val="21"/>
                    </w:rPr>
                  </w:pPr>
                  <w:r>
                    <w:rPr>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8</w:t>
                  </w:r>
                </w:p>
              </w:tc>
              <w:tc>
                <w:tcPr>
                  <w:tcW w:w="4618" w:type="dxa"/>
                  <w:vAlign w:val="center"/>
                </w:tcPr>
                <w:p>
                  <w:pPr>
                    <w:pStyle w:val="30"/>
                    <w:spacing w:line="360" w:lineRule="exact"/>
                    <w:rPr>
                      <w:color w:val="000000" w:themeColor="text1"/>
                      <w:szCs w:val="21"/>
                    </w:rPr>
                  </w:pPr>
                  <w:r>
                    <w:rPr>
                      <w:color w:val="000000" w:themeColor="text1"/>
                      <w:szCs w:val="21"/>
                    </w:rPr>
                    <w:t>阴离子表面活性（mg/L）≤</w:t>
                  </w:r>
                </w:p>
              </w:tc>
              <w:tc>
                <w:tcPr>
                  <w:tcW w:w="3332" w:type="dxa"/>
                  <w:vAlign w:val="center"/>
                </w:tcPr>
                <w:p>
                  <w:pPr>
                    <w:pStyle w:val="30"/>
                    <w:spacing w:line="360" w:lineRule="exact"/>
                    <w:rPr>
                      <w:color w:val="000000" w:themeColor="text1"/>
                      <w:szCs w:val="21"/>
                    </w:rPr>
                  </w:pPr>
                  <w:r>
                    <w:rPr>
                      <w:color w:val="000000" w:themeColor="text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9</w:t>
                  </w:r>
                </w:p>
              </w:tc>
              <w:tc>
                <w:tcPr>
                  <w:tcW w:w="4618" w:type="dxa"/>
                  <w:vAlign w:val="center"/>
                </w:tcPr>
                <w:p>
                  <w:pPr>
                    <w:pStyle w:val="30"/>
                    <w:spacing w:line="360" w:lineRule="exact"/>
                    <w:rPr>
                      <w:color w:val="000000" w:themeColor="text1"/>
                      <w:szCs w:val="21"/>
                    </w:rPr>
                  </w:pPr>
                  <w:r>
                    <w:rPr>
                      <w:color w:val="000000" w:themeColor="text1"/>
                      <w:szCs w:val="21"/>
                    </w:rPr>
                    <w:t>铁（mg/L）≤</w:t>
                  </w:r>
                </w:p>
              </w:tc>
              <w:tc>
                <w:tcPr>
                  <w:tcW w:w="3332"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10</w:t>
                  </w:r>
                </w:p>
              </w:tc>
              <w:tc>
                <w:tcPr>
                  <w:tcW w:w="4618" w:type="dxa"/>
                  <w:vAlign w:val="center"/>
                </w:tcPr>
                <w:p>
                  <w:pPr>
                    <w:pStyle w:val="30"/>
                    <w:spacing w:line="360" w:lineRule="exact"/>
                    <w:rPr>
                      <w:color w:val="000000" w:themeColor="text1"/>
                      <w:szCs w:val="21"/>
                    </w:rPr>
                  </w:pPr>
                  <w:r>
                    <w:rPr>
                      <w:color w:val="000000" w:themeColor="text1"/>
                      <w:szCs w:val="21"/>
                    </w:rPr>
                    <w:t>锰（mg/L）≤</w:t>
                  </w:r>
                </w:p>
              </w:tc>
              <w:tc>
                <w:tcPr>
                  <w:tcW w:w="3332"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11</w:t>
                  </w:r>
                </w:p>
              </w:tc>
              <w:tc>
                <w:tcPr>
                  <w:tcW w:w="4618" w:type="dxa"/>
                  <w:vAlign w:val="center"/>
                </w:tcPr>
                <w:p>
                  <w:pPr>
                    <w:pStyle w:val="30"/>
                    <w:spacing w:line="360" w:lineRule="exact"/>
                    <w:rPr>
                      <w:color w:val="000000" w:themeColor="text1"/>
                      <w:szCs w:val="21"/>
                    </w:rPr>
                  </w:pPr>
                  <w:r>
                    <w:rPr>
                      <w:color w:val="000000" w:themeColor="text1"/>
                      <w:szCs w:val="21"/>
                    </w:rPr>
                    <w:t>溶解氧（mg/L）≥</w:t>
                  </w:r>
                </w:p>
              </w:tc>
              <w:tc>
                <w:tcPr>
                  <w:tcW w:w="3332" w:type="dxa"/>
                  <w:vAlign w:val="center"/>
                </w:tcPr>
                <w:p>
                  <w:pPr>
                    <w:pStyle w:val="30"/>
                    <w:spacing w:line="360" w:lineRule="exact"/>
                    <w:rPr>
                      <w:color w:val="000000" w:themeColor="text1"/>
                      <w:szCs w:val="21"/>
                    </w:rPr>
                  </w:pPr>
                  <w:r>
                    <w:rPr>
                      <w:color w:val="000000" w:themeColor="text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12</w:t>
                  </w:r>
                </w:p>
              </w:tc>
              <w:tc>
                <w:tcPr>
                  <w:tcW w:w="4618" w:type="dxa"/>
                  <w:vAlign w:val="center"/>
                </w:tcPr>
                <w:p>
                  <w:pPr>
                    <w:pStyle w:val="30"/>
                    <w:spacing w:line="360" w:lineRule="exact"/>
                    <w:rPr>
                      <w:color w:val="000000" w:themeColor="text1"/>
                      <w:szCs w:val="21"/>
                    </w:rPr>
                  </w:pPr>
                  <w:r>
                    <w:rPr>
                      <w:color w:val="000000" w:themeColor="text1"/>
                      <w:szCs w:val="21"/>
                    </w:rPr>
                    <w:t>总余氯（mg/L）≤</w:t>
                  </w:r>
                </w:p>
              </w:tc>
              <w:tc>
                <w:tcPr>
                  <w:tcW w:w="3332" w:type="dxa"/>
                  <w:vAlign w:val="center"/>
                </w:tcPr>
                <w:p>
                  <w:pPr>
                    <w:pStyle w:val="30"/>
                    <w:spacing w:line="360" w:lineRule="exact"/>
                    <w:rPr>
                      <w:color w:val="000000" w:themeColor="text1"/>
                      <w:szCs w:val="21"/>
                    </w:rPr>
                  </w:pPr>
                  <w:r>
                    <w:rPr>
                      <w:rFonts w:hint="eastAsia"/>
                      <w:color w:val="000000" w:themeColor="text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4" w:type="dxa"/>
                  <w:vAlign w:val="center"/>
                </w:tcPr>
                <w:p>
                  <w:pPr>
                    <w:pStyle w:val="30"/>
                    <w:spacing w:line="360" w:lineRule="exact"/>
                    <w:rPr>
                      <w:color w:val="000000" w:themeColor="text1"/>
                      <w:szCs w:val="21"/>
                    </w:rPr>
                  </w:pPr>
                  <w:r>
                    <w:rPr>
                      <w:color w:val="000000" w:themeColor="text1"/>
                      <w:szCs w:val="21"/>
                    </w:rPr>
                    <w:t>13</w:t>
                  </w:r>
                </w:p>
              </w:tc>
              <w:tc>
                <w:tcPr>
                  <w:tcW w:w="4618" w:type="dxa"/>
                  <w:vAlign w:val="center"/>
                </w:tcPr>
                <w:p>
                  <w:pPr>
                    <w:pStyle w:val="30"/>
                    <w:spacing w:line="360" w:lineRule="exact"/>
                    <w:rPr>
                      <w:color w:val="000000" w:themeColor="text1"/>
                      <w:szCs w:val="21"/>
                    </w:rPr>
                  </w:pPr>
                  <w:r>
                    <w:rPr>
                      <w:color w:val="000000" w:themeColor="text1"/>
                      <w:szCs w:val="21"/>
                    </w:rPr>
                    <w:t>大肠埃氏菌/（MPN/100mL，或CFU/100 mL）</w:t>
                  </w:r>
                </w:p>
              </w:tc>
              <w:tc>
                <w:tcPr>
                  <w:tcW w:w="3332" w:type="dxa"/>
                  <w:vAlign w:val="center"/>
                </w:tcPr>
                <w:p>
                  <w:pPr>
                    <w:pStyle w:val="30"/>
                    <w:spacing w:line="360" w:lineRule="exact"/>
                    <w:rPr>
                      <w:color w:val="000000" w:themeColor="text1"/>
                      <w:szCs w:val="21"/>
                    </w:rPr>
                  </w:pPr>
                  <w:r>
                    <w:rPr>
                      <w:color w:val="000000" w:themeColor="text1"/>
                      <w:szCs w:val="21"/>
                    </w:rPr>
                    <w:t>无</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w:t>
            </w:r>
            <w:r>
              <w:rPr>
                <w:rFonts w:ascii="Times New Roman" w:hAnsi="Times New Roman" w:cs="Times New Roman"/>
                <w:b/>
                <w:color w:val="000000" w:themeColor="text1"/>
                <w:sz w:val="24"/>
                <w:szCs w:val="24"/>
              </w:rPr>
              <w:t>远期（园区污水处理厂建成后）执行标准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远期（园区污水处理厂建成后），项目产生的生活污水通过化粪池预处理后，进入东川再就业特区天生桥特色产业园污水处理厂集中处理；园区污水处理厂采用二级处理工艺，因此该项目执行执行《污水排入城镇下水道水质标准》（GB/T31962-2015）中B级标准</w:t>
            </w:r>
            <w:r>
              <w:rPr>
                <w:rFonts w:hint="eastAsia"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标准值如下表所示。</w:t>
            </w:r>
          </w:p>
          <w:p>
            <w:pPr>
              <w:jc w:val="center"/>
              <w:rPr>
                <w:rFonts w:ascii="Times New Roman" w:hAnsi="Times New Roman" w:cs="Times New Roman"/>
                <w:b/>
                <w:color w:val="000000" w:themeColor="text1"/>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3.4.2</w:t>
            </w:r>
            <w:r>
              <w:rPr>
                <w:rFonts w:ascii="Times New Roman" w:hAnsi="Times New Roman" w:cs="Times New Roman"/>
                <w:b/>
                <w:color w:val="000000" w:themeColor="text1"/>
                <w:szCs w:val="24"/>
              </w:rPr>
              <w:t>-2 排放标准浓度限值   单位：mg/L</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493"/>
              <w:gridCol w:w="1641"/>
              <w:gridCol w:w="2529"/>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30"/>
                    <w:spacing w:line="360" w:lineRule="exact"/>
                    <w:rPr>
                      <w:color w:val="000000" w:themeColor="text1"/>
                      <w:szCs w:val="21"/>
                    </w:rPr>
                  </w:pPr>
                  <w:r>
                    <w:rPr>
                      <w:color w:val="000000" w:themeColor="text1"/>
                      <w:szCs w:val="21"/>
                    </w:rPr>
                    <w:t>标准类别</w:t>
                  </w:r>
                </w:p>
              </w:tc>
              <w:tc>
                <w:tcPr>
                  <w:tcW w:w="1418" w:type="dxa"/>
                  <w:vAlign w:val="center"/>
                </w:tcPr>
                <w:p>
                  <w:pPr>
                    <w:pStyle w:val="30"/>
                    <w:spacing w:line="360" w:lineRule="exact"/>
                    <w:rPr>
                      <w:color w:val="000000" w:themeColor="text1"/>
                      <w:szCs w:val="21"/>
                    </w:rPr>
                  </w:pPr>
                  <w:r>
                    <w:rPr>
                      <w:color w:val="000000" w:themeColor="text1"/>
                      <w:szCs w:val="21"/>
                    </w:rPr>
                    <w:t>pH</w:t>
                  </w:r>
                </w:p>
              </w:tc>
              <w:tc>
                <w:tcPr>
                  <w:tcW w:w="1559" w:type="dxa"/>
                  <w:vAlign w:val="center"/>
                </w:tcPr>
                <w:p>
                  <w:pPr>
                    <w:pStyle w:val="30"/>
                    <w:spacing w:line="360" w:lineRule="exact"/>
                    <w:rPr>
                      <w:color w:val="000000" w:themeColor="text1"/>
                      <w:szCs w:val="21"/>
                    </w:rPr>
                  </w:pPr>
                  <w:r>
                    <w:rPr>
                      <w:color w:val="000000" w:themeColor="text1"/>
                      <w:szCs w:val="21"/>
                    </w:rPr>
                    <w:t>CODcr</w:t>
                  </w:r>
                </w:p>
              </w:tc>
              <w:tc>
                <w:tcPr>
                  <w:tcW w:w="2403" w:type="dxa"/>
                  <w:vAlign w:val="center"/>
                </w:tcPr>
                <w:p>
                  <w:pPr>
                    <w:pStyle w:val="30"/>
                    <w:spacing w:line="360" w:lineRule="exact"/>
                    <w:rPr>
                      <w:color w:val="000000" w:themeColor="text1"/>
                      <w:szCs w:val="21"/>
                    </w:rPr>
                  </w:pPr>
                  <w:r>
                    <w:rPr>
                      <w:color w:val="000000" w:themeColor="text1"/>
                      <w:szCs w:val="21"/>
                    </w:rPr>
                    <w:t>BOD</w:t>
                  </w:r>
                  <w:r>
                    <w:rPr>
                      <w:color w:val="000000" w:themeColor="text1"/>
                      <w:szCs w:val="21"/>
                      <w:vertAlign w:val="subscript"/>
                    </w:rPr>
                    <w:t>5</w:t>
                  </w:r>
                </w:p>
              </w:tc>
              <w:tc>
                <w:tcPr>
                  <w:tcW w:w="1498" w:type="dxa"/>
                  <w:vAlign w:val="center"/>
                </w:tcPr>
                <w:p>
                  <w:pPr>
                    <w:pStyle w:val="30"/>
                    <w:spacing w:line="360" w:lineRule="exact"/>
                    <w:rPr>
                      <w:color w:val="000000" w:themeColor="text1"/>
                      <w:szCs w:val="21"/>
                    </w:rPr>
                  </w:pPr>
                  <w:r>
                    <w:rPr>
                      <w:color w:val="000000" w:themeColor="text1"/>
                      <w:szCs w:val="21"/>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30"/>
                    <w:spacing w:line="360" w:lineRule="exact"/>
                    <w:rPr>
                      <w:color w:val="000000" w:themeColor="text1"/>
                      <w:szCs w:val="21"/>
                    </w:rPr>
                  </w:pPr>
                  <w:r>
                    <w:rPr>
                      <w:color w:val="000000" w:themeColor="text1"/>
                      <w:szCs w:val="21"/>
                    </w:rPr>
                    <w:t>B等级</w:t>
                  </w:r>
                </w:p>
              </w:tc>
              <w:tc>
                <w:tcPr>
                  <w:tcW w:w="1418" w:type="dxa"/>
                  <w:vAlign w:val="center"/>
                </w:tcPr>
                <w:p>
                  <w:pPr>
                    <w:pStyle w:val="30"/>
                    <w:spacing w:line="360" w:lineRule="exact"/>
                    <w:rPr>
                      <w:color w:val="000000" w:themeColor="text1"/>
                      <w:szCs w:val="21"/>
                    </w:rPr>
                  </w:pPr>
                  <w:r>
                    <w:rPr>
                      <w:color w:val="000000" w:themeColor="text1"/>
                      <w:szCs w:val="21"/>
                    </w:rPr>
                    <w:t>6-9</w:t>
                  </w:r>
                </w:p>
              </w:tc>
              <w:tc>
                <w:tcPr>
                  <w:tcW w:w="1559" w:type="dxa"/>
                  <w:vAlign w:val="center"/>
                </w:tcPr>
                <w:p>
                  <w:pPr>
                    <w:pStyle w:val="30"/>
                    <w:spacing w:line="360" w:lineRule="exact"/>
                    <w:rPr>
                      <w:color w:val="000000" w:themeColor="text1"/>
                      <w:szCs w:val="21"/>
                    </w:rPr>
                  </w:pPr>
                  <w:r>
                    <w:rPr>
                      <w:color w:val="000000" w:themeColor="text1"/>
                      <w:szCs w:val="21"/>
                    </w:rPr>
                    <w:t>500</w:t>
                  </w:r>
                </w:p>
              </w:tc>
              <w:tc>
                <w:tcPr>
                  <w:tcW w:w="2403" w:type="dxa"/>
                  <w:vAlign w:val="center"/>
                </w:tcPr>
                <w:p>
                  <w:pPr>
                    <w:pStyle w:val="30"/>
                    <w:spacing w:line="360" w:lineRule="exact"/>
                    <w:rPr>
                      <w:color w:val="000000" w:themeColor="text1"/>
                      <w:szCs w:val="21"/>
                    </w:rPr>
                  </w:pPr>
                  <w:r>
                    <w:rPr>
                      <w:color w:val="000000" w:themeColor="text1"/>
                      <w:szCs w:val="21"/>
                    </w:rPr>
                    <w:t>350</w:t>
                  </w:r>
                </w:p>
              </w:tc>
              <w:tc>
                <w:tcPr>
                  <w:tcW w:w="1498" w:type="dxa"/>
                  <w:vAlign w:val="center"/>
                </w:tcPr>
                <w:p>
                  <w:pPr>
                    <w:pStyle w:val="30"/>
                    <w:spacing w:line="360" w:lineRule="exact"/>
                    <w:rPr>
                      <w:color w:val="000000" w:themeColor="text1"/>
                      <w:szCs w:val="21"/>
                    </w:rPr>
                  </w:pPr>
                  <w:r>
                    <w:rPr>
                      <w:color w:val="000000" w:themeColor="text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30"/>
                    <w:spacing w:line="360" w:lineRule="exact"/>
                    <w:rPr>
                      <w:color w:val="000000" w:themeColor="text1"/>
                      <w:szCs w:val="21"/>
                    </w:rPr>
                  </w:pPr>
                  <w:r>
                    <w:rPr>
                      <w:color w:val="000000" w:themeColor="text1"/>
                      <w:szCs w:val="21"/>
                    </w:rPr>
                    <w:t>标准类别</w:t>
                  </w:r>
                </w:p>
              </w:tc>
              <w:tc>
                <w:tcPr>
                  <w:tcW w:w="1418" w:type="dxa"/>
                  <w:vAlign w:val="center"/>
                </w:tcPr>
                <w:p>
                  <w:pPr>
                    <w:pStyle w:val="30"/>
                    <w:spacing w:line="360" w:lineRule="exact"/>
                    <w:rPr>
                      <w:color w:val="000000" w:themeColor="text1"/>
                      <w:szCs w:val="21"/>
                    </w:rPr>
                  </w:pPr>
                  <w:r>
                    <w:rPr>
                      <w:color w:val="000000" w:themeColor="text1"/>
                      <w:szCs w:val="21"/>
                    </w:rPr>
                    <w:t>氨氮</w:t>
                  </w:r>
                </w:p>
              </w:tc>
              <w:tc>
                <w:tcPr>
                  <w:tcW w:w="1559" w:type="dxa"/>
                  <w:vAlign w:val="center"/>
                </w:tcPr>
                <w:p>
                  <w:pPr>
                    <w:pStyle w:val="30"/>
                    <w:spacing w:line="360" w:lineRule="exact"/>
                    <w:rPr>
                      <w:color w:val="000000" w:themeColor="text1"/>
                      <w:szCs w:val="21"/>
                    </w:rPr>
                  </w:pPr>
                  <w:r>
                    <w:rPr>
                      <w:color w:val="000000" w:themeColor="text1"/>
                      <w:szCs w:val="21"/>
                    </w:rPr>
                    <w:t>总磷</w:t>
                  </w:r>
                </w:p>
              </w:tc>
              <w:tc>
                <w:tcPr>
                  <w:tcW w:w="2403" w:type="dxa"/>
                  <w:vAlign w:val="center"/>
                </w:tcPr>
                <w:p>
                  <w:pPr>
                    <w:pStyle w:val="30"/>
                    <w:spacing w:line="360" w:lineRule="exact"/>
                    <w:rPr>
                      <w:color w:val="000000" w:themeColor="text1"/>
                      <w:szCs w:val="21"/>
                    </w:rPr>
                  </w:pPr>
                  <w:r>
                    <w:rPr>
                      <w:rFonts w:hint="eastAsia"/>
                      <w:color w:val="000000" w:themeColor="text1"/>
                      <w:szCs w:val="21"/>
                    </w:rPr>
                    <w:t>阴离子表面活性剂</w:t>
                  </w:r>
                </w:p>
              </w:tc>
              <w:tc>
                <w:tcPr>
                  <w:tcW w:w="1498" w:type="dxa"/>
                  <w:vAlign w:val="center"/>
                </w:tcPr>
                <w:p>
                  <w:pPr>
                    <w:pStyle w:val="30"/>
                    <w:spacing w:line="360" w:lineRule="exact"/>
                    <w:rPr>
                      <w:color w:val="000000" w:themeColor="text1"/>
                      <w:szCs w:val="21"/>
                    </w:rPr>
                  </w:pPr>
                  <w:r>
                    <w:rPr>
                      <w:color w:val="000000" w:themeColor="text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30"/>
                    <w:spacing w:line="360" w:lineRule="exact"/>
                    <w:rPr>
                      <w:color w:val="000000" w:themeColor="text1"/>
                      <w:szCs w:val="21"/>
                    </w:rPr>
                  </w:pPr>
                  <w:r>
                    <w:rPr>
                      <w:color w:val="000000" w:themeColor="text1"/>
                      <w:szCs w:val="21"/>
                    </w:rPr>
                    <w:t>B等级</w:t>
                  </w:r>
                </w:p>
              </w:tc>
              <w:tc>
                <w:tcPr>
                  <w:tcW w:w="1418" w:type="dxa"/>
                  <w:vAlign w:val="center"/>
                </w:tcPr>
                <w:p>
                  <w:pPr>
                    <w:pStyle w:val="30"/>
                    <w:spacing w:line="360" w:lineRule="exact"/>
                    <w:rPr>
                      <w:color w:val="000000" w:themeColor="text1"/>
                      <w:szCs w:val="21"/>
                    </w:rPr>
                  </w:pPr>
                  <w:r>
                    <w:rPr>
                      <w:color w:val="000000" w:themeColor="text1"/>
                      <w:szCs w:val="21"/>
                    </w:rPr>
                    <w:t>45</w:t>
                  </w:r>
                </w:p>
              </w:tc>
              <w:tc>
                <w:tcPr>
                  <w:tcW w:w="1559" w:type="dxa"/>
                  <w:vAlign w:val="center"/>
                </w:tcPr>
                <w:p>
                  <w:pPr>
                    <w:pStyle w:val="30"/>
                    <w:spacing w:line="360" w:lineRule="exact"/>
                    <w:rPr>
                      <w:color w:val="000000" w:themeColor="text1"/>
                      <w:szCs w:val="21"/>
                    </w:rPr>
                  </w:pPr>
                  <w:r>
                    <w:rPr>
                      <w:color w:val="000000" w:themeColor="text1"/>
                      <w:szCs w:val="21"/>
                    </w:rPr>
                    <w:t>8</w:t>
                  </w:r>
                </w:p>
              </w:tc>
              <w:tc>
                <w:tcPr>
                  <w:tcW w:w="2403" w:type="dxa"/>
                  <w:vAlign w:val="center"/>
                </w:tcPr>
                <w:p>
                  <w:pPr>
                    <w:pStyle w:val="30"/>
                    <w:spacing w:line="360" w:lineRule="exact"/>
                    <w:rPr>
                      <w:color w:val="000000" w:themeColor="text1"/>
                      <w:szCs w:val="21"/>
                    </w:rPr>
                  </w:pPr>
                  <w:r>
                    <w:rPr>
                      <w:rFonts w:hint="eastAsia"/>
                      <w:color w:val="000000" w:themeColor="text1"/>
                      <w:szCs w:val="21"/>
                    </w:rPr>
                    <w:t>20</w:t>
                  </w:r>
                </w:p>
              </w:tc>
              <w:tc>
                <w:tcPr>
                  <w:tcW w:w="1498" w:type="dxa"/>
                  <w:vAlign w:val="center"/>
                </w:tcPr>
                <w:p>
                  <w:pPr>
                    <w:pStyle w:val="30"/>
                    <w:spacing w:line="360" w:lineRule="exact"/>
                    <w:rPr>
                      <w:color w:val="000000" w:themeColor="text1"/>
                      <w:szCs w:val="21"/>
                    </w:rPr>
                  </w:pPr>
                  <w:r>
                    <w:rPr>
                      <w:color w:val="000000" w:themeColor="text1"/>
                      <w:szCs w:val="21"/>
                    </w:rPr>
                    <w:t>100</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③雨水</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根据《排污许可证申请与核发技术规范 废弃资源加工工业》（HJ1034-2019）</w:t>
            </w:r>
            <w:r>
              <w:rPr>
                <w:rFonts w:ascii="Times New Roman" w:hAnsi="Times New Roman" w:cs="Times New Roman"/>
                <w:color w:val="000000" w:themeColor="text1"/>
                <w:sz w:val="24"/>
                <w:szCs w:val="24"/>
              </w:rPr>
              <w:t>的要求，</w:t>
            </w:r>
            <w:r>
              <w:rPr>
                <w:rFonts w:hint="eastAsia" w:ascii="Times New Roman" w:hAnsi="Times New Roman" w:cs="Times New Roman"/>
                <w:color w:val="000000" w:themeColor="text1"/>
                <w:sz w:val="24"/>
                <w:szCs w:val="24"/>
              </w:rPr>
              <w:t>自行监测需要对雨水排放口进行监测，且执行《污水综合排放标准》（GB8978-1996），而</w:t>
            </w:r>
            <w:r>
              <w:rPr>
                <w:rFonts w:ascii="Times New Roman" w:hAnsi="Times New Roman" w:cs="Times New Roman"/>
                <w:color w:val="000000" w:themeColor="text1"/>
                <w:sz w:val="24"/>
                <w:szCs w:val="24"/>
              </w:rPr>
              <w:t>项目所在区域属于黑泥沟的汇水范围，</w:t>
            </w:r>
            <w:r>
              <w:rPr>
                <w:rFonts w:hint="eastAsia" w:ascii="Times New Roman" w:hAnsi="Times New Roman" w:cs="Times New Roman"/>
                <w:color w:val="000000" w:themeColor="text1"/>
                <w:sz w:val="24"/>
                <w:szCs w:val="24"/>
              </w:rPr>
              <w:t>属于III类水体，因此执行《污水综合排放标准》（GB8978-1996）一级标准。</w:t>
            </w:r>
            <w:r>
              <w:rPr>
                <w:rFonts w:ascii="Times New Roman" w:hAnsi="Times New Roman" w:cs="Times New Roman"/>
                <w:color w:val="000000" w:themeColor="text1"/>
                <w:sz w:val="24"/>
                <w:szCs w:val="24"/>
              </w:rPr>
              <w:t>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表3.4.3-1</w:t>
            </w:r>
            <w:r>
              <w:rPr>
                <w:rFonts w:hint="eastAsia" w:ascii="Times New Roman" w:hAnsi="Times New Roman" w:cs="Times New Roman"/>
                <w:b/>
                <w:color w:val="000000" w:themeColor="text1"/>
                <w:szCs w:val="24"/>
              </w:rPr>
              <w:t>污水综合排放标准一级标准</w:t>
            </w:r>
            <w:r>
              <w:rPr>
                <w:rFonts w:ascii="Times New Roman" w:hAnsi="Times New Roman" w:cs="Times New Roman"/>
                <w:b/>
                <w:color w:val="000000" w:themeColor="text1"/>
                <w:szCs w:val="24"/>
              </w:rPr>
              <w:t>限值  单位：</w:t>
            </w:r>
            <w:r>
              <w:rPr>
                <w:rFonts w:hint="eastAsia" w:ascii="Times New Roman" w:hAnsi="Times New Roman" w:cs="Times New Roman"/>
                <w:b/>
                <w:color w:val="000000" w:themeColor="text1"/>
                <w:szCs w:val="24"/>
              </w:rPr>
              <w:t>mg/L</w:t>
            </w:r>
          </w:p>
          <w:tbl>
            <w:tblPr>
              <w:tblStyle w:val="20"/>
              <w:tblW w:w="904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72"/>
              <w:gridCol w:w="2440"/>
              <w:gridCol w:w="2475"/>
              <w:gridCol w:w="21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72" w:type="dxa"/>
                  <w:vAlign w:val="center"/>
                </w:tcPr>
                <w:p>
                  <w:pPr>
                    <w:pStyle w:val="30"/>
                    <w:spacing w:line="360" w:lineRule="exact"/>
                    <w:rPr>
                      <w:color w:val="000000" w:themeColor="text1"/>
                      <w:szCs w:val="21"/>
                    </w:rPr>
                  </w:pPr>
                  <w:r>
                    <w:rPr>
                      <w:color w:val="000000" w:themeColor="text1"/>
                      <w:szCs w:val="21"/>
                    </w:rPr>
                    <w:t>污染物</w:t>
                  </w:r>
                </w:p>
              </w:tc>
              <w:tc>
                <w:tcPr>
                  <w:tcW w:w="2440" w:type="dxa"/>
                  <w:vAlign w:val="center"/>
                </w:tcPr>
                <w:p>
                  <w:pPr>
                    <w:pStyle w:val="30"/>
                    <w:spacing w:line="360" w:lineRule="exact"/>
                    <w:rPr>
                      <w:color w:val="000000" w:themeColor="text1"/>
                      <w:szCs w:val="21"/>
                    </w:rPr>
                  </w:pPr>
                  <w:r>
                    <w:rPr>
                      <w:rFonts w:hint="eastAsia"/>
                      <w:color w:val="000000" w:themeColor="text1"/>
                      <w:szCs w:val="21"/>
                    </w:rPr>
                    <w:t>SS</w:t>
                  </w:r>
                </w:p>
              </w:tc>
              <w:tc>
                <w:tcPr>
                  <w:tcW w:w="2475" w:type="dxa"/>
                  <w:vAlign w:val="center"/>
                </w:tcPr>
                <w:p>
                  <w:pPr>
                    <w:pStyle w:val="30"/>
                    <w:spacing w:line="360" w:lineRule="exact"/>
                    <w:rPr>
                      <w:color w:val="000000" w:themeColor="text1"/>
                      <w:szCs w:val="21"/>
                    </w:rPr>
                  </w:pPr>
                  <w:r>
                    <w:rPr>
                      <w:rFonts w:hint="eastAsia"/>
                      <w:color w:val="000000" w:themeColor="text1"/>
                      <w:szCs w:val="21"/>
                    </w:rPr>
                    <w:t>CODcr</w:t>
                  </w:r>
                </w:p>
              </w:tc>
              <w:tc>
                <w:tcPr>
                  <w:tcW w:w="2157" w:type="dxa"/>
                  <w:vAlign w:val="center"/>
                </w:tcPr>
                <w:p>
                  <w:pPr>
                    <w:pStyle w:val="30"/>
                    <w:spacing w:line="360" w:lineRule="exact"/>
                    <w:rPr>
                      <w:color w:val="000000" w:themeColor="text1"/>
                      <w:szCs w:val="21"/>
                    </w:rPr>
                  </w:pPr>
                  <w:r>
                    <w:rPr>
                      <w:rFonts w:hint="eastAsia"/>
                      <w:color w:val="000000" w:themeColor="text1"/>
                      <w:szCs w:val="21"/>
                    </w:rPr>
                    <w:t>石油类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72" w:type="dxa"/>
                  <w:vAlign w:val="center"/>
                </w:tcPr>
                <w:p>
                  <w:pPr>
                    <w:pStyle w:val="30"/>
                    <w:spacing w:line="360" w:lineRule="exact"/>
                    <w:rPr>
                      <w:color w:val="000000" w:themeColor="text1"/>
                      <w:szCs w:val="21"/>
                    </w:rPr>
                  </w:pPr>
                  <w:r>
                    <w:rPr>
                      <w:color w:val="000000" w:themeColor="text1"/>
                      <w:szCs w:val="21"/>
                    </w:rPr>
                    <w:t>标准值</w:t>
                  </w:r>
                </w:p>
              </w:tc>
              <w:tc>
                <w:tcPr>
                  <w:tcW w:w="2440" w:type="dxa"/>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70</w:t>
                  </w:r>
                </w:p>
              </w:tc>
              <w:tc>
                <w:tcPr>
                  <w:tcW w:w="2475" w:type="dxa"/>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100</w:t>
                  </w:r>
                </w:p>
              </w:tc>
              <w:tc>
                <w:tcPr>
                  <w:tcW w:w="2157" w:type="dxa"/>
                  <w:vAlign w:val="center"/>
                </w:tcPr>
                <w:p>
                  <w:pPr>
                    <w:pStyle w:val="30"/>
                    <w:spacing w:line="360" w:lineRule="exact"/>
                    <w:rPr>
                      <w:color w:val="000000" w:themeColor="text1"/>
                      <w:szCs w:val="21"/>
                    </w:rPr>
                  </w:pPr>
                  <w:r>
                    <w:rPr>
                      <w:color w:val="000000" w:themeColor="text1"/>
                      <w:szCs w:val="21"/>
                    </w:rPr>
                    <w:t>≤</w:t>
                  </w:r>
                  <w:r>
                    <w:rPr>
                      <w:rFonts w:hint="eastAsia"/>
                      <w:color w:val="000000" w:themeColor="text1"/>
                      <w:szCs w:val="21"/>
                    </w:rPr>
                    <w:t>10</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3.4.3 噪声排放标准</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（1）施工期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施工期噪声排放执行《建筑施工场界噪声环境噪声排放标准》（GB12523-2011）。标准值详见下表。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表3.4.3-1 建筑施工场界噪声标准限值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5"/>
              <w:gridCol w:w="2968"/>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5" w:type="dxa"/>
                  <w:vMerge w:val="restart"/>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控制区域</w:t>
                  </w:r>
                </w:p>
              </w:tc>
              <w:tc>
                <w:tcPr>
                  <w:tcW w:w="5857" w:type="dxa"/>
                  <w:gridSpan w:val="2"/>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5" w:type="dxa"/>
                  <w:vMerge w:val="continue"/>
                  <w:vAlign w:val="center"/>
                </w:tcPr>
                <w:p>
                  <w:pPr>
                    <w:pStyle w:val="30"/>
                    <w:spacing w:line="360" w:lineRule="exact"/>
                    <w:ind w:left="11"/>
                    <w:rPr>
                      <w:rFonts w:eastAsiaTheme="minorEastAsia"/>
                      <w:color w:val="000000" w:themeColor="text1"/>
                      <w:szCs w:val="21"/>
                    </w:rPr>
                  </w:pPr>
                </w:p>
              </w:tc>
              <w:tc>
                <w:tcPr>
                  <w:tcW w:w="2977" w:type="dxa"/>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昼间</w:t>
                  </w:r>
                </w:p>
              </w:tc>
              <w:tc>
                <w:tcPr>
                  <w:tcW w:w="2880" w:type="dxa"/>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215" w:type="dxa"/>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厂界</w:t>
                  </w:r>
                </w:p>
              </w:tc>
              <w:tc>
                <w:tcPr>
                  <w:tcW w:w="2977" w:type="dxa"/>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70</w:t>
                  </w:r>
                </w:p>
              </w:tc>
              <w:tc>
                <w:tcPr>
                  <w:tcW w:w="2880" w:type="dxa"/>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55</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（2）运营期</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项目位于昆明市东川区再就业特区天生桥特色产业园，本项目噪声执行《工业企业厂界环境噪声排放标准》（GB12348-2008）</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类标准。标准限值详见下表。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表3.4.3-2 《工业企业厂界环境噪声排放标准》  Leq[dB（A）</w:t>
            </w:r>
          </w:p>
          <w:tbl>
            <w:tblPr>
              <w:tblStyle w:val="19"/>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925"/>
              <w:gridCol w:w="3069"/>
              <w:gridCol w:w="304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618" w:type="pct"/>
                  <w:vMerge w:val="restart"/>
                  <w:vAlign w:val="center"/>
                </w:tcPr>
                <w:p>
                  <w:pPr>
                    <w:pStyle w:val="30"/>
                    <w:spacing w:line="360" w:lineRule="exact"/>
                    <w:ind w:left="11"/>
                    <w:rPr>
                      <w:rFonts w:eastAsiaTheme="minorEastAsia"/>
                      <w:color w:val="000000" w:themeColor="text1"/>
                      <w:szCs w:val="21"/>
                    </w:rPr>
                  </w:pPr>
                  <w:r>
                    <w:rPr>
                      <w:rFonts w:eastAsiaTheme="minorEastAsia"/>
                      <w:color w:val="000000" w:themeColor="text1"/>
                      <w:szCs w:val="21"/>
                    </w:rPr>
                    <w:t>声环境功能区类别</w:t>
                  </w:r>
                </w:p>
              </w:tc>
              <w:tc>
                <w:tcPr>
                  <w:tcW w:w="3382" w:type="pct"/>
                  <w:gridSpan w:val="2"/>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时段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63" w:hRule="atLeast"/>
                <w:jc w:val="center"/>
              </w:trPr>
              <w:tc>
                <w:tcPr>
                  <w:tcW w:w="1618" w:type="pct"/>
                  <w:vMerge w:val="continue"/>
                  <w:vAlign w:val="center"/>
                </w:tcPr>
                <w:p>
                  <w:pPr>
                    <w:pStyle w:val="30"/>
                    <w:spacing w:line="360" w:lineRule="exact"/>
                    <w:ind w:left="11"/>
                    <w:rPr>
                      <w:rFonts w:eastAsiaTheme="minorEastAsia"/>
                      <w:color w:val="000000" w:themeColor="text1"/>
                      <w:szCs w:val="21"/>
                    </w:rPr>
                  </w:pPr>
                </w:p>
              </w:tc>
              <w:tc>
                <w:tcPr>
                  <w:tcW w:w="1698"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昼间</w:t>
                  </w:r>
                </w:p>
              </w:tc>
              <w:tc>
                <w:tcPr>
                  <w:tcW w:w="1684"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夜间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18" w:type="pct"/>
                  <w:vAlign w:val="center"/>
                </w:tcPr>
                <w:p>
                  <w:pPr>
                    <w:pStyle w:val="30"/>
                    <w:spacing w:line="360" w:lineRule="exact"/>
                    <w:ind w:left="11"/>
                    <w:rPr>
                      <w:rFonts w:eastAsiaTheme="minorEastAsia"/>
                      <w:color w:val="000000" w:themeColor="text1"/>
                      <w:szCs w:val="21"/>
                    </w:rPr>
                  </w:pPr>
                  <w:r>
                    <w:rPr>
                      <w:rFonts w:hint="eastAsia" w:eastAsiaTheme="minorEastAsia"/>
                      <w:color w:val="000000" w:themeColor="text1"/>
                      <w:szCs w:val="21"/>
                    </w:rPr>
                    <w:t>3</w:t>
                  </w:r>
                  <w:r>
                    <w:rPr>
                      <w:rFonts w:eastAsiaTheme="minorEastAsia"/>
                      <w:color w:val="000000" w:themeColor="text1"/>
                      <w:szCs w:val="21"/>
                    </w:rPr>
                    <w:t>类</w:t>
                  </w:r>
                </w:p>
              </w:tc>
              <w:tc>
                <w:tcPr>
                  <w:tcW w:w="1698"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6</w:t>
                  </w:r>
                  <w:r>
                    <w:rPr>
                      <w:rFonts w:hint="eastAsia" w:ascii="Times New Roman" w:hAnsi="Times New Roman" w:cs="Times New Roman"/>
                      <w:bCs/>
                      <w:snapToGrid w:val="0"/>
                      <w:color w:val="000000" w:themeColor="text1"/>
                      <w:kern w:val="32"/>
                      <w:lang w:val="zh-CN"/>
                    </w:rPr>
                    <w:t>5</w:t>
                  </w:r>
                </w:p>
              </w:tc>
              <w:tc>
                <w:tcPr>
                  <w:tcW w:w="1684" w:type="pc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5</w:t>
                  </w:r>
                  <w:r>
                    <w:rPr>
                      <w:rFonts w:hint="eastAsia" w:ascii="Times New Roman" w:hAnsi="Times New Roman" w:cs="Times New Roman"/>
                      <w:bCs/>
                      <w:snapToGrid w:val="0"/>
                      <w:color w:val="000000" w:themeColor="text1"/>
                      <w:kern w:val="32"/>
                      <w:lang w:val="zh-CN"/>
                    </w:rPr>
                    <w:t>5</w:t>
                  </w:r>
                </w:p>
              </w:tc>
            </w:tr>
          </w:tbl>
          <w:p>
            <w:pPr>
              <w:pStyle w:val="38"/>
              <w:spacing w:beforeLines="50"/>
              <w:ind w:firstLine="482"/>
              <w:rPr>
                <w:rFonts w:eastAsiaTheme="minorEastAsia"/>
                <w:b/>
                <w:color w:val="000000" w:themeColor="text1"/>
                <w:szCs w:val="24"/>
              </w:rPr>
            </w:pPr>
            <w:r>
              <w:rPr>
                <w:rFonts w:eastAsiaTheme="minorEastAsia"/>
                <w:b/>
                <w:color w:val="000000" w:themeColor="text1"/>
                <w:szCs w:val="24"/>
              </w:rPr>
              <w:t>3.4.4 固废执行标准</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1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①</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危险废物执行《危险废物贮存污染控制标准》（GB18597-2001）及修改单。</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 2 \* GB3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②</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一般固体废物处置执行《一般工业固体废物贮存和填埋污染控制标准》（GB18599-2020）。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 w:hRule="atLeast"/>
          <w:jc w:val="center"/>
        </w:trPr>
        <w:tc>
          <w:tcPr>
            <w:tcW w:w="9270"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总量控制指标</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根据《建设项目环境影响报告表编制技术指南》（污染影响类）（试行）的要求，总量指标主要为地方生态环境主管部门核定的总量控制指标。</w:t>
            </w:r>
          </w:p>
          <w:p>
            <w:pPr>
              <w:autoSpaceDE w:val="0"/>
              <w:autoSpaceDN w:val="0"/>
              <w:spacing w:line="360" w:lineRule="auto"/>
              <w:ind w:firstLine="241" w:firstLineChars="1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3.5 总量控制指标</w:t>
            </w:r>
          </w:p>
          <w:p>
            <w:pPr>
              <w:pStyle w:val="38"/>
              <w:ind w:firstLine="482"/>
              <w:rPr>
                <w:rFonts w:eastAsiaTheme="minorEastAsia"/>
                <w:b/>
                <w:color w:val="000000" w:themeColor="text1"/>
                <w:szCs w:val="24"/>
              </w:rPr>
            </w:pPr>
            <w:r>
              <w:rPr>
                <w:rFonts w:hint="eastAsia" w:eastAsiaTheme="minorEastAsia"/>
                <w:b/>
                <w:color w:val="000000" w:themeColor="text1"/>
                <w:szCs w:val="24"/>
              </w:rPr>
              <w:t>3.5.1 现有工程总量控制指标</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Pr>
                <w:rFonts w:hint="eastAsia" w:ascii="Times New Roman" w:hAnsi="Times New Roman" w:cs="Times New Roman"/>
                <w:b/>
                <w:color w:val="000000" w:themeColor="text1"/>
                <w:sz w:val="24"/>
                <w:szCs w:val="24"/>
              </w:rPr>
              <w:t>现有</w:t>
            </w:r>
            <w:r>
              <w:rPr>
                <w:rFonts w:ascii="Times New Roman" w:hAnsi="Times New Roman" w:cs="Times New Roman"/>
                <w:b/>
                <w:color w:val="000000" w:themeColor="text1"/>
                <w:sz w:val="24"/>
                <w:szCs w:val="24"/>
              </w:rPr>
              <w:t>废气产排量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现有工程粉尘有组织排放量为1.989t/a、粉尘无组织排放量为5.403t/a、非甲烷总烃有组织排放量</w:t>
            </w:r>
            <w:r>
              <w:rPr>
                <w:rFonts w:ascii="Times New Roman" w:hAnsi="Times New Roman" w:cs="Times New Roman"/>
                <w:color w:val="000000" w:themeColor="text1"/>
                <w:sz w:val="24"/>
                <w:szCs w:val="24"/>
              </w:rPr>
              <w:t>0.06</w:t>
            </w:r>
            <w:r>
              <w:rPr>
                <w:rFonts w:hint="eastAsia" w:ascii="Times New Roman" w:hAnsi="Times New Roman" w:cs="Times New Roman"/>
                <w:color w:val="000000" w:themeColor="text1"/>
                <w:sz w:val="24"/>
                <w:szCs w:val="24"/>
              </w:rPr>
              <w:t>t/a、非甲烷总烃无组织排放量</w:t>
            </w:r>
            <w:r>
              <w:rPr>
                <w:rFonts w:ascii="Times New Roman" w:hAnsi="Times New Roman" w:cs="Times New Roman"/>
                <w:color w:val="000000" w:themeColor="text1"/>
                <w:sz w:val="24"/>
                <w:szCs w:val="24"/>
              </w:rPr>
              <w:t>0.03</w:t>
            </w:r>
            <w:r>
              <w:rPr>
                <w:rFonts w:hint="eastAsia" w:ascii="Times New Roman" w:hAnsi="Times New Roman" w:cs="Times New Roman"/>
                <w:color w:val="000000" w:themeColor="text1"/>
                <w:sz w:val="24"/>
                <w:szCs w:val="24"/>
              </w:rPr>
              <w:t>t/a、铅及其化合物有组织排放量0.0009t/a、铅及其化合物无组织排放量0.0019t/a。</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现有工程</w:t>
            </w:r>
            <w:r>
              <w:rPr>
                <w:rFonts w:ascii="Times New Roman" w:hAnsi="Times New Roman" w:cs="Times New Roman"/>
                <w:b/>
                <w:color w:val="000000" w:themeColor="text1"/>
                <w:sz w:val="24"/>
                <w:szCs w:val="24"/>
              </w:rPr>
              <w:t>废水产排量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现有工程产生的废水主要为平衡盐水和生活污水；平衡盐水产生量为0.005</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/d，已设置了1个2m³的盐水缸对其进行收集，按1：8的比例稀释后回用于绿化，不外排；生活污水产生量为1488</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/a，其</w:t>
            </w:r>
            <w:r>
              <w:rPr>
                <w:rFonts w:ascii="Times New Roman" w:hAnsi="Times New Roman" w:cs="Times New Roman"/>
                <w:color w:val="000000" w:themeColor="text1"/>
                <w:sz w:val="24"/>
                <w:szCs w:val="24"/>
              </w:rPr>
              <w:t>CODcr</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0.52</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BOD</w:t>
            </w:r>
            <w:r>
              <w:rPr>
                <w:rFonts w:ascii="Times New Roman" w:hAnsi="Times New Roman" w:cs="Times New Roman"/>
                <w:color w:val="000000" w:themeColor="text1"/>
                <w:sz w:val="24"/>
                <w:szCs w:val="24"/>
                <w:vertAlign w:val="subscript"/>
              </w:rPr>
              <w:t>5</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0.33</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0.06</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SS</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0.45</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、总磷产生量</w:t>
            </w:r>
            <w:r>
              <w:rPr>
                <w:rFonts w:ascii="Times New Roman" w:hAnsi="Times New Roman" w:cs="Times New Roman"/>
                <w:color w:val="000000" w:themeColor="text1"/>
                <w:sz w:val="24"/>
                <w:szCs w:val="24"/>
              </w:rPr>
              <w:t>0.01</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、总氮产生量</w:t>
            </w:r>
            <w:r>
              <w:rPr>
                <w:rFonts w:ascii="Times New Roman" w:hAnsi="Times New Roman" w:cs="Times New Roman"/>
                <w:color w:val="000000" w:themeColor="text1"/>
                <w:sz w:val="24"/>
                <w:szCs w:val="24"/>
              </w:rPr>
              <w:t>0.07</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、动植物油产生量</w:t>
            </w:r>
            <w:r>
              <w:rPr>
                <w:rFonts w:ascii="Times New Roman" w:hAnsi="Times New Roman" w:cs="Times New Roman"/>
                <w:color w:val="000000" w:themeColor="text1"/>
                <w:sz w:val="24"/>
                <w:szCs w:val="24"/>
              </w:rPr>
              <w:t>0.15</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、阴离子表面活性剂产生量</w:t>
            </w:r>
            <w:r>
              <w:rPr>
                <w:rFonts w:ascii="Times New Roman" w:hAnsi="Times New Roman" w:cs="Times New Roman"/>
                <w:color w:val="000000" w:themeColor="text1"/>
                <w:sz w:val="24"/>
                <w:szCs w:val="24"/>
              </w:rPr>
              <w:t>0.02</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经</w:t>
            </w:r>
            <w:r>
              <w:rPr>
                <w:rFonts w:hint="eastAsia" w:ascii="Times New Roman" w:hAnsi="Times New Roman" w:cs="Times New Roman"/>
                <w:color w:val="000000" w:themeColor="text1"/>
                <w:sz w:val="24"/>
                <w:szCs w:val="24"/>
              </w:rPr>
              <w:t>隔油池、化粪池和</w:t>
            </w:r>
            <w:r>
              <w:rPr>
                <w:rFonts w:ascii="Times New Roman" w:hAnsi="Times New Roman" w:cs="Times New Roman"/>
                <w:color w:val="000000" w:themeColor="text1"/>
                <w:sz w:val="24"/>
                <w:szCs w:val="24"/>
              </w:rPr>
              <w:t>污水收集池处理后</w:t>
            </w:r>
            <w:r>
              <w:rPr>
                <w:rFonts w:hint="eastAsia" w:ascii="Times New Roman" w:hAnsi="Times New Roman" w:cs="Times New Roman"/>
                <w:color w:val="000000" w:themeColor="text1"/>
                <w:sz w:val="24"/>
                <w:szCs w:val="24"/>
              </w:rPr>
              <w:t>回用于厂区绿化，不外排。</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Pr>
                <w:rFonts w:hint="eastAsia" w:ascii="Times New Roman" w:hAnsi="Times New Roman" w:cs="Times New Roman"/>
                <w:b/>
                <w:color w:val="000000" w:themeColor="text1"/>
                <w:sz w:val="24"/>
                <w:szCs w:val="24"/>
              </w:rPr>
              <w:t>现有工程</w:t>
            </w:r>
            <w:r>
              <w:rPr>
                <w:rFonts w:ascii="Times New Roman" w:hAnsi="Times New Roman" w:cs="Times New Roman"/>
                <w:b/>
                <w:color w:val="000000" w:themeColor="text1"/>
                <w:sz w:val="24"/>
                <w:szCs w:val="24"/>
              </w:rPr>
              <w:t>固体废物</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现有项目固体废物处置率为100%。</w:t>
            </w:r>
          </w:p>
          <w:p>
            <w:pPr>
              <w:pStyle w:val="38"/>
              <w:ind w:firstLine="482"/>
              <w:rPr>
                <w:rFonts w:eastAsiaTheme="minorEastAsia"/>
                <w:b/>
                <w:color w:val="000000" w:themeColor="text1"/>
                <w:szCs w:val="24"/>
              </w:rPr>
            </w:pPr>
            <w:r>
              <w:rPr>
                <w:rFonts w:hint="eastAsia" w:eastAsiaTheme="minorEastAsia"/>
                <w:b/>
                <w:color w:val="000000" w:themeColor="text1"/>
                <w:szCs w:val="24"/>
              </w:rPr>
              <w:t>3.5.2 本项目污染物排放量</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Pr>
                <w:rFonts w:hint="eastAsia" w:ascii="Times New Roman" w:hAnsi="Times New Roman" w:cs="Times New Roman"/>
                <w:b/>
                <w:color w:val="000000" w:themeColor="text1"/>
                <w:sz w:val="24"/>
                <w:szCs w:val="24"/>
              </w:rPr>
              <w:t>技改项目</w:t>
            </w:r>
            <w:r>
              <w:rPr>
                <w:rFonts w:ascii="Times New Roman" w:hAnsi="Times New Roman" w:cs="Times New Roman"/>
                <w:b/>
                <w:color w:val="000000" w:themeColor="text1"/>
                <w:sz w:val="24"/>
                <w:szCs w:val="24"/>
              </w:rPr>
              <w:t>废气</w:t>
            </w:r>
            <w:r>
              <w:rPr>
                <w:rFonts w:hint="eastAsia" w:ascii="Times New Roman" w:hAnsi="Times New Roman" w:cs="Times New Roman"/>
                <w:b/>
                <w:color w:val="000000" w:themeColor="text1"/>
                <w:sz w:val="24"/>
                <w:szCs w:val="24"/>
              </w:rPr>
              <w:t>排放</w:t>
            </w:r>
            <w:r>
              <w:rPr>
                <w:rFonts w:ascii="Times New Roman" w:hAnsi="Times New Roman" w:cs="Times New Roman"/>
                <w:b/>
                <w:color w:val="000000" w:themeColor="text1"/>
                <w:sz w:val="24"/>
                <w:szCs w:val="24"/>
              </w:rPr>
              <w:t>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技改项目建成后粉尘有组织排放量为2.104t/a、粉尘无组织排放量为</w:t>
            </w:r>
            <w:r>
              <w:rPr>
                <w:rFonts w:ascii="Times New Roman" w:hAnsi="Times New Roman" w:cs="Times New Roman"/>
                <w:color w:val="000000" w:themeColor="text1"/>
                <w:sz w:val="24"/>
                <w:szCs w:val="24"/>
              </w:rPr>
              <w:t>5.655</w:t>
            </w:r>
            <w:r>
              <w:rPr>
                <w:rFonts w:hint="eastAsia" w:ascii="Times New Roman" w:hAnsi="Times New Roman" w:cs="Times New Roman"/>
                <w:color w:val="000000" w:themeColor="text1"/>
                <w:sz w:val="24"/>
                <w:szCs w:val="24"/>
              </w:rPr>
              <w:t>t/a、非甲烷总烃有组织排放量</w:t>
            </w:r>
            <w:r>
              <w:rPr>
                <w:rFonts w:ascii="Times New Roman" w:hAnsi="Times New Roman" w:cs="Times New Roman"/>
                <w:color w:val="000000" w:themeColor="text1"/>
                <w:sz w:val="24"/>
                <w:szCs w:val="24"/>
              </w:rPr>
              <w:t>0.06</w:t>
            </w:r>
            <w:r>
              <w:rPr>
                <w:rFonts w:hint="eastAsia" w:ascii="Times New Roman" w:hAnsi="Times New Roman" w:cs="Times New Roman"/>
                <w:color w:val="000000" w:themeColor="text1"/>
                <w:sz w:val="24"/>
                <w:szCs w:val="24"/>
              </w:rPr>
              <w:t>t/a、非甲烷总烃无组织排放量</w:t>
            </w:r>
            <w:r>
              <w:rPr>
                <w:rFonts w:ascii="Times New Roman" w:hAnsi="Times New Roman" w:cs="Times New Roman"/>
                <w:color w:val="000000" w:themeColor="text1"/>
                <w:sz w:val="24"/>
                <w:szCs w:val="24"/>
              </w:rPr>
              <w:t>0.03</w:t>
            </w:r>
            <w:r>
              <w:rPr>
                <w:rFonts w:hint="eastAsia" w:ascii="Times New Roman" w:hAnsi="Times New Roman" w:cs="Times New Roman"/>
                <w:color w:val="000000" w:themeColor="text1"/>
                <w:sz w:val="24"/>
                <w:szCs w:val="24"/>
              </w:rPr>
              <w:t>t/a、铅及其化合物有组织排放量0.0009t/a、铅及其化合物无组织排放量0.0019t/a、汞及其化合物排放量</w:t>
            </w:r>
            <w:r>
              <w:rPr>
                <w:rFonts w:ascii="Times New Roman" w:hAnsi="Times New Roman" w:cs="Times New Roman"/>
                <w:color w:val="000000" w:themeColor="text1"/>
                <w:sz w:val="24"/>
                <w:szCs w:val="24"/>
              </w:rPr>
              <w:t>0.00004</w:t>
            </w:r>
            <w:r>
              <w:rPr>
                <w:rFonts w:hint="eastAsia" w:ascii="Times New Roman" w:hAnsi="Times New Roman" w:cs="Times New Roman"/>
                <w:color w:val="000000" w:themeColor="text1"/>
                <w:sz w:val="24"/>
                <w:szCs w:val="24"/>
              </w:rPr>
              <w:t>t/a。</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hint="eastAsia" w:ascii="Times New Roman" w:hAnsi="Times New Roman" w:cs="Times New Roman"/>
                <w:b/>
                <w:color w:val="000000" w:themeColor="text1"/>
                <w:sz w:val="24"/>
                <w:szCs w:val="24"/>
              </w:rPr>
              <w:t>技改项目</w:t>
            </w:r>
            <w:r>
              <w:rPr>
                <w:rFonts w:ascii="Times New Roman" w:hAnsi="Times New Roman" w:cs="Times New Roman"/>
                <w:b/>
                <w:color w:val="000000" w:themeColor="text1"/>
                <w:sz w:val="24"/>
                <w:szCs w:val="24"/>
              </w:rPr>
              <w:t>废水产排量</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技改项目建成后产生的废水主要为平衡盐水、生活污水和初期雨水；平衡盐水产生量为0.005</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/d，已设置了1个2m³的盐水缸对其进行收集，按1：8的比例稀释后回用于绿化，不外排；生活污水产生量为1488</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/a，其</w:t>
            </w:r>
            <w:r>
              <w:rPr>
                <w:rFonts w:ascii="Times New Roman" w:hAnsi="Times New Roman" w:cs="Times New Roman"/>
                <w:color w:val="000000" w:themeColor="text1"/>
                <w:sz w:val="24"/>
                <w:szCs w:val="24"/>
              </w:rPr>
              <w:t>CODcr</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0.52</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BOD</w:t>
            </w:r>
            <w:r>
              <w:rPr>
                <w:rFonts w:ascii="Times New Roman" w:hAnsi="Times New Roman" w:cs="Times New Roman"/>
                <w:color w:val="000000" w:themeColor="text1"/>
                <w:sz w:val="24"/>
                <w:szCs w:val="24"/>
                <w:vertAlign w:val="subscript"/>
              </w:rPr>
              <w:t>5</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0.33</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0.06</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SS</w:t>
            </w:r>
            <w:r>
              <w:rPr>
                <w:rFonts w:hint="eastAsia" w:ascii="Times New Roman" w:hAnsi="Times New Roman" w:cs="Times New Roman"/>
                <w:color w:val="000000" w:themeColor="text1"/>
                <w:sz w:val="24"/>
                <w:szCs w:val="24"/>
              </w:rPr>
              <w:t>产生量</w:t>
            </w:r>
            <w:r>
              <w:rPr>
                <w:rFonts w:ascii="Times New Roman" w:hAnsi="Times New Roman" w:cs="Times New Roman"/>
                <w:color w:val="000000" w:themeColor="text1"/>
                <w:sz w:val="24"/>
                <w:szCs w:val="24"/>
              </w:rPr>
              <w:t>0.45</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、总磷产生量</w:t>
            </w:r>
            <w:r>
              <w:rPr>
                <w:rFonts w:ascii="Times New Roman" w:hAnsi="Times New Roman" w:cs="Times New Roman"/>
                <w:color w:val="000000" w:themeColor="text1"/>
                <w:sz w:val="24"/>
                <w:szCs w:val="24"/>
              </w:rPr>
              <w:t>0.01</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、总氮产生量</w:t>
            </w:r>
            <w:r>
              <w:rPr>
                <w:rFonts w:ascii="Times New Roman" w:hAnsi="Times New Roman" w:cs="Times New Roman"/>
                <w:color w:val="000000" w:themeColor="text1"/>
                <w:sz w:val="24"/>
                <w:szCs w:val="24"/>
              </w:rPr>
              <w:t>0.07</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、动植物油产生量</w:t>
            </w:r>
            <w:r>
              <w:rPr>
                <w:rFonts w:ascii="Times New Roman" w:hAnsi="Times New Roman" w:cs="Times New Roman"/>
                <w:color w:val="000000" w:themeColor="text1"/>
                <w:sz w:val="24"/>
                <w:szCs w:val="24"/>
              </w:rPr>
              <w:t>0.15</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、阴离子表面活性剂产生量</w:t>
            </w:r>
            <w:r>
              <w:rPr>
                <w:rFonts w:ascii="Times New Roman" w:hAnsi="Times New Roman" w:cs="Times New Roman"/>
                <w:color w:val="000000" w:themeColor="text1"/>
                <w:sz w:val="24"/>
                <w:szCs w:val="24"/>
              </w:rPr>
              <w:t>0.02</w:t>
            </w:r>
            <w:r>
              <w:rPr>
                <w:rFonts w:hint="eastAsia"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近期（园区污水处理厂建成前），</w:t>
            </w:r>
            <w:r>
              <w:rPr>
                <w:rFonts w:ascii="Times New Roman" w:hAnsi="Times New Roman" w:cs="Times New Roman"/>
                <w:color w:val="000000" w:themeColor="text1"/>
                <w:sz w:val="24"/>
                <w:szCs w:val="24"/>
              </w:rPr>
              <w:t>经隔油池、化粪池</w:t>
            </w:r>
            <w:r>
              <w:rPr>
                <w:rFonts w:hint="eastAsia" w:ascii="Times New Roman" w:hAnsi="Times New Roman" w:cs="Times New Roman"/>
                <w:color w:val="000000" w:themeColor="text1"/>
                <w:sz w:val="24"/>
                <w:szCs w:val="24"/>
              </w:rPr>
              <w:t>和</w:t>
            </w:r>
            <w:r>
              <w:rPr>
                <w:rFonts w:ascii="Times New Roman" w:hAnsi="Times New Roman" w:cs="Times New Roman"/>
                <w:color w:val="000000" w:themeColor="text1"/>
                <w:sz w:val="24"/>
                <w:szCs w:val="24"/>
              </w:rPr>
              <w:t>一体化污水处理设施</w:t>
            </w:r>
            <w:r>
              <w:rPr>
                <w:rFonts w:hint="eastAsia" w:ascii="Times New Roman" w:hAnsi="Times New Roman" w:cs="Times New Roman"/>
                <w:color w:val="000000" w:themeColor="text1"/>
                <w:sz w:val="24"/>
                <w:szCs w:val="24"/>
              </w:rPr>
              <w:t>处理后</w:t>
            </w:r>
            <w:r>
              <w:rPr>
                <w:rFonts w:ascii="Times New Roman" w:hAnsi="Times New Roman" w:cs="Times New Roman"/>
                <w:color w:val="000000" w:themeColor="text1"/>
                <w:sz w:val="24"/>
                <w:szCs w:val="24"/>
              </w:rPr>
              <w:t>回用于项目区绿化</w:t>
            </w:r>
            <w:r>
              <w:rPr>
                <w:rFonts w:hint="eastAsia" w:ascii="Times New Roman" w:hAnsi="Times New Roman" w:cs="Times New Roman"/>
                <w:color w:val="000000" w:themeColor="text1"/>
                <w:sz w:val="24"/>
                <w:szCs w:val="24"/>
              </w:rPr>
              <w:t>；</w:t>
            </w:r>
            <w:r>
              <w:rPr>
                <w:rFonts w:ascii="Times New Roman" w:cs="Times New Roman" w:hAnsiTheme="minorEastAsia"/>
                <w:color w:val="000000" w:themeColor="text1"/>
                <w:sz w:val="24"/>
                <w:szCs w:val="24"/>
              </w:rPr>
              <w:t>远期（园区污水处理厂建成后），项目产生的生活污水通过隔油池、化粪池预处理</w:t>
            </w:r>
            <w:r>
              <w:rPr>
                <w:rFonts w:hint="eastAsia" w:ascii="Times New Roman" w:cs="Times New Roman" w:hAnsiTheme="minorEastAsia"/>
                <w:color w:val="000000" w:themeColor="text1"/>
                <w:sz w:val="24"/>
                <w:szCs w:val="24"/>
              </w:rPr>
              <w:t>达到</w:t>
            </w:r>
            <w:r>
              <w:rPr>
                <w:rFonts w:ascii="Times New Roman" w:cs="Times New Roman" w:hAnsiTheme="minorEastAsia"/>
                <w:color w:val="000000" w:themeColor="text1"/>
                <w:sz w:val="24"/>
                <w:szCs w:val="24"/>
              </w:rPr>
              <w:t>《污水排入城镇下水道水质标准》（GB/T31962-2015）中B级标准</w:t>
            </w:r>
            <w:r>
              <w:rPr>
                <w:rFonts w:hint="eastAsia" w:ascii="Times New Roman" w:cs="Times New Roman" w:hAnsiTheme="minorEastAsia"/>
                <w:color w:val="000000" w:themeColor="text1"/>
                <w:sz w:val="24"/>
                <w:szCs w:val="24"/>
              </w:rPr>
              <w:t>，</w:t>
            </w:r>
            <w:r>
              <w:rPr>
                <w:rFonts w:ascii="Times New Roman" w:cs="Times New Roman" w:hAnsiTheme="minorEastAsia"/>
                <w:color w:val="000000" w:themeColor="text1"/>
                <w:sz w:val="24"/>
                <w:szCs w:val="24"/>
              </w:rPr>
              <w:t>进入东川再就业特区天生桥特色产业园污水处理厂集中处理</w:t>
            </w:r>
            <w:r>
              <w:rPr>
                <w:rFonts w:hint="eastAsia" w:ascii="Times New Roman" w:cs="Times New Roman" w:hAnsiTheme="minorEastAsia"/>
                <w:color w:val="000000" w:themeColor="text1"/>
                <w:sz w:val="24"/>
                <w:szCs w:val="24"/>
              </w:rPr>
              <w:t>；因此远期</w:t>
            </w:r>
            <w:r>
              <w:rPr>
                <w:rFonts w:ascii="Times New Roman" w:cs="Times New Roman" w:hAnsiTheme="minorEastAsia"/>
                <w:color w:val="000000" w:themeColor="text1"/>
                <w:sz w:val="24"/>
                <w:szCs w:val="24"/>
              </w:rPr>
              <w:t>总量纳入东川再就业特区天生桥特色产业园污水处理厂进行管理。</w:t>
            </w:r>
            <w:r>
              <w:rPr>
                <w:rFonts w:hint="eastAsia" w:ascii="Times New Roman" w:hAnsi="Times New Roman" w:cs="Times New Roman"/>
                <w:color w:val="000000" w:themeColor="text1"/>
                <w:sz w:val="24"/>
                <w:szCs w:val="24"/>
              </w:rPr>
              <w:t>初期雨水产生量为11.50m³/次，经1个30m³的初期雨水收集池</w:t>
            </w:r>
            <w:r>
              <w:rPr>
                <w:rFonts w:ascii="Times New Roman" w:hAnsi="Times New Roman" w:cs="Times New Roman"/>
                <w:color w:val="000000" w:themeColor="text1"/>
                <w:sz w:val="24"/>
                <w:szCs w:val="24"/>
              </w:rPr>
              <w:t>，对厂区的初期雨水进行收集</w:t>
            </w:r>
            <w:r>
              <w:rPr>
                <w:rFonts w:hint="eastAsia" w:ascii="Times New Roman" w:hAnsi="Times New Roman" w:cs="Times New Roman"/>
                <w:color w:val="000000" w:themeColor="text1"/>
                <w:sz w:val="24"/>
                <w:szCs w:val="24"/>
              </w:rPr>
              <w:t>沉淀处理后</w:t>
            </w:r>
            <w:r>
              <w:rPr>
                <w:rFonts w:ascii="Times New Roman" w:hAnsi="Times New Roman" w:cs="Times New Roman"/>
                <w:color w:val="000000" w:themeColor="text1"/>
                <w:sz w:val="24"/>
                <w:szCs w:val="24"/>
              </w:rPr>
              <w:t>回用于项目区绿化</w:t>
            </w:r>
            <w:r>
              <w:rPr>
                <w:rFonts w:hint="eastAsia" w:ascii="Times New Roman" w:hAnsi="Times New Roman" w:cs="Times New Roman"/>
                <w:color w:val="000000" w:themeColor="text1"/>
                <w:sz w:val="24"/>
                <w:szCs w:val="24"/>
              </w:rPr>
              <w:t>，不外排。</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Pr>
                <w:rFonts w:hint="eastAsia" w:ascii="Times New Roman" w:hAnsi="Times New Roman" w:cs="Times New Roman"/>
                <w:b/>
                <w:color w:val="000000" w:themeColor="text1"/>
                <w:sz w:val="24"/>
                <w:szCs w:val="24"/>
              </w:rPr>
              <w:t>技改项目</w:t>
            </w:r>
            <w:r>
              <w:rPr>
                <w:rFonts w:ascii="Times New Roman" w:hAnsi="Times New Roman" w:cs="Times New Roman"/>
                <w:b/>
                <w:color w:val="000000" w:themeColor="text1"/>
                <w:sz w:val="24"/>
                <w:szCs w:val="24"/>
              </w:rPr>
              <w:t>固体废物</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技改项目固体废物处置率为100%。</w:t>
            </w:r>
          </w:p>
          <w:p>
            <w:pPr>
              <w:pStyle w:val="38"/>
              <w:ind w:firstLine="482"/>
              <w:rPr>
                <w:rFonts w:eastAsiaTheme="minorEastAsia"/>
                <w:b/>
                <w:color w:val="000000" w:themeColor="text1"/>
                <w:szCs w:val="24"/>
              </w:rPr>
            </w:pPr>
            <w:r>
              <w:rPr>
                <w:rFonts w:hint="eastAsia" w:eastAsiaTheme="minorEastAsia"/>
                <w:b/>
                <w:color w:val="000000" w:themeColor="text1"/>
                <w:szCs w:val="24"/>
              </w:rPr>
              <w:t>3.5.3 总量控制指标及来源</w:t>
            </w:r>
          </w:p>
          <w:p>
            <w:pPr>
              <w:spacing w:line="360" w:lineRule="auto"/>
              <w:ind w:firstLine="480" w:firstLineChars="200"/>
              <w:rPr>
                <w:rFonts w:ascii="Times New Roman" w:hAnsi="Times New Roman" w:cs="Times New Roman"/>
                <w:color w:val="000000" w:themeColor="text1"/>
                <w:sz w:val="24"/>
                <w:highlight w:val="yellow"/>
              </w:rPr>
            </w:pPr>
            <w:r>
              <w:rPr>
                <w:rFonts w:ascii="Times New Roman" w:hAnsi="Times New Roman" w:cs="Times New Roman"/>
                <w:color w:val="000000" w:themeColor="text1"/>
                <w:sz w:val="24"/>
                <w:szCs w:val="24"/>
              </w:rPr>
              <w:t>根据国家要求，需进行总量控制指标的因子主要包括有组织排放的SO</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、NOx、有机废气和CODcr、NH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w:t>
            </w:r>
            <w:r>
              <w:rPr>
                <w:rFonts w:hint="eastAsia" w:ascii="Times New Roman" w:hAnsi="Times New Roman" w:cs="Times New Roman"/>
                <w:color w:val="000000" w:themeColor="text1"/>
                <w:sz w:val="24"/>
                <w:szCs w:val="24"/>
              </w:rPr>
              <w:t>项目</w:t>
            </w:r>
            <w:r>
              <w:rPr>
                <w:rFonts w:ascii="Times New Roman" w:hAnsi="Times New Roman" w:cs="Times New Roman"/>
                <w:color w:val="000000" w:themeColor="text1"/>
                <w:sz w:val="24"/>
                <w:szCs w:val="24"/>
              </w:rPr>
              <w:t>远期项目排放的CODcr、NH</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-N总量纳入东川再就业特区天生桥特色产业园污水处理厂进行管理。综上，本项目无总量控制指。</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综上，项目总量控制指标为有组织非甲烷总烃</w:t>
            </w:r>
            <w:r>
              <w:rPr>
                <w:rFonts w:ascii="Times New Roman" w:hAnsi="Times New Roman" w:cs="Times New Roman"/>
                <w:color w:val="000000" w:themeColor="text1"/>
                <w:sz w:val="24"/>
                <w:szCs w:val="24"/>
              </w:rPr>
              <w:t>0.06</w:t>
            </w:r>
            <w:r>
              <w:rPr>
                <w:rFonts w:hint="eastAsia" w:ascii="Times New Roman" w:hAnsi="Times New Roman" w:cs="Times New Roman"/>
                <w:color w:val="000000" w:themeColor="text1"/>
                <w:sz w:val="24"/>
                <w:szCs w:val="24"/>
              </w:rPr>
              <w:t>t/a。</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四、主要环境影响和保护措施</w:t>
      </w:r>
    </w:p>
    <w:tbl>
      <w:tblPr>
        <w:tblStyle w:val="20"/>
        <w:tblW w:w="92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施工期环境保护措施</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4.1 施工期环境保护措施</w:t>
            </w:r>
          </w:p>
          <w:p>
            <w:pPr>
              <w:pStyle w:val="38"/>
              <w:ind w:firstLine="482"/>
              <w:rPr>
                <w:rFonts w:eastAsiaTheme="minorEastAsia"/>
                <w:b/>
                <w:color w:val="000000" w:themeColor="text1"/>
                <w:szCs w:val="24"/>
              </w:rPr>
            </w:pPr>
            <w:r>
              <w:rPr>
                <w:rFonts w:eastAsiaTheme="minorEastAsia"/>
                <w:b/>
                <w:color w:val="000000" w:themeColor="text1"/>
                <w:szCs w:val="24"/>
              </w:rPr>
              <w:t>4.1.1 施工期废气污染防治措施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该项目主要对生产设备及环保设备的安装，安装过程会使用焊接等工艺，因此施工过程会产生焊接烟尘等，但施工量较小，产生量较小。</w:t>
            </w:r>
          </w:p>
          <w:p>
            <w:pPr>
              <w:pStyle w:val="38"/>
              <w:ind w:firstLine="482"/>
              <w:rPr>
                <w:rFonts w:eastAsiaTheme="minorEastAsia"/>
                <w:b/>
                <w:color w:val="000000" w:themeColor="text1"/>
                <w:szCs w:val="24"/>
              </w:rPr>
            </w:pPr>
            <w:r>
              <w:rPr>
                <w:rFonts w:eastAsiaTheme="minorEastAsia"/>
                <w:b/>
                <w:color w:val="000000" w:themeColor="text1"/>
                <w:szCs w:val="24"/>
              </w:rPr>
              <w:t>4.1.2 施工期废水污染防治措施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项目施工量较小，施工过程使用的少量施工用水全部自然蒸发，无施工废水产生。而施工期项目区不设施工营地，施工人员食宿全部在项目区外食宿，项目区无生活污水产生。项目施工期无废水外排</w:t>
            </w:r>
            <w:r>
              <w:rPr>
                <w:rFonts w:hint="eastAsia" w:ascii="Times New Roman" w:hAnsi="Times New Roman" w:cs="Times New Roman"/>
                <w:color w:val="000000" w:themeColor="text1"/>
                <w:sz w:val="24"/>
                <w:szCs w:val="24"/>
              </w:rPr>
              <w:t>。</w:t>
            </w:r>
          </w:p>
          <w:p>
            <w:pPr>
              <w:pStyle w:val="38"/>
              <w:ind w:firstLine="482"/>
              <w:rPr>
                <w:rFonts w:eastAsiaTheme="minorEastAsia"/>
                <w:b/>
                <w:color w:val="000000" w:themeColor="text1"/>
                <w:szCs w:val="24"/>
              </w:rPr>
            </w:pPr>
            <w:r>
              <w:rPr>
                <w:rFonts w:eastAsiaTheme="minorEastAsia"/>
                <w:b/>
                <w:color w:val="000000" w:themeColor="text1"/>
                <w:szCs w:val="24"/>
              </w:rPr>
              <w:t>4.1.3 施工期噪声污染防治措施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该项目对设备进行安装，在安装过程会有安装设备噪声，其源强在70-95dB之间，噪声具有间歇性。噪声产生量较小</w:t>
            </w:r>
            <w:r>
              <w:rPr>
                <w:rFonts w:hint="eastAsia" w:ascii="Times New Roman" w:hAnsi="Times New Roman" w:cs="Times New Roman"/>
                <w:color w:val="000000" w:themeColor="text1"/>
                <w:sz w:val="24"/>
                <w:szCs w:val="24"/>
              </w:rPr>
              <w:t>。</w:t>
            </w:r>
          </w:p>
          <w:p>
            <w:pPr>
              <w:pStyle w:val="38"/>
              <w:ind w:firstLine="482"/>
              <w:rPr>
                <w:rFonts w:eastAsiaTheme="minorEastAsia"/>
                <w:b/>
                <w:color w:val="000000" w:themeColor="text1"/>
                <w:szCs w:val="24"/>
              </w:rPr>
            </w:pPr>
            <w:r>
              <w:rPr>
                <w:rFonts w:eastAsiaTheme="minorEastAsia"/>
                <w:b/>
                <w:color w:val="000000" w:themeColor="text1"/>
                <w:szCs w:val="24"/>
              </w:rPr>
              <w:t>4.1.4 施工期固体废物污染防治措施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项目主要固体废物主要为建筑垃圾，产生量约为0.</w:t>
            </w:r>
            <w:r>
              <w:rPr>
                <w:rFonts w:hint="eastAsia"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t，可回收的进行回收利用，不可回收的按照园区要求进行妥善处理；生活垃圾委托环卫部门处理。</w:t>
            </w: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cs="Times New Roman" w:hAnsiTheme="minorEastAsia"/>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vAlign w:val="center"/>
          </w:tcPr>
          <w:p>
            <w:pPr>
              <w:spacing w:line="360" w:lineRule="auto"/>
              <w:ind w:firstLine="360" w:firstLineChars="150"/>
              <w:rPr>
                <w:rFonts w:ascii="微软雅黑" w:hAnsi="微软雅黑" w:eastAsia="微软雅黑" w:cs="Times New Roman"/>
                <w:b/>
                <w:color w:val="000000" w:themeColor="text1"/>
                <w:sz w:val="24"/>
                <w:szCs w:val="24"/>
              </w:rPr>
            </w:pPr>
            <w:r>
              <w:rPr>
                <w:rFonts w:ascii="微软雅黑" w:hAnsi="微软雅黑" w:eastAsia="微软雅黑" w:cs="Times New Roman"/>
                <w:b/>
                <w:color w:val="000000" w:themeColor="text1"/>
                <w:sz w:val="24"/>
                <w:szCs w:val="24"/>
              </w:rPr>
              <w:t>运营期环境影响和保护措施</w:t>
            </w:r>
          </w:p>
          <w:p>
            <w:pPr>
              <w:autoSpaceDE w:val="0"/>
              <w:autoSpaceDN w:val="0"/>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 运营期环境影响和保护措施</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4.2.1 运营期废气环境影响和保护措施</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（1）废气污染源强核算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根据项目技改内容</w:t>
            </w:r>
            <w:r>
              <w:rPr>
                <w:rFonts w:hint="eastAsia" w:ascii="Times New Roman" w:hAnsi="Times New Roman" w:cs="Times New Roman"/>
                <w:color w:val="000000" w:themeColor="text1"/>
                <w:sz w:val="24"/>
                <w:szCs w:val="24"/>
              </w:rPr>
              <w:t>可知</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本次项目技改后，废旧冰箱处理线不变，其废气污染源不发生变化，空调/小家电/废手机及其视听设备消费电子产品处理线仅为恢复，其废气污染源较环评不发生变化，1号废旧电视机（CRT）处理线不变，其废气污染源不发生变化；主要变化的是废旧洗衣机处理线和2号废旧电视机（液晶电视）处理线，废旧洗衣机处理线生产线新增4个拆解工位和两台破碎设施，其粉尘产生量发生变化，2号废旧电视机（液晶电视）处理线新增荧光灯管背光模组负压拆解工作台，则增加汞及其化合物。其他3条拆解线（废旧冰箱处理线、空调/小家电/废手机及其视听设备消费电子产品处理线、1号废旧电视机（CRT）处理线）废气产排情况，详见现有工程核算章节。具体改变后的废物污染源核算如下：</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①技改后废旧洗衣机处理线废气产排情况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根据废旧洗衣机处理线的处理工艺可知，其废气产生环节主要为废旧洗衣机拆解粉尘和破碎粉尘，具体如下：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拆解粉尘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技改后，废旧洗衣机处理线废旧洗衣机的处理能力提高至30万台/a，根据建设单位提供的技术参数，每台洗衣机的平均重量为58.15kg；则合计处理量为17445t/a，根据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洗衣机拆解过程颗粒物产污系数为16.8克/吨·原料，则废旧洗衣机拆解粉尘产生量为0.29t/a；针对废旧洗衣机拆解粉尘，项目拟对每个拆解工位设置集气效率不低于90%的集气罩（集气罩风量为1000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h·个，合计10000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h），收集后的粉尘通过1个处理效率不低于95%的4#脉冲除尘器处理，处理后通过1根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（DA005）外排；则废旧洗衣机拆解粉尘有组织排放量为0.013t/a，无组织排放量为0.03t/a。</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塑料破碎粉尘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技改后，废旧洗衣机处理线废旧洗衣机合计处理量为17445t/a，根据固体废物产污核算可知，项目废旧洗衣机处理线产生的废塑料量为6416.67t/a，根据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PE/PP塑料破碎过程颗粒物产污系数为375克/吨·原料，则废旧洗衣机塑料破碎粉尘产生量为2.41t/a；针对废旧洗衣机塑料破碎粉尘，项目拟分别对两台破碎机设置集气效率不低于90%的集气罩（集气罩风量为5000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h·个，合计10000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h），收集后的粉尘通过1个处理效率不低于95%的4#脉冲除尘器处理，处理后通过1根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（DA005）外排；集气罩风量为1000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h·个，合计10000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h；则废旧洗衣机塑料破碎粉尘有组织排放量为0.11t/a，无组织排放量为0.24t/a。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综上，废旧洗衣机处理线粉尘产排情况如下表所示。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4.2</w:t>
            </w:r>
            <w:r>
              <w:rPr>
                <w:rFonts w:ascii="Times New Roman" w:hAnsi="Times New Roman" w:eastAsia="宋体" w:cs="Times New Roman"/>
                <w:b/>
                <w:color w:val="000000" w:themeColor="text1"/>
                <w:szCs w:val="24"/>
              </w:rPr>
              <w:t>.1-</w:t>
            </w:r>
            <w:r>
              <w:rPr>
                <w:rFonts w:hint="eastAsia" w:ascii="Times New Roman" w:hAnsi="Times New Roman" w:eastAsia="宋体" w:cs="Times New Roman"/>
                <w:b/>
                <w:color w:val="000000" w:themeColor="text1"/>
                <w:szCs w:val="24"/>
              </w:rPr>
              <w:t>1</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技改后废旧洗衣机处理线粉尘</w:t>
            </w:r>
            <w:r>
              <w:rPr>
                <w:rFonts w:ascii="Times New Roman" w:hAnsi="Times New Roman" w:eastAsia="宋体" w:cs="Times New Roman"/>
                <w:b/>
                <w:color w:val="000000" w:themeColor="text1"/>
                <w:szCs w:val="24"/>
              </w:rPr>
              <w:t>产排情况一览表</w:t>
            </w:r>
          </w:p>
          <w:tbl>
            <w:tblPr>
              <w:tblStyle w:val="19"/>
              <w:tblW w:w="5000" w:type="pct"/>
              <w:jc w:val="center"/>
              <w:tblLayout w:type="fixed"/>
              <w:tblCellMar>
                <w:top w:w="0" w:type="dxa"/>
                <w:left w:w="108" w:type="dxa"/>
                <w:bottom w:w="0" w:type="dxa"/>
                <w:right w:w="108" w:type="dxa"/>
              </w:tblCellMar>
            </w:tblPr>
            <w:tblGrid>
              <w:gridCol w:w="1034"/>
              <w:gridCol w:w="1036"/>
              <w:gridCol w:w="1035"/>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97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975"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292"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281"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292"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974"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97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2000万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2000万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0.29</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14.5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0.013</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0.0065</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0.65</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0.03</w:t>
                  </w:r>
                </w:p>
              </w:tc>
            </w:tr>
            <w:tr>
              <w:tblPrEx>
                <w:tblCellMar>
                  <w:top w:w="0" w:type="dxa"/>
                  <w:left w:w="108" w:type="dxa"/>
                  <w:bottom w:w="0" w:type="dxa"/>
                  <w:right w:w="108" w:type="dxa"/>
                </w:tblCellMar>
              </w:tblPrEx>
              <w:trPr>
                <w:trHeight w:val="56" w:hRule="atLeast"/>
                <w:jc w:val="center"/>
              </w:trPr>
              <w:tc>
                <w:tcPr>
                  <w:tcW w:w="974"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破碎</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2000万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2000万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2.41</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120.5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0.11</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0.055</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5.5</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0.24</w:t>
                  </w:r>
                </w:p>
              </w:tc>
            </w:tr>
            <w:tr>
              <w:tblPrEx>
                <w:tblCellMar>
                  <w:top w:w="0" w:type="dxa"/>
                  <w:left w:w="108" w:type="dxa"/>
                  <w:bottom w:w="0" w:type="dxa"/>
                  <w:right w:w="108" w:type="dxa"/>
                </w:tblCellMar>
              </w:tblPrEx>
              <w:trPr>
                <w:trHeight w:val="56" w:hRule="atLeast"/>
                <w:jc w:val="center"/>
              </w:trPr>
              <w:tc>
                <w:tcPr>
                  <w:tcW w:w="974"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合计</w:t>
                  </w:r>
                </w:p>
              </w:tc>
              <w:tc>
                <w:tcPr>
                  <w:tcW w:w="975"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292"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4000万</w:t>
                  </w:r>
                  <w:r>
                    <w:rPr>
                      <w:color w:val="000000" w:themeColor="text1"/>
                      <w:szCs w:val="21"/>
                    </w:rPr>
                    <w:t>m</w:t>
                  </w:r>
                  <w:r>
                    <w:rPr>
                      <w:rFonts w:hint="eastAsia"/>
                      <w:color w:val="000000" w:themeColor="text1"/>
                      <w:szCs w:val="21"/>
                    </w:rPr>
                    <w:t>³</w:t>
                  </w:r>
                  <w:r>
                    <w:rPr>
                      <w:color w:val="000000" w:themeColor="text1"/>
                      <w:szCs w:val="21"/>
                    </w:rPr>
                    <w:t>/a</w:t>
                  </w:r>
                </w:p>
              </w:tc>
              <w:tc>
                <w:tcPr>
                  <w:tcW w:w="3307"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4000万</w:t>
                  </w:r>
                  <w:r>
                    <w:rPr>
                      <w:color w:val="000000" w:themeColor="text1"/>
                      <w:szCs w:val="21"/>
                    </w:rPr>
                    <w:t>m</w:t>
                  </w:r>
                  <w:r>
                    <w:rPr>
                      <w:rFonts w:hint="eastAsia"/>
                      <w:color w:val="000000" w:themeColor="text1"/>
                      <w:szCs w:val="21"/>
                    </w:rPr>
                    <w:t>³</w:t>
                  </w:r>
                  <w:r>
                    <w:rPr>
                      <w:color w:val="000000" w:themeColor="text1"/>
                      <w:szCs w:val="21"/>
                    </w:rPr>
                    <w:t>/a</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974"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9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2.7</w:t>
                  </w:r>
                </w:p>
              </w:tc>
              <w:tc>
                <w:tcPr>
                  <w:tcW w:w="131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135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0.123</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0.0615</w:t>
                  </w:r>
                </w:p>
              </w:tc>
              <w:tc>
                <w:tcPr>
                  <w:tcW w:w="120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6.15</w:t>
                  </w:r>
                </w:p>
              </w:tc>
              <w:tc>
                <w:tcPr>
                  <w:tcW w:w="974"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0.27</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②技改后2号废旧电视机（液晶电视）处理线废气产排情况</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拆解粉尘</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2号废旧电视机（液晶电视）处理线的处理工艺可知，其废气产生环节主要为废旧液晶电视（显示器）拆解粉尘。技改后，2号废旧电视机（液晶电视）处理线废旧液晶电视（显示器）的处理能力45万台/a，根据建设单位提供的技术参数，每台液晶电视（显示器）的平均重量为10.46kg；则合计处理量为4707t/a，根据</w:t>
            </w:r>
            <w:r>
              <w:rPr>
                <w:rFonts w:ascii="Times New Roman" w:hAnsi="Times New Roman" w:cs="Times New Roman"/>
                <w:color w:val="000000" w:themeColor="text1"/>
                <w:sz w:val="24"/>
                <w:szCs w:val="24"/>
              </w:rPr>
              <w:t>《排放源统计调查产排污核算方法和系数手册》</w:t>
            </w:r>
            <w:r>
              <w:rPr>
                <w:rFonts w:hint="eastAsia" w:ascii="Times New Roman" w:hAnsi="Times New Roman" w:cs="Times New Roman"/>
                <w:color w:val="000000" w:themeColor="text1"/>
                <w:sz w:val="24"/>
                <w:szCs w:val="24"/>
              </w:rPr>
              <w:t>中“</w:t>
            </w:r>
            <w:r>
              <w:rPr>
                <w:rFonts w:ascii="Times New Roman" w:hAnsi="Times New Roman" w:cs="Times New Roman"/>
                <w:color w:val="000000" w:themeColor="text1"/>
                <w:sz w:val="24"/>
                <w:szCs w:val="24"/>
              </w:rPr>
              <w:t>42</w:t>
            </w:r>
            <w:r>
              <w:rPr>
                <w:rFonts w:hint="eastAsia" w:ascii="Times New Roman" w:hAnsi="Times New Roman" w:cs="Times New Roman"/>
                <w:color w:val="000000" w:themeColor="text1"/>
                <w:sz w:val="24"/>
                <w:szCs w:val="24"/>
              </w:rPr>
              <w:t>废弃资源综合利用行业系数手册”，废液晶电视（显示器）拆解过程颗粒物产污系数为16.8克/吨·原料，则2号废旧电视机（液晶电视）处理线拆解粉尘产生量为0.08t/a；针对2号废旧电视机（液晶电视）处理线拆解粉尘，项目拟对每个拆解工位设置集气效率不低于90%的集气罩（集气罩风量为1000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h·个，合计6000</w:t>
            </w:r>
            <w:r>
              <w:rPr>
                <w:rFonts w:ascii="Times New Roman" w:hAnsi="Times New Roman" w:cs="Times New Roman"/>
                <w:color w:val="000000" w:themeColor="text1"/>
                <w:sz w:val="24"/>
                <w:szCs w:val="24"/>
              </w:rPr>
              <w:t>m³/</w:t>
            </w:r>
            <w:r>
              <w:rPr>
                <w:rFonts w:hint="eastAsia" w:ascii="Times New Roman" w:hAnsi="Times New Roman" w:cs="Times New Roman"/>
                <w:color w:val="000000" w:themeColor="text1"/>
                <w:sz w:val="24"/>
                <w:szCs w:val="24"/>
              </w:rPr>
              <w:t>h），收集后统一进入1个处理效率不低于95%的1#脉冲除尘器对其进行处理后通过1根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（DA001）外排；则2号废旧电视机（液晶电视）处理线拆解粉尘有组织排放量为0.004t/a，无组织排放量为0.008t/a。</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汞及其化合物</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拆解工艺，技改项目设置了2台荧光灯管背光模组负压拆解工作台对荧光灯管背光模组进行手工拆解，正常情况下背光模组含汞灯管不会破碎，但为了防治含汞灯管破碎汞溢出，则将2台荧光灯管背光模组负压拆解工作台设置为密封式透明负压拆解工作台，人在负压拆解工作台外，手伸入负压工作台内对荧光灯管背光模组进行手工拆解；正常情况下该工序不会有汞及其化合物产生，若背光模组含汞灯管不小心破碎，则会有汞及其化合物产生，该汞及其化合物产生量主要取决于员工实际操作，根据设计，该工序汞及其化合物产生量0.0002t/a；汞及其化合物经负压系统全部收集后，通过</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去除效率不低于80%的汞及其化合物处理装置（</w:t>
            </w:r>
            <w:r>
              <w:rPr>
                <w:rFonts w:ascii="Times New Roman" w:hAnsi="Times New Roman" w:cs="Times New Roman"/>
                <w:color w:val="000000" w:themeColor="text1"/>
                <w:sz w:val="24"/>
                <w:szCs w:val="24"/>
              </w:rPr>
              <w:t>采用UV光氧裂解+</w:t>
            </w:r>
            <w:r>
              <w:rPr>
                <w:rFonts w:hint="eastAsia" w:ascii="Times New Roman" w:hAnsi="Times New Roman" w:cs="Times New Roman"/>
                <w:color w:val="000000" w:themeColor="text1"/>
                <w:sz w:val="24"/>
                <w:szCs w:val="24"/>
              </w:rPr>
              <w:t>载硫</w:t>
            </w:r>
            <w:r>
              <w:rPr>
                <w:rFonts w:ascii="Times New Roman" w:hAnsi="Times New Roman" w:cs="Times New Roman"/>
                <w:color w:val="000000" w:themeColor="text1"/>
                <w:sz w:val="24"/>
                <w:szCs w:val="24"/>
              </w:rPr>
              <w:t>活性炭吸附</w:t>
            </w:r>
            <w:r>
              <w:rPr>
                <w:rFonts w:hint="eastAsia" w:ascii="Times New Roman" w:hAnsi="Times New Roman" w:cs="Times New Roman"/>
                <w:color w:val="000000" w:themeColor="text1"/>
                <w:sz w:val="24"/>
                <w:szCs w:val="24"/>
              </w:rPr>
              <w:t>）对其进行处理，处理后再统一进入1个处理效率不低于95%的1#脉冲除尘器对其进行处理后通过1根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（DA001）外排；则汞及其化合物排放量0.00004t/a</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综上，2号废旧电视机（液晶电视）处理线废气产排情况如下表所示。</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4.2</w:t>
            </w:r>
            <w:r>
              <w:rPr>
                <w:rFonts w:ascii="Times New Roman" w:hAnsi="Times New Roman" w:eastAsia="宋体" w:cs="Times New Roman"/>
                <w:b/>
                <w:color w:val="000000" w:themeColor="text1"/>
                <w:szCs w:val="24"/>
              </w:rPr>
              <w:t>.1-</w:t>
            </w:r>
            <w:r>
              <w:rPr>
                <w:rFonts w:hint="eastAsia" w:ascii="Times New Roman" w:hAnsi="Times New Roman" w:eastAsia="宋体" w:cs="Times New Roman"/>
                <w:b/>
                <w:color w:val="000000" w:themeColor="text1"/>
                <w:szCs w:val="24"/>
              </w:rPr>
              <w:t>2</w:t>
            </w:r>
            <w:r>
              <w:rPr>
                <w:rFonts w:ascii="Times New Roman" w:hAnsi="Times New Roman" w:eastAsia="宋体" w:cs="Times New Roman"/>
                <w:b/>
                <w:color w:val="000000" w:themeColor="text1"/>
                <w:szCs w:val="24"/>
              </w:rPr>
              <w:t xml:space="preserve"> </w:t>
            </w:r>
            <w:r>
              <w:rPr>
                <w:rFonts w:hint="eastAsia" w:ascii="Times New Roman" w:hAnsi="Times New Roman" w:eastAsia="宋体" w:cs="Times New Roman"/>
                <w:b/>
                <w:color w:val="000000" w:themeColor="text1"/>
                <w:szCs w:val="24"/>
              </w:rPr>
              <w:t xml:space="preserve"> 技改后2号废旧电视机（液晶电视）处理线废气</w:t>
            </w:r>
            <w:r>
              <w:rPr>
                <w:rFonts w:ascii="Times New Roman" w:hAnsi="Times New Roman" w:eastAsia="宋体" w:cs="Times New Roman"/>
                <w:b/>
                <w:color w:val="000000" w:themeColor="text1"/>
                <w:szCs w:val="24"/>
              </w:rPr>
              <w:t>产排情况一览表</w:t>
            </w:r>
          </w:p>
          <w:tbl>
            <w:tblPr>
              <w:tblStyle w:val="19"/>
              <w:tblW w:w="5000" w:type="pct"/>
              <w:jc w:val="center"/>
              <w:tblLayout w:type="fixed"/>
              <w:tblCellMar>
                <w:top w:w="0" w:type="dxa"/>
                <w:left w:w="108" w:type="dxa"/>
                <w:bottom w:w="0" w:type="dxa"/>
                <w:right w:w="108" w:type="dxa"/>
              </w:tblCellMar>
            </w:tblPr>
            <w:tblGrid>
              <w:gridCol w:w="1034"/>
              <w:gridCol w:w="1036"/>
              <w:gridCol w:w="1035"/>
              <w:gridCol w:w="1400"/>
              <w:gridCol w:w="1030"/>
              <w:gridCol w:w="1205"/>
              <w:gridCol w:w="1278"/>
              <w:gridCol w:w="1035"/>
            </w:tblGrid>
            <w:tr>
              <w:tblPrEx>
                <w:tblCellMar>
                  <w:top w:w="0" w:type="dxa"/>
                  <w:left w:w="108" w:type="dxa"/>
                  <w:bottom w:w="0" w:type="dxa"/>
                  <w:right w:w="108" w:type="dxa"/>
                </w:tblCellMar>
              </w:tblPrEx>
              <w:trPr>
                <w:trHeight w:val="300" w:hRule="atLeast"/>
                <w:jc w:val="center"/>
              </w:trPr>
              <w:tc>
                <w:tcPr>
                  <w:tcW w:w="103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产物环节</w:t>
                  </w:r>
                </w:p>
              </w:tc>
              <w:tc>
                <w:tcPr>
                  <w:tcW w:w="103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污染物类型</w:t>
                  </w:r>
                </w:p>
              </w:tc>
              <w:tc>
                <w:tcPr>
                  <w:tcW w:w="2430" w:type="dxa"/>
                  <w:gridSpan w:val="2"/>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产生情况</w:t>
                  </w:r>
                </w:p>
              </w:tc>
              <w:tc>
                <w:tcPr>
                  <w:tcW w:w="4538" w:type="dxa"/>
                  <w:gridSpan w:val="4"/>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排放情况</w:t>
                  </w:r>
                </w:p>
              </w:tc>
            </w:tr>
            <w:tr>
              <w:tblPrEx>
                <w:tblCellMar>
                  <w:top w:w="0" w:type="dxa"/>
                  <w:left w:w="108" w:type="dxa"/>
                  <w:bottom w:w="0" w:type="dxa"/>
                  <w:right w:w="108" w:type="dxa"/>
                </w:tblCellMar>
              </w:tblPrEx>
              <w:trPr>
                <w:trHeight w:val="300"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2430" w:type="dxa"/>
                  <w:gridSpan w:val="2"/>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color w:val="000000" w:themeColor="text1"/>
                      <w:szCs w:val="21"/>
                    </w:rPr>
                  </w:pP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有组织</w:t>
                  </w:r>
                </w:p>
              </w:tc>
              <w:tc>
                <w:tcPr>
                  <w:tcW w:w="1033" w:type="dxa"/>
                  <w:tcBorders>
                    <w:top w:val="nil"/>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无组织</w:t>
                  </w:r>
                </w:p>
              </w:tc>
            </w:tr>
            <w:tr>
              <w:tblPrEx>
                <w:tblCellMar>
                  <w:top w:w="0" w:type="dxa"/>
                  <w:left w:w="108" w:type="dxa"/>
                  <w:bottom w:w="0" w:type="dxa"/>
                  <w:right w:w="108" w:type="dxa"/>
                </w:tblCellMar>
              </w:tblPrEx>
              <w:trPr>
                <w:trHeight w:val="56" w:hRule="atLeast"/>
                <w:jc w:val="center"/>
              </w:trPr>
              <w:tc>
                <w:tcPr>
                  <w:tcW w:w="1032"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103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color w:val="000000" w:themeColor="text1"/>
                      <w:szCs w:val="21"/>
                    </w:rPr>
                  </w:pP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产生量（</w:t>
                  </w:r>
                  <w:r>
                    <w:rPr>
                      <w:color w:val="000000" w:themeColor="text1"/>
                      <w:szCs w:val="21"/>
                    </w:rPr>
                    <w:t>t/a</w:t>
                  </w:r>
                  <w:r>
                    <w:rPr>
                      <w:rFonts w:hint="eastAsia"/>
                      <w:color w:val="000000" w:themeColor="text1"/>
                      <w:szCs w:val="21"/>
                    </w:rPr>
                    <w:t>）</w:t>
                  </w:r>
                </w:p>
              </w:tc>
              <w:tc>
                <w:tcPr>
                  <w:tcW w:w="1397"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产生浓度（</w:t>
                  </w:r>
                  <w:r>
                    <w:rPr>
                      <w:color w:val="000000" w:themeColor="text1"/>
                      <w:szCs w:val="21"/>
                    </w:rPr>
                    <w:t>mg/m³</w:t>
                  </w:r>
                  <w:r>
                    <w:rPr>
                      <w:rFonts w:hint="eastAsia"/>
                      <w:color w:val="000000" w:themeColor="text1"/>
                      <w:szCs w:val="21"/>
                    </w:rPr>
                    <w:t>）</w:t>
                  </w:r>
                </w:p>
              </w:tc>
              <w:tc>
                <w:tcPr>
                  <w:tcW w:w="1028"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c>
                <w:tcPr>
                  <w:tcW w:w="1202"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排放速率（</w:t>
                  </w:r>
                  <w:r>
                    <w:rPr>
                      <w:color w:val="000000" w:themeColor="text1"/>
                      <w:szCs w:val="21"/>
                    </w:rPr>
                    <w:t>kg/h</w:t>
                  </w:r>
                  <w:r>
                    <w:rPr>
                      <w:rFonts w:hint="eastAsia"/>
                      <w:color w:val="000000" w:themeColor="text1"/>
                      <w:szCs w:val="21"/>
                    </w:rPr>
                    <w:t>）</w:t>
                  </w:r>
                </w:p>
              </w:tc>
              <w:tc>
                <w:tcPr>
                  <w:tcW w:w="1275"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排放浓度（</w:t>
                  </w:r>
                  <w:r>
                    <w:rPr>
                      <w:color w:val="000000" w:themeColor="text1"/>
                      <w:szCs w:val="21"/>
                    </w:rPr>
                    <w:t>mg/m³</w:t>
                  </w:r>
                  <w:r>
                    <w:rPr>
                      <w:rFonts w:hint="eastAsia"/>
                      <w:color w:val="000000" w:themeColor="text1"/>
                      <w:szCs w:val="21"/>
                    </w:rPr>
                    <w:t>）</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排放量（</w:t>
                  </w:r>
                  <w:r>
                    <w:rPr>
                      <w:color w:val="000000" w:themeColor="text1"/>
                      <w:szCs w:val="21"/>
                    </w:rPr>
                    <w:t>t/a</w:t>
                  </w:r>
                  <w:r>
                    <w:rPr>
                      <w:rFonts w:hint="eastAsia"/>
                      <w:color w:val="000000" w:themeColor="text1"/>
                      <w:szCs w:val="21"/>
                    </w:rPr>
                    <w:t>）</w:t>
                  </w:r>
                </w:p>
              </w:tc>
            </w:tr>
            <w:tr>
              <w:tblPrEx>
                <w:tblCellMar>
                  <w:top w:w="0" w:type="dxa"/>
                  <w:left w:w="108" w:type="dxa"/>
                  <w:bottom w:w="0" w:type="dxa"/>
                  <w:right w:w="108" w:type="dxa"/>
                </w:tblCellMar>
              </w:tblPrEx>
              <w:trPr>
                <w:trHeight w:val="56" w:hRule="atLeast"/>
                <w:jc w:val="center"/>
              </w:trPr>
              <w:tc>
                <w:tcPr>
                  <w:tcW w:w="103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前端拆解</w:t>
                  </w:r>
                </w:p>
              </w:tc>
              <w:tc>
                <w:tcPr>
                  <w:tcW w:w="1034" w:type="dxa"/>
                  <w:tcBorders>
                    <w:top w:val="nil"/>
                    <w:left w:val="nil"/>
                    <w:bottom w:val="single" w:color="000000"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废气量</w:t>
                  </w:r>
                </w:p>
              </w:tc>
              <w:tc>
                <w:tcPr>
                  <w:tcW w:w="243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1800万</w:t>
                  </w:r>
                  <w:r>
                    <w:rPr>
                      <w:color w:val="000000" w:themeColor="text1"/>
                      <w:szCs w:val="21"/>
                    </w:rPr>
                    <w:t>m</w:t>
                  </w:r>
                  <w:r>
                    <w:rPr>
                      <w:rFonts w:hint="eastAsia"/>
                      <w:color w:val="000000" w:themeColor="text1"/>
                      <w:szCs w:val="21"/>
                    </w:rPr>
                    <w:t>³</w:t>
                  </w:r>
                  <w:r>
                    <w:rPr>
                      <w:color w:val="000000" w:themeColor="text1"/>
                      <w:szCs w:val="21"/>
                    </w:rPr>
                    <w:t>/a</w:t>
                  </w:r>
                </w:p>
              </w:tc>
              <w:tc>
                <w:tcPr>
                  <w:tcW w:w="3505" w:type="dxa"/>
                  <w:gridSpan w:val="3"/>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1800万</w:t>
                  </w:r>
                  <w:r>
                    <w:rPr>
                      <w:color w:val="000000" w:themeColor="text1"/>
                      <w:szCs w:val="21"/>
                    </w:rPr>
                    <w:t>m</w:t>
                  </w:r>
                  <w:r>
                    <w:rPr>
                      <w:rFonts w:hint="eastAsia"/>
                      <w:color w:val="000000" w:themeColor="text1"/>
                      <w:szCs w:val="21"/>
                    </w:rPr>
                    <w:t>³</w:t>
                  </w:r>
                  <w:r>
                    <w:rPr>
                      <w:color w:val="000000" w:themeColor="text1"/>
                      <w:szCs w:val="21"/>
                    </w:rPr>
                    <w:t>/a</w:t>
                  </w:r>
                </w:p>
              </w:tc>
              <w:tc>
                <w:tcPr>
                  <w:tcW w:w="1033" w:type="dxa"/>
                  <w:tcBorders>
                    <w:top w:val="nil"/>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w:t>
                  </w:r>
                </w:p>
              </w:tc>
            </w:tr>
            <w:tr>
              <w:tblPrEx>
                <w:tblCellMar>
                  <w:top w:w="0" w:type="dxa"/>
                  <w:left w:w="108" w:type="dxa"/>
                  <w:bottom w:w="0" w:type="dxa"/>
                  <w:right w:w="108" w:type="dxa"/>
                </w:tblCellMar>
              </w:tblPrEx>
              <w:trPr>
                <w:trHeight w:val="198" w:hRule="atLeast"/>
                <w:jc w:val="center"/>
              </w:trPr>
              <w:tc>
                <w:tcPr>
                  <w:tcW w:w="1032" w:type="dxa"/>
                  <w:vMerge w:val="continue"/>
                  <w:tcBorders>
                    <w:top w:val="nil"/>
                    <w:left w:val="single" w:color="auto" w:sz="8" w:space="0"/>
                    <w:bottom w:val="single" w:color="auto" w:sz="4" w:space="0"/>
                    <w:right w:val="single" w:color="auto" w:sz="8" w:space="0"/>
                  </w:tcBorders>
                  <w:vAlign w:val="center"/>
                </w:tcPr>
                <w:p>
                  <w:pPr>
                    <w:pStyle w:val="30"/>
                    <w:spacing w:line="360" w:lineRule="exact"/>
                    <w:rPr>
                      <w:color w:val="000000" w:themeColor="text1"/>
                      <w:szCs w:val="21"/>
                    </w:rPr>
                  </w:pPr>
                </w:p>
              </w:tc>
              <w:tc>
                <w:tcPr>
                  <w:tcW w:w="1034"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0.08</w:t>
                  </w:r>
                </w:p>
              </w:tc>
              <w:tc>
                <w:tcPr>
                  <w:tcW w:w="1397"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4.44</w:t>
                  </w:r>
                </w:p>
              </w:tc>
              <w:tc>
                <w:tcPr>
                  <w:tcW w:w="1028"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0.004</w:t>
                  </w:r>
                </w:p>
              </w:tc>
              <w:tc>
                <w:tcPr>
                  <w:tcW w:w="1202"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0.001</w:t>
                  </w:r>
                </w:p>
              </w:tc>
              <w:tc>
                <w:tcPr>
                  <w:tcW w:w="1275"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0.22</w:t>
                  </w:r>
                </w:p>
              </w:tc>
              <w:tc>
                <w:tcPr>
                  <w:tcW w:w="1033" w:type="dxa"/>
                  <w:tcBorders>
                    <w:top w:val="nil"/>
                    <w:left w:val="nil"/>
                    <w:bottom w:val="single" w:color="auto" w:sz="4"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0.008</w:t>
                  </w:r>
                </w:p>
              </w:tc>
            </w:tr>
            <w:tr>
              <w:tblPrEx>
                <w:tblCellMar>
                  <w:top w:w="0" w:type="dxa"/>
                  <w:left w:w="108" w:type="dxa"/>
                  <w:bottom w:w="0" w:type="dxa"/>
                  <w:right w:w="108" w:type="dxa"/>
                </w:tblCellMar>
              </w:tblPrEx>
              <w:trPr>
                <w:trHeight w:val="169" w:hRule="atLeast"/>
                <w:jc w:val="center"/>
              </w:trPr>
              <w:tc>
                <w:tcPr>
                  <w:tcW w:w="1032" w:type="dxa"/>
                  <w:tcBorders>
                    <w:top w:val="single" w:color="auto" w:sz="4" w:space="0"/>
                    <w:left w:val="single" w:color="auto" w:sz="8" w:space="0"/>
                    <w:bottom w:val="single" w:color="auto" w:sz="4" w:space="0"/>
                    <w:right w:val="single" w:color="auto" w:sz="8" w:space="0"/>
                  </w:tcBorders>
                  <w:vAlign w:val="center"/>
                </w:tcPr>
                <w:p>
                  <w:pPr>
                    <w:pStyle w:val="30"/>
                    <w:spacing w:line="360" w:lineRule="exact"/>
                    <w:rPr>
                      <w:color w:val="000000" w:themeColor="text1"/>
                      <w:szCs w:val="21"/>
                    </w:rPr>
                  </w:pPr>
                  <w:r>
                    <w:rPr>
                      <w:rFonts w:hint="eastAsia"/>
                      <w:color w:val="000000" w:themeColor="text1"/>
                      <w:szCs w:val="21"/>
                    </w:rPr>
                    <w:t>背光模组拆解</w:t>
                  </w:r>
                </w:p>
              </w:tc>
              <w:tc>
                <w:tcPr>
                  <w:tcW w:w="103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汞及其化合物</w:t>
                  </w:r>
                </w:p>
              </w:tc>
              <w:tc>
                <w:tcPr>
                  <w:tcW w:w="103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0.0002</w:t>
                  </w:r>
                </w:p>
              </w:tc>
              <w:tc>
                <w:tcPr>
                  <w:tcW w:w="1397"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color w:val="000000" w:themeColor="text1"/>
                      <w:szCs w:val="21"/>
                    </w:rPr>
                    <w:t>0.01</w:t>
                  </w:r>
                </w:p>
              </w:tc>
              <w:tc>
                <w:tcPr>
                  <w:tcW w:w="102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0.00004</w:t>
                  </w:r>
                </w:p>
              </w:tc>
              <w:tc>
                <w:tcPr>
                  <w:tcW w:w="120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bCs w:val="0"/>
                      <w:snapToGrid/>
                      <w:color w:val="000000" w:themeColor="text1"/>
                      <w:szCs w:val="21"/>
                    </w:rPr>
                  </w:pPr>
                  <w:r>
                    <w:rPr>
                      <w:color w:val="000000" w:themeColor="text1"/>
                      <w:szCs w:val="21"/>
                    </w:rPr>
                    <w:t>0.00001</w:t>
                  </w:r>
                </w:p>
              </w:tc>
              <w:tc>
                <w:tcPr>
                  <w:tcW w:w="1275" w:type="dxa"/>
                  <w:tcBorders>
                    <w:top w:val="single" w:color="auto" w:sz="4"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0.002</w:t>
                  </w:r>
                </w:p>
              </w:tc>
              <w:tc>
                <w:tcPr>
                  <w:tcW w:w="1033"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（2）废气污染物污染防治措施及达标性分析</w:t>
            </w:r>
          </w:p>
          <w:p>
            <w:pPr>
              <w:spacing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①</w:t>
            </w:r>
            <w:r>
              <w:rPr>
                <w:rFonts w:ascii="Times New Roman" w:hAnsi="Times New Roman" w:cs="Times New Roman"/>
                <w:b/>
                <w:color w:val="000000" w:themeColor="text1"/>
                <w:sz w:val="24"/>
              </w:rPr>
              <w:t>废气污染物治理措施及排放方式</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根据项目现有工程和技改工程产污环节和废气污染源强核算可知，项目废气污染物排放源的治理措施及排放方式如下表所示。</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4.2.1-</w:t>
            </w:r>
            <w:r>
              <w:rPr>
                <w:rFonts w:hint="eastAsia" w:ascii="Times New Roman" w:hAnsi="Times New Roman" w:cs="Times New Roman"/>
                <w:b/>
                <w:color w:val="000000" w:themeColor="text1"/>
                <w:szCs w:val="24"/>
              </w:rPr>
              <w:t>3</w:t>
            </w:r>
            <w:r>
              <w:rPr>
                <w:rFonts w:ascii="Times New Roman" w:hAnsi="Times New Roman" w:cs="Times New Roman"/>
                <w:b/>
                <w:color w:val="000000" w:themeColor="text1"/>
                <w:szCs w:val="24"/>
              </w:rPr>
              <w:t xml:space="preserve"> 废气污染物治理措施及排放方式一览表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18"/>
              <w:gridCol w:w="752"/>
              <w:gridCol w:w="809"/>
              <w:gridCol w:w="3253"/>
              <w:gridCol w:w="752"/>
              <w:gridCol w:w="752"/>
              <w:gridCol w:w="170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gridSpan w:val="2"/>
                  <w:vAlign w:val="center"/>
                </w:tcPr>
                <w:p>
                  <w:pPr>
                    <w:pStyle w:val="30"/>
                    <w:spacing w:line="360" w:lineRule="exact"/>
                    <w:rPr>
                      <w:color w:val="000000" w:themeColor="text1"/>
                      <w:szCs w:val="21"/>
                    </w:rPr>
                  </w:pPr>
                  <w:r>
                    <w:rPr>
                      <w:color w:val="000000" w:themeColor="text1"/>
                      <w:szCs w:val="21"/>
                    </w:rPr>
                    <w:t>产排污环节</w:t>
                  </w:r>
                </w:p>
              </w:tc>
              <w:tc>
                <w:tcPr>
                  <w:tcW w:w="762" w:type="dxa"/>
                  <w:vAlign w:val="center"/>
                </w:tcPr>
                <w:p>
                  <w:pPr>
                    <w:pStyle w:val="30"/>
                    <w:spacing w:line="360" w:lineRule="exact"/>
                    <w:rPr>
                      <w:color w:val="000000" w:themeColor="text1"/>
                      <w:szCs w:val="21"/>
                    </w:rPr>
                  </w:pPr>
                  <w:r>
                    <w:rPr>
                      <w:color w:val="000000" w:themeColor="text1"/>
                      <w:szCs w:val="21"/>
                    </w:rPr>
                    <w:t>污染物种类</w:t>
                  </w:r>
                </w:p>
              </w:tc>
              <w:tc>
                <w:tcPr>
                  <w:tcW w:w="3065" w:type="dxa"/>
                  <w:vAlign w:val="center"/>
                </w:tcPr>
                <w:p>
                  <w:pPr>
                    <w:pStyle w:val="30"/>
                    <w:spacing w:line="360" w:lineRule="exact"/>
                    <w:rPr>
                      <w:color w:val="000000" w:themeColor="text1"/>
                      <w:szCs w:val="21"/>
                    </w:rPr>
                  </w:pPr>
                  <w:r>
                    <w:rPr>
                      <w:color w:val="000000" w:themeColor="text1"/>
                      <w:szCs w:val="21"/>
                    </w:rPr>
                    <w:t>治理设施及效率</w:t>
                  </w:r>
                </w:p>
              </w:tc>
              <w:tc>
                <w:tcPr>
                  <w:tcW w:w="709"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排放形式</w:t>
                  </w:r>
                </w:p>
              </w:tc>
              <w:tc>
                <w:tcPr>
                  <w:tcW w:w="2318" w:type="dxa"/>
                  <w:gridSpan w:val="2"/>
                  <w:vAlign w:val="center"/>
                </w:tcPr>
                <w:p>
                  <w:pPr>
                    <w:pStyle w:val="30"/>
                    <w:spacing w:line="360" w:lineRule="exact"/>
                    <w:rPr>
                      <w:color w:val="000000" w:themeColor="text1"/>
                      <w:szCs w:val="21"/>
                    </w:rPr>
                  </w:pPr>
                  <w:r>
                    <w:rPr>
                      <w:color w:val="000000" w:themeColor="text1"/>
                      <w:szCs w:val="21"/>
                    </w:rPr>
                    <w:t>排放口基本情况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6" w:hRule="atLeast"/>
              </w:trPr>
              <w:tc>
                <w:tcPr>
                  <w:tcW w:w="959" w:type="dxa"/>
                  <w:vMerge w:val="restart"/>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w:t>
                  </w:r>
                </w:p>
              </w:tc>
              <w:tc>
                <w:tcPr>
                  <w:tcW w:w="709" w:type="dxa"/>
                  <w:vMerge w:val="restart"/>
                  <w:vAlign w:val="center"/>
                </w:tcPr>
                <w:p>
                  <w:pPr>
                    <w:pStyle w:val="30"/>
                    <w:spacing w:line="360" w:lineRule="exact"/>
                    <w:rPr>
                      <w:color w:val="000000" w:themeColor="text1"/>
                      <w:szCs w:val="21"/>
                    </w:rPr>
                  </w:pPr>
                  <w:r>
                    <w:rPr>
                      <w:rFonts w:hint="eastAsia"/>
                      <w:color w:val="000000" w:themeColor="text1"/>
                      <w:szCs w:val="21"/>
                    </w:rPr>
                    <w:t>拆解</w:t>
                  </w:r>
                </w:p>
              </w:tc>
              <w:tc>
                <w:tcPr>
                  <w:tcW w:w="762" w:type="dxa"/>
                  <w:vMerge w:val="restart"/>
                  <w:vAlign w:val="center"/>
                </w:tcPr>
                <w:p>
                  <w:pPr>
                    <w:pStyle w:val="30"/>
                    <w:spacing w:line="360" w:lineRule="exact"/>
                    <w:rPr>
                      <w:color w:val="000000" w:themeColor="text1"/>
                      <w:szCs w:val="21"/>
                    </w:rPr>
                  </w:pPr>
                  <w:r>
                    <w:rPr>
                      <w:rFonts w:hint="eastAsia"/>
                      <w:color w:val="000000" w:themeColor="text1"/>
                      <w:szCs w:val="21"/>
                    </w:rPr>
                    <w:t>粉尘</w:t>
                  </w:r>
                </w:p>
              </w:tc>
              <w:tc>
                <w:tcPr>
                  <w:tcW w:w="3065" w:type="dxa"/>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①针对空调/小家电/废手机及其视听设备消费电子产品处理线拆解粉尘，项目已对喷吹室进行密闭，并设置1个集气效率不低于90%的集气罩对其进行收集；</w:t>
                  </w:r>
                </w:p>
                <w:p>
                  <w:pPr>
                    <w:pStyle w:val="30"/>
                    <w:spacing w:line="360" w:lineRule="exact"/>
                    <w:ind w:firstLine="210" w:firstLineChars="100"/>
                    <w:jc w:val="both"/>
                    <w:rPr>
                      <w:color w:val="000000" w:themeColor="text1"/>
                      <w:szCs w:val="21"/>
                    </w:rPr>
                  </w:pPr>
                  <w:r>
                    <w:rPr>
                      <w:rFonts w:hint="eastAsia"/>
                      <w:color w:val="000000" w:themeColor="text1"/>
                      <w:szCs w:val="21"/>
                    </w:rPr>
                    <w:t>②针对2号废旧电视机（液晶电视）处理线拆解粉尘，项目对每个拆解工位设置集气效率不低于90%的集气罩进行收集；</w:t>
                  </w:r>
                </w:p>
                <w:p>
                  <w:pPr>
                    <w:pStyle w:val="30"/>
                    <w:spacing w:line="360" w:lineRule="exact"/>
                    <w:ind w:firstLine="210" w:firstLineChars="100"/>
                    <w:jc w:val="both"/>
                    <w:rPr>
                      <w:color w:val="000000" w:themeColor="text1"/>
                      <w:szCs w:val="21"/>
                    </w:rPr>
                  </w:pPr>
                  <w:r>
                    <w:rPr>
                      <w:rFonts w:hint="eastAsia"/>
                      <w:color w:val="000000" w:themeColor="text1"/>
                      <w:szCs w:val="21"/>
                    </w:rPr>
                    <w:t>③汞及其化合物经负压系统全部收集后，通过</w:t>
                  </w:r>
                  <w:r>
                    <w:rPr>
                      <w:color w:val="000000" w:themeColor="text1"/>
                      <w:szCs w:val="21"/>
                    </w:rPr>
                    <w:t>1套</w:t>
                  </w:r>
                  <w:r>
                    <w:rPr>
                      <w:rFonts w:hint="eastAsia"/>
                      <w:color w:val="000000" w:themeColor="text1"/>
                      <w:szCs w:val="21"/>
                    </w:rPr>
                    <w:t>去除效率不低于80%的汞及其化合物处理装置（</w:t>
                  </w:r>
                  <w:r>
                    <w:rPr>
                      <w:color w:val="000000" w:themeColor="text1"/>
                      <w:szCs w:val="21"/>
                    </w:rPr>
                    <w:t>采用UV光氧裂解+</w:t>
                  </w:r>
                  <w:r>
                    <w:rPr>
                      <w:rFonts w:hint="eastAsia"/>
                      <w:color w:val="000000" w:themeColor="text1"/>
                      <w:szCs w:val="21"/>
                    </w:rPr>
                    <w:t>载硫</w:t>
                  </w:r>
                  <w:r>
                    <w:rPr>
                      <w:color w:val="000000" w:themeColor="text1"/>
                      <w:szCs w:val="21"/>
                    </w:rPr>
                    <w:t>活性炭吸附</w:t>
                  </w:r>
                  <w:r>
                    <w:rPr>
                      <w:rFonts w:hint="eastAsia"/>
                      <w:color w:val="000000" w:themeColor="text1"/>
                      <w:szCs w:val="21"/>
                    </w:rPr>
                    <w:t>）对其进行处理；</w:t>
                  </w:r>
                </w:p>
                <w:p>
                  <w:pPr>
                    <w:pStyle w:val="30"/>
                    <w:spacing w:line="360" w:lineRule="exact"/>
                    <w:ind w:firstLine="210" w:firstLineChars="100"/>
                    <w:jc w:val="both"/>
                    <w:rPr>
                      <w:color w:val="000000" w:themeColor="text1"/>
                      <w:szCs w:val="21"/>
                    </w:rPr>
                  </w:pPr>
                  <w:r>
                    <w:rPr>
                      <w:rFonts w:hint="eastAsia"/>
                      <w:color w:val="000000" w:themeColor="text1"/>
                      <w:szCs w:val="21"/>
                    </w:rPr>
                    <w:t>④针对1号废旧电视机（CRT）处理线拆解普通粉尘，项目已分别在1个破碎区、2个人工喷吹室、1条人工拆解线工作台分别设置了集气效率不低于90%的集气罩进行收集；</w:t>
                  </w:r>
                </w:p>
                <w:p>
                  <w:pPr>
                    <w:pStyle w:val="30"/>
                    <w:spacing w:line="360" w:lineRule="exact"/>
                    <w:ind w:firstLine="210" w:firstLineChars="100"/>
                    <w:jc w:val="both"/>
                    <w:rPr>
                      <w:color w:val="000000" w:themeColor="text1"/>
                      <w:szCs w:val="21"/>
                    </w:rPr>
                  </w:pPr>
                  <w:r>
                    <w:rPr>
                      <w:rFonts w:hint="eastAsia"/>
                      <w:color w:val="000000" w:themeColor="text1"/>
                      <w:szCs w:val="21"/>
                    </w:rPr>
                    <w:t>⑤收集后上述粉尘统一进入1个处理效率不低于95%的1#脉冲除尘器对其进行处理后通过1根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tc>
              <w:tc>
                <w:tcPr>
                  <w:tcW w:w="709" w:type="dxa"/>
                  <w:vMerge w:val="restart"/>
                  <w:vAlign w:val="center"/>
                </w:tcPr>
                <w:p>
                  <w:pPr>
                    <w:pStyle w:val="30"/>
                    <w:spacing w:line="360" w:lineRule="exact"/>
                    <w:rPr>
                      <w:color w:val="000000" w:themeColor="text1"/>
                      <w:szCs w:val="21"/>
                    </w:rPr>
                  </w:pPr>
                  <w:r>
                    <w:rPr>
                      <w:color w:val="000000" w:themeColor="text1"/>
                      <w:szCs w:val="21"/>
                    </w:rPr>
                    <w:t>有组织</w:t>
                  </w:r>
                </w:p>
              </w:tc>
              <w:tc>
                <w:tcPr>
                  <w:tcW w:w="2318" w:type="dxa"/>
                  <w:gridSpan w:val="2"/>
                  <w:vAlign w:val="center"/>
                </w:tcPr>
                <w:p>
                  <w:pPr>
                    <w:pStyle w:val="30"/>
                    <w:spacing w:line="360" w:lineRule="exact"/>
                    <w:rPr>
                      <w:color w:val="000000" w:themeColor="text1"/>
                      <w:szCs w:val="21"/>
                    </w:rPr>
                  </w:pPr>
                  <w:r>
                    <w:rPr>
                      <w:color w:val="000000" w:themeColor="text1"/>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trPr>
              <w:tc>
                <w:tcPr>
                  <w:tcW w:w="959" w:type="dxa"/>
                  <w:vMerge w:val="continue"/>
                  <w:tcBorders>
                    <w:bottom w:val="single" w:color="auto" w:sz="4" w:space="0"/>
                  </w:tcBorders>
                  <w:vAlign w:val="center"/>
                </w:tcPr>
                <w:p>
                  <w:pPr>
                    <w:pStyle w:val="30"/>
                    <w:spacing w:line="360" w:lineRule="exact"/>
                    <w:rPr>
                      <w:color w:val="000000" w:themeColor="text1"/>
                      <w:szCs w:val="21"/>
                    </w:rPr>
                  </w:pPr>
                </w:p>
              </w:tc>
              <w:tc>
                <w:tcPr>
                  <w:tcW w:w="709" w:type="dxa"/>
                  <w:vMerge w:val="continue"/>
                  <w:tcBorders>
                    <w:bottom w:val="single" w:color="auto" w:sz="4" w:space="0"/>
                  </w:tcBorders>
                  <w:vAlign w:val="center"/>
                </w:tcPr>
                <w:p>
                  <w:pPr>
                    <w:pStyle w:val="30"/>
                    <w:spacing w:line="360" w:lineRule="exact"/>
                    <w:rPr>
                      <w:color w:val="000000" w:themeColor="text1"/>
                      <w:szCs w:val="21"/>
                    </w:rPr>
                  </w:pPr>
                </w:p>
              </w:tc>
              <w:tc>
                <w:tcPr>
                  <w:tcW w:w="762" w:type="dxa"/>
                  <w:vMerge w:val="continue"/>
                  <w:tcBorders>
                    <w:bottom w:val="single" w:color="auto" w:sz="4" w:space="0"/>
                  </w:tcBorders>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高度</w:t>
                  </w:r>
                </w:p>
              </w:tc>
              <w:tc>
                <w:tcPr>
                  <w:tcW w:w="1609" w:type="dxa"/>
                  <w:vAlign w:val="center"/>
                </w:tcPr>
                <w:p>
                  <w:pPr>
                    <w:pStyle w:val="30"/>
                    <w:spacing w:line="360" w:lineRule="exact"/>
                    <w:rPr>
                      <w:color w:val="000000" w:themeColor="text1"/>
                      <w:szCs w:val="21"/>
                    </w:rPr>
                  </w:pPr>
                  <w:r>
                    <w:rPr>
                      <w:color w:val="000000" w:themeColor="text1"/>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2号废旧电视机（液晶电视）处理线</w:t>
                  </w:r>
                </w:p>
              </w:tc>
              <w:tc>
                <w:tcPr>
                  <w:tcW w:w="709"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拆解</w:t>
                  </w:r>
                </w:p>
              </w:tc>
              <w:tc>
                <w:tcPr>
                  <w:tcW w:w="762"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粉尘、汞及其化合物</w:t>
                  </w: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内径</w:t>
                  </w:r>
                </w:p>
              </w:tc>
              <w:tc>
                <w:tcPr>
                  <w:tcW w:w="1609" w:type="dxa"/>
                  <w:vAlign w:val="center"/>
                </w:tcPr>
                <w:p>
                  <w:pPr>
                    <w:pStyle w:val="30"/>
                    <w:spacing w:line="360" w:lineRule="exact"/>
                    <w:rPr>
                      <w:color w:val="000000" w:themeColor="text1"/>
                      <w:szCs w:val="21"/>
                    </w:rPr>
                  </w:pPr>
                  <w:r>
                    <w:rPr>
                      <w:rFonts w:hint="eastAsia"/>
                      <w:color w:val="000000" w:themeColor="text1"/>
                      <w:szCs w:val="21"/>
                    </w:rPr>
                    <w:t>0.5m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温度</w:t>
                  </w:r>
                </w:p>
              </w:tc>
              <w:tc>
                <w:tcPr>
                  <w:tcW w:w="1609" w:type="dxa"/>
                  <w:vAlign w:val="center"/>
                </w:tcPr>
                <w:p>
                  <w:pPr>
                    <w:pStyle w:val="30"/>
                    <w:spacing w:line="360" w:lineRule="exact"/>
                    <w:rPr>
                      <w:color w:val="000000" w:themeColor="text1"/>
                      <w:szCs w:val="21"/>
                    </w:rPr>
                  </w:pPr>
                  <w:r>
                    <w:rPr>
                      <w:rFonts w:hint="eastAsia"/>
                      <w:color w:val="000000" w:themeColor="text1"/>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tcBorders>
                    <w:bottom w:val="single" w:color="auto" w:sz="4" w:space="0"/>
                  </w:tcBorders>
                  <w:vAlign w:val="center"/>
                </w:tcPr>
                <w:p>
                  <w:pPr>
                    <w:pStyle w:val="30"/>
                    <w:spacing w:line="360" w:lineRule="exact"/>
                    <w:rPr>
                      <w:color w:val="000000" w:themeColor="text1"/>
                      <w:szCs w:val="21"/>
                    </w:rPr>
                  </w:pPr>
                </w:p>
              </w:tc>
              <w:tc>
                <w:tcPr>
                  <w:tcW w:w="709" w:type="dxa"/>
                  <w:vMerge w:val="continue"/>
                  <w:tcBorders>
                    <w:bottom w:val="single" w:color="auto" w:sz="4" w:space="0"/>
                  </w:tcBorders>
                  <w:vAlign w:val="center"/>
                </w:tcPr>
                <w:p>
                  <w:pPr>
                    <w:pStyle w:val="30"/>
                    <w:spacing w:line="360" w:lineRule="exact"/>
                    <w:rPr>
                      <w:color w:val="000000" w:themeColor="text1"/>
                      <w:szCs w:val="21"/>
                    </w:rPr>
                  </w:pPr>
                </w:p>
              </w:tc>
              <w:tc>
                <w:tcPr>
                  <w:tcW w:w="762" w:type="dxa"/>
                  <w:vMerge w:val="continue"/>
                  <w:tcBorders>
                    <w:bottom w:val="single" w:color="auto" w:sz="4" w:space="0"/>
                  </w:tcBorders>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编号</w:t>
                  </w:r>
                </w:p>
              </w:tc>
              <w:tc>
                <w:tcPr>
                  <w:tcW w:w="1609"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1号废旧电视机（CRT）处理线</w:t>
                  </w:r>
                </w:p>
              </w:tc>
              <w:tc>
                <w:tcPr>
                  <w:tcW w:w="709"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拆解</w:t>
                  </w:r>
                </w:p>
              </w:tc>
              <w:tc>
                <w:tcPr>
                  <w:tcW w:w="762"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粉尘</w:t>
                  </w: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类型</w:t>
                  </w:r>
                </w:p>
              </w:tc>
              <w:tc>
                <w:tcPr>
                  <w:tcW w:w="1609"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坐标</w:t>
                  </w:r>
                </w:p>
              </w:tc>
              <w:tc>
                <w:tcPr>
                  <w:tcW w:w="1609" w:type="dxa"/>
                  <w:vAlign w:val="center"/>
                </w:tcPr>
                <w:p>
                  <w:pPr>
                    <w:pStyle w:val="30"/>
                    <w:spacing w:line="360" w:lineRule="exact"/>
                    <w:rPr>
                      <w:color w:val="000000" w:themeColor="text1"/>
                      <w:szCs w:val="21"/>
                    </w:rPr>
                  </w:pPr>
                  <w:r>
                    <w:rPr>
                      <w:color w:val="000000" w:themeColor="text1"/>
                      <w:szCs w:val="21"/>
                    </w:rPr>
                    <w:t>E103°15'1</w:t>
                  </w:r>
                  <w:r>
                    <w:rPr>
                      <w:rFonts w:hint="eastAsia"/>
                      <w:color w:val="000000" w:themeColor="text1"/>
                      <w:szCs w:val="21"/>
                    </w:rPr>
                    <w:t>4.08</w:t>
                  </w:r>
                  <w:r>
                    <w:rPr>
                      <w:color w:val="000000" w:themeColor="text1"/>
                      <w:szCs w:val="21"/>
                    </w:rPr>
                    <w:t>"</w:t>
                  </w:r>
                  <w:r>
                    <w:rPr>
                      <w:rFonts w:hint="eastAsia"/>
                      <w:color w:val="000000" w:themeColor="text1"/>
                      <w:szCs w:val="21"/>
                    </w:rPr>
                    <w:t>N</w:t>
                  </w:r>
                  <w:r>
                    <w:rPr>
                      <w:color w:val="000000" w:themeColor="text1"/>
                      <w:szCs w:val="21"/>
                    </w:rPr>
                    <w:t>2</w:t>
                  </w:r>
                  <w:r>
                    <w:rPr>
                      <w:rFonts w:hint="eastAsia"/>
                      <w:color w:val="000000" w:themeColor="text1"/>
                      <w:szCs w:val="21"/>
                    </w:rPr>
                    <w:t>5</w:t>
                  </w:r>
                  <w:r>
                    <w:rPr>
                      <w:color w:val="000000" w:themeColor="text1"/>
                      <w:szCs w:val="21"/>
                    </w:rPr>
                    <w:t>°38'2</w:t>
                  </w:r>
                  <w:r>
                    <w:rPr>
                      <w:rFonts w:hint="eastAsia"/>
                      <w:color w:val="000000" w:themeColor="text1"/>
                      <w:szCs w:val="21"/>
                    </w:rPr>
                    <w:t>2.20</w:t>
                  </w: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restart"/>
                  <w:vAlign w:val="center"/>
                </w:tcPr>
                <w:p>
                  <w:pPr>
                    <w:pStyle w:val="30"/>
                    <w:spacing w:line="360" w:lineRule="exact"/>
                    <w:rPr>
                      <w:color w:val="000000" w:themeColor="text1"/>
                      <w:szCs w:val="21"/>
                    </w:rPr>
                  </w:pPr>
                  <w:r>
                    <w:rPr>
                      <w:rFonts w:hint="eastAsia"/>
                      <w:color w:val="000000" w:themeColor="text1"/>
                      <w:szCs w:val="21"/>
                    </w:rPr>
                    <w:t>粉尘、铅及其化合物</w:t>
                  </w:r>
                </w:p>
              </w:tc>
              <w:tc>
                <w:tcPr>
                  <w:tcW w:w="3065" w:type="dxa"/>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1号废旧电视机（CRT）处理线拆解含铅粉尘，阴极射线管（CRT）拆解区为密闭式拆解区设置7个阴极射线管（CRT）拆解工作台，项目分别对7个阴极射线管（CRT）拆解工作台设置集气效率不低于95%的集气罩对其进行收集；收集后统一进入1个处理效率不低于95%的2#脉冲除尘器对其进行处理，处理后通过1根Φ0.5m、高15m的排气筒（DA002）外排。</w:t>
                  </w:r>
                </w:p>
              </w:tc>
              <w:tc>
                <w:tcPr>
                  <w:tcW w:w="709" w:type="dxa"/>
                  <w:vMerge w:val="restart"/>
                  <w:vAlign w:val="center"/>
                </w:tcPr>
                <w:p>
                  <w:pPr>
                    <w:pStyle w:val="30"/>
                    <w:spacing w:line="360" w:lineRule="exact"/>
                    <w:rPr>
                      <w:color w:val="000000" w:themeColor="text1"/>
                      <w:szCs w:val="21"/>
                    </w:rPr>
                  </w:pPr>
                  <w:r>
                    <w:rPr>
                      <w:color w:val="000000" w:themeColor="text1"/>
                      <w:szCs w:val="21"/>
                    </w:rPr>
                    <w:t>有组织</w:t>
                  </w:r>
                </w:p>
              </w:tc>
              <w:tc>
                <w:tcPr>
                  <w:tcW w:w="2318" w:type="dxa"/>
                  <w:gridSpan w:val="2"/>
                  <w:vAlign w:val="center"/>
                </w:tcPr>
                <w:p>
                  <w:pPr>
                    <w:pStyle w:val="30"/>
                    <w:spacing w:line="360" w:lineRule="exact"/>
                    <w:rPr>
                      <w:color w:val="000000" w:themeColor="text1"/>
                      <w:szCs w:val="21"/>
                    </w:rPr>
                  </w:pPr>
                  <w:r>
                    <w:rPr>
                      <w:color w:val="000000" w:themeColor="text1"/>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高度</w:t>
                  </w:r>
                </w:p>
              </w:tc>
              <w:tc>
                <w:tcPr>
                  <w:tcW w:w="1609" w:type="dxa"/>
                  <w:vAlign w:val="center"/>
                </w:tcPr>
                <w:p>
                  <w:pPr>
                    <w:pStyle w:val="30"/>
                    <w:spacing w:line="360" w:lineRule="exact"/>
                    <w:rPr>
                      <w:color w:val="000000" w:themeColor="text1"/>
                      <w:szCs w:val="21"/>
                    </w:rPr>
                  </w:pPr>
                  <w:r>
                    <w:rPr>
                      <w:color w:val="000000" w:themeColor="text1"/>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内径</w:t>
                  </w:r>
                </w:p>
              </w:tc>
              <w:tc>
                <w:tcPr>
                  <w:tcW w:w="1609" w:type="dxa"/>
                  <w:vAlign w:val="center"/>
                </w:tcPr>
                <w:p>
                  <w:pPr>
                    <w:pStyle w:val="30"/>
                    <w:spacing w:line="360" w:lineRule="exact"/>
                    <w:rPr>
                      <w:color w:val="000000" w:themeColor="text1"/>
                      <w:szCs w:val="21"/>
                    </w:rPr>
                  </w:pPr>
                  <w:r>
                    <w:rPr>
                      <w:rFonts w:hint="eastAsia"/>
                      <w:color w:val="000000" w:themeColor="text1"/>
                      <w:szCs w:val="21"/>
                    </w:rPr>
                    <w:t>0.5m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温度</w:t>
                  </w:r>
                </w:p>
              </w:tc>
              <w:tc>
                <w:tcPr>
                  <w:tcW w:w="1609" w:type="dxa"/>
                  <w:vAlign w:val="center"/>
                </w:tcPr>
                <w:p>
                  <w:pPr>
                    <w:pStyle w:val="30"/>
                    <w:spacing w:line="360" w:lineRule="exact"/>
                    <w:rPr>
                      <w:color w:val="000000" w:themeColor="text1"/>
                      <w:szCs w:val="21"/>
                    </w:rPr>
                  </w:pPr>
                  <w:r>
                    <w:rPr>
                      <w:rFonts w:hint="eastAsia"/>
                      <w:color w:val="000000" w:themeColor="text1"/>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编号</w:t>
                  </w:r>
                </w:p>
              </w:tc>
              <w:tc>
                <w:tcPr>
                  <w:tcW w:w="1609"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类型</w:t>
                  </w:r>
                </w:p>
              </w:tc>
              <w:tc>
                <w:tcPr>
                  <w:tcW w:w="1609"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坐标</w:t>
                  </w:r>
                </w:p>
              </w:tc>
              <w:tc>
                <w:tcPr>
                  <w:tcW w:w="1609" w:type="dxa"/>
                  <w:vAlign w:val="center"/>
                </w:tcPr>
                <w:p>
                  <w:pPr>
                    <w:pStyle w:val="30"/>
                    <w:spacing w:line="360" w:lineRule="exact"/>
                    <w:rPr>
                      <w:color w:val="000000" w:themeColor="text1"/>
                      <w:szCs w:val="21"/>
                    </w:rPr>
                  </w:pPr>
                  <w:r>
                    <w:rPr>
                      <w:color w:val="000000" w:themeColor="text1"/>
                      <w:szCs w:val="21"/>
                    </w:rPr>
                    <w:t>E103°15'1</w:t>
                  </w:r>
                  <w:r>
                    <w:rPr>
                      <w:rFonts w:hint="eastAsia"/>
                      <w:color w:val="000000" w:themeColor="text1"/>
                      <w:szCs w:val="21"/>
                    </w:rPr>
                    <w:t>1.38</w:t>
                  </w:r>
                  <w:r>
                    <w:rPr>
                      <w:color w:val="000000" w:themeColor="text1"/>
                      <w:szCs w:val="21"/>
                    </w:rPr>
                    <w:t>"</w:t>
                  </w:r>
                  <w:r>
                    <w:rPr>
                      <w:rFonts w:hint="eastAsia"/>
                      <w:color w:val="000000" w:themeColor="text1"/>
                      <w:szCs w:val="21"/>
                    </w:rPr>
                    <w:t>N</w:t>
                  </w:r>
                  <w:r>
                    <w:rPr>
                      <w:color w:val="000000" w:themeColor="text1"/>
                      <w:szCs w:val="21"/>
                    </w:rPr>
                    <w:t>2</w:t>
                  </w:r>
                  <w:r>
                    <w:rPr>
                      <w:rFonts w:hint="eastAsia"/>
                      <w:color w:val="000000" w:themeColor="text1"/>
                      <w:szCs w:val="21"/>
                    </w:rPr>
                    <w:t>5</w:t>
                  </w:r>
                  <w:r>
                    <w:rPr>
                      <w:color w:val="000000" w:themeColor="text1"/>
                      <w:szCs w:val="21"/>
                    </w:rPr>
                    <w:t>°38'2</w:t>
                  </w:r>
                  <w:r>
                    <w:rPr>
                      <w:rFonts w:hint="eastAsia"/>
                      <w:color w:val="000000" w:themeColor="text1"/>
                      <w:szCs w:val="21"/>
                    </w:rPr>
                    <w:t>2.34</w:t>
                  </w: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pStyle w:val="30"/>
                    <w:spacing w:line="360" w:lineRule="exact"/>
                    <w:rPr>
                      <w:color w:val="000000" w:themeColor="text1"/>
                      <w:szCs w:val="21"/>
                    </w:rPr>
                  </w:pPr>
                  <w:r>
                    <w:rPr>
                      <w:rFonts w:hint="eastAsia"/>
                      <w:color w:val="000000" w:themeColor="text1"/>
                      <w:szCs w:val="21"/>
                    </w:rPr>
                    <w:t>废旧冰箱处理线</w:t>
                  </w:r>
                </w:p>
              </w:tc>
              <w:tc>
                <w:tcPr>
                  <w:tcW w:w="709" w:type="dxa"/>
                  <w:vMerge w:val="restart"/>
                  <w:vAlign w:val="center"/>
                </w:tcPr>
                <w:p>
                  <w:pPr>
                    <w:pStyle w:val="30"/>
                    <w:spacing w:line="360" w:lineRule="exact"/>
                    <w:rPr>
                      <w:color w:val="000000" w:themeColor="text1"/>
                      <w:szCs w:val="21"/>
                    </w:rPr>
                  </w:pPr>
                  <w:r>
                    <w:rPr>
                      <w:rFonts w:hint="eastAsia"/>
                      <w:color w:val="000000" w:themeColor="text1"/>
                      <w:szCs w:val="21"/>
                    </w:rPr>
                    <w:t>冷媒抽取+拆解+破碎</w:t>
                  </w:r>
                </w:p>
              </w:tc>
              <w:tc>
                <w:tcPr>
                  <w:tcW w:w="762" w:type="dxa"/>
                  <w:vMerge w:val="restart"/>
                  <w:vAlign w:val="center"/>
                </w:tcPr>
                <w:p>
                  <w:pPr>
                    <w:pStyle w:val="30"/>
                    <w:spacing w:line="360" w:lineRule="exact"/>
                    <w:rPr>
                      <w:color w:val="000000" w:themeColor="text1"/>
                      <w:szCs w:val="21"/>
                    </w:rPr>
                  </w:pPr>
                  <w:r>
                    <w:rPr>
                      <w:rFonts w:hint="eastAsia"/>
                      <w:color w:val="000000" w:themeColor="text1"/>
                      <w:szCs w:val="21"/>
                    </w:rPr>
                    <w:t>粉尘、非甲烷总烃</w:t>
                  </w:r>
                </w:p>
              </w:tc>
              <w:tc>
                <w:tcPr>
                  <w:tcW w:w="3065" w:type="dxa"/>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针对废旧冰箱处理线废气，项目已设置集气效率不低于90%的集气罩、</w:t>
                  </w:r>
                  <w:r>
                    <w:rPr>
                      <w:color w:val="000000" w:themeColor="text1"/>
                      <w:szCs w:val="21"/>
                    </w:rPr>
                    <w:t>1套</w:t>
                  </w:r>
                  <w:r>
                    <w:rPr>
                      <w:rFonts w:hint="eastAsia"/>
                      <w:color w:val="000000" w:themeColor="text1"/>
                      <w:szCs w:val="21"/>
                    </w:rPr>
                    <w:t>去除效率不低于70%的</w:t>
                  </w:r>
                  <w:r>
                    <w:rPr>
                      <w:color w:val="000000" w:themeColor="text1"/>
                      <w:szCs w:val="21"/>
                    </w:rPr>
                    <w:t>旋风除尘器</w:t>
                  </w:r>
                  <w:r>
                    <w:rPr>
                      <w:rFonts w:hint="eastAsia"/>
                      <w:color w:val="000000" w:themeColor="text1"/>
                      <w:szCs w:val="21"/>
                    </w:rPr>
                    <w:t>、</w:t>
                  </w:r>
                  <w:r>
                    <w:rPr>
                      <w:color w:val="000000" w:themeColor="text1"/>
                      <w:szCs w:val="21"/>
                    </w:rPr>
                    <w:t>1套</w:t>
                  </w:r>
                  <w:r>
                    <w:rPr>
                      <w:rFonts w:hint="eastAsia"/>
                      <w:color w:val="000000" w:themeColor="text1"/>
                      <w:szCs w:val="21"/>
                    </w:rPr>
                    <w:t>去除效率不低于95%的</w:t>
                  </w:r>
                  <w:r>
                    <w:rPr>
                      <w:color w:val="000000" w:themeColor="text1"/>
                      <w:szCs w:val="21"/>
                    </w:rPr>
                    <w:t>脉冲除尘器</w:t>
                  </w:r>
                  <w:r>
                    <w:rPr>
                      <w:rFonts w:hint="eastAsia"/>
                      <w:color w:val="000000" w:themeColor="text1"/>
                      <w:szCs w:val="21"/>
                    </w:rPr>
                    <w:t>（3#）、</w:t>
                  </w:r>
                  <w:r>
                    <w:rPr>
                      <w:color w:val="000000" w:themeColor="text1"/>
                      <w:szCs w:val="21"/>
                    </w:rPr>
                    <w:t>1套</w:t>
                  </w:r>
                  <w:r>
                    <w:rPr>
                      <w:rFonts w:hint="eastAsia"/>
                      <w:color w:val="000000" w:themeColor="text1"/>
                      <w:szCs w:val="21"/>
                    </w:rPr>
                    <w:t>去除效率不低于80%的</w:t>
                  </w:r>
                  <w:r>
                    <w:rPr>
                      <w:color w:val="000000" w:themeColor="text1"/>
                      <w:szCs w:val="21"/>
                    </w:rPr>
                    <w:t>有机废气处理装置</w:t>
                  </w:r>
                  <w:r>
                    <w:rPr>
                      <w:rFonts w:hint="eastAsia"/>
                      <w:color w:val="000000" w:themeColor="text1"/>
                      <w:szCs w:val="21"/>
                    </w:rPr>
                    <w:t>（</w:t>
                  </w:r>
                  <w:r>
                    <w:rPr>
                      <w:color w:val="000000" w:themeColor="text1"/>
                      <w:szCs w:val="21"/>
                    </w:rPr>
                    <w:t>采用UV光氧裂解+活性炭吸附</w:t>
                  </w:r>
                  <w:r>
                    <w:rPr>
                      <w:rFonts w:hint="eastAsia"/>
                      <w:color w:val="000000" w:themeColor="text1"/>
                      <w:szCs w:val="21"/>
                    </w:rPr>
                    <w:t>）对其进行处理，处理后通过和1</w:t>
                  </w:r>
                  <w:r>
                    <w:rPr>
                      <w:color w:val="000000" w:themeColor="text1"/>
                      <w:szCs w:val="21"/>
                    </w:rPr>
                    <w:t>根Φ0.5m、高15m的排气筒</w:t>
                  </w:r>
                  <w:r>
                    <w:rPr>
                      <w:rFonts w:hint="eastAsia"/>
                      <w:color w:val="000000" w:themeColor="text1"/>
                      <w:szCs w:val="21"/>
                    </w:rPr>
                    <w:t>（DA003）外排。</w:t>
                  </w:r>
                </w:p>
              </w:tc>
              <w:tc>
                <w:tcPr>
                  <w:tcW w:w="709" w:type="dxa"/>
                  <w:vMerge w:val="restart"/>
                  <w:vAlign w:val="center"/>
                </w:tcPr>
                <w:p>
                  <w:pPr>
                    <w:pStyle w:val="30"/>
                    <w:spacing w:line="360" w:lineRule="exact"/>
                    <w:rPr>
                      <w:color w:val="000000" w:themeColor="text1"/>
                      <w:szCs w:val="21"/>
                    </w:rPr>
                  </w:pPr>
                  <w:r>
                    <w:rPr>
                      <w:color w:val="000000" w:themeColor="text1"/>
                      <w:szCs w:val="21"/>
                    </w:rPr>
                    <w:t>有组织</w:t>
                  </w:r>
                </w:p>
              </w:tc>
              <w:tc>
                <w:tcPr>
                  <w:tcW w:w="2318" w:type="dxa"/>
                  <w:gridSpan w:val="2"/>
                  <w:vAlign w:val="center"/>
                </w:tcPr>
                <w:p>
                  <w:pPr>
                    <w:pStyle w:val="30"/>
                    <w:spacing w:line="360" w:lineRule="exact"/>
                    <w:rPr>
                      <w:color w:val="000000" w:themeColor="text1"/>
                      <w:szCs w:val="21"/>
                    </w:rPr>
                  </w:pPr>
                  <w:r>
                    <w:rPr>
                      <w:color w:val="000000" w:themeColor="text1"/>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高度</w:t>
                  </w:r>
                </w:p>
              </w:tc>
              <w:tc>
                <w:tcPr>
                  <w:tcW w:w="1609" w:type="dxa"/>
                  <w:vAlign w:val="center"/>
                </w:tcPr>
                <w:p>
                  <w:pPr>
                    <w:pStyle w:val="30"/>
                    <w:spacing w:line="360" w:lineRule="exact"/>
                    <w:rPr>
                      <w:color w:val="000000" w:themeColor="text1"/>
                      <w:szCs w:val="21"/>
                    </w:rPr>
                  </w:pPr>
                  <w:r>
                    <w:rPr>
                      <w:color w:val="000000" w:themeColor="text1"/>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内径</w:t>
                  </w:r>
                </w:p>
              </w:tc>
              <w:tc>
                <w:tcPr>
                  <w:tcW w:w="1609" w:type="dxa"/>
                  <w:vAlign w:val="center"/>
                </w:tcPr>
                <w:p>
                  <w:pPr>
                    <w:pStyle w:val="30"/>
                    <w:spacing w:line="360" w:lineRule="exact"/>
                    <w:rPr>
                      <w:color w:val="000000" w:themeColor="text1"/>
                      <w:szCs w:val="21"/>
                    </w:rPr>
                  </w:pPr>
                  <w:r>
                    <w:rPr>
                      <w:rFonts w:hint="eastAsia"/>
                      <w:color w:val="000000" w:themeColor="text1"/>
                      <w:szCs w:val="21"/>
                    </w:rPr>
                    <w:t>0.5m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温度</w:t>
                  </w:r>
                </w:p>
              </w:tc>
              <w:tc>
                <w:tcPr>
                  <w:tcW w:w="1609" w:type="dxa"/>
                  <w:vAlign w:val="center"/>
                </w:tcPr>
                <w:p>
                  <w:pPr>
                    <w:pStyle w:val="30"/>
                    <w:spacing w:line="360" w:lineRule="exact"/>
                    <w:rPr>
                      <w:color w:val="000000" w:themeColor="text1"/>
                      <w:szCs w:val="21"/>
                    </w:rPr>
                  </w:pPr>
                  <w:r>
                    <w:rPr>
                      <w:rFonts w:hint="eastAsia"/>
                      <w:color w:val="000000" w:themeColor="text1"/>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编号</w:t>
                  </w:r>
                </w:p>
              </w:tc>
              <w:tc>
                <w:tcPr>
                  <w:tcW w:w="1609"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类型</w:t>
                  </w:r>
                </w:p>
              </w:tc>
              <w:tc>
                <w:tcPr>
                  <w:tcW w:w="1609"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坐标</w:t>
                  </w:r>
                </w:p>
              </w:tc>
              <w:tc>
                <w:tcPr>
                  <w:tcW w:w="1609" w:type="dxa"/>
                  <w:vAlign w:val="center"/>
                </w:tcPr>
                <w:p>
                  <w:pPr>
                    <w:pStyle w:val="30"/>
                    <w:spacing w:line="360" w:lineRule="exact"/>
                    <w:rPr>
                      <w:color w:val="000000" w:themeColor="text1"/>
                      <w:szCs w:val="21"/>
                    </w:rPr>
                  </w:pPr>
                  <w:r>
                    <w:rPr>
                      <w:color w:val="000000" w:themeColor="text1"/>
                      <w:szCs w:val="21"/>
                    </w:rPr>
                    <w:t>E103°15'1</w:t>
                  </w:r>
                  <w:r>
                    <w:rPr>
                      <w:rFonts w:hint="eastAsia"/>
                      <w:color w:val="000000" w:themeColor="text1"/>
                      <w:szCs w:val="21"/>
                    </w:rPr>
                    <w:t>4.29</w:t>
                  </w:r>
                  <w:r>
                    <w:rPr>
                      <w:color w:val="000000" w:themeColor="text1"/>
                      <w:szCs w:val="21"/>
                    </w:rPr>
                    <w:t>"</w:t>
                  </w:r>
                  <w:r>
                    <w:rPr>
                      <w:rFonts w:hint="eastAsia"/>
                      <w:color w:val="000000" w:themeColor="text1"/>
                      <w:szCs w:val="21"/>
                    </w:rPr>
                    <w:t>N</w:t>
                  </w:r>
                  <w:r>
                    <w:rPr>
                      <w:color w:val="000000" w:themeColor="text1"/>
                      <w:szCs w:val="21"/>
                    </w:rPr>
                    <w:t>2</w:t>
                  </w:r>
                  <w:r>
                    <w:rPr>
                      <w:rFonts w:hint="eastAsia"/>
                      <w:color w:val="000000" w:themeColor="text1"/>
                      <w:szCs w:val="21"/>
                    </w:rPr>
                    <w:t>5</w:t>
                  </w:r>
                  <w:r>
                    <w:rPr>
                      <w:color w:val="000000" w:themeColor="text1"/>
                      <w:szCs w:val="21"/>
                    </w:rPr>
                    <w:t>°38'2</w:t>
                  </w:r>
                  <w:r>
                    <w:rPr>
                      <w:rFonts w:hint="eastAsia"/>
                      <w:color w:val="000000" w:themeColor="text1"/>
                      <w:szCs w:val="21"/>
                    </w:rPr>
                    <w:t>2.70</w:t>
                  </w: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pStyle w:val="30"/>
                    <w:spacing w:line="360" w:lineRule="exact"/>
                    <w:rPr>
                      <w:color w:val="000000" w:themeColor="text1"/>
                      <w:szCs w:val="21"/>
                    </w:rPr>
                  </w:pPr>
                  <w:r>
                    <w:rPr>
                      <w:rFonts w:hint="eastAsia"/>
                      <w:color w:val="000000" w:themeColor="text1"/>
                      <w:szCs w:val="21"/>
                    </w:rPr>
                    <w:t>废旧洗衣机处理线</w:t>
                  </w:r>
                </w:p>
              </w:tc>
              <w:tc>
                <w:tcPr>
                  <w:tcW w:w="709" w:type="dxa"/>
                  <w:vMerge w:val="restart"/>
                  <w:vAlign w:val="center"/>
                </w:tcPr>
                <w:p>
                  <w:pPr>
                    <w:pStyle w:val="30"/>
                    <w:spacing w:line="360" w:lineRule="exact"/>
                    <w:rPr>
                      <w:color w:val="000000" w:themeColor="text1"/>
                      <w:szCs w:val="21"/>
                    </w:rPr>
                  </w:pPr>
                  <w:r>
                    <w:rPr>
                      <w:rFonts w:hint="eastAsia"/>
                      <w:color w:val="000000" w:themeColor="text1"/>
                      <w:szCs w:val="21"/>
                    </w:rPr>
                    <w:t>拆解+塑料破碎</w:t>
                  </w:r>
                </w:p>
              </w:tc>
              <w:tc>
                <w:tcPr>
                  <w:tcW w:w="762" w:type="dxa"/>
                  <w:vMerge w:val="restart"/>
                  <w:vAlign w:val="center"/>
                </w:tcPr>
                <w:p>
                  <w:pPr>
                    <w:pStyle w:val="30"/>
                    <w:spacing w:line="360" w:lineRule="exact"/>
                    <w:rPr>
                      <w:color w:val="000000" w:themeColor="text1"/>
                      <w:szCs w:val="21"/>
                    </w:rPr>
                  </w:pPr>
                  <w:r>
                    <w:rPr>
                      <w:rFonts w:hint="eastAsia"/>
                      <w:color w:val="000000" w:themeColor="text1"/>
                      <w:szCs w:val="21"/>
                    </w:rPr>
                    <w:t>粉尘</w:t>
                  </w:r>
                </w:p>
              </w:tc>
              <w:tc>
                <w:tcPr>
                  <w:tcW w:w="3065" w:type="dxa"/>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废旧洗衣机拆解粉尘，项目拟对每个拆解工位设置集气效率不低于90%的集气罩进行收集，针对废旧洗衣机塑料破碎粉尘，项目拟分别对两台破碎机设置集气效率不低于90%的集气罩进行收集；收集后的粉尘通过1个处理效率不低于95%的4#脉冲除尘器处理，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（DA005）外排。</w:t>
                  </w:r>
                </w:p>
              </w:tc>
              <w:tc>
                <w:tcPr>
                  <w:tcW w:w="709" w:type="dxa"/>
                  <w:vMerge w:val="restart"/>
                  <w:vAlign w:val="center"/>
                </w:tcPr>
                <w:p>
                  <w:pPr>
                    <w:pStyle w:val="30"/>
                    <w:spacing w:line="360" w:lineRule="exact"/>
                    <w:rPr>
                      <w:color w:val="000000" w:themeColor="text1"/>
                      <w:szCs w:val="21"/>
                    </w:rPr>
                  </w:pPr>
                  <w:r>
                    <w:rPr>
                      <w:color w:val="000000" w:themeColor="text1"/>
                      <w:szCs w:val="21"/>
                    </w:rPr>
                    <w:t>有组织</w:t>
                  </w:r>
                </w:p>
              </w:tc>
              <w:tc>
                <w:tcPr>
                  <w:tcW w:w="2318" w:type="dxa"/>
                  <w:gridSpan w:val="2"/>
                  <w:vAlign w:val="center"/>
                </w:tcPr>
                <w:p>
                  <w:pPr>
                    <w:pStyle w:val="30"/>
                    <w:spacing w:line="360" w:lineRule="exact"/>
                    <w:rPr>
                      <w:color w:val="000000" w:themeColor="text1"/>
                      <w:szCs w:val="21"/>
                    </w:rPr>
                  </w:pPr>
                  <w:r>
                    <w:rPr>
                      <w:color w:val="000000" w:themeColor="text1"/>
                      <w:szCs w:val="21"/>
                    </w:rPr>
                    <w:t>排气筒参数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高度</w:t>
                  </w:r>
                </w:p>
              </w:tc>
              <w:tc>
                <w:tcPr>
                  <w:tcW w:w="1609" w:type="dxa"/>
                  <w:vAlign w:val="center"/>
                </w:tcPr>
                <w:p>
                  <w:pPr>
                    <w:pStyle w:val="30"/>
                    <w:spacing w:line="360" w:lineRule="exact"/>
                    <w:rPr>
                      <w:color w:val="000000" w:themeColor="text1"/>
                      <w:szCs w:val="21"/>
                    </w:rPr>
                  </w:pPr>
                  <w:r>
                    <w:rPr>
                      <w:color w:val="000000" w:themeColor="text1"/>
                      <w:szCs w:val="21"/>
                    </w:rPr>
                    <w:t>15m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内径</w:t>
                  </w:r>
                </w:p>
              </w:tc>
              <w:tc>
                <w:tcPr>
                  <w:tcW w:w="1609" w:type="dxa"/>
                  <w:vAlign w:val="center"/>
                </w:tcPr>
                <w:p>
                  <w:pPr>
                    <w:pStyle w:val="30"/>
                    <w:spacing w:line="360" w:lineRule="exact"/>
                    <w:rPr>
                      <w:color w:val="000000" w:themeColor="text1"/>
                      <w:szCs w:val="21"/>
                    </w:rPr>
                  </w:pPr>
                  <w:r>
                    <w:rPr>
                      <w:rFonts w:hint="eastAsia"/>
                      <w:color w:val="000000" w:themeColor="text1"/>
                      <w:szCs w:val="21"/>
                    </w:rPr>
                    <w:t>0.5m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温度</w:t>
                  </w:r>
                </w:p>
              </w:tc>
              <w:tc>
                <w:tcPr>
                  <w:tcW w:w="1609" w:type="dxa"/>
                  <w:vAlign w:val="center"/>
                </w:tcPr>
                <w:p>
                  <w:pPr>
                    <w:pStyle w:val="30"/>
                    <w:spacing w:line="360" w:lineRule="exact"/>
                    <w:rPr>
                      <w:color w:val="000000" w:themeColor="text1"/>
                      <w:szCs w:val="21"/>
                    </w:rPr>
                  </w:pPr>
                  <w:r>
                    <w:rPr>
                      <w:rFonts w:hint="eastAsia"/>
                      <w:color w:val="000000" w:themeColor="text1"/>
                      <w:szCs w:val="21"/>
                    </w:rPr>
                    <w:t>常温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编号</w:t>
                  </w:r>
                </w:p>
              </w:tc>
              <w:tc>
                <w:tcPr>
                  <w:tcW w:w="1609"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类型</w:t>
                  </w:r>
                </w:p>
              </w:tc>
              <w:tc>
                <w:tcPr>
                  <w:tcW w:w="1609"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62" w:type="dxa"/>
                  <w:vMerge w:val="continue"/>
                  <w:vAlign w:val="center"/>
                </w:tcPr>
                <w:p>
                  <w:pPr>
                    <w:pStyle w:val="30"/>
                    <w:spacing w:line="360" w:lineRule="exact"/>
                    <w:rPr>
                      <w:color w:val="000000" w:themeColor="text1"/>
                      <w:szCs w:val="21"/>
                    </w:rPr>
                  </w:pPr>
                </w:p>
              </w:tc>
              <w:tc>
                <w:tcPr>
                  <w:tcW w:w="3065" w:type="dxa"/>
                  <w:vMerge w:val="continue"/>
                  <w:vAlign w:val="center"/>
                </w:tcPr>
                <w:p>
                  <w:pPr>
                    <w:pStyle w:val="30"/>
                    <w:spacing w:line="360" w:lineRule="exact"/>
                    <w:ind w:firstLine="210" w:firstLineChars="100"/>
                    <w:jc w:val="left"/>
                    <w:rPr>
                      <w:color w:val="000000" w:themeColor="text1"/>
                      <w:szCs w:val="21"/>
                    </w:rPr>
                  </w:pPr>
                </w:p>
              </w:tc>
              <w:tc>
                <w:tcPr>
                  <w:tcW w:w="709" w:type="dxa"/>
                  <w:vMerge w:val="continue"/>
                  <w:vAlign w:val="center"/>
                </w:tcPr>
                <w:p>
                  <w:pPr>
                    <w:pStyle w:val="30"/>
                    <w:spacing w:line="360" w:lineRule="exact"/>
                    <w:rPr>
                      <w:color w:val="000000" w:themeColor="text1"/>
                      <w:szCs w:val="21"/>
                    </w:rPr>
                  </w:pPr>
                </w:p>
              </w:tc>
              <w:tc>
                <w:tcPr>
                  <w:tcW w:w="709" w:type="dxa"/>
                  <w:vAlign w:val="center"/>
                </w:tcPr>
                <w:p>
                  <w:pPr>
                    <w:pStyle w:val="30"/>
                    <w:spacing w:line="360" w:lineRule="exact"/>
                    <w:rPr>
                      <w:color w:val="000000" w:themeColor="text1"/>
                      <w:szCs w:val="21"/>
                    </w:rPr>
                  </w:pPr>
                  <w:r>
                    <w:rPr>
                      <w:color w:val="000000" w:themeColor="text1"/>
                      <w:szCs w:val="21"/>
                    </w:rPr>
                    <w:t>坐标</w:t>
                  </w:r>
                </w:p>
              </w:tc>
              <w:tc>
                <w:tcPr>
                  <w:tcW w:w="1609" w:type="dxa"/>
                  <w:vAlign w:val="center"/>
                </w:tcPr>
                <w:p>
                  <w:pPr>
                    <w:pStyle w:val="30"/>
                    <w:spacing w:line="360" w:lineRule="exact"/>
                    <w:rPr>
                      <w:color w:val="000000" w:themeColor="text1"/>
                      <w:szCs w:val="21"/>
                    </w:rPr>
                  </w:pPr>
                  <w:r>
                    <w:rPr>
                      <w:color w:val="000000" w:themeColor="text1"/>
                      <w:szCs w:val="21"/>
                    </w:rPr>
                    <w:t>E103°15'1</w:t>
                  </w:r>
                  <w:r>
                    <w:rPr>
                      <w:rFonts w:hint="eastAsia"/>
                      <w:color w:val="000000" w:themeColor="text1"/>
                      <w:szCs w:val="21"/>
                    </w:rPr>
                    <w:t>2.56</w:t>
                  </w:r>
                  <w:r>
                    <w:rPr>
                      <w:color w:val="000000" w:themeColor="text1"/>
                      <w:szCs w:val="21"/>
                    </w:rPr>
                    <w:t>"</w:t>
                  </w:r>
                  <w:r>
                    <w:rPr>
                      <w:rFonts w:hint="eastAsia"/>
                      <w:color w:val="000000" w:themeColor="text1"/>
                      <w:szCs w:val="21"/>
                    </w:rPr>
                    <w:t>N</w:t>
                  </w:r>
                  <w:r>
                    <w:rPr>
                      <w:color w:val="000000" w:themeColor="text1"/>
                      <w:szCs w:val="21"/>
                    </w:rPr>
                    <w:t>2</w:t>
                  </w:r>
                  <w:r>
                    <w:rPr>
                      <w:rFonts w:hint="eastAsia"/>
                      <w:color w:val="000000" w:themeColor="text1"/>
                      <w:szCs w:val="21"/>
                    </w:rPr>
                    <w:t>5</w:t>
                  </w:r>
                  <w:r>
                    <w:rPr>
                      <w:color w:val="000000" w:themeColor="text1"/>
                      <w:szCs w:val="21"/>
                    </w:rPr>
                    <w:t>°38'2</w:t>
                  </w:r>
                  <w:r>
                    <w:rPr>
                      <w:rFonts w:hint="eastAsia"/>
                      <w:color w:val="000000" w:themeColor="text1"/>
                      <w:szCs w:val="21"/>
                    </w:rPr>
                    <w:t>2.56</w:t>
                  </w: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Align w:val="center"/>
                </w:tcPr>
                <w:p>
                  <w:pPr>
                    <w:pStyle w:val="30"/>
                    <w:spacing w:line="360" w:lineRule="exact"/>
                    <w:rPr>
                      <w:color w:val="000000" w:themeColor="text1"/>
                      <w:szCs w:val="21"/>
                    </w:rPr>
                  </w:pPr>
                  <w:r>
                    <w:rPr>
                      <w:rFonts w:hint="eastAsia"/>
                      <w:color w:val="000000" w:themeColor="text1"/>
                      <w:szCs w:val="21"/>
                    </w:rPr>
                    <w:t>厨房</w:t>
                  </w:r>
                </w:p>
              </w:tc>
              <w:tc>
                <w:tcPr>
                  <w:tcW w:w="709" w:type="dxa"/>
                  <w:vAlign w:val="center"/>
                </w:tcPr>
                <w:p>
                  <w:pPr>
                    <w:pStyle w:val="30"/>
                    <w:spacing w:line="360" w:lineRule="exact"/>
                    <w:rPr>
                      <w:color w:val="000000" w:themeColor="text1"/>
                      <w:szCs w:val="21"/>
                    </w:rPr>
                  </w:pPr>
                  <w:r>
                    <w:rPr>
                      <w:rFonts w:hint="eastAsia"/>
                      <w:color w:val="000000" w:themeColor="text1"/>
                      <w:szCs w:val="21"/>
                    </w:rPr>
                    <w:t>--</w:t>
                  </w:r>
                </w:p>
              </w:tc>
              <w:tc>
                <w:tcPr>
                  <w:tcW w:w="762" w:type="dxa"/>
                  <w:vAlign w:val="center"/>
                </w:tcPr>
                <w:p>
                  <w:pPr>
                    <w:pStyle w:val="30"/>
                    <w:spacing w:line="360" w:lineRule="exact"/>
                    <w:rPr>
                      <w:color w:val="000000" w:themeColor="text1"/>
                      <w:szCs w:val="21"/>
                    </w:rPr>
                  </w:pPr>
                  <w:r>
                    <w:rPr>
                      <w:rFonts w:hint="eastAsia"/>
                      <w:color w:val="000000" w:themeColor="text1"/>
                      <w:szCs w:val="21"/>
                    </w:rPr>
                    <w:t>厨房油烟</w:t>
                  </w:r>
                </w:p>
              </w:tc>
              <w:tc>
                <w:tcPr>
                  <w:tcW w:w="3065" w:type="dxa"/>
                  <w:vAlign w:val="center"/>
                </w:tcPr>
                <w:p>
                  <w:pPr>
                    <w:pStyle w:val="30"/>
                    <w:spacing w:line="360" w:lineRule="exact"/>
                    <w:ind w:firstLine="210" w:firstLineChars="100"/>
                    <w:jc w:val="both"/>
                    <w:rPr>
                      <w:color w:val="000000" w:themeColor="text1"/>
                      <w:szCs w:val="21"/>
                    </w:rPr>
                  </w:pPr>
                  <w:r>
                    <w:rPr>
                      <w:color w:val="000000" w:themeColor="text1"/>
                      <w:szCs w:val="21"/>
                    </w:rPr>
                    <w:t>项目区厨房安装一个最低去除率60%的油烟净化器</w:t>
                  </w:r>
                  <w:r>
                    <w:rPr>
                      <w:rFonts w:hint="eastAsia"/>
                      <w:color w:val="000000" w:themeColor="text1"/>
                      <w:szCs w:val="21"/>
                    </w:rPr>
                    <w:t>。</w:t>
                  </w:r>
                </w:p>
              </w:tc>
              <w:tc>
                <w:tcPr>
                  <w:tcW w:w="709" w:type="dxa"/>
                  <w:vAlign w:val="center"/>
                </w:tcPr>
                <w:p>
                  <w:pPr>
                    <w:pStyle w:val="30"/>
                    <w:spacing w:line="360" w:lineRule="exact"/>
                    <w:rPr>
                      <w:color w:val="000000" w:themeColor="text1"/>
                      <w:szCs w:val="21"/>
                    </w:rPr>
                  </w:pPr>
                  <w:r>
                    <w:rPr>
                      <w:rFonts w:hint="eastAsia"/>
                      <w:color w:val="000000" w:themeColor="text1"/>
                      <w:szCs w:val="21"/>
                    </w:rPr>
                    <w:t>--</w:t>
                  </w:r>
                </w:p>
              </w:tc>
              <w:tc>
                <w:tcPr>
                  <w:tcW w:w="2318" w:type="dxa"/>
                  <w:gridSpan w:val="2"/>
                  <w:vAlign w:val="center"/>
                </w:tcPr>
                <w:p>
                  <w:pPr>
                    <w:pStyle w:val="30"/>
                    <w:spacing w:line="360" w:lineRule="exact"/>
                    <w:ind w:firstLine="210" w:firstLineChars="100"/>
                    <w:jc w:val="both"/>
                    <w:rPr>
                      <w:color w:val="000000" w:themeColor="text1"/>
                      <w:szCs w:val="21"/>
                      <w:highlight w:val="yellow"/>
                    </w:rPr>
                  </w:pPr>
                  <w:r>
                    <w:rPr>
                      <w:color w:val="000000" w:themeColor="text1"/>
                      <w:szCs w:val="21"/>
                    </w:rPr>
                    <w:t>高于房顶1.5m的烟道外排</w:t>
                  </w:r>
                </w:p>
              </w:tc>
            </w:tr>
          </w:tbl>
          <w:p>
            <w:pPr>
              <w:spacing w:beforeLines="50"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②</w:t>
            </w:r>
            <w:r>
              <w:rPr>
                <w:rFonts w:ascii="Times New Roman" w:hAnsi="Times New Roman" w:cs="Times New Roman"/>
                <w:b/>
                <w:color w:val="000000" w:themeColor="text1"/>
                <w:sz w:val="24"/>
              </w:rPr>
              <w:t>废气污染物排放源产排量及达标情况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根据项目现有工程和技改工程产污环节和废气污染源强核算可知，项目废气污染物排放源产排量如下表所示。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表4.2.1-</w:t>
            </w:r>
            <w:r>
              <w:rPr>
                <w:rFonts w:hint="eastAsia" w:ascii="Times New Roman" w:hAnsi="Times New Roman" w:cs="Times New Roman"/>
                <w:b/>
                <w:color w:val="000000" w:themeColor="text1"/>
                <w:szCs w:val="24"/>
              </w:rPr>
              <w:t>4</w:t>
            </w:r>
            <w:r>
              <w:rPr>
                <w:rFonts w:ascii="Times New Roman" w:hAnsi="Times New Roman" w:cs="Times New Roman"/>
                <w:b/>
                <w:color w:val="000000" w:themeColor="text1"/>
                <w:szCs w:val="24"/>
              </w:rPr>
              <w:t xml:space="preserve">  废气污染物排放源产排量一览表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9"/>
              <w:gridCol w:w="1134"/>
              <w:gridCol w:w="1984"/>
              <w:gridCol w:w="992"/>
              <w:gridCol w:w="851"/>
              <w:gridCol w:w="992"/>
              <w:gridCol w:w="851"/>
              <w:gridCol w:w="8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93" w:type="dxa"/>
                  <w:gridSpan w:val="2"/>
                  <w:vMerge w:val="restart"/>
                  <w:vAlign w:val="center"/>
                </w:tcPr>
                <w:p>
                  <w:pPr>
                    <w:pStyle w:val="30"/>
                    <w:spacing w:line="360" w:lineRule="exact"/>
                    <w:rPr>
                      <w:color w:val="000000" w:themeColor="text1"/>
                      <w:szCs w:val="21"/>
                    </w:rPr>
                  </w:pPr>
                  <w:r>
                    <w:rPr>
                      <w:color w:val="000000" w:themeColor="text1"/>
                      <w:szCs w:val="21"/>
                    </w:rPr>
                    <w:t>产排污环节</w:t>
                  </w:r>
                </w:p>
              </w:tc>
              <w:tc>
                <w:tcPr>
                  <w:tcW w:w="1984" w:type="dxa"/>
                  <w:vMerge w:val="restart"/>
                  <w:vAlign w:val="center"/>
                </w:tcPr>
                <w:p>
                  <w:pPr>
                    <w:pStyle w:val="30"/>
                    <w:spacing w:line="360" w:lineRule="exact"/>
                    <w:rPr>
                      <w:color w:val="000000" w:themeColor="text1"/>
                      <w:szCs w:val="21"/>
                    </w:rPr>
                  </w:pPr>
                  <w:r>
                    <w:rPr>
                      <w:color w:val="000000" w:themeColor="text1"/>
                      <w:szCs w:val="21"/>
                    </w:rPr>
                    <w:t>污染物种类</w:t>
                  </w:r>
                </w:p>
              </w:tc>
              <w:tc>
                <w:tcPr>
                  <w:tcW w:w="1843" w:type="dxa"/>
                  <w:gridSpan w:val="2"/>
                  <w:vAlign w:val="center"/>
                </w:tcPr>
                <w:p>
                  <w:pPr>
                    <w:pStyle w:val="30"/>
                    <w:spacing w:line="360" w:lineRule="exact"/>
                    <w:rPr>
                      <w:color w:val="000000" w:themeColor="text1"/>
                      <w:szCs w:val="21"/>
                    </w:rPr>
                  </w:pPr>
                  <w:r>
                    <w:rPr>
                      <w:color w:val="000000" w:themeColor="text1"/>
                      <w:szCs w:val="21"/>
                    </w:rPr>
                    <w:t>污染物产生情况</w:t>
                  </w:r>
                </w:p>
              </w:tc>
              <w:tc>
                <w:tcPr>
                  <w:tcW w:w="2724" w:type="dxa"/>
                  <w:gridSpan w:val="3"/>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污染物排放量和浓度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93" w:type="dxa"/>
                  <w:gridSpan w:val="2"/>
                  <w:vMerge w:val="continue"/>
                  <w:vAlign w:val="center"/>
                </w:tcPr>
                <w:p>
                  <w:pPr>
                    <w:pStyle w:val="30"/>
                    <w:spacing w:line="360" w:lineRule="exact"/>
                    <w:rPr>
                      <w:color w:val="000000" w:themeColor="text1"/>
                      <w:szCs w:val="21"/>
                    </w:rPr>
                  </w:pPr>
                </w:p>
              </w:tc>
              <w:tc>
                <w:tcPr>
                  <w:tcW w:w="1984" w:type="dxa"/>
                  <w:vMerge w:val="continue"/>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color w:val="000000" w:themeColor="text1"/>
                      <w:szCs w:val="21"/>
                    </w:rPr>
                    <w:t>产生浓度mg/m³</w:t>
                  </w:r>
                </w:p>
              </w:tc>
              <w:tc>
                <w:tcPr>
                  <w:tcW w:w="851" w:type="dxa"/>
                  <w:vAlign w:val="center"/>
                </w:tcPr>
                <w:p>
                  <w:pPr>
                    <w:pStyle w:val="30"/>
                    <w:spacing w:line="360" w:lineRule="exact"/>
                    <w:rPr>
                      <w:color w:val="000000" w:themeColor="text1"/>
                      <w:szCs w:val="21"/>
                    </w:rPr>
                  </w:pPr>
                  <w:r>
                    <w:rPr>
                      <w:color w:val="000000" w:themeColor="text1"/>
                      <w:szCs w:val="21"/>
                    </w:rPr>
                    <w:t>产生量t/a</w:t>
                  </w:r>
                </w:p>
              </w:tc>
              <w:tc>
                <w:tcPr>
                  <w:tcW w:w="992" w:type="dxa"/>
                  <w:vAlign w:val="center"/>
                </w:tcPr>
                <w:p>
                  <w:pPr>
                    <w:pStyle w:val="30"/>
                    <w:spacing w:line="360" w:lineRule="exact"/>
                    <w:rPr>
                      <w:color w:val="000000" w:themeColor="text1"/>
                      <w:szCs w:val="21"/>
                    </w:rPr>
                  </w:pPr>
                  <w:r>
                    <w:rPr>
                      <w:color w:val="000000" w:themeColor="text1"/>
                      <w:szCs w:val="21"/>
                    </w:rPr>
                    <w:t>排放浓度mg/m³</w:t>
                  </w:r>
                </w:p>
              </w:tc>
              <w:tc>
                <w:tcPr>
                  <w:tcW w:w="851" w:type="dxa"/>
                  <w:tcBorders>
                    <w:top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排放量t/a</w:t>
                  </w:r>
                </w:p>
              </w:tc>
              <w:tc>
                <w:tcPr>
                  <w:tcW w:w="881" w:type="dxa"/>
                  <w:tcBorders>
                    <w:top w:val="single" w:color="auto" w:sz="4" w:space="0"/>
                    <w:left w:val="single" w:color="auto" w:sz="4" w:space="0"/>
                  </w:tcBorders>
                  <w:vAlign w:val="center"/>
                </w:tcPr>
                <w:p>
                  <w:pPr>
                    <w:pStyle w:val="30"/>
                    <w:spacing w:line="360" w:lineRule="exact"/>
                    <w:rPr>
                      <w:color w:val="000000" w:themeColor="text1"/>
                      <w:szCs w:val="21"/>
                    </w:rPr>
                  </w:pPr>
                  <w:r>
                    <w:rPr>
                      <w:color w:val="000000" w:themeColor="text1"/>
                      <w:szCs w:val="21"/>
                    </w:rPr>
                    <w:t>排放速率kg/h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1359" w:type="dxa"/>
                  <w:vMerge w:val="restart"/>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拆解</w:t>
                  </w:r>
                </w:p>
              </w:tc>
              <w:tc>
                <w:tcPr>
                  <w:tcW w:w="1984" w:type="dxa"/>
                  <w:vAlign w:val="center"/>
                </w:tcPr>
                <w:p>
                  <w:pPr>
                    <w:pStyle w:val="30"/>
                    <w:spacing w:line="360" w:lineRule="exact"/>
                    <w:rPr>
                      <w:color w:val="000000" w:themeColor="text1"/>
                      <w:szCs w:val="21"/>
                    </w:rPr>
                  </w:pPr>
                  <w:r>
                    <w:rPr>
                      <w:rFonts w:hint="eastAsia"/>
                      <w:color w:val="000000" w:themeColor="text1"/>
                      <w:szCs w:val="21"/>
                    </w:rPr>
                    <w:t>废气量</w:t>
                  </w:r>
                </w:p>
              </w:tc>
              <w:tc>
                <w:tcPr>
                  <w:tcW w:w="1843" w:type="dxa"/>
                  <w:gridSpan w:val="2"/>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1500万</w:t>
                  </w:r>
                  <w:r>
                    <w:rPr>
                      <w:color w:val="000000" w:themeColor="text1"/>
                      <w:szCs w:val="21"/>
                    </w:rPr>
                    <w:t>m</w:t>
                  </w:r>
                  <w:r>
                    <w:rPr>
                      <w:rFonts w:hint="eastAsia"/>
                      <w:color w:val="000000" w:themeColor="text1"/>
                      <w:szCs w:val="21"/>
                    </w:rPr>
                    <w:t>³</w:t>
                  </w:r>
                  <w:r>
                    <w:rPr>
                      <w:color w:val="000000" w:themeColor="text1"/>
                      <w:szCs w:val="21"/>
                    </w:rPr>
                    <w:t>/a</w:t>
                  </w:r>
                </w:p>
              </w:tc>
              <w:tc>
                <w:tcPr>
                  <w:tcW w:w="2724" w:type="dxa"/>
                  <w:gridSpan w:val="3"/>
                  <w:vAlign w:val="center"/>
                </w:tcPr>
                <w:p>
                  <w:pPr>
                    <w:pStyle w:val="30"/>
                    <w:spacing w:line="360" w:lineRule="exact"/>
                    <w:rPr>
                      <w:color w:val="000000" w:themeColor="text1"/>
                      <w:szCs w:val="21"/>
                    </w:rPr>
                  </w:pPr>
                  <w:r>
                    <w:rPr>
                      <w:rFonts w:hint="eastAsia"/>
                      <w:color w:val="000000" w:themeColor="text1"/>
                      <w:szCs w:val="21"/>
                    </w:rPr>
                    <w:t>1500万</w:t>
                  </w:r>
                  <w:r>
                    <w:rPr>
                      <w:color w:val="000000" w:themeColor="text1"/>
                      <w:szCs w:val="21"/>
                    </w:rPr>
                    <w:t>m</w:t>
                  </w:r>
                  <w:r>
                    <w:rPr>
                      <w:rFonts w:hint="eastAsia"/>
                      <w:color w:val="000000" w:themeColor="text1"/>
                      <w:szCs w:val="21"/>
                    </w:rPr>
                    <w:t>³</w:t>
                  </w:r>
                  <w:r>
                    <w:rPr>
                      <w:color w:val="000000" w:themeColor="text1"/>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4" w:hRule="atLeast"/>
              </w:trPr>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10</w:t>
                  </w:r>
                </w:p>
              </w:tc>
              <w:tc>
                <w:tcPr>
                  <w:tcW w:w="851"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0.1</w:t>
                  </w:r>
                  <w:r>
                    <w:rPr>
                      <w:rFonts w:hint="eastAsia"/>
                      <w:color w:val="000000" w:themeColor="text1"/>
                      <w:szCs w:val="21"/>
                    </w:rPr>
                    <w:t>5</w:t>
                  </w:r>
                </w:p>
              </w:tc>
              <w:tc>
                <w:tcPr>
                  <w:tcW w:w="992" w:type="dxa"/>
                  <w:vAlign w:val="center"/>
                </w:tcPr>
                <w:p>
                  <w:pPr>
                    <w:pStyle w:val="30"/>
                    <w:spacing w:line="360" w:lineRule="exact"/>
                    <w:rPr>
                      <w:color w:val="000000" w:themeColor="text1"/>
                      <w:szCs w:val="21"/>
                    </w:rPr>
                  </w:pPr>
                  <w:r>
                    <w:rPr>
                      <w:rFonts w:hint="eastAsia"/>
                      <w:color w:val="000000" w:themeColor="text1"/>
                      <w:szCs w:val="21"/>
                    </w:rPr>
                    <w:t>0.47</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0.007</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0.015</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restart"/>
                  <w:vAlign w:val="center"/>
                </w:tcPr>
                <w:p>
                  <w:pPr>
                    <w:pStyle w:val="30"/>
                    <w:spacing w:line="360" w:lineRule="exact"/>
                    <w:rPr>
                      <w:color w:val="000000" w:themeColor="text1"/>
                      <w:szCs w:val="21"/>
                    </w:rPr>
                  </w:pPr>
                  <w:r>
                    <w:rPr>
                      <w:rFonts w:hint="eastAsia"/>
                      <w:color w:val="000000" w:themeColor="text1"/>
                      <w:szCs w:val="21"/>
                    </w:rPr>
                    <w:t>2号废旧电视机（液晶电视）处理线</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拆解</w:t>
                  </w:r>
                </w:p>
              </w:tc>
              <w:tc>
                <w:tcPr>
                  <w:tcW w:w="1984" w:type="dxa"/>
                  <w:vAlign w:val="center"/>
                </w:tcPr>
                <w:p>
                  <w:pPr>
                    <w:pStyle w:val="30"/>
                    <w:spacing w:line="360" w:lineRule="exact"/>
                    <w:rPr>
                      <w:color w:val="000000" w:themeColor="text1"/>
                      <w:szCs w:val="21"/>
                    </w:rPr>
                  </w:pPr>
                  <w:r>
                    <w:rPr>
                      <w:rFonts w:hint="eastAsia"/>
                      <w:color w:val="000000" w:themeColor="text1"/>
                      <w:szCs w:val="21"/>
                    </w:rPr>
                    <w:t>废气量</w:t>
                  </w:r>
                </w:p>
              </w:tc>
              <w:tc>
                <w:tcPr>
                  <w:tcW w:w="1843" w:type="dxa"/>
                  <w:gridSpan w:val="2"/>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1800万</w:t>
                  </w:r>
                  <w:r>
                    <w:rPr>
                      <w:color w:val="000000" w:themeColor="text1"/>
                      <w:szCs w:val="21"/>
                    </w:rPr>
                    <w:t>m</w:t>
                  </w:r>
                  <w:r>
                    <w:rPr>
                      <w:rFonts w:hint="eastAsia"/>
                      <w:color w:val="000000" w:themeColor="text1"/>
                      <w:szCs w:val="21"/>
                    </w:rPr>
                    <w:t>³</w:t>
                  </w:r>
                  <w:r>
                    <w:rPr>
                      <w:color w:val="000000" w:themeColor="text1"/>
                      <w:szCs w:val="21"/>
                    </w:rPr>
                    <w:t>/a</w:t>
                  </w:r>
                </w:p>
              </w:tc>
              <w:tc>
                <w:tcPr>
                  <w:tcW w:w="2724" w:type="dxa"/>
                  <w:gridSpan w:val="3"/>
                  <w:vAlign w:val="center"/>
                </w:tcPr>
                <w:p>
                  <w:pPr>
                    <w:pStyle w:val="30"/>
                    <w:spacing w:line="360" w:lineRule="exact"/>
                    <w:rPr>
                      <w:color w:val="000000" w:themeColor="text1"/>
                      <w:szCs w:val="21"/>
                    </w:rPr>
                  </w:pPr>
                  <w:r>
                    <w:rPr>
                      <w:rFonts w:hint="eastAsia"/>
                      <w:color w:val="000000" w:themeColor="text1"/>
                      <w:szCs w:val="21"/>
                    </w:rPr>
                    <w:t>1800万</w:t>
                  </w:r>
                  <w:r>
                    <w:rPr>
                      <w:color w:val="000000" w:themeColor="text1"/>
                      <w:szCs w:val="21"/>
                    </w:rPr>
                    <w:t>m</w:t>
                  </w:r>
                  <w:r>
                    <w:rPr>
                      <w:rFonts w:hint="eastAsia"/>
                      <w:color w:val="000000" w:themeColor="text1"/>
                      <w:szCs w:val="21"/>
                    </w:rPr>
                    <w:t>³</w:t>
                  </w:r>
                  <w:r>
                    <w:rPr>
                      <w:color w:val="000000" w:themeColor="text1"/>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4.44</w:t>
                  </w:r>
                </w:p>
              </w:tc>
              <w:tc>
                <w:tcPr>
                  <w:tcW w:w="851"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0.08</w:t>
                  </w:r>
                </w:p>
              </w:tc>
              <w:tc>
                <w:tcPr>
                  <w:tcW w:w="992" w:type="dxa"/>
                  <w:vAlign w:val="center"/>
                </w:tcPr>
                <w:p>
                  <w:pPr>
                    <w:pStyle w:val="30"/>
                    <w:spacing w:line="360" w:lineRule="exact"/>
                    <w:rPr>
                      <w:color w:val="000000" w:themeColor="text1"/>
                      <w:szCs w:val="21"/>
                    </w:rPr>
                  </w:pPr>
                  <w:r>
                    <w:rPr>
                      <w:rFonts w:hint="eastAsia"/>
                      <w:color w:val="000000" w:themeColor="text1"/>
                      <w:szCs w:val="21"/>
                    </w:rPr>
                    <w:t>0.22</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0.004</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0.008</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汞及其化合物（有组织）</w:t>
                  </w:r>
                </w:p>
              </w:tc>
              <w:tc>
                <w:tcPr>
                  <w:tcW w:w="992" w:type="dxa"/>
                  <w:tcBorders>
                    <w:top w:val="single" w:color="auto" w:sz="4" w:space="0"/>
                    <w:bottom w:val="single" w:color="auto" w:sz="4" w:space="0"/>
                  </w:tcBorders>
                  <w:vAlign w:val="center"/>
                </w:tcPr>
                <w:p>
                  <w:pPr>
                    <w:pStyle w:val="30"/>
                    <w:spacing w:line="360" w:lineRule="exact"/>
                    <w:rPr>
                      <w:color w:val="000000" w:themeColor="text1"/>
                      <w:szCs w:val="21"/>
                    </w:rPr>
                  </w:pPr>
                  <w:r>
                    <w:rPr>
                      <w:color w:val="000000" w:themeColor="text1"/>
                      <w:szCs w:val="21"/>
                    </w:rPr>
                    <w:t>0.01</w:t>
                  </w:r>
                </w:p>
              </w:tc>
              <w:tc>
                <w:tcPr>
                  <w:tcW w:w="851" w:type="dxa"/>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0.0002</w:t>
                  </w:r>
                </w:p>
              </w:tc>
              <w:tc>
                <w:tcPr>
                  <w:tcW w:w="992" w:type="dxa"/>
                  <w:vAlign w:val="center"/>
                </w:tcPr>
                <w:p>
                  <w:pPr>
                    <w:pStyle w:val="30"/>
                    <w:spacing w:line="360" w:lineRule="exact"/>
                    <w:rPr>
                      <w:color w:val="000000" w:themeColor="text1"/>
                      <w:szCs w:val="21"/>
                    </w:rPr>
                  </w:pPr>
                  <w:r>
                    <w:rPr>
                      <w:color w:val="000000" w:themeColor="text1"/>
                      <w:szCs w:val="21"/>
                    </w:rPr>
                    <w:t>0.002</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0.00004</w:t>
                  </w:r>
                </w:p>
              </w:tc>
              <w:tc>
                <w:tcPr>
                  <w:tcW w:w="881"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0.00001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restart"/>
                  <w:vAlign w:val="center"/>
                </w:tcPr>
                <w:p>
                  <w:pPr>
                    <w:pStyle w:val="30"/>
                    <w:spacing w:line="360" w:lineRule="exact"/>
                    <w:rPr>
                      <w:color w:val="000000" w:themeColor="text1"/>
                      <w:szCs w:val="21"/>
                    </w:rPr>
                  </w:pPr>
                  <w:r>
                    <w:rPr>
                      <w:rFonts w:hint="eastAsia"/>
                      <w:color w:val="000000" w:themeColor="text1"/>
                      <w:szCs w:val="21"/>
                    </w:rPr>
                    <w:t>1号废旧电视机（CRT）处理线</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阴极射线管（CRT）前端拆解</w:t>
                  </w:r>
                </w:p>
              </w:tc>
              <w:tc>
                <w:tcPr>
                  <w:tcW w:w="1984" w:type="dxa"/>
                  <w:vAlign w:val="center"/>
                </w:tcPr>
                <w:p>
                  <w:pPr>
                    <w:pStyle w:val="30"/>
                    <w:spacing w:line="360" w:lineRule="exact"/>
                    <w:rPr>
                      <w:color w:val="000000" w:themeColor="text1"/>
                      <w:szCs w:val="21"/>
                    </w:rPr>
                  </w:pPr>
                  <w:r>
                    <w:rPr>
                      <w:rFonts w:hint="eastAsia"/>
                      <w:color w:val="000000" w:themeColor="text1"/>
                      <w:szCs w:val="21"/>
                    </w:rPr>
                    <w:t>废气量</w:t>
                  </w:r>
                </w:p>
              </w:tc>
              <w:tc>
                <w:tcPr>
                  <w:tcW w:w="1843" w:type="dxa"/>
                  <w:gridSpan w:val="2"/>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5100万</w:t>
                  </w:r>
                  <w:r>
                    <w:rPr>
                      <w:color w:val="000000" w:themeColor="text1"/>
                      <w:szCs w:val="21"/>
                    </w:rPr>
                    <w:t>m</w:t>
                  </w:r>
                  <w:r>
                    <w:rPr>
                      <w:rFonts w:hint="eastAsia"/>
                      <w:color w:val="000000" w:themeColor="text1"/>
                      <w:szCs w:val="21"/>
                    </w:rPr>
                    <w:t>³</w:t>
                  </w:r>
                  <w:r>
                    <w:rPr>
                      <w:color w:val="000000" w:themeColor="text1"/>
                      <w:szCs w:val="21"/>
                    </w:rPr>
                    <w:t>/a</w:t>
                  </w:r>
                </w:p>
              </w:tc>
              <w:tc>
                <w:tcPr>
                  <w:tcW w:w="2724" w:type="dxa"/>
                  <w:gridSpan w:val="3"/>
                  <w:vAlign w:val="center"/>
                </w:tcPr>
                <w:p>
                  <w:pPr>
                    <w:pStyle w:val="30"/>
                    <w:spacing w:line="360" w:lineRule="exact"/>
                    <w:rPr>
                      <w:color w:val="000000" w:themeColor="text1"/>
                      <w:szCs w:val="21"/>
                    </w:rPr>
                  </w:pPr>
                  <w:r>
                    <w:rPr>
                      <w:rFonts w:hint="eastAsia"/>
                      <w:color w:val="000000" w:themeColor="text1"/>
                      <w:szCs w:val="21"/>
                    </w:rPr>
                    <w:t>5100万</w:t>
                  </w:r>
                  <w:r>
                    <w:rPr>
                      <w:color w:val="000000" w:themeColor="text1"/>
                      <w:szCs w:val="21"/>
                    </w:rPr>
                    <w:t>m</w:t>
                  </w:r>
                  <w:r>
                    <w:rPr>
                      <w:rFonts w:hint="eastAsia"/>
                      <w:color w:val="000000" w:themeColor="text1"/>
                      <w:szCs w:val="21"/>
                    </w:rPr>
                    <w:t>³</w:t>
                  </w:r>
                  <w:r>
                    <w:rPr>
                      <w:color w:val="000000" w:themeColor="text1"/>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386.0</w:t>
                  </w:r>
                  <w:r>
                    <w:rPr>
                      <w:rFonts w:hint="eastAsia"/>
                      <w:color w:val="000000" w:themeColor="text1"/>
                      <w:szCs w:val="21"/>
                    </w:rPr>
                    <w:t>8</w:t>
                  </w:r>
                </w:p>
              </w:tc>
              <w:tc>
                <w:tcPr>
                  <w:tcW w:w="851"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19.69</w:t>
                  </w:r>
                </w:p>
              </w:tc>
              <w:tc>
                <w:tcPr>
                  <w:tcW w:w="992" w:type="dxa"/>
                  <w:vAlign w:val="center"/>
                </w:tcPr>
                <w:p>
                  <w:pPr>
                    <w:pStyle w:val="30"/>
                    <w:spacing w:line="360" w:lineRule="exact"/>
                    <w:rPr>
                      <w:color w:val="000000" w:themeColor="text1"/>
                      <w:szCs w:val="21"/>
                    </w:rPr>
                  </w:pPr>
                  <w:r>
                    <w:rPr>
                      <w:color w:val="000000" w:themeColor="text1"/>
                      <w:szCs w:val="21"/>
                    </w:rPr>
                    <w:t>17.45</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0.89</w:t>
                  </w:r>
                </w:p>
              </w:tc>
              <w:tc>
                <w:tcPr>
                  <w:tcW w:w="881"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tcBorders>
                    <w:bottom w:val="single" w:color="auto" w:sz="4" w:space="0"/>
                  </w:tcBorders>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1.97</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0.657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阴极射线管（CRT）后端拆解</w:t>
                  </w:r>
                </w:p>
              </w:tc>
              <w:tc>
                <w:tcPr>
                  <w:tcW w:w="1984" w:type="dxa"/>
                  <w:vAlign w:val="center"/>
                </w:tcPr>
                <w:p>
                  <w:pPr>
                    <w:pStyle w:val="30"/>
                    <w:spacing w:line="360" w:lineRule="exact"/>
                    <w:rPr>
                      <w:color w:val="000000" w:themeColor="text1"/>
                      <w:szCs w:val="21"/>
                    </w:rPr>
                  </w:pPr>
                  <w:r>
                    <w:rPr>
                      <w:rFonts w:hint="eastAsia"/>
                      <w:color w:val="000000" w:themeColor="text1"/>
                      <w:szCs w:val="21"/>
                    </w:rPr>
                    <w:t>废气量</w:t>
                  </w:r>
                </w:p>
              </w:tc>
              <w:tc>
                <w:tcPr>
                  <w:tcW w:w="1843" w:type="dxa"/>
                  <w:gridSpan w:val="2"/>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6300万</w:t>
                  </w:r>
                  <w:r>
                    <w:rPr>
                      <w:color w:val="000000" w:themeColor="text1"/>
                      <w:szCs w:val="21"/>
                    </w:rPr>
                    <w:t>m</w:t>
                  </w:r>
                  <w:r>
                    <w:rPr>
                      <w:rFonts w:hint="eastAsia"/>
                      <w:color w:val="000000" w:themeColor="text1"/>
                      <w:szCs w:val="21"/>
                    </w:rPr>
                    <w:t>³</w:t>
                  </w:r>
                  <w:r>
                    <w:rPr>
                      <w:color w:val="000000" w:themeColor="text1"/>
                      <w:szCs w:val="21"/>
                    </w:rPr>
                    <w:t>/a</w:t>
                  </w:r>
                </w:p>
              </w:tc>
              <w:tc>
                <w:tcPr>
                  <w:tcW w:w="2724" w:type="dxa"/>
                  <w:gridSpan w:val="3"/>
                  <w:vAlign w:val="center"/>
                </w:tcPr>
                <w:p>
                  <w:pPr>
                    <w:pStyle w:val="30"/>
                    <w:spacing w:line="360" w:lineRule="exact"/>
                    <w:rPr>
                      <w:color w:val="000000" w:themeColor="text1"/>
                      <w:szCs w:val="21"/>
                    </w:rPr>
                  </w:pPr>
                  <w:r>
                    <w:rPr>
                      <w:rFonts w:hint="eastAsia"/>
                      <w:color w:val="000000" w:themeColor="text1"/>
                      <w:szCs w:val="21"/>
                    </w:rPr>
                    <w:t>6300万</w:t>
                  </w:r>
                  <w:r>
                    <w:rPr>
                      <w:color w:val="000000" w:themeColor="text1"/>
                      <w:szCs w:val="21"/>
                    </w:rPr>
                    <w:t>m</w:t>
                  </w:r>
                  <w:r>
                    <w:rPr>
                      <w:rFonts w:hint="eastAsia"/>
                      <w:color w:val="000000" w:themeColor="text1"/>
                      <w:szCs w:val="21"/>
                    </w:rPr>
                    <w:t>³</w:t>
                  </w:r>
                  <w:r>
                    <w:rPr>
                      <w:color w:val="000000" w:themeColor="text1"/>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tcBorders>
                    <w:top w:val="single" w:color="auto" w:sz="4" w:space="0"/>
                  </w:tcBorders>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386.0</w:t>
                  </w:r>
                  <w:r>
                    <w:rPr>
                      <w:rFonts w:hint="eastAsia"/>
                      <w:color w:val="000000" w:themeColor="text1"/>
                      <w:szCs w:val="21"/>
                    </w:rPr>
                    <w:t>8</w:t>
                  </w:r>
                </w:p>
              </w:tc>
              <w:tc>
                <w:tcPr>
                  <w:tcW w:w="851"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19.69</w:t>
                  </w:r>
                </w:p>
              </w:tc>
              <w:tc>
                <w:tcPr>
                  <w:tcW w:w="992" w:type="dxa"/>
                  <w:vAlign w:val="center"/>
                </w:tcPr>
                <w:p>
                  <w:pPr>
                    <w:pStyle w:val="30"/>
                    <w:spacing w:line="360" w:lineRule="exact"/>
                    <w:rPr>
                      <w:color w:val="000000" w:themeColor="text1"/>
                      <w:szCs w:val="21"/>
                    </w:rPr>
                  </w:pPr>
                  <w:r>
                    <w:rPr>
                      <w:color w:val="000000" w:themeColor="text1"/>
                      <w:szCs w:val="21"/>
                    </w:rPr>
                    <w:t>17.45</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0.89</w:t>
                  </w:r>
                </w:p>
              </w:tc>
              <w:tc>
                <w:tcPr>
                  <w:tcW w:w="881"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tcBorders>
                    <w:top w:val="single" w:color="auto" w:sz="4" w:space="0"/>
                  </w:tcBorders>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1.97</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0.657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铅及其化合物（有组织）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0.30</w:t>
                  </w:r>
                </w:p>
              </w:tc>
              <w:tc>
                <w:tcPr>
                  <w:tcW w:w="851"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0.0188</w:t>
                  </w:r>
                </w:p>
              </w:tc>
              <w:tc>
                <w:tcPr>
                  <w:tcW w:w="992" w:type="dxa"/>
                  <w:vAlign w:val="center"/>
                </w:tcPr>
                <w:p>
                  <w:pPr>
                    <w:pStyle w:val="30"/>
                    <w:spacing w:line="360" w:lineRule="exact"/>
                    <w:rPr>
                      <w:color w:val="000000" w:themeColor="text1"/>
                      <w:szCs w:val="21"/>
                    </w:rPr>
                  </w:pPr>
                  <w:r>
                    <w:rPr>
                      <w:rFonts w:hint="eastAsia"/>
                      <w:color w:val="000000" w:themeColor="text1"/>
                      <w:szCs w:val="21"/>
                    </w:rPr>
                    <w:t>0.013</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0.0009</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铅及其化合物（无组织）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0.0019</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restart"/>
                  <w:vAlign w:val="center"/>
                </w:tcPr>
                <w:p>
                  <w:pPr>
                    <w:pStyle w:val="30"/>
                    <w:spacing w:line="360" w:lineRule="exact"/>
                    <w:rPr>
                      <w:color w:val="000000" w:themeColor="text1"/>
                      <w:szCs w:val="21"/>
                    </w:rPr>
                  </w:pPr>
                  <w:r>
                    <w:rPr>
                      <w:rFonts w:hint="eastAsia"/>
                      <w:color w:val="000000" w:themeColor="text1"/>
                      <w:szCs w:val="21"/>
                    </w:rPr>
                    <w:t>废旧冰箱处理线</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冷媒抽取+拆解+破碎</w:t>
                  </w:r>
                </w:p>
              </w:tc>
              <w:tc>
                <w:tcPr>
                  <w:tcW w:w="1984" w:type="dxa"/>
                  <w:vAlign w:val="center"/>
                </w:tcPr>
                <w:p>
                  <w:pPr>
                    <w:pStyle w:val="30"/>
                    <w:spacing w:line="360" w:lineRule="exact"/>
                    <w:rPr>
                      <w:color w:val="000000" w:themeColor="text1"/>
                      <w:szCs w:val="21"/>
                    </w:rPr>
                  </w:pPr>
                  <w:r>
                    <w:rPr>
                      <w:rFonts w:hint="eastAsia"/>
                      <w:color w:val="000000" w:themeColor="text1"/>
                      <w:szCs w:val="21"/>
                    </w:rPr>
                    <w:t>废气量</w:t>
                  </w:r>
                </w:p>
              </w:tc>
              <w:tc>
                <w:tcPr>
                  <w:tcW w:w="1843" w:type="dxa"/>
                  <w:gridSpan w:val="2"/>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6000万</w:t>
                  </w:r>
                  <w:r>
                    <w:rPr>
                      <w:color w:val="000000" w:themeColor="text1"/>
                      <w:szCs w:val="21"/>
                    </w:rPr>
                    <w:t>m</w:t>
                  </w:r>
                  <w:r>
                    <w:rPr>
                      <w:rFonts w:hint="eastAsia"/>
                      <w:color w:val="000000" w:themeColor="text1"/>
                      <w:szCs w:val="21"/>
                    </w:rPr>
                    <w:t>³</w:t>
                  </w:r>
                  <w:r>
                    <w:rPr>
                      <w:color w:val="000000" w:themeColor="text1"/>
                      <w:szCs w:val="21"/>
                    </w:rPr>
                    <w:t>/a</w:t>
                  </w:r>
                </w:p>
              </w:tc>
              <w:tc>
                <w:tcPr>
                  <w:tcW w:w="2724" w:type="dxa"/>
                  <w:gridSpan w:val="3"/>
                  <w:vAlign w:val="center"/>
                </w:tcPr>
                <w:p>
                  <w:pPr>
                    <w:pStyle w:val="30"/>
                    <w:spacing w:line="360" w:lineRule="exact"/>
                    <w:rPr>
                      <w:color w:val="000000" w:themeColor="text1"/>
                      <w:szCs w:val="21"/>
                    </w:rPr>
                  </w:pPr>
                  <w:r>
                    <w:rPr>
                      <w:rFonts w:hint="eastAsia"/>
                      <w:color w:val="000000" w:themeColor="text1"/>
                      <w:szCs w:val="21"/>
                    </w:rPr>
                    <w:t>6000万</w:t>
                  </w:r>
                  <w:r>
                    <w:rPr>
                      <w:color w:val="000000" w:themeColor="text1"/>
                      <w:szCs w:val="21"/>
                    </w:rPr>
                    <w:t>m</w:t>
                  </w:r>
                  <w:r>
                    <w:rPr>
                      <w:rFonts w:hint="eastAsia"/>
                      <w:color w:val="000000" w:themeColor="text1"/>
                      <w:szCs w:val="21"/>
                    </w:rPr>
                    <w:t>³</w:t>
                  </w:r>
                  <w:r>
                    <w:rPr>
                      <w:color w:val="000000" w:themeColor="text1"/>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237</w:t>
                  </w:r>
                </w:p>
              </w:tc>
              <w:tc>
                <w:tcPr>
                  <w:tcW w:w="851"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14.22</w:t>
                  </w:r>
                </w:p>
              </w:tc>
              <w:tc>
                <w:tcPr>
                  <w:tcW w:w="992" w:type="dxa"/>
                  <w:vAlign w:val="center"/>
                </w:tcPr>
                <w:p>
                  <w:pPr>
                    <w:pStyle w:val="30"/>
                    <w:spacing w:line="360" w:lineRule="exact"/>
                    <w:rPr>
                      <w:color w:val="000000" w:themeColor="text1"/>
                      <w:szCs w:val="21"/>
                    </w:rPr>
                  </w:pPr>
                  <w:r>
                    <w:rPr>
                      <w:color w:val="000000" w:themeColor="text1"/>
                      <w:szCs w:val="21"/>
                    </w:rPr>
                    <w:t xml:space="preserve">3.17 </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0.19</w:t>
                  </w:r>
                </w:p>
              </w:tc>
              <w:tc>
                <w:tcPr>
                  <w:tcW w:w="881"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 xml:space="preserve">0.06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1.422</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0.474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非甲烷总烃（有组织）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5.5</w:t>
                  </w:r>
                </w:p>
              </w:tc>
              <w:tc>
                <w:tcPr>
                  <w:tcW w:w="851"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0.33</w:t>
                  </w:r>
                </w:p>
              </w:tc>
              <w:tc>
                <w:tcPr>
                  <w:tcW w:w="992" w:type="dxa"/>
                  <w:vAlign w:val="center"/>
                </w:tcPr>
                <w:p>
                  <w:pPr>
                    <w:pStyle w:val="30"/>
                    <w:spacing w:line="360" w:lineRule="exact"/>
                    <w:rPr>
                      <w:color w:val="000000" w:themeColor="text1"/>
                      <w:szCs w:val="21"/>
                    </w:rPr>
                  </w:pPr>
                  <w:r>
                    <w:rPr>
                      <w:color w:val="000000" w:themeColor="text1"/>
                      <w:szCs w:val="21"/>
                    </w:rPr>
                    <w:t>1</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0.06</w:t>
                  </w:r>
                </w:p>
              </w:tc>
              <w:tc>
                <w:tcPr>
                  <w:tcW w:w="881"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非甲烷总烃（无组织）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r>
                    <w:rPr>
                      <w:rFonts w:hint="eastAsia"/>
                      <w:color w:val="000000" w:themeColor="text1"/>
                      <w:szCs w:val="21"/>
                    </w:rPr>
                    <w:t>--</w:t>
                  </w:r>
                </w:p>
              </w:tc>
              <w:tc>
                <w:tcPr>
                  <w:tcW w:w="851"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0.03</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restart"/>
                  <w:vAlign w:val="center"/>
                </w:tcPr>
                <w:p>
                  <w:pPr>
                    <w:pStyle w:val="30"/>
                    <w:spacing w:line="360" w:lineRule="exact"/>
                    <w:rPr>
                      <w:color w:val="000000" w:themeColor="text1"/>
                      <w:szCs w:val="21"/>
                    </w:rPr>
                  </w:pPr>
                  <w:r>
                    <w:rPr>
                      <w:rFonts w:hint="eastAsia"/>
                      <w:color w:val="000000" w:themeColor="text1"/>
                      <w:szCs w:val="21"/>
                    </w:rPr>
                    <w:t>废旧洗衣机处理线</w:t>
                  </w:r>
                </w:p>
              </w:tc>
              <w:tc>
                <w:tcPr>
                  <w:tcW w:w="1134" w:type="dxa"/>
                  <w:vMerge w:val="restart"/>
                  <w:vAlign w:val="center"/>
                </w:tcPr>
                <w:p>
                  <w:pPr>
                    <w:pStyle w:val="30"/>
                    <w:spacing w:line="360" w:lineRule="exact"/>
                    <w:rPr>
                      <w:color w:val="000000" w:themeColor="text1"/>
                      <w:szCs w:val="21"/>
                    </w:rPr>
                  </w:pPr>
                  <w:r>
                    <w:rPr>
                      <w:rFonts w:hint="eastAsia"/>
                      <w:color w:val="000000" w:themeColor="text1"/>
                      <w:szCs w:val="21"/>
                    </w:rPr>
                    <w:t>拆解+塑料破碎</w:t>
                  </w:r>
                </w:p>
              </w:tc>
              <w:tc>
                <w:tcPr>
                  <w:tcW w:w="1984" w:type="dxa"/>
                  <w:vAlign w:val="center"/>
                </w:tcPr>
                <w:p>
                  <w:pPr>
                    <w:pStyle w:val="30"/>
                    <w:spacing w:line="360" w:lineRule="exact"/>
                    <w:rPr>
                      <w:color w:val="000000" w:themeColor="text1"/>
                      <w:szCs w:val="21"/>
                    </w:rPr>
                  </w:pPr>
                  <w:r>
                    <w:rPr>
                      <w:rFonts w:hint="eastAsia"/>
                      <w:color w:val="000000" w:themeColor="text1"/>
                      <w:szCs w:val="21"/>
                    </w:rPr>
                    <w:t>废气量</w:t>
                  </w:r>
                </w:p>
              </w:tc>
              <w:tc>
                <w:tcPr>
                  <w:tcW w:w="1843" w:type="dxa"/>
                  <w:gridSpan w:val="2"/>
                  <w:tcBorders>
                    <w:top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4000万</w:t>
                  </w:r>
                  <w:r>
                    <w:rPr>
                      <w:color w:val="000000" w:themeColor="text1"/>
                      <w:szCs w:val="21"/>
                    </w:rPr>
                    <w:t>m</w:t>
                  </w:r>
                  <w:r>
                    <w:rPr>
                      <w:rFonts w:hint="eastAsia"/>
                      <w:color w:val="000000" w:themeColor="text1"/>
                      <w:szCs w:val="21"/>
                    </w:rPr>
                    <w:t>³</w:t>
                  </w:r>
                  <w:r>
                    <w:rPr>
                      <w:color w:val="000000" w:themeColor="text1"/>
                      <w:szCs w:val="21"/>
                    </w:rPr>
                    <w:t>/a</w:t>
                  </w:r>
                </w:p>
              </w:tc>
              <w:tc>
                <w:tcPr>
                  <w:tcW w:w="2724" w:type="dxa"/>
                  <w:gridSpan w:val="3"/>
                  <w:vAlign w:val="center"/>
                </w:tcPr>
                <w:p>
                  <w:pPr>
                    <w:pStyle w:val="30"/>
                    <w:spacing w:line="360" w:lineRule="exact"/>
                    <w:rPr>
                      <w:color w:val="000000" w:themeColor="text1"/>
                      <w:szCs w:val="21"/>
                    </w:rPr>
                  </w:pPr>
                  <w:r>
                    <w:rPr>
                      <w:rFonts w:hint="eastAsia"/>
                      <w:color w:val="000000" w:themeColor="text1"/>
                      <w:szCs w:val="21"/>
                    </w:rPr>
                    <w:t>4000万</w:t>
                  </w:r>
                  <w:r>
                    <w:rPr>
                      <w:color w:val="000000" w:themeColor="text1"/>
                      <w:szCs w:val="21"/>
                    </w:rPr>
                    <w:t>m</w:t>
                  </w:r>
                  <w:r>
                    <w:rPr>
                      <w:rFonts w:hint="eastAsia"/>
                      <w:color w:val="000000" w:themeColor="text1"/>
                      <w:szCs w:val="21"/>
                    </w:rPr>
                    <w:t>³</w:t>
                  </w:r>
                  <w:r>
                    <w:rPr>
                      <w:color w:val="000000" w:themeColor="text1"/>
                      <w:szCs w:val="21"/>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粉尘（有组织）</w:t>
                  </w:r>
                </w:p>
              </w:tc>
              <w:tc>
                <w:tcPr>
                  <w:tcW w:w="992" w:type="dxa"/>
                  <w:vMerge w:val="restart"/>
                  <w:tcBorders>
                    <w:top w:val="single" w:color="auto" w:sz="4" w:space="0"/>
                  </w:tcBorders>
                  <w:vAlign w:val="center"/>
                </w:tcPr>
                <w:p>
                  <w:pPr>
                    <w:pStyle w:val="30"/>
                    <w:spacing w:line="360" w:lineRule="exact"/>
                    <w:rPr>
                      <w:color w:val="000000" w:themeColor="text1"/>
                      <w:szCs w:val="21"/>
                    </w:rPr>
                  </w:pPr>
                  <w:r>
                    <w:rPr>
                      <w:color w:val="000000" w:themeColor="text1"/>
                      <w:szCs w:val="21"/>
                    </w:rPr>
                    <w:t>135</w:t>
                  </w:r>
                </w:p>
              </w:tc>
              <w:tc>
                <w:tcPr>
                  <w:tcW w:w="851" w:type="dxa"/>
                  <w:vMerge w:val="restart"/>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2.7</w:t>
                  </w:r>
                </w:p>
              </w:tc>
              <w:tc>
                <w:tcPr>
                  <w:tcW w:w="992" w:type="dxa"/>
                  <w:vAlign w:val="center"/>
                </w:tcPr>
                <w:p>
                  <w:pPr>
                    <w:pStyle w:val="30"/>
                    <w:spacing w:line="360" w:lineRule="exact"/>
                    <w:rPr>
                      <w:color w:val="000000" w:themeColor="text1"/>
                      <w:szCs w:val="21"/>
                    </w:rPr>
                  </w:pPr>
                  <w:r>
                    <w:rPr>
                      <w:color w:val="000000" w:themeColor="text1"/>
                      <w:szCs w:val="21"/>
                    </w:rPr>
                    <w:t>6.15</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0.123</w:t>
                  </w:r>
                </w:p>
              </w:tc>
              <w:tc>
                <w:tcPr>
                  <w:tcW w:w="881"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0.0615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Merge w:val="continue"/>
                  <w:vAlign w:val="center"/>
                </w:tcPr>
                <w:p>
                  <w:pPr>
                    <w:pStyle w:val="30"/>
                    <w:spacing w:line="360" w:lineRule="exact"/>
                    <w:rPr>
                      <w:color w:val="000000" w:themeColor="text1"/>
                      <w:szCs w:val="21"/>
                    </w:rPr>
                  </w:pPr>
                </w:p>
              </w:tc>
              <w:tc>
                <w:tcPr>
                  <w:tcW w:w="1134" w:type="dxa"/>
                  <w:vMerge w:val="continue"/>
                  <w:vAlign w:val="center"/>
                </w:tcPr>
                <w:p>
                  <w:pPr>
                    <w:pStyle w:val="30"/>
                    <w:spacing w:line="360" w:lineRule="exact"/>
                    <w:rPr>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粉尘（无组织）</w:t>
                  </w:r>
                </w:p>
              </w:tc>
              <w:tc>
                <w:tcPr>
                  <w:tcW w:w="992" w:type="dxa"/>
                  <w:vMerge w:val="continue"/>
                  <w:tcBorders>
                    <w:bottom w:val="single" w:color="auto" w:sz="4" w:space="0"/>
                  </w:tcBorders>
                  <w:vAlign w:val="center"/>
                </w:tcPr>
                <w:p>
                  <w:pPr>
                    <w:pStyle w:val="30"/>
                    <w:spacing w:line="360" w:lineRule="exact"/>
                    <w:rPr>
                      <w:color w:val="000000" w:themeColor="text1"/>
                      <w:szCs w:val="21"/>
                    </w:rPr>
                  </w:pPr>
                </w:p>
              </w:tc>
              <w:tc>
                <w:tcPr>
                  <w:tcW w:w="851" w:type="dxa"/>
                  <w:vMerge w:val="continue"/>
                  <w:tcBorders>
                    <w:bottom w:val="single" w:color="auto" w:sz="4" w:space="0"/>
                  </w:tcBorders>
                  <w:vAlign w:val="center"/>
                </w:tcPr>
                <w:p>
                  <w:pPr>
                    <w:pStyle w:val="30"/>
                    <w:spacing w:line="360" w:lineRule="exact"/>
                    <w:rPr>
                      <w:color w:val="000000" w:themeColor="text1"/>
                      <w:szCs w:val="21"/>
                    </w:rPr>
                  </w:pPr>
                </w:p>
              </w:tc>
              <w:tc>
                <w:tcPr>
                  <w:tcW w:w="992" w:type="dxa"/>
                  <w:vAlign w:val="center"/>
                </w:tcPr>
                <w:p>
                  <w:pPr>
                    <w:pStyle w:val="30"/>
                    <w:spacing w:line="360" w:lineRule="exact"/>
                    <w:rPr>
                      <w:color w:val="000000" w:themeColor="text1"/>
                      <w:szCs w:val="21"/>
                    </w:rPr>
                  </w:pP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0.27</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0.135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9" w:type="dxa"/>
                  <w:vAlign w:val="center"/>
                </w:tcPr>
                <w:p>
                  <w:pPr>
                    <w:pStyle w:val="30"/>
                    <w:spacing w:line="360" w:lineRule="exact"/>
                    <w:rPr>
                      <w:color w:val="000000" w:themeColor="text1"/>
                      <w:szCs w:val="21"/>
                    </w:rPr>
                  </w:pPr>
                  <w:r>
                    <w:rPr>
                      <w:rFonts w:hint="eastAsia"/>
                      <w:color w:val="000000" w:themeColor="text1"/>
                      <w:szCs w:val="21"/>
                    </w:rPr>
                    <w:t>厨房</w:t>
                  </w:r>
                </w:p>
              </w:tc>
              <w:tc>
                <w:tcPr>
                  <w:tcW w:w="1134" w:type="dxa"/>
                  <w:vAlign w:val="center"/>
                </w:tcPr>
                <w:p>
                  <w:pPr>
                    <w:pStyle w:val="30"/>
                    <w:spacing w:line="360" w:lineRule="exact"/>
                    <w:rPr>
                      <w:color w:val="000000" w:themeColor="text1"/>
                      <w:szCs w:val="21"/>
                    </w:rPr>
                  </w:pPr>
                  <w:r>
                    <w:rPr>
                      <w:rFonts w:hint="eastAsia"/>
                      <w:color w:val="000000" w:themeColor="text1"/>
                      <w:szCs w:val="21"/>
                    </w:rPr>
                    <w:t>--</w:t>
                  </w:r>
                </w:p>
              </w:tc>
              <w:tc>
                <w:tcPr>
                  <w:tcW w:w="1984" w:type="dxa"/>
                  <w:vAlign w:val="center"/>
                </w:tcPr>
                <w:p>
                  <w:pPr>
                    <w:pStyle w:val="30"/>
                    <w:spacing w:line="360" w:lineRule="exact"/>
                    <w:rPr>
                      <w:color w:val="000000" w:themeColor="text1"/>
                      <w:szCs w:val="21"/>
                    </w:rPr>
                  </w:pPr>
                  <w:r>
                    <w:rPr>
                      <w:rFonts w:hint="eastAsia"/>
                      <w:color w:val="000000" w:themeColor="text1"/>
                      <w:szCs w:val="21"/>
                    </w:rPr>
                    <w:t>厨房油烟</w:t>
                  </w:r>
                </w:p>
              </w:tc>
              <w:tc>
                <w:tcPr>
                  <w:tcW w:w="992" w:type="dxa"/>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2.0</w:t>
                  </w:r>
                </w:p>
              </w:tc>
              <w:tc>
                <w:tcPr>
                  <w:tcW w:w="851" w:type="dxa"/>
                  <w:tcBorders>
                    <w:top w:val="single" w:color="auto" w:sz="4" w:space="0"/>
                  </w:tcBorders>
                  <w:vAlign w:val="center"/>
                </w:tcPr>
                <w:p>
                  <w:pPr>
                    <w:pStyle w:val="30"/>
                    <w:spacing w:line="360" w:lineRule="exact"/>
                    <w:rPr>
                      <w:color w:val="000000" w:themeColor="text1"/>
                      <w:szCs w:val="21"/>
                    </w:rPr>
                  </w:pPr>
                  <w:r>
                    <w:rPr>
                      <w:rFonts w:hint="eastAsia"/>
                      <w:color w:val="000000" w:themeColor="text1"/>
                      <w:szCs w:val="21"/>
                    </w:rPr>
                    <w:t>12</w:t>
                  </w:r>
                  <w:r>
                    <w:rPr>
                      <w:color w:val="000000" w:themeColor="text1"/>
                      <w:szCs w:val="21"/>
                    </w:rPr>
                    <w:t>g/d</w:t>
                  </w:r>
                </w:p>
              </w:tc>
              <w:tc>
                <w:tcPr>
                  <w:tcW w:w="992" w:type="dxa"/>
                  <w:vAlign w:val="center"/>
                </w:tcPr>
                <w:p>
                  <w:pPr>
                    <w:pStyle w:val="30"/>
                    <w:spacing w:line="360" w:lineRule="exact"/>
                    <w:rPr>
                      <w:color w:val="000000" w:themeColor="text1"/>
                      <w:szCs w:val="21"/>
                    </w:rPr>
                  </w:pPr>
                  <w:r>
                    <w:rPr>
                      <w:rFonts w:hint="eastAsia"/>
                      <w:color w:val="000000" w:themeColor="text1"/>
                      <w:szCs w:val="21"/>
                    </w:rPr>
                    <w:t>0.8</w:t>
                  </w:r>
                </w:p>
              </w:tc>
              <w:tc>
                <w:tcPr>
                  <w:tcW w:w="851"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4.8</w:t>
                  </w:r>
                  <w:r>
                    <w:rPr>
                      <w:color w:val="000000" w:themeColor="text1"/>
                      <w:szCs w:val="21"/>
                    </w:rPr>
                    <w:t>g/d</w:t>
                  </w:r>
                </w:p>
              </w:tc>
              <w:tc>
                <w:tcPr>
                  <w:tcW w:w="881"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r>
          </w:tbl>
          <w:p>
            <w:pPr>
              <w:pStyle w:val="38"/>
              <w:spacing w:beforeLines="50"/>
              <w:ind w:firstLine="480"/>
              <w:rPr>
                <w:rFonts w:hint="eastAsia"/>
                <w:color w:val="000000" w:themeColor="text1"/>
                <w:szCs w:val="24"/>
              </w:rPr>
            </w:pPr>
            <w:r>
              <w:rPr>
                <w:rFonts w:hint="eastAsia"/>
                <w:color w:val="000000" w:themeColor="text1"/>
                <w:szCs w:val="24"/>
              </w:rPr>
              <w:t>根据项目特点，空调/小家电/废手机及其视听设备消费电子产品处理线、2号废旧电视机（液晶电视）处理线和1号废旧电视机（CRT）处理线普通粉尘通过DA001排气筒外排；而1号废旧电视机（CRT）处理线含铅粉尘通过DA002排气筒外排；废旧冰箱处理线废气通过DA003排气筒外排；废旧洗衣机处理线废气通过DA005排气筒外排。则由上表可知，</w:t>
            </w:r>
            <w:r>
              <w:rPr>
                <w:color w:val="000000" w:themeColor="text1"/>
                <w:szCs w:val="24"/>
              </w:rPr>
              <w:t>废气污染物排放源产排量及达标情况</w:t>
            </w:r>
            <w:r>
              <w:rPr>
                <w:rFonts w:hint="eastAsia"/>
                <w:color w:val="000000" w:themeColor="text1"/>
                <w:szCs w:val="24"/>
              </w:rPr>
              <w:t>如下表所示。</w:t>
            </w:r>
          </w:p>
          <w:p>
            <w:pPr>
              <w:pStyle w:val="38"/>
              <w:spacing w:beforeLines="50"/>
              <w:ind w:firstLine="480"/>
              <w:rPr>
                <w:rFonts w:hint="eastAsia"/>
                <w:color w:val="000000" w:themeColor="text1"/>
                <w:szCs w:val="24"/>
              </w:rPr>
            </w:pPr>
          </w:p>
          <w:p>
            <w:pPr>
              <w:jc w:val="center"/>
              <w:rPr>
                <w:rFonts w:hint="eastAsia" w:ascii="Times New Roman" w:hAnsi="Times New Roman" w:cs="Times New Roman"/>
                <w:b/>
                <w:color w:val="000000" w:themeColor="text1"/>
                <w:szCs w:val="24"/>
              </w:rPr>
            </w:pP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表4.2.1-</w:t>
            </w:r>
            <w:r>
              <w:rPr>
                <w:rFonts w:hint="eastAsia" w:ascii="Times New Roman" w:hAnsi="Times New Roman" w:cs="Times New Roman"/>
                <w:b/>
                <w:color w:val="000000" w:themeColor="text1"/>
                <w:szCs w:val="24"/>
              </w:rPr>
              <w:t>5</w:t>
            </w:r>
            <w:r>
              <w:rPr>
                <w:rFonts w:ascii="Times New Roman" w:hAnsi="Times New Roman" w:cs="Times New Roman"/>
                <w:b/>
                <w:color w:val="000000" w:themeColor="text1"/>
                <w:szCs w:val="24"/>
              </w:rPr>
              <w:t xml:space="preserve">  废气污染物排放源排</w:t>
            </w:r>
            <w:r>
              <w:rPr>
                <w:rFonts w:hint="eastAsia" w:ascii="Times New Roman" w:hAnsi="Times New Roman" w:cs="Times New Roman"/>
                <w:b/>
                <w:color w:val="000000" w:themeColor="text1"/>
                <w:szCs w:val="24"/>
              </w:rPr>
              <w:t>放</w:t>
            </w:r>
            <w:r>
              <w:rPr>
                <w:rFonts w:ascii="Times New Roman" w:hAnsi="Times New Roman" w:cs="Times New Roman"/>
                <w:b/>
                <w:color w:val="000000" w:themeColor="text1"/>
                <w:szCs w:val="24"/>
              </w:rPr>
              <w:t>量及达标情况一览表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75"/>
              <w:gridCol w:w="1559"/>
              <w:gridCol w:w="1276"/>
              <w:gridCol w:w="1276"/>
              <w:gridCol w:w="1134"/>
              <w:gridCol w:w="1088"/>
              <w:gridCol w:w="805"/>
              <w:gridCol w:w="8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restart"/>
                  <w:vAlign w:val="center"/>
                </w:tcPr>
                <w:p>
                  <w:pPr>
                    <w:pStyle w:val="30"/>
                    <w:spacing w:line="360" w:lineRule="exact"/>
                    <w:rPr>
                      <w:color w:val="000000" w:themeColor="text1"/>
                      <w:szCs w:val="21"/>
                    </w:rPr>
                  </w:pPr>
                  <w:r>
                    <w:rPr>
                      <w:color w:val="000000" w:themeColor="text1"/>
                      <w:szCs w:val="21"/>
                    </w:rPr>
                    <w:t>排气筒编号</w:t>
                  </w:r>
                </w:p>
              </w:tc>
              <w:tc>
                <w:tcPr>
                  <w:tcW w:w="1559" w:type="dxa"/>
                  <w:vMerge w:val="restart"/>
                  <w:vAlign w:val="center"/>
                </w:tcPr>
                <w:p>
                  <w:pPr>
                    <w:pStyle w:val="30"/>
                    <w:spacing w:line="360" w:lineRule="exact"/>
                    <w:rPr>
                      <w:color w:val="000000" w:themeColor="text1"/>
                      <w:szCs w:val="21"/>
                    </w:rPr>
                  </w:pPr>
                  <w:r>
                    <w:rPr>
                      <w:color w:val="000000" w:themeColor="text1"/>
                      <w:szCs w:val="21"/>
                    </w:rPr>
                    <w:t>污染物种类</w:t>
                  </w:r>
                </w:p>
              </w:tc>
              <w:tc>
                <w:tcPr>
                  <w:tcW w:w="3686" w:type="dxa"/>
                  <w:gridSpan w:val="3"/>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污染物排放量和浓度</w:t>
                  </w:r>
                </w:p>
              </w:tc>
              <w:tc>
                <w:tcPr>
                  <w:tcW w:w="1893" w:type="dxa"/>
                  <w:gridSpan w:val="2"/>
                  <w:tcBorders>
                    <w:bottom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排放标准</w:t>
                  </w:r>
                </w:p>
              </w:tc>
              <w:tc>
                <w:tcPr>
                  <w:tcW w:w="831"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达标情况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Merge w:val="continue"/>
                  <w:vAlign w:val="center"/>
                </w:tcPr>
                <w:p>
                  <w:pPr>
                    <w:pStyle w:val="30"/>
                    <w:spacing w:line="360" w:lineRule="exact"/>
                    <w:rPr>
                      <w:color w:val="000000" w:themeColor="text1"/>
                      <w:szCs w:val="21"/>
                    </w:rPr>
                  </w:pPr>
                </w:p>
              </w:tc>
              <w:tc>
                <w:tcPr>
                  <w:tcW w:w="1276" w:type="dxa"/>
                  <w:vAlign w:val="center"/>
                </w:tcPr>
                <w:p>
                  <w:pPr>
                    <w:pStyle w:val="30"/>
                    <w:spacing w:line="360" w:lineRule="exact"/>
                    <w:rPr>
                      <w:color w:val="000000" w:themeColor="text1"/>
                      <w:szCs w:val="21"/>
                    </w:rPr>
                  </w:pPr>
                  <w:r>
                    <w:rPr>
                      <w:color w:val="000000" w:themeColor="text1"/>
                      <w:szCs w:val="21"/>
                    </w:rPr>
                    <w:t>排放浓度mg/m³</w:t>
                  </w:r>
                </w:p>
              </w:tc>
              <w:tc>
                <w:tcPr>
                  <w:tcW w:w="1276" w:type="dxa"/>
                  <w:tcBorders>
                    <w:top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排放量t/a</w:t>
                  </w:r>
                </w:p>
              </w:tc>
              <w:tc>
                <w:tcPr>
                  <w:tcW w:w="1134" w:type="dxa"/>
                  <w:tcBorders>
                    <w:top w:val="single" w:color="auto" w:sz="4" w:space="0"/>
                    <w:left w:val="single" w:color="auto" w:sz="4" w:space="0"/>
                  </w:tcBorders>
                  <w:vAlign w:val="center"/>
                </w:tcPr>
                <w:p>
                  <w:pPr>
                    <w:pStyle w:val="30"/>
                    <w:spacing w:line="360" w:lineRule="exact"/>
                    <w:rPr>
                      <w:color w:val="000000" w:themeColor="text1"/>
                      <w:szCs w:val="21"/>
                    </w:rPr>
                  </w:pPr>
                  <w:r>
                    <w:rPr>
                      <w:color w:val="000000" w:themeColor="text1"/>
                      <w:szCs w:val="21"/>
                    </w:rPr>
                    <w:t>排放速率kg/h</w:t>
                  </w:r>
                </w:p>
              </w:tc>
              <w:tc>
                <w:tcPr>
                  <w:tcW w:w="1088" w:type="dxa"/>
                  <w:tcBorders>
                    <w:top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速率kg/h</w:t>
                  </w:r>
                </w:p>
              </w:tc>
              <w:tc>
                <w:tcPr>
                  <w:tcW w:w="805" w:type="dxa"/>
                  <w:tcBorders>
                    <w:top w:val="single" w:color="auto" w:sz="4" w:space="0"/>
                    <w:left w:val="single" w:color="auto" w:sz="4" w:space="0"/>
                  </w:tcBorders>
                  <w:vAlign w:val="center"/>
                </w:tcPr>
                <w:p>
                  <w:pPr>
                    <w:pStyle w:val="30"/>
                    <w:spacing w:line="360" w:lineRule="exact"/>
                    <w:rPr>
                      <w:color w:val="000000" w:themeColor="text1"/>
                      <w:szCs w:val="21"/>
                    </w:rPr>
                  </w:pPr>
                  <w:r>
                    <w:rPr>
                      <w:color w:val="000000" w:themeColor="text1"/>
                      <w:szCs w:val="21"/>
                    </w:rPr>
                    <w:t>浓度mg/m³</w:t>
                  </w:r>
                </w:p>
              </w:tc>
              <w:tc>
                <w:tcPr>
                  <w:tcW w:w="831" w:type="dxa"/>
                  <w:vMerge w:val="continue"/>
                  <w:vAlign w:val="center"/>
                </w:tcPr>
                <w:p>
                  <w:pPr>
                    <w:pStyle w:val="30"/>
                    <w:rPr>
                      <w:bCs w:val="0"/>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restart"/>
                  <w:vAlign w:val="center"/>
                </w:tcPr>
                <w:p>
                  <w:pPr>
                    <w:pStyle w:val="30"/>
                    <w:spacing w:line="360" w:lineRule="exact"/>
                    <w:rPr>
                      <w:color w:val="000000" w:themeColor="text1"/>
                      <w:szCs w:val="21"/>
                    </w:rPr>
                  </w:pPr>
                  <w:r>
                    <w:rPr>
                      <w:color w:val="000000" w:themeColor="text1"/>
                      <w:szCs w:val="21"/>
                    </w:rPr>
                    <w:t>DA001</w:t>
                  </w:r>
                </w:p>
              </w:tc>
              <w:tc>
                <w:tcPr>
                  <w:tcW w:w="1559" w:type="dxa"/>
                  <w:vAlign w:val="center"/>
                </w:tcPr>
                <w:p>
                  <w:pPr>
                    <w:pStyle w:val="30"/>
                    <w:spacing w:line="360" w:lineRule="exact"/>
                    <w:rPr>
                      <w:color w:val="000000" w:themeColor="text1"/>
                      <w:szCs w:val="21"/>
                    </w:rPr>
                  </w:pPr>
                  <w:r>
                    <w:rPr>
                      <w:color w:val="000000" w:themeColor="text1"/>
                      <w:szCs w:val="21"/>
                    </w:rPr>
                    <w:t>废气量</w:t>
                  </w:r>
                </w:p>
              </w:tc>
              <w:tc>
                <w:tcPr>
                  <w:tcW w:w="3686" w:type="dxa"/>
                  <w:gridSpan w:val="3"/>
                  <w:vAlign w:val="center"/>
                </w:tcPr>
                <w:p>
                  <w:pPr>
                    <w:pStyle w:val="30"/>
                    <w:spacing w:line="360" w:lineRule="exact"/>
                    <w:rPr>
                      <w:color w:val="000000" w:themeColor="text1"/>
                      <w:szCs w:val="21"/>
                    </w:rPr>
                  </w:pPr>
                  <w:r>
                    <w:rPr>
                      <w:color w:val="000000" w:themeColor="text1"/>
                      <w:szCs w:val="21"/>
                    </w:rPr>
                    <w:t>8400万m³/a</w:t>
                  </w:r>
                </w:p>
              </w:tc>
              <w:tc>
                <w:tcPr>
                  <w:tcW w:w="1088"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05"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31"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粉尘</w:t>
                  </w:r>
                </w:p>
              </w:tc>
              <w:tc>
                <w:tcPr>
                  <w:tcW w:w="1276" w:type="dxa"/>
                  <w:vAlign w:val="center"/>
                </w:tcPr>
                <w:p>
                  <w:pPr>
                    <w:pStyle w:val="30"/>
                    <w:spacing w:line="360" w:lineRule="exact"/>
                    <w:rPr>
                      <w:color w:val="000000" w:themeColor="text1"/>
                      <w:szCs w:val="21"/>
                    </w:rPr>
                  </w:pPr>
                  <w:r>
                    <w:rPr>
                      <w:color w:val="000000" w:themeColor="text1"/>
                      <w:szCs w:val="21"/>
                    </w:rPr>
                    <w:t>18.14</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0.901</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0.303</w:t>
                  </w:r>
                </w:p>
              </w:tc>
              <w:tc>
                <w:tcPr>
                  <w:tcW w:w="1088"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3.5</w:t>
                  </w:r>
                </w:p>
              </w:tc>
              <w:tc>
                <w:tcPr>
                  <w:tcW w:w="805"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120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汞及其化合物</w:t>
                  </w:r>
                </w:p>
              </w:tc>
              <w:tc>
                <w:tcPr>
                  <w:tcW w:w="1276" w:type="dxa"/>
                  <w:vAlign w:val="center"/>
                </w:tcPr>
                <w:p>
                  <w:pPr>
                    <w:pStyle w:val="30"/>
                    <w:spacing w:line="360" w:lineRule="exact"/>
                    <w:rPr>
                      <w:color w:val="000000" w:themeColor="text1"/>
                      <w:szCs w:val="21"/>
                    </w:rPr>
                  </w:pPr>
                  <w:r>
                    <w:rPr>
                      <w:color w:val="000000" w:themeColor="text1"/>
                      <w:szCs w:val="21"/>
                    </w:rPr>
                    <w:t>0.002</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0.00004</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0.00001</w:t>
                  </w:r>
                </w:p>
              </w:tc>
              <w:tc>
                <w:tcPr>
                  <w:tcW w:w="1088"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1.5×10</w:t>
                  </w:r>
                  <w:r>
                    <w:rPr>
                      <w:rFonts w:hint="eastAsia"/>
                      <w:color w:val="000000" w:themeColor="text1"/>
                      <w:szCs w:val="21"/>
                      <w:vertAlign w:val="superscript"/>
                    </w:rPr>
                    <w:t>-3</w:t>
                  </w:r>
                </w:p>
              </w:tc>
              <w:tc>
                <w:tcPr>
                  <w:tcW w:w="805" w:type="dxa"/>
                  <w:tcBorders>
                    <w:left w:val="single" w:color="auto" w:sz="4" w:space="0"/>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0.012</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restart"/>
                  <w:vAlign w:val="center"/>
                </w:tcPr>
                <w:p>
                  <w:pPr>
                    <w:pStyle w:val="30"/>
                    <w:spacing w:line="360" w:lineRule="exact"/>
                    <w:rPr>
                      <w:color w:val="000000" w:themeColor="text1"/>
                      <w:szCs w:val="21"/>
                    </w:rPr>
                  </w:pPr>
                  <w:r>
                    <w:rPr>
                      <w:color w:val="000000" w:themeColor="text1"/>
                      <w:szCs w:val="21"/>
                    </w:rPr>
                    <w:t>DA002</w:t>
                  </w:r>
                </w:p>
              </w:tc>
              <w:tc>
                <w:tcPr>
                  <w:tcW w:w="1559" w:type="dxa"/>
                  <w:vAlign w:val="center"/>
                </w:tcPr>
                <w:p>
                  <w:pPr>
                    <w:pStyle w:val="30"/>
                    <w:spacing w:line="360" w:lineRule="exact"/>
                    <w:rPr>
                      <w:color w:val="000000" w:themeColor="text1"/>
                      <w:szCs w:val="21"/>
                    </w:rPr>
                  </w:pPr>
                  <w:r>
                    <w:rPr>
                      <w:color w:val="000000" w:themeColor="text1"/>
                      <w:szCs w:val="21"/>
                    </w:rPr>
                    <w:t>废气量</w:t>
                  </w:r>
                </w:p>
              </w:tc>
              <w:tc>
                <w:tcPr>
                  <w:tcW w:w="3686" w:type="dxa"/>
                  <w:gridSpan w:val="3"/>
                  <w:vAlign w:val="center"/>
                </w:tcPr>
                <w:p>
                  <w:pPr>
                    <w:pStyle w:val="30"/>
                    <w:spacing w:line="360" w:lineRule="exact"/>
                    <w:rPr>
                      <w:color w:val="000000" w:themeColor="text1"/>
                      <w:szCs w:val="21"/>
                    </w:rPr>
                  </w:pPr>
                  <w:r>
                    <w:rPr>
                      <w:color w:val="000000" w:themeColor="text1"/>
                      <w:szCs w:val="21"/>
                    </w:rPr>
                    <w:t>6300万m³/a</w:t>
                  </w:r>
                </w:p>
              </w:tc>
              <w:tc>
                <w:tcPr>
                  <w:tcW w:w="1088"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05" w:type="dxa"/>
                  <w:tcBorders>
                    <w:top w:val="single" w:color="auto" w:sz="4" w:space="0"/>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31"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粉尘</w:t>
                  </w:r>
                </w:p>
              </w:tc>
              <w:tc>
                <w:tcPr>
                  <w:tcW w:w="1276" w:type="dxa"/>
                  <w:vAlign w:val="center"/>
                </w:tcPr>
                <w:p>
                  <w:pPr>
                    <w:pStyle w:val="30"/>
                    <w:spacing w:line="360" w:lineRule="exact"/>
                    <w:rPr>
                      <w:color w:val="000000" w:themeColor="text1"/>
                      <w:szCs w:val="21"/>
                    </w:rPr>
                  </w:pPr>
                  <w:r>
                    <w:rPr>
                      <w:color w:val="000000" w:themeColor="text1"/>
                      <w:szCs w:val="21"/>
                    </w:rPr>
                    <w:t>17.45</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0.89</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0.30</w:t>
                  </w:r>
                </w:p>
              </w:tc>
              <w:tc>
                <w:tcPr>
                  <w:tcW w:w="1088"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3.5</w:t>
                  </w:r>
                </w:p>
              </w:tc>
              <w:tc>
                <w:tcPr>
                  <w:tcW w:w="805"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120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铅及其化合物</w:t>
                  </w:r>
                </w:p>
              </w:tc>
              <w:tc>
                <w:tcPr>
                  <w:tcW w:w="1276" w:type="dxa"/>
                  <w:vAlign w:val="center"/>
                </w:tcPr>
                <w:p>
                  <w:pPr>
                    <w:pStyle w:val="30"/>
                    <w:spacing w:line="360" w:lineRule="exact"/>
                    <w:rPr>
                      <w:color w:val="000000" w:themeColor="text1"/>
                      <w:szCs w:val="21"/>
                    </w:rPr>
                  </w:pPr>
                  <w:r>
                    <w:rPr>
                      <w:color w:val="000000" w:themeColor="text1"/>
                      <w:szCs w:val="21"/>
                    </w:rPr>
                    <w:t>0.013</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0.0009</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0.0003</w:t>
                  </w:r>
                </w:p>
              </w:tc>
              <w:tc>
                <w:tcPr>
                  <w:tcW w:w="1088"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0.004</w:t>
                  </w:r>
                </w:p>
              </w:tc>
              <w:tc>
                <w:tcPr>
                  <w:tcW w:w="805"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0.70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restart"/>
                  <w:vAlign w:val="center"/>
                </w:tcPr>
                <w:p>
                  <w:pPr>
                    <w:pStyle w:val="30"/>
                    <w:spacing w:line="360" w:lineRule="exact"/>
                    <w:rPr>
                      <w:color w:val="000000" w:themeColor="text1"/>
                      <w:szCs w:val="21"/>
                    </w:rPr>
                  </w:pPr>
                  <w:r>
                    <w:rPr>
                      <w:color w:val="000000" w:themeColor="text1"/>
                      <w:szCs w:val="21"/>
                    </w:rPr>
                    <w:t>DA003</w:t>
                  </w:r>
                </w:p>
              </w:tc>
              <w:tc>
                <w:tcPr>
                  <w:tcW w:w="1559" w:type="dxa"/>
                  <w:vAlign w:val="center"/>
                </w:tcPr>
                <w:p>
                  <w:pPr>
                    <w:pStyle w:val="30"/>
                    <w:spacing w:line="360" w:lineRule="exact"/>
                    <w:rPr>
                      <w:color w:val="000000" w:themeColor="text1"/>
                      <w:szCs w:val="21"/>
                    </w:rPr>
                  </w:pPr>
                  <w:r>
                    <w:rPr>
                      <w:color w:val="000000" w:themeColor="text1"/>
                      <w:szCs w:val="21"/>
                    </w:rPr>
                    <w:t>废气量</w:t>
                  </w:r>
                </w:p>
              </w:tc>
              <w:tc>
                <w:tcPr>
                  <w:tcW w:w="3686" w:type="dxa"/>
                  <w:gridSpan w:val="3"/>
                  <w:vAlign w:val="center"/>
                </w:tcPr>
                <w:p>
                  <w:pPr>
                    <w:pStyle w:val="30"/>
                    <w:spacing w:line="360" w:lineRule="exact"/>
                    <w:rPr>
                      <w:color w:val="000000" w:themeColor="text1"/>
                      <w:szCs w:val="21"/>
                    </w:rPr>
                  </w:pPr>
                  <w:r>
                    <w:rPr>
                      <w:color w:val="000000" w:themeColor="text1"/>
                      <w:szCs w:val="21"/>
                    </w:rPr>
                    <w:t>6000万m³/a</w:t>
                  </w:r>
                </w:p>
              </w:tc>
              <w:tc>
                <w:tcPr>
                  <w:tcW w:w="1088"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05"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31"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粉尘</w:t>
                  </w:r>
                </w:p>
              </w:tc>
              <w:tc>
                <w:tcPr>
                  <w:tcW w:w="1276" w:type="dxa"/>
                  <w:vAlign w:val="center"/>
                </w:tcPr>
                <w:p>
                  <w:pPr>
                    <w:pStyle w:val="30"/>
                    <w:spacing w:line="360" w:lineRule="exact"/>
                    <w:rPr>
                      <w:color w:val="000000" w:themeColor="text1"/>
                      <w:szCs w:val="21"/>
                    </w:rPr>
                  </w:pPr>
                  <w:r>
                    <w:rPr>
                      <w:color w:val="000000" w:themeColor="text1"/>
                      <w:szCs w:val="21"/>
                    </w:rPr>
                    <w:t xml:space="preserve">3.17 </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0.19</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 xml:space="preserve">0.06 </w:t>
                  </w:r>
                </w:p>
              </w:tc>
              <w:tc>
                <w:tcPr>
                  <w:tcW w:w="1088"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3.5</w:t>
                  </w:r>
                </w:p>
              </w:tc>
              <w:tc>
                <w:tcPr>
                  <w:tcW w:w="805"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120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非甲烷总烃</w:t>
                  </w:r>
                </w:p>
              </w:tc>
              <w:tc>
                <w:tcPr>
                  <w:tcW w:w="1276" w:type="dxa"/>
                  <w:vAlign w:val="center"/>
                </w:tcPr>
                <w:p>
                  <w:pPr>
                    <w:pStyle w:val="30"/>
                    <w:spacing w:line="360" w:lineRule="exact"/>
                    <w:rPr>
                      <w:color w:val="000000" w:themeColor="text1"/>
                      <w:szCs w:val="21"/>
                    </w:rPr>
                  </w:pPr>
                  <w:r>
                    <w:rPr>
                      <w:color w:val="000000" w:themeColor="text1"/>
                      <w:szCs w:val="21"/>
                    </w:rPr>
                    <w:t>1</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0.06</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0.02</w:t>
                  </w:r>
                </w:p>
              </w:tc>
              <w:tc>
                <w:tcPr>
                  <w:tcW w:w="1088"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10</w:t>
                  </w:r>
                </w:p>
              </w:tc>
              <w:tc>
                <w:tcPr>
                  <w:tcW w:w="805"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120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restart"/>
                  <w:vAlign w:val="center"/>
                </w:tcPr>
                <w:p>
                  <w:pPr>
                    <w:pStyle w:val="30"/>
                    <w:spacing w:line="360" w:lineRule="exact"/>
                    <w:rPr>
                      <w:color w:val="000000" w:themeColor="text1"/>
                      <w:szCs w:val="21"/>
                    </w:rPr>
                  </w:pPr>
                  <w:r>
                    <w:rPr>
                      <w:color w:val="000000" w:themeColor="text1"/>
                      <w:szCs w:val="21"/>
                    </w:rPr>
                    <w:t>DA005</w:t>
                  </w:r>
                </w:p>
              </w:tc>
              <w:tc>
                <w:tcPr>
                  <w:tcW w:w="1559" w:type="dxa"/>
                  <w:vAlign w:val="center"/>
                </w:tcPr>
                <w:p>
                  <w:pPr>
                    <w:pStyle w:val="30"/>
                    <w:spacing w:line="360" w:lineRule="exact"/>
                    <w:rPr>
                      <w:color w:val="000000" w:themeColor="text1"/>
                      <w:szCs w:val="21"/>
                    </w:rPr>
                  </w:pPr>
                  <w:r>
                    <w:rPr>
                      <w:color w:val="000000" w:themeColor="text1"/>
                      <w:szCs w:val="21"/>
                    </w:rPr>
                    <w:t>废气量</w:t>
                  </w:r>
                </w:p>
              </w:tc>
              <w:tc>
                <w:tcPr>
                  <w:tcW w:w="3686" w:type="dxa"/>
                  <w:gridSpan w:val="3"/>
                  <w:vAlign w:val="center"/>
                </w:tcPr>
                <w:p>
                  <w:pPr>
                    <w:pStyle w:val="30"/>
                    <w:spacing w:line="360" w:lineRule="exact"/>
                    <w:rPr>
                      <w:color w:val="000000" w:themeColor="text1"/>
                      <w:szCs w:val="21"/>
                    </w:rPr>
                  </w:pPr>
                  <w:r>
                    <w:rPr>
                      <w:color w:val="000000" w:themeColor="text1"/>
                      <w:szCs w:val="21"/>
                    </w:rPr>
                    <w:t>4000万m³/a</w:t>
                  </w:r>
                </w:p>
              </w:tc>
              <w:tc>
                <w:tcPr>
                  <w:tcW w:w="1088" w:type="dxa"/>
                  <w:tcBorders>
                    <w:righ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05" w:type="dxa"/>
                  <w:tcBorders>
                    <w:left w:val="single" w:color="auto" w:sz="4" w:space="0"/>
                  </w:tcBorders>
                  <w:vAlign w:val="center"/>
                </w:tcPr>
                <w:p>
                  <w:pPr>
                    <w:pStyle w:val="30"/>
                    <w:spacing w:line="360" w:lineRule="exact"/>
                    <w:rPr>
                      <w:color w:val="000000" w:themeColor="text1"/>
                      <w:szCs w:val="21"/>
                    </w:rPr>
                  </w:pPr>
                  <w:r>
                    <w:rPr>
                      <w:rFonts w:hint="eastAsia"/>
                      <w:color w:val="000000" w:themeColor="text1"/>
                      <w:szCs w:val="21"/>
                    </w:rPr>
                    <w:t>--</w:t>
                  </w:r>
                </w:p>
              </w:tc>
              <w:tc>
                <w:tcPr>
                  <w:tcW w:w="831" w:type="dxa"/>
                  <w:vAlign w:val="center"/>
                </w:tcPr>
                <w:p>
                  <w:pPr>
                    <w:pStyle w:val="30"/>
                    <w:spacing w:line="360" w:lineRule="exact"/>
                    <w:rPr>
                      <w:color w:val="000000" w:themeColor="text1"/>
                      <w:szCs w:val="21"/>
                    </w:rPr>
                  </w:pPr>
                  <w:r>
                    <w:rPr>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粉尘</w:t>
                  </w:r>
                </w:p>
              </w:tc>
              <w:tc>
                <w:tcPr>
                  <w:tcW w:w="1276" w:type="dxa"/>
                  <w:vAlign w:val="center"/>
                </w:tcPr>
                <w:p>
                  <w:pPr>
                    <w:pStyle w:val="30"/>
                    <w:spacing w:line="360" w:lineRule="exact"/>
                    <w:rPr>
                      <w:color w:val="000000" w:themeColor="text1"/>
                      <w:szCs w:val="21"/>
                    </w:rPr>
                  </w:pPr>
                  <w:r>
                    <w:rPr>
                      <w:color w:val="000000" w:themeColor="text1"/>
                      <w:szCs w:val="21"/>
                    </w:rPr>
                    <w:t>6.15</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0.123</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0.0615</w:t>
                  </w:r>
                </w:p>
              </w:tc>
              <w:tc>
                <w:tcPr>
                  <w:tcW w:w="1088"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3.5</w:t>
                  </w:r>
                </w:p>
              </w:tc>
              <w:tc>
                <w:tcPr>
                  <w:tcW w:w="805"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120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restart"/>
                  <w:vAlign w:val="center"/>
                </w:tcPr>
                <w:p>
                  <w:pPr>
                    <w:pStyle w:val="30"/>
                    <w:spacing w:line="360" w:lineRule="exact"/>
                    <w:rPr>
                      <w:color w:val="000000" w:themeColor="text1"/>
                      <w:szCs w:val="21"/>
                    </w:rPr>
                  </w:pPr>
                  <w:r>
                    <w:rPr>
                      <w:color w:val="000000" w:themeColor="text1"/>
                      <w:szCs w:val="21"/>
                    </w:rPr>
                    <w:t>无组织</w:t>
                  </w:r>
                </w:p>
              </w:tc>
              <w:tc>
                <w:tcPr>
                  <w:tcW w:w="1559" w:type="dxa"/>
                  <w:vAlign w:val="center"/>
                </w:tcPr>
                <w:p>
                  <w:pPr>
                    <w:pStyle w:val="30"/>
                    <w:spacing w:line="360" w:lineRule="exact"/>
                    <w:rPr>
                      <w:color w:val="000000" w:themeColor="text1"/>
                      <w:szCs w:val="21"/>
                    </w:rPr>
                  </w:pPr>
                  <w:r>
                    <w:rPr>
                      <w:color w:val="000000" w:themeColor="text1"/>
                      <w:szCs w:val="21"/>
                    </w:rPr>
                    <w:t>粉尘</w:t>
                  </w:r>
                </w:p>
              </w:tc>
              <w:tc>
                <w:tcPr>
                  <w:tcW w:w="1276" w:type="dxa"/>
                  <w:vAlign w:val="center"/>
                </w:tcPr>
                <w:p>
                  <w:pPr>
                    <w:pStyle w:val="30"/>
                    <w:spacing w:line="360" w:lineRule="exact"/>
                    <w:rPr>
                      <w:color w:val="000000" w:themeColor="text1"/>
                      <w:szCs w:val="21"/>
                    </w:rPr>
                  </w:pPr>
                  <w:r>
                    <w:rPr>
                      <w:rFonts w:hint="eastAsia"/>
                      <w:color w:val="000000" w:themeColor="text1"/>
                      <w:szCs w:val="21"/>
                    </w:rPr>
                    <w:t>0.08</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5.655</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1.885</w:t>
                  </w:r>
                </w:p>
              </w:tc>
              <w:tc>
                <w:tcPr>
                  <w:tcW w:w="1893" w:type="dxa"/>
                  <w:gridSpan w:val="2"/>
                  <w:vAlign w:val="center"/>
                </w:tcPr>
                <w:p>
                  <w:pPr>
                    <w:pStyle w:val="30"/>
                    <w:spacing w:line="360" w:lineRule="exact"/>
                    <w:rPr>
                      <w:color w:val="000000" w:themeColor="text1"/>
                      <w:szCs w:val="21"/>
                    </w:rPr>
                  </w:pPr>
                  <w:r>
                    <w:rPr>
                      <w:color w:val="000000" w:themeColor="text1"/>
                      <w:szCs w:val="21"/>
                    </w:rPr>
                    <w:t>1.0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铅及其化合物</w:t>
                  </w:r>
                </w:p>
              </w:tc>
              <w:tc>
                <w:tcPr>
                  <w:tcW w:w="1276" w:type="dxa"/>
                  <w:vAlign w:val="center"/>
                </w:tcPr>
                <w:p>
                  <w:pPr>
                    <w:pStyle w:val="30"/>
                    <w:spacing w:line="360" w:lineRule="exact"/>
                    <w:rPr>
                      <w:color w:val="000000" w:themeColor="text1"/>
                      <w:szCs w:val="21"/>
                    </w:rPr>
                  </w:pPr>
                  <w:r>
                    <w:rPr>
                      <w:rFonts w:hint="eastAsia"/>
                      <w:color w:val="000000" w:themeColor="text1"/>
                      <w:szCs w:val="21"/>
                    </w:rPr>
                    <w:t>0.00001</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0.0019</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0.0006</w:t>
                  </w:r>
                </w:p>
              </w:tc>
              <w:tc>
                <w:tcPr>
                  <w:tcW w:w="1893" w:type="dxa"/>
                  <w:gridSpan w:val="2"/>
                  <w:vAlign w:val="center"/>
                </w:tcPr>
                <w:p>
                  <w:pPr>
                    <w:pStyle w:val="30"/>
                    <w:spacing w:line="360" w:lineRule="exact"/>
                    <w:rPr>
                      <w:color w:val="000000" w:themeColor="text1"/>
                      <w:szCs w:val="21"/>
                    </w:rPr>
                  </w:pPr>
                  <w:r>
                    <w:rPr>
                      <w:rFonts w:hint="eastAsia"/>
                      <w:color w:val="000000" w:themeColor="text1"/>
                      <w:szCs w:val="21"/>
                    </w:rPr>
                    <w:t>0.0060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Merge w:val="continue"/>
                  <w:vAlign w:val="center"/>
                </w:tcPr>
                <w:p>
                  <w:pPr>
                    <w:pStyle w:val="30"/>
                    <w:spacing w:line="360" w:lineRule="exact"/>
                    <w:rPr>
                      <w:color w:val="000000" w:themeColor="text1"/>
                      <w:szCs w:val="21"/>
                    </w:rPr>
                  </w:pPr>
                </w:p>
              </w:tc>
              <w:tc>
                <w:tcPr>
                  <w:tcW w:w="1559" w:type="dxa"/>
                  <w:vAlign w:val="center"/>
                </w:tcPr>
                <w:p>
                  <w:pPr>
                    <w:pStyle w:val="30"/>
                    <w:spacing w:line="360" w:lineRule="exact"/>
                    <w:rPr>
                      <w:color w:val="000000" w:themeColor="text1"/>
                      <w:szCs w:val="21"/>
                    </w:rPr>
                  </w:pPr>
                  <w:r>
                    <w:rPr>
                      <w:color w:val="000000" w:themeColor="text1"/>
                      <w:szCs w:val="21"/>
                    </w:rPr>
                    <w:t>非甲烷总烃</w:t>
                  </w:r>
                </w:p>
              </w:tc>
              <w:tc>
                <w:tcPr>
                  <w:tcW w:w="1276" w:type="dxa"/>
                  <w:vAlign w:val="center"/>
                </w:tcPr>
                <w:p>
                  <w:pPr>
                    <w:pStyle w:val="30"/>
                    <w:spacing w:line="360" w:lineRule="exact"/>
                    <w:rPr>
                      <w:color w:val="000000" w:themeColor="text1"/>
                      <w:szCs w:val="21"/>
                    </w:rPr>
                  </w:pPr>
                  <w:r>
                    <w:rPr>
                      <w:rFonts w:hint="eastAsia"/>
                      <w:color w:val="000000" w:themeColor="text1"/>
                      <w:szCs w:val="21"/>
                    </w:rPr>
                    <w:t>0.002</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0.03</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0.01</w:t>
                  </w:r>
                </w:p>
              </w:tc>
              <w:tc>
                <w:tcPr>
                  <w:tcW w:w="1893" w:type="dxa"/>
                  <w:gridSpan w:val="2"/>
                  <w:vAlign w:val="center"/>
                </w:tcPr>
                <w:p>
                  <w:pPr>
                    <w:pStyle w:val="30"/>
                    <w:spacing w:line="360" w:lineRule="exact"/>
                    <w:rPr>
                      <w:color w:val="000000" w:themeColor="text1"/>
                      <w:szCs w:val="21"/>
                    </w:rPr>
                  </w:pPr>
                  <w:r>
                    <w:rPr>
                      <w:color w:val="000000" w:themeColor="text1"/>
                      <w:szCs w:val="21"/>
                    </w:rPr>
                    <w:t>4.0</w:t>
                  </w:r>
                </w:p>
              </w:tc>
              <w:tc>
                <w:tcPr>
                  <w:tcW w:w="831" w:type="dxa"/>
                  <w:vAlign w:val="center"/>
                </w:tcPr>
                <w:p>
                  <w:pPr>
                    <w:pStyle w:val="30"/>
                    <w:spacing w:line="360" w:lineRule="exact"/>
                    <w:rPr>
                      <w:color w:val="000000" w:themeColor="text1"/>
                      <w:szCs w:val="21"/>
                    </w:rPr>
                  </w:pPr>
                  <w:r>
                    <w:rPr>
                      <w:color w:val="000000" w:themeColor="text1"/>
                      <w:szCs w:val="21"/>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5" w:type="dxa"/>
                  <w:vAlign w:val="center"/>
                </w:tcPr>
                <w:p>
                  <w:pPr>
                    <w:pStyle w:val="30"/>
                    <w:spacing w:line="360" w:lineRule="exact"/>
                    <w:rPr>
                      <w:color w:val="000000" w:themeColor="text1"/>
                      <w:szCs w:val="21"/>
                    </w:rPr>
                  </w:pPr>
                  <w:r>
                    <w:rPr>
                      <w:color w:val="000000" w:themeColor="text1"/>
                      <w:szCs w:val="21"/>
                    </w:rPr>
                    <w:t>厨房</w:t>
                  </w:r>
                </w:p>
              </w:tc>
              <w:tc>
                <w:tcPr>
                  <w:tcW w:w="1559" w:type="dxa"/>
                  <w:vAlign w:val="center"/>
                </w:tcPr>
                <w:p>
                  <w:pPr>
                    <w:pStyle w:val="30"/>
                    <w:spacing w:line="360" w:lineRule="exact"/>
                    <w:rPr>
                      <w:color w:val="000000" w:themeColor="text1"/>
                      <w:szCs w:val="21"/>
                    </w:rPr>
                  </w:pPr>
                  <w:r>
                    <w:rPr>
                      <w:color w:val="000000" w:themeColor="text1"/>
                      <w:szCs w:val="21"/>
                    </w:rPr>
                    <w:t>厨房油烟</w:t>
                  </w:r>
                </w:p>
              </w:tc>
              <w:tc>
                <w:tcPr>
                  <w:tcW w:w="1276" w:type="dxa"/>
                  <w:vAlign w:val="center"/>
                </w:tcPr>
                <w:p>
                  <w:pPr>
                    <w:pStyle w:val="30"/>
                    <w:spacing w:line="360" w:lineRule="exact"/>
                    <w:rPr>
                      <w:color w:val="000000" w:themeColor="text1"/>
                      <w:szCs w:val="21"/>
                    </w:rPr>
                  </w:pPr>
                  <w:r>
                    <w:rPr>
                      <w:color w:val="000000" w:themeColor="text1"/>
                      <w:szCs w:val="21"/>
                    </w:rPr>
                    <w:t>0.8</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4.8g/d</w:t>
                  </w:r>
                </w:p>
              </w:tc>
              <w:tc>
                <w:tcPr>
                  <w:tcW w:w="1134" w:type="dxa"/>
                  <w:tcBorders>
                    <w:left w:val="single" w:color="auto" w:sz="4" w:space="0"/>
                  </w:tcBorders>
                  <w:vAlign w:val="center"/>
                </w:tcPr>
                <w:p>
                  <w:pPr>
                    <w:pStyle w:val="30"/>
                    <w:spacing w:line="360" w:lineRule="exact"/>
                    <w:rPr>
                      <w:color w:val="000000" w:themeColor="text1"/>
                      <w:szCs w:val="21"/>
                    </w:rPr>
                  </w:pPr>
                  <w:r>
                    <w:rPr>
                      <w:color w:val="000000" w:themeColor="text1"/>
                      <w:szCs w:val="21"/>
                    </w:rPr>
                    <w:t>--</w:t>
                  </w:r>
                </w:p>
              </w:tc>
              <w:tc>
                <w:tcPr>
                  <w:tcW w:w="1893" w:type="dxa"/>
                  <w:gridSpan w:val="2"/>
                  <w:vAlign w:val="center"/>
                </w:tcPr>
                <w:p>
                  <w:pPr>
                    <w:pStyle w:val="30"/>
                    <w:spacing w:line="360" w:lineRule="exact"/>
                    <w:rPr>
                      <w:color w:val="000000" w:themeColor="text1"/>
                      <w:szCs w:val="21"/>
                    </w:rPr>
                  </w:pPr>
                  <w:r>
                    <w:rPr>
                      <w:rFonts w:hint="eastAsia"/>
                      <w:color w:val="000000" w:themeColor="text1"/>
                      <w:szCs w:val="21"/>
                    </w:rPr>
                    <w:t>2.0</w:t>
                  </w:r>
                </w:p>
              </w:tc>
              <w:tc>
                <w:tcPr>
                  <w:tcW w:w="831" w:type="dxa"/>
                  <w:vAlign w:val="center"/>
                </w:tcPr>
                <w:p>
                  <w:pPr>
                    <w:pStyle w:val="30"/>
                    <w:spacing w:line="360" w:lineRule="exact"/>
                    <w:rPr>
                      <w:color w:val="000000" w:themeColor="text1"/>
                      <w:szCs w:val="21"/>
                    </w:rPr>
                  </w:pPr>
                  <w:r>
                    <w:rPr>
                      <w:color w:val="000000" w:themeColor="text1"/>
                      <w:szCs w:val="21"/>
                    </w:rPr>
                    <w:t>达标</w:t>
                  </w:r>
                </w:p>
              </w:tc>
            </w:tr>
          </w:tbl>
          <w:p>
            <w:pPr>
              <w:pStyle w:val="38"/>
              <w:spacing w:beforeLines="50"/>
              <w:ind w:firstLine="480"/>
              <w:rPr>
                <w:color w:val="000000" w:themeColor="text1"/>
                <w:szCs w:val="24"/>
              </w:rPr>
            </w:pPr>
            <w:r>
              <w:rPr>
                <w:rFonts w:hint="eastAsia"/>
                <w:color w:val="000000" w:themeColor="text1"/>
                <w:szCs w:val="24"/>
              </w:rPr>
              <w:t>由上表可知，项目DA001排放污染物：颗粒物、汞及其化合物，DA002排放污染物：颗粒物、铅及其化合物，DA003排放污染物：颗粒物、非甲烷总烃，DA005排放污染物：颗粒物；以及无组织排放的颗粒物、</w:t>
            </w:r>
            <w:r>
              <w:rPr>
                <w:color w:val="000000" w:themeColor="text1"/>
                <w:szCs w:val="24"/>
              </w:rPr>
              <w:t>铅及其化合物</w:t>
            </w:r>
            <w:r>
              <w:rPr>
                <w:rFonts w:hint="eastAsia"/>
                <w:color w:val="000000" w:themeColor="text1"/>
                <w:szCs w:val="24"/>
              </w:rPr>
              <w:t>和</w:t>
            </w:r>
            <w:r>
              <w:rPr>
                <w:color w:val="000000" w:themeColor="text1"/>
                <w:szCs w:val="24"/>
              </w:rPr>
              <w:t>非甲烷总烃</w:t>
            </w:r>
            <w:r>
              <w:rPr>
                <w:rFonts w:hint="eastAsia"/>
                <w:color w:val="000000" w:themeColor="text1"/>
                <w:szCs w:val="24"/>
              </w:rPr>
              <w:t>均可达到</w:t>
            </w:r>
            <w:r>
              <w:rPr>
                <w:color w:val="000000" w:themeColor="text1"/>
                <w:szCs w:val="24"/>
              </w:rPr>
              <w:t>《大气污染物综合排放标准》（GB16297-1996）表2中的二级排放标准及无组织排放监控浓度限值</w:t>
            </w:r>
            <w:r>
              <w:rPr>
                <w:rFonts w:hint="eastAsia"/>
                <w:color w:val="000000" w:themeColor="text1"/>
                <w:szCs w:val="24"/>
              </w:rPr>
              <w:t>要求</w:t>
            </w:r>
            <w:r>
              <w:rPr>
                <w:color w:val="000000" w:themeColor="text1"/>
                <w:szCs w:val="24"/>
              </w:rPr>
              <w:t>。项目区厨房安装一个最低去除率60%的油烟净化器，经油烟净化器处理后的厨房油烟可达到</w:t>
            </w:r>
            <w:r>
              <w:rPr>
                <w:rFonts w:hint="eastAsia"/>
                <w:color w:val="000000" w:themeColor="text1"/>
                <w:szCs w:val="24"/>
              </w:rPr>
              <w:t>《昆明市地方标准 餐饮业油烟污染物排放要求》（DB5301/T50-2021），通过</w:t>
            </w:r>
            <w:r>
              <w:rPr>
                <w:color w:val="000000" w:themeColor="text1"/>
                <w:szCs w:val="24"/>
              </w:rPr>
              <w:t>高于房顶1.5m的烟道外排。</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（3）废气污染治理设施可行性分析</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本项目属于物理拆解项目，本项目针对粉尘和铅及其化合物设置的集气罩+脉冲除尘；针对非甲烷总烃设置的</w:t>
            </w:r>
            <w:r>
              <w:rPr>
                <w:rFonts w:ascii="Times New Roman" w:hAnsi="Times New Roman" w:cs="Times New Roman"/>
                <w:color w:val="000000" w:themeColor="text1"/>
                <w:sz w:val="24"/>
                <w:szCs w:val="24"/>
              </w:rPr>
              <w:t>UV光氧裂解+活性炭吸附</w:t>
            </w:r>
            <w:r>
              <w:rPr>
                <w:rFonts w:hint="eastAsia" w:ascii="Times New Roman" w:hAnsi="Times New Roman" w:cs="Times New Roman"/>
                <w:color w:val="000000" w:themeColor="text1"/>
                <w:sz w:val="24"/>
                <w:szCs w:val="24"/>
              </w:rPr>
              <w:t>，针对汞及其化合物设置的</w:t>
            </w:r>
            <w:r>
              <w:rPr>
                <w:rFonts w:ascii="Times New Roman" w:hAnsi="Times New Roman" w:cs="Times New Roman"/>
                <w:color w:val="000000" w:themeColor="text1"/>
                <w:sz w:val="24"/>
                <w:szCs w:val="24"/>
              </w:rPr>
              <w:t>UV光氧裂解+</w:t>
            </w:r>
            <w:r>
              <w:rPr>
                <w:rFonts w:hint="eastAsia" w:ascii="Times New Roman" w:hAnsi="Times New Roman" w:cs="Times New Roman"/>
                <w:color w:val="000000" w:themeColor="text1"/>
                <w:sz w:val="24"/>
                <w:szCs w:val="24"/>
              </w:rPr>
              <w:t>载硫</w:t>
            </w:r>
            <w:r>
              <w:rPr>
                <w:rFonts w:ascii="Times New Roman" w:hAnsi="Times New Roman" w:cs="Times New Roman"/>
                <w:color w:val="000000" w:themeColor="text1"/>
                <w:sz w:val="24"/>
                <w:szCs w:val="24"/>
              </w:rPr>
              <w:t>活性炭吸附</w:t>
            </w:r>
            <w:r>
              <w:rPr>
                <w:rFonts w:hint="eastAsia" w:ascii="Times New Roman" w:hAnsi="Times New Roman" w:cs="Times New Roman"/>
                <w:color w:val="000000" w:themeColor="text1"/>
                <w:sz w:val="24"/>
                <w:szCs w:val="24"/>
              </w:rPr>
              <w:t>等废气处理措施为《排污许可证申请与核发技术规范 废弃资源加工工业》（HJ1034-2019）明确的可行技术；且实际运行效果较好，</w:t>
            </w:r>
            <w:r>
              <w:rPr>
                <w:rFonts w:ascii="Times New Roman" w:hAnsi="Times New Roman" w:cs="Times New Roman"/>
                <w:color w:val="000000" w:themeColor="text1"/>
                <w:sz w:val="24"/>
                <w:szCs w:val="24"/>
              </w:rPr>
              <w:t>属于可行技术，措施可行。</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（4）自行监测要求</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根据《排污单位自行监测技术指南 总则》（HJ819-2017）</w:t>
            </w:r>
            <w:r>
              <w:rPr>
                <w:rFonts w:hint="eastAsia" w:ascii="Times New Roman" w:hAnsi="Times New Roman" w:cs="Times New Roman"/>
                <w:color w:val="000000" w:themeColor="text1"/>
                <w:sz w:val="24"/>
                <w:szCs w:val="24"/>
              </w:rPr>
              <w:t>和《排污许可证申请与核发技术规范 废弃资源加工工业》（HJ1034-2019）</w:t>
            </w:r>
            <w:r>
              <w:rPr>
                <w:rFonts w:ascii="Times New Roman" w:hAnsi="Times New Roman" w:cs="Times New Roman"/>
                <w:color w:val="000000" w:themeColor="text1"/>
                <w:sz w:val="24"/>
                <w:szCs w:val="24"/>
              </w:rPr>
              <w:t>的要求，项目废气自行监测要求如下表所示。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表4.2.1-</w:t>
            </w:r>
            <w:r>
              <w:rPr>
                <w:rFonts w:hint="eastAsia" w:ascii="Times New Roman" w:hAnsi="Times New Roman" w:cs="Times New Roman"/>
                <w:b/>
                <w:color w:val="000000" w:themeColor="text1"/>
                <w:szCs w:val="24"/>
              </w:rPr>
              <w:t>6</w:t>
            </w:r>
            <w:r>
              <w:rPr>
                <w:rFonts w:ascii="Times New Roman" w:hAnsi="Times New Roman" w:cs="Times New Roman"/>
                <w:b/>
                <w:color w:val="000000" w:themeColor="text1"/>
                <w:szCs w:val="24"/>
              </w:rPr>
              <w:t xml:space="preserve">  项目运营期废气自行监测计划一览表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417"/>
              <w:gridCol w:w="2835"/>
              <w:gridCol w:w="1843"/>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对象</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监测点位</w:t>
                  </w:r>
                </w:p>
              </w:tc>
              <w:tc>
                <w:tcPr>
                  <w:tcW w:w="283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监测因子</w:t>
                  </w:r>
                </w:p>
              </w:tc>
              <w:tc>
                <w:tcPr>
                  <w:tcW w:w="184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最低监测频率</w:t>
                  </w:r>
                </w:p>
              </w:tc>
              <w:tc>
                <w:tcPr>
                  <w:tcW w:w="215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2"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废气</w:t>
                  </w:r>
                </w:p>
              </w:tc>
              <w:tc>
                <w:tcPr>
                  <w:tcW w:w="1417" w:type="dxa"/>
                  <w:vAlign w:val="center"/>
                </w:tcPr>
                <w:p>
                  <w:pPr>
                    <w:pStyle w:val="30"/>
                    <w:spacing w:line="360" w:lineRule="exact"/>
                    <w:rPr>
                      <w:color w:val="000000" w:themeColor="text1"/>
                      <w:szCs w:val="21"/>
                    </w:rPr>
                  </w:pPr>
                  <w:r>
                    <w:rPr>
                      <w:color w:val="000000" w:themeColor="text1"/>
                      <w:szCs w:val="21"/>
                    </w:rPr>
                    <w:t xml:space="preserve">DA001 </w:t>
                  </w:r>
                </w:p>
              </w:tc>
              <w:tc>
                <w:tcPr>
                  <w:tcW w:w="2835" w:type="dxa"/>
                  <w:vAlign w:val="center"/>
                </w:tcPr>
                <w:p>
                  <w:pPr>
                    <w:pStyle w:val="30"/>
                    <w:spacing w:line="360" w:lineRule="exact"/>
                    <w:ind w:firstLine="210" w:firstLineChars="100"/>
                    <w:jc w:val="left"/>
                    <w:rPr>
                      <w:color w:val="000000" w:themeColor="text1"/>
                      <w:szCs w:val="21"/>
                    </w:rPr>
                  </w:pPr>
                  <w:r>
                    <w:rPr>
                      <w:color w:val="000000" w:themeColor="text1"/>
                      <w:szCs w:val="21"/>
                    </w:rPr>
                    <w:t>颗粒物</w:t>
                  </w:r>
                  <w:r>
                    <w:rPr>
                      <w:rFonts w:hint="eastAsia"/>
                      <w:color w:val="000000" w:themeColor="text1"/>
                      <w:szCs w:val="21"/>
                    </w:rPr>
                    <w:t>、</w:t>
                  </w:r>
                  <w:r>
                    <w:rPr>
                      <w:color w:val="000000" w:themeColor="text1"/>
                      <w:szCs w:val="21"/>
                    </w:rPr>
                    <w:t>汞及其化合物</w:t>
                  </w:r>
                </w:p>
              </w:tc>
              <w:tc>
                <w:tcPr>
                  <w:tcW w:w="1843" w:type="dxa"/>
                  <w:vAlign w:val="center"/>
                </w:tcPr>
                <w:p>
                  <w:pPr>
                    <w:pStyle w:val="30"/>
                    <w:spacing w:line="360" w:lineRule="exact"/>
                    <w:rPr>
                      <w:color w:val="000000" w:themeColor="text1"/>
                      <w:szCs w:val="21"/>
                    </w:rPr>
                  </w:pPr>
                  <w:r>
                    <w:rPr>
                      <w:color w:val="000000" w:themeColor="text1"/>
                      <w:szCs w:val="21"/>
                    </w:rPr>
                    <w:t>1次/</w:t>
                  </w:r>
                  <w:r>
                    <w:rPr>
                      <w:rFonts w:hint="eastAsia"/>
                      <w:color w:val="000000" w:themeColor="text1"/>
                      <w:szCs w:val="21"/>
                    </w:rPr>
                    <w:t>半</w:t>
                  </w:r>
                  <w:r>
                    <w:rPr>
                      <w:color w:val="000000" w:themeColor="text1"/>
                      <w:szCs w:val="21"/>
                    </w:rPr>
                    <w:t>年</w:t>
                  </w:r>
                </w:p>
              </w:tc>
              <w:tc>
                <w:tcPr>
                  <w:tcW w:w="2157" w:type="dxa"/>
                  <w:vMerge w:val="restart"/>
                  <w:vAlign w:val="center"/>
                </w:tcPr>
                <w:p>
                  <w:pPr>
                    <w:pStyle w:val="30"/>
                    <w:spacing w:line="360" w:lineRule="exact"/>
                    <w:ind w:firstLine="210" w:firstLineChars="100"/>
                    <w:jc w:val="left"/>
                    <w:rPr>
                      <w:rFonts w:eastAsiaTheme="minorEastAsia"/>
                      <w:color w:val="000000" w:themeColor="text1"/>
                      <w:szCs w:val="21"/>
                    </w:rPr>
                  </w:pPr>
                  <w:r>
                    <w:rPr>
                      <w:color w:val="000000" w:themeColor="text1"/>
                      <w:szCs w:val="24"/>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2" w:type="dxa"/>
                  <w:vMerge w:val="continue"/>
                  <w:vAlign w:val="center"/>
                </w:tcPr>
                <w:p>
                  <w:pPr>
                    <w:pStyle w:val="30"/>
                    <w:spacing w:line="360" w:lineRule="exact"/>
                    <w:rPr>
                      <w:rFonts w:eastAsiaTheme="minorEastAsia"/>
                      <w:color w:val="000000" w:themeColor="text1"/>
                      <w:szCs w:val="21"/>
                    </w:rPr>
                  </w:pPr>
                </w:p>
              </w:tc>
              <w:tc>
                <w:tcPr>
                  <w:tcW w:w="1417"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2</w:t>
                  </w:r>
                </w:p>
              </w:tc>
              <w:tc>
                <w:tcPr>
                  <w:tcW w:w="2835" w:type="dxa"/>
                  <w:vAlign w:val="center"/>
                </w:tcPr>
                <w:p>
                  <w:pPr>
                    <w:pStyle w:val="30"/>
                    <w:spacing w:line="360" w:lineRule="exact"/>
                    <w:ind w:firstLine="210" w:firstLineChars="100"/>
                    <w:jc w:val="left"/>
                    <w:rPr>
                      <w:color w:val="000000" w:themeColor="text1"/>
                      <w:szCs w:val="21"/>
                    </w:rPr>
                  </w:pPr>
                  <w:r>
                    <w:rPr>
                      <w:color w:val="000000" w:themeColor="text1"/>
                      <w:szCs w:val="21"/>
                    </w:rPr>
                    <w:t>颗粒物</w:t>
                  </w:r>
                  <w:r>
                    <w:rPr>
                      <w:rFonts w:hint="eastAsia"/>
                      <w:color w:val="000000" w:themeColor="text1"/>
                      <w:szCs w:val="21"/>
                    </w:rPr>
                    <w:t>、</w:t>
                  </w:r>
                  <w:r>
                    <w:rPr>
                      <w:color w:val="000000" w:themeColor="text1"/>
                      <w:szCs w:val="21"/>
                    </w:rPr>
                    <w:t>铅及其化合物</w:t>
                  </w:r>
                </w:p>
              </w:tc>
              <w:tc>
                <w:tcPr>
                  <w:tcW w:w="1843" w:type="dxa"/>
                  <w:vAlign w:val="center"/>
                </w:tcPr>
                <w:p>
                  <w:pPr>
                    <w:pStyle w:val="30"/>
                    <w:spacing w:line="360" w:lineRule="exact"/>
                    <w:rPr>
                      <w:color w:val="000000" w:themeColor="text1"/>
                      <w:szCs w:val="21"/>
                    </w:rPr>
                  </w:pPr>
                  <w:r>
                    <w:rPr>
                      <w:color w:val="000000" w:themeColor="text1"/>
                      <w:szCs w:val="21"/>
                    </w:rPr>
                    <w:t>1次/</w:t>
                  </w:r>
                  <w:r>
                    <w:rPr>
                      <w:rFonts w:hint="eastAsia"/>
                      <w:color w:val="000000" w:themeColor="text1"/>
                      <w:szCs w:val="21"/>
                    </w:rPr>
                    <w:t>半</w:t>
                  </w:r>
                  <w:r>
                    <w:rPr>
                      <w:color w:val="000000" w:themeColor="text1"/>
                      <w:szCs w:val="21"/>
                    </w:rPr>
                    <w:t>年</w:t>
                  </w:r>
                </w:p>
              </w:tc>
              <w:tc>
                <w:tcPr>
                  <w:tcW w:w="2157" w:type="dxa"/>
                  <w:vMerge w:val="continue"/>
                  <w:vAlign w:val="center"/>
                </w:tcPr>
                <w:p>
                  <w:pPr>
                    <w:pStyle w:val="30"/>
                    <w:spacing w:line="360" w:lineRule="exact"/>
                    <w:ind w:firstLine="210" w:firstLineChars="100"/>
                    <w:jc w:val="lef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92" w:type="dxa"/>
                  <w:vMerge w:val="continue"/>
                  <w:vAlign w:val="center"/>
                </w:tcPr>
                <w:p>
                  <w:pPr>
                    <w:pStyle w:val="30"/>
                    <w:spacing w:line="360" w:lineRule="exact"/>
                    <w:rPr>
                      <w:rFonts w:eastAsiaTheme="minorEastAsia"/>
                      <w:color w:val="000000" w:themeColor="text1"/>
                      <w:szCs w:val="21"/>
                    </w:rPr>
                  </w:pPr>
                </w:p>
              </w:tc>
              <w:tc>
                <w:tcPr>
                  <w:tcW w:w="1417"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3</w:t>
                  </w:r>
                </w:p>
              </w:tc>
              <w:tc>
                <w:tcPr>
                  <w:tcW w:w="2835" w:type="dxa"/>
                  <w:vAlign w:val="center"/>
                </w:tcPr>
                <w:p>
                  <w:pPr>
                    <w:pStyle w:val="30"/>
                    <w:spacing w:line="360" w:lineRule="exact"/>
                    <w:ind w:firstLine="210" w:firstLineChars="100"/>
                    <w:jc w:val="left"/>
                    <w:rPr>
                      <w:color w:val="000000" w:themeColor="text1"/>
                      <w:szCs w:val="21"/>
                    </w:rPr>
                  </w:pPr>
                  <w:r>
                    <w:rPr>
                      <w:color w:val="000000" w:themeColor="text1"/>
                      <w:szCs w:val="21"/>
                    </w:rPr>
                    <w:t>颗粒物</w:t>
                  </w:r>
                  <w:r>
                    <w:rPr>
                      <w:rFonts w:hint="eastAsia"/>
                      <w:color w:val="000000" w:themeColor="text1"/>
                      <w:szCs w:val="21"/>
                    </w:rPr>
                    <w:t>、</w:t>
                  </w:r>
                  <w:r>
                    <w:rPr>
                      <w:color w:val="000000" w:themeColor="text1"/>
                      <w:szCs w:val="21"/>
                    </w:rPr>
                    <w:t>非甲烷总烃</w:t>
                  </w:r>
                </w:p>
              </w:tc>
              <w:tc>
                <w:tcPr>
                  <w:tcW w:w="1843" w:type="dxa"/>
                  <w:vAlign w:val="center"/>
                </w:tcPr>
                <w:p>
                  <w:pPr>
                    <w:pStyle w:val="30"/>
                    <w:spacing w:line="360" w:lineRule="exact"/>
                    <w:rPr>
                      <w:color w:val="000000" w:themeColor="text1"/>
                      <w:szCs w:val="21"/>
                    </w:rPr>
                  </w:pPr>
                  <w:r>
                    <w:rPr>
                      <w:color w:val="000000" w:themeColor="text1"/>
                      <w:szCs w:val="21"/>
                    </w:rPr>
                    <w:t>1次/年</w:t>
                  </w:r>
                </w:p>
              </w:tc>
              <w:tc>
                <w:tcPr>
                  <w:tcW w:w="2157" w:type="dxa"/>
                  <w:vMerge w:val="continue"/>
                  <w:vAlign w:val="center"/>
                </w:tcPr>
                <w:p>
                  <w:pPr>
                    <w:pStyle w:val="30"/>
                    <w:spacing w:line="360" w:lineRule="exact"/>
                    <w:ind w:firstLine="210" w:firstLineChars="100"/>
                    <w:jc w:val="lef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792" w:type="dxa"/>
                  <w:vMerge w:val="continue"/>
                  <w:vAlign w:val="center"/>
                </w:tcPr>
                <w:p>
                  <w:pPr>
                    <w:pStyle w:val="30"/>
                    <w:spacing w:line="360" w:lineRule="exact"/>
                    <w:rPr>
                      <w:rFonts w:eastAsiaTheme="minorEastAsia"/>
                      <w:color w:val="000000" w:themeColor="text1"/>
                      <w:szCs w:val="21"/>
                    </w:rPr>
                  </w:pPr>
                </w:p>
              </w:tc>
              <w:tc>
                <w:tcPr>
                  <w:tcW w:w="1417" w:type="dxa"/>
                  <w:vAlign w:val="center"/>
                </w:tcPr>
                <w:p>
                  <w:pPr>
                    <w:pStyle w:val="30"/>
                    <w:spacing w:line="360" w:lineRule="exact"/>
                    <w:rPr>
                      <w:color w:val="000000" w:themeColor="text1"/>
                      <w:szCs w:val="21"/>
                    </w:rPr>
                  </w:pPr>
                  <w:r>
                    <w:rPr>
                      <w:color w:val="000000" w:themeColor="text1"/>
                      <w:szCs w:val="21"/>
                    </w:rPr>
                    <w:t>DA00</w:t>
                  </w:r>
                  <w:r>
                    <w:rPr>
                      <w:rFonts w:hint="eastAsia"/>
                      <w:color w:val="000000" w:themeColor="text1"/>
                      <w:szCs w:val="21"/>
                    </w:rPr>
                    <w:t>5</w:t>
                  </w:r>
                </w:p>
              </w:tc>
              <w:tc>
                <w:tcPr>
                  <w:tcW w:w="2835" w:type="dxa"/>
                  <w:vAlign w:val="center"/>
                </w:tcPr>
                <w:p>
                  <w:pPr>
                    <w:pStyle w:val="30"/>
                    <w:spacing w:line="360" w:lineRule="exact"/>
                    <w:ind w:firstLine="210" w:firstLineChars="100"/>
                    <w:jc w:val="left"/>
                    <w:rPr>
                      <w:color w:val="000000" w:themeColor="text1"/>
                      <w:szCs w:val="21"/>
                    </w:rPr>
                  </w:pPr>
                  <w:r>
                    <w:rPr>
                      <w:color w:val="000000" w:themeColor="text1"/>
                      <w:szCs w:val="21"/>
                    </w:rPr>
                    <w:t>颗粒物</w:t>
                  </w:r>
                </w:p>
              </w:tc>
              <w:tc>
                <w:tcPr>
                  <w:tcW w:w="1843" w:type="dxa"/>
                  <w:vAlign w:val="center"/>
                </w:tcPr>
                <w:p>
                  <w:pPr>
                    <w:pStyle w:val="30"/>
                    <w:spacing w:line="360" w:lineRule="exact"/>
                    <w:rPr>
                      <w:color w:val="000000" w:themeColor="text1"/>
                      <w:szCs w:val="21"/>
                    </w:rPr>
                  </w:pPr>
                  <w:r>
                    <w:rPr>
                      <w:color w:val="000000" w:themeColor="text1"/>
                      <w:szCs w:val="21"/>
                    </w:rPr>
                    <w:t>1次/年</w:t>
                  </w:r>
                </w:p>
              </w:tc>
              <w:tc>
                <w:tcPr>
                  <w:tcW w:w="2157"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792" w:type="dxa"/>
                  <w:vMerge w:val="continue"/>
                  <w:vAlign w:val="center"/>
                </w:tcPr>
                <w:p>
                  <w:pPr>
                    <w:pStyle w:val="30"/>
                    <w:spacing w:line="360" w:lineRule="exact"/>
                    <w:rPr>
                      <w:rFonts w:eastAsiaTheme="minorEastAsia"/>
                      <w:color w:val="000000" w:themeColor="text1"/>
                      <w:szCs w:val="21"/>
                    </w:rPr>
                  </w:pP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企业边界</w:t>
                  </w:r>
                </w:p>
              </w:tc>
              <w:tc>
                <w:tcPr>
                  <w:tcW w:w="2835" w:type="dxa"/>
                  <w:vAlign w:val="center"/>
                </w:tcPr>
                <w:p>
                  <w:pPr>
                    <w:pStyle w:val="30"/>
                    <w:spacing w:line="360" w:lineRule="exact"/>
                    <w:ind w:firstLine="210" w:firstLineChars="100"/>
                    <w:jc w:val="left"/>
                    <w:rPr>
                      <w:rFonts w:eastAsiaTheme="minorEastAsia"/>
                      <w:color w:val="000000" w:themeColor="text1"/>
                      <w:szCs w:val="21"/>
                    </w:rPr>
                  </w:pPr>
                  <w:r>
                    <w:rPr>
                      <w:color w:val="000000" w:themeColor="text1"/>
                      <w:szCs w:val="21"/>
                    </w:rPr>
                    <w:t>颗粒物</w:t>
                  </w:r>
                  <w:r>
                    <w:rPr>
                      <w:rFonts w:hint="eastAsia"/>
                      <w:color w:val="000000" w:themeColor="text1"/>
                      <w:szCs w:val="21"/>
                    </w:rPr>
                    <w:t>、</w:t>
                  </w:r>
                  <w:r>
                    <w:rPr>
                      <w:color w:val="000000" w:themeColor="text1"/>
                      <w:szCs w:val="21"/>
                    </w:rPr>
                    <w:t>汞及其化合物</w:t>
                  </w:r>
                  <w:r>
                    <w:rPr>
                      <w:rFonts w:hint="eastAsia"/>
                      <w:color w:val="000000" w:themeColor="text1"/>
                      <w:szCs w:val="21"/>
                    </w:rPr>
                    <w:t>、</w:t>
                  </w:r>
                  <w:r>
                    <w:rPr>
                      <w:color w:val="000000" w:themeColor="text1"/>
                      <w:szCs w:val="21"/>
                    </w:rPr>
                    <w:t>铅及其化合物</w:t>
                  </w:r>
                  <w:r>
                    <w:rPr>
                      <w:rFonts w:hint="eastAsia"/>
                      <w:color w:val="000000" w:themeColor="text1"/>
                      <w:szCs w:val="21"/>
                    </w:rPr>
                    <w:t>、</w:t>
                  </w:r>
                  <w:r>
                    <w:rPr>
                      <w:color w:val="000000" w:themeColor="text1"/>
                      <w:szCs w:val="21"/>
                    </w:rPr>
                    <w:t>非甲烷总烃</w:t>
                  </w:r>
                </w:p>
              </w:tc>
              <w:tc>
                <w:tcPr>
                  <w:tcW w:w="184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1次/年</w:t>
                  </w:r>
                </w:p>
              </w:tc>
              <w:tc>
                <w:tcPr>
                  <w:tcW w:w="2157" w:type="dxa"/>
                  <w:vMerge w:val="continue"/>
                  <w:vAlign w:val="center"/>
                </w:tcPr>
                <w:p>
                  <w:pPr>
                    <w:pStyle w:val="30"/>
                    <w:spacing w:line="360" w:lineRule="exact"/>
                    <w:ind w:firstLine="210" w:firstLineChars="100"/>
                    <w:jc w:val="both"/>
                    <w:rPr>
                      <w:rFonts w:eastAsiaTheme="minorEastAsia"/>
                      <w:color w:val="000000" w:themeColor="text1"/>
                      <w:szCs w:val="21"/>
                    </w:rPr>
                  </w:pP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rPr>
              <w:t>非正常情况污染物排放情况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根据项目特点，本项目</w:t>
            </w:r>
            <w:r>
              <w:rPr>
                <w:rFonts w:ascii="Times New Roman" w:hAnsi="Times New Roman" w:cs="Times New Roman"/>
                <w:color w:val="000000" w:themeColor="text1"/>
                <w:sz w:val="24"/>
                <w:szCs w:val="24"/>
              </w:rPr>
              <w:t>非正常排放情形</w:t>
            </w:r>
            <w:r>
              <w:rPr>
                <w:rFonts w:hint="eastAsia" w:ascii="Times New Roman" w:hAnsi="Times New Roman" w:cs="Times New Roman"/>
                <w:color w:val="000000" w:themeColor="text1"/>
                <w:sz w:val="24"/>
                <w:szCs w:val="24"/>
              </w:rPr>
              <w:t>主要为项目污染治理措施失效，所有污染物无组织排放，非正常情形下</w:t>
            </w:r>
            <w:r>
              <w:rPr>
                <w:rFonts w:ascii="Times New Roman" w:hAnsi="Times New Roman" w:cs="Times New Roman"/>
                <w:color w:val="000000" w:themeColor="text1"/>
                <w:sz w:val="24"/>
                <w:szCs w:val="24"/>
              </w:rPr>
              <w:t>废气污染物排放源</w:t>
            </w:r>
            <w:r>
              <w:rPr>
                <w:rFonts w:hint="eastAsia" w:ascii="Times New Roman" w:hAnsi="Times New Roman" w:cs="Times New Roman"/>
                <w:color w:val="000000" w:themeColor="text1"/>
                <w:sz w:val="24"/>
                <w:szCs w:val="24"/>
              </w:rPr>
              <w:t>排放情况如下表所示。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表4.2.1-</w:t>
            </w:r>
            <w:r>
              <w:rPr>
                <w:rFonts w:hint="eastAsia" w:ascii="Times New Roman" w:hAnsi="Times New Roman" w:cs="Times New Roman"/>
                <w:b/>
                <w:color w:val="000000" w:themeColor="text1"/>
                <w:szCs w:val="24"/>
              </w:rPr>
              <w:t>7</w:t>
            </w:r>
            <w:r>
              <w:rPr>
                <w:rFonts w:ascii="Times New Roman" w:hAnsi="Times New Roman" w:cs="Times New Roman"/>
                <w:b/>
                <w:color w:val="000000" w:themeColor="text1"/>
                <w:szCs w:val="24"/>
              </w:rPr>
              <w:t xml:space="preserve">  </w:t>
            </w:r>
            <w:r>
              <w:rPr>
                <w:rFonts w:hint="eastAsia" w:ascii="Times New Roman" w:hAnsi="Times New Roman" w:cs="Times New Roman"/>
                <w:b/>
                <w:color w:val="000000" w:themeColor="text1"/>
                <w:szCs w:val="24"/>
              </w:rPr>
              <w:t>非正常情形下</w:t>
            </w:r>
            <w:r>
              <w:rPr>
                <w:rFonts w:ascii="Times New Roman" w:hAnsi="Times New Roman" w:cs="Times New Roman"/>
                <w:b/>
                <w:color w:val="000000" w:themeColor="text1"/>
                <w:szCs w:val="24"/>
              </w:rPr>
              <w:t>废气污染物排放源</w:t>
            </w:r>
            <w:r>
              <w:rPr>
                <w:rFonts w:hint="eastAsia" w:ascii="Times New Roman" w:hAnsi="Times New Roman" w:cs="Times New Roman"/>
                <w:b/>
                <w:color w:val="000000" w:themeColor="text1"/>
                <w:szCs w:val="24"/>
              </w:rPr>
              <w:t>排放</w:t>
            </w:r>
            <w:r>
              <w:rPr>
                <w:rFonts w:ascii="Times New Roman" w:hAnsi="Times New Roman" w:cs="Times New Roman"/>
                <w:b/>
                <w:color w:val="000000" w:themeColor="text1"/>
                <w:szCs w:val="24"/>
              </w:rPr>
              <w:t>量及达标情况一览表</w:t>
            </w:r>
          </w:p>
          <w:tbl>
            <w:tblPr>
              <w:tblStyle w:val="19"/>
              <w:tblW w:w="5000" w:type="pct"/>
              <w:tblInd w:w="0" w:type="dxa"/>
              <w:tblLayout w:type="fixed"/>
              <w:tblCellMar>
                <w:top w:w="0" w:type="dxa"/>
                <w:left w:w="108" w:type="dxa"/>
                <w:bottom w:w="0" w:type="dxa"/>
                <w:right w:w="108" w:type="dxa"/>
              </w:tblCellMar>
            </w:tblPr>
            <w:tblGrid>
              <w:gridCol w:w="2223"/>
              <w:gridCol w:w="1356"/>
              <w:gridCol w:w="1505"/>
              <w:gridCol w:w="1205"/>
              <w:gridCol w:w="892"/>
              <w:gridCol w:w="853"/>
              <w:gridCol w:w="1020"/>
            </w:tblGrid>
            <w:tr>
              <w:tc>
                <w:tcPr>
                  <w:tcW w:w="357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color w:val="000000" w:themeColor="text1"/>
                      <w:szCs w:val="21"/>
                    </w:rPr>
                    <w:t>产排污环节</w:t>
                  </w:r>
                </w:p>
              </w:tc>
              <w:tc>
                <w:tcPr>
                  <w:tcW w:w="1502"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color w:val="000000" w:themeColor="text1"/>
                      <w:szCs w:val="21"/>
                    </w:rPr>
                    <w:t>污染物种类</w:t>
                  </w:r>
                </w:p>
              </w:tc>
              <w:tc>
                <w:tcPr>
                  <w:tcW w:w="1202" w:type="dxa"/>
                  <w:tcBorders>
                    <w:top w:val="single" w:color="000000" w:sz="8" w:space="0"/>
                    <w:left w:val="nil"/>
                    <w:right w:val="single" w:color="000000" w:sz="8" w:space="0"/>
                  </w:tcBorders>
                  <w:shd w:val="clear" w:color="auto" w:fill="auto"/>
                  <w:vAlign w:val="center"/>
                </w:tcPr>
                <w:p>
                  <w:pPr>
                    <w:pStyle w:val="30"/>
                    <w:spacing w:line="360" w:lineRule="exact"/>
                    <w:rPr>
                      <w:color w:val="000000" w:themeColor="text1"/>
                      <w:szCs w:val="21"/>
                    </w:rPr>
                  </w:pPr>
                  <w:r>
                    <w:rPr>
                      <w:color w:val="000000" w:themeColor="text1"/>
                      <w:szCs w:val="21"/>
                    </w:rPr>
                    <w:t>排放量kg/次</w:t>
                  </w:r>
                </w:p>
              </w:tc>
              <w:tc>
                <w:tcPr>
                  <w:tcW w:w="890" w:type="dxa"/>
                  <w:tcBorders>
                    <w:top w:val="single" w:color="000000" w:sz="8" w:space="0"/>
                    <w:left w:val="single" w:color="000000" w:sz="8" w:space="0"/>
                    <w:bottom w:val="single" w:color="000000" w:sz="8" w:space="0"/>
                    <w:right w:val="single" w:color="auto" w:sz="4" w:space="0"/>
                  </w:tcBorders>
                  <w:shd w:val="clear" w:color="auto" w:fill="auto"/>
                  <w:vAlign w:val="center"/>
                </w:tcPr>
                <w:p>
                  <w:pPr>
                    <w:pStyle w:val="30"/>
                    <w:spacing w:line="360" w:lineRule="exact"/>
                    <w:rPr>
                      <w:color w:val="000000" w:themeColor="text1"/>
                      <w:szCs w:val="21"/>
                    </w:rPr>
                  </w:pPr>
                  <w:r>
                    <w:rPr>
                      <w:color w:val="000000" w:themeColor="text1"/>
                      <w:szCs w:val="21"/>
                    </w:rPr>
                    <w:t>频次</w:t>
                  </w:r>
                </w:p>
              </w:tc>
              <w:tc>
                <w:tcPr>
                  <w:tcW w:w="851" w:type="dxa"/>
                  <w:tcBorders>
                    <w:top w:val="single" w:color="000000" w:sz="8" w:space="0"/>
                    <w:left w:val="single" w:color="auto" w:sz="4"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color w:val="000000" w:themeColor="text1"/>
                      <w:szCs w:val="21"/>
                    </w:rPr>
                    <w:t>持续时间</w:t>
                  </w:r>
                </w:p>
              </w:tc>
              <w:tc>
                <w:tcPr>
                  <w:tcW w:w="101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color w:val="000000" w:themeColor="text1"/>
                      <w:kern w:val="0"/>
                    </w:rPr>
                  </w:pPr>
                  <w:r>
                    <w:rPr>
                      <w:rFonts w:ascii="Times New Roman" w:hAnsi="宋体" w:eastAsia="宋体" w:cs="Times New Roman"/>
                      <w:color w:val="000000" w:themeColor="text1"/>
                      <w:kern w:val="0"/>
                    </w:rPr>
                    <w:t>措施</w:t>
                  </w:r>
                </w:p>
              </w:tc>
            </w:tr>
            <w:tr>
              <w:tc>
                <w:tcPr>
                  <w:tcW w:w="2218" w:type="dxa"/>
                  <w:tcBorders>
                    <w:top w:val="nil"/>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w:t>
                  </w:r>
                </w:p>
              </w:tc>
              <w:tc>
                <w:tcPr>
                  <w:tcW w:w="1353" w:type="dxa"/>
                  <w:tcBorders>
                    <w:top w:val="nil"/>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0.05</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restart"/>
                  <w:tcBorders>
                    <w:top w:val="nil"/>
                    <w:left w:val="nil"/>
                    <w:right w:val="single" w:color="000000" w:sz="8" w:space="0"/>
                  </w:tcBorders>
                  <w:shd w:val="clear" w:color="auto" w:fill="auto"/>
                  <w:vAlign w:val="center"/>
                </w:tcPr>
                <w:p>
                  <w:pPr>
                    <w:pStyle w:val="30"/>
                    <w:spacing w:line="360" w:lineRule="exact"/>
                    <w:ind w:firstLine="210" w:firstLineChars="100"/>
                    <w:jc w:val="both"/>
                    <w:rPr>
                      <w:color w:val="000000" w:themeColor="text1"/>
                      <w:kern w:val="0"/>
                      <w:szCs w:val="21"/>
                    </w:rPr>
                  </w:pPr>
                  <w:r>
                    <w:rPr>
                      <w:rFonts w:hint="eastAsia"/>
                      <w:color w:val="000000" w:themeColor="text1"/>
                      <w:szCs w:val="24"/>
                    </w:rPr>
                    <w:t>加强环保设施的运营和维护，确保污染物达标排放。</w:t>
                  </w:r>
                </w:p>
              </w:tc>
            </w:tr>
            <w:tr>
              <w:tblPrEx>
                <w:tblCellMar>
                  <w:top w:w="0" w:type="dxa"/>
                  <w:left w:w="108" w:type="dxa"/>
                  <w:bottom w:w="0" w:type="dxa"/>
                  <w:right w:w="108" w:type="dxa"/>
                </w:tblCellMar>
              </w:tblPrEx>
              <w:tc>
                <w:tcPr>
                  <w:tcW w:w="2218"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2号废旧电视机（液晶电视）处理线</w:t>
                  </w:r>
                </w:p>
              </w:tc>
              <w:tc>
                <w:tcPr>
                  <w:tcW w:w="1353"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1502" w:type="dxa"/>
                  <w:tcBorders>
                    <w:top w:val="nil"/>
                    <w:left w:val="nil"/>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0.026667</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r>
              <w:tblPrEx>
                <w:tblCellMar>
                  <w:top w:w="0" w:type="dxa"/>
                  <w:left w:w="108" w:type="dxa"/>
                  <w:bottom w:w="0" w:type="dxa"/>
                  <w:right w:w="108" w:type="dxa"/>
                </w:tblCellMar>
              </w:tblPrEx>
              <w:tc>
                <w:tcPr>
                  <w:tcW w:w="2218"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p>
              </w:tc>
              <w:tc>
                <w:tcPr>
                  <w:tcW w:w="1353"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p>
              </w:tc>
              <w:tc>
                <w:tcPr>
                  <w:tcW w:w="1502" w:type="dxa"/>
                  <w:tcBorders>
                    <w:top w:val="single" w:color="auto" w:sz="4"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汞及其化合物</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0.000007</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r>
              <w:tblPrEx>
                <w:tblCellMar>
                  <w:top w:w="0" w:type="dxa"/>
                  <w:left w:w="108" w:type="dxa"/>
                  <w:bottom w:w="0" w:type="dxa"/>
                  <w:right w:w="108" w:type="dxa"/>
                </w:tblCellMar>
              </w:tblPrEx>
              <w:tc>
                <w:tcPr>
                  <w:tcW w:w="2218"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1号废旧电视机（CRT）处理线</w:t>
                  </w:r>
                </w:p>
              </w:tc>
              <w:tc>
                <w:tcPr>
                  <w:tcW w:w="1353"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w:t>
                  </w: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13.12667</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r>
              <w:tblPrEx>
                <w:tblCellMar>
                  <w:top w:w="0" w:type="dxa"/>
                  <w:left w:w="108" w:type="dxa"/>
                  <w:bottom w:w="0" w:type="dxa"/>
                  <w:right w:w="108" w:type="dxa"/>
                </w:tblCellMar>
              </w:tblPrEx>
              <w:tc>
                <w:tcPr>
                  <w:tcW w:w="2218"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p>
              </w:tc>
              <w:tc>
                <w:tcPr>
                  <w:tcW w:w="1353"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铅及其化合物</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0.006267</w:t>
                  </w:r>
                </w:p>
              </w:tc>
              <w:tc>
                <w:tcPr>
                  <w:tcW w:w="890" w:type="dxa"/>
                  <w:tcBorders>
                    <w:top w:val="single" w:color="auto" w:sz="4" w:space="0"/>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single" w:color="auto" w:sz="4" w:space="0"/>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r>
              <w:tblPrEx>
                <w:tblCellMar>
                  <w:top w:w="0" w:type="dxa"/>
                  <w:left w:w="108" w:type="dxa"/>
                  <w:bottom w:w="0" w:type="dxa"/>
                  <w:right w:w="108" w:type="dxa"/>
                </w:tblCellMar>
              </w:tblPrEx>
              <w:tc>
                <w:tcPr>
                  <w:tcW w:w="2218"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废旧冰箱处理线</w:t>
                  </w:r>
                </w:p>
              </w:tc>
              <w:tc>
                <w:tcPr>
                  <w:tcW w:w="1353" w:type="dxa"/>
                  <w:vMerge w:val="restart"/>
                  <w:tcBorders>
                    <w:top w:val="nil"/>
                    <w:left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冷媒抽取+拆解+破碎</w:t>
                  </w:r>
                </w:p>
              </w:tc>
              <w:tc>
                <w:tcPr>
                  <w:tcW w:w="1502"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4.74</w:t>
                  </w:r>
                </w:p>
              </w:tc>
              <w:tc>
                <w:tcPr>
                  <w:tcW w:w="89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w:t>
                  </w:r>
                  <w:r>
                    <w:rPr>
                      <w:rFonts w:ascii="Times New Roman" w:hAnsi="Times New Roman" w:eastAsia="宋体" w:cs="Times New Roman"/>
                      <w:bCs/>
                      <w:snapToGrid w:val="0"/>
                      <w:color w:val="000000" w:themeColor="text1"/>
                      <w:kern w:val="32"/>
                      <w:lang w:val="zh-CN"/>
                    </w:rPr>
                    <w:t>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widowControl/>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1h</w:t>
                  </w:r>
                  <w:r>
                    <w:rPr>
                      <w:rFonts w:ascii="Times New Roman" w:hAnsi="Times New Roman" w:eastAsia="宋体" w:cs="Times New Roman"/>
                      <w:bCs/>
                      <w:snapToGrid w:val="0"/>
                      <w:color w:val="000000" w:themeColor="text1"/>
                      <w:kern w:val="32"/>
                      <w:lang w:val="zh-CN"/>
                    </w:rPr>
                    <w:t>/次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r>
              <w:tblPrEx>
                <w:tblCellMar>
                  <w:top w:w="0" w:type="dxa"/>
                  <w:left w:w="108" w:type="dxa"/>
                  <w:bottom w:w="0" w:type="dxa"/>
                  <w:right w:w="108" w:type="dxa"/>
                </w:tblCellMar>
              </w:tblPrEx>
              <w:tc>
                <w:tcPr>
                  <w:tcW w:w="2218"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p>
              </w:tc>
              <w:tc>
                <w:tcPr>
                  <w:tcW w:w="1353" w:type="dxa"/>
                  <w:vMerge w:val="continue"/>
                  <w:tcBorders>
                    <w:left w:val="single" w:color="000000" w:sz="8" w:space="0"/>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非甲烷总烃</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0.11</w:t>
                  </w:r>
                </w:p>
              </w:tc>
              <w:tc>
                <w:tcPr>
                  <w:tcW w:w="890" w:type="dxa"/>
                  <w:tcBorders>
                    <w:top w:val="single" w:color="auto" w:sz="4" w:space="0"/>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single" w:color="auto" w:sz="4" w:space="0"/>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continue"/>
                  <w:tcBorders>
                    <w:left w:val="nil"/>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r>
              <w:tblPrEx>
                <w:tblCellMar>
                  <w:top w:w="0" w:type="dxa"/>
                  <w:left w:w="108" w:type="dxa"/>
                  <w:bottom w:w="0" w:type="dxa"/>
                  <w:right w:w="108" w:type="dxa"/>
                </w:tblCellMar>
              </w:tblPrEx>
              <w:tc>
                <w:tcPr>
                  <w:tcW w:w="2218" w:type="dxa"/>
                  <w:tcBorders>
                    <w:top w:val="nil"/>
                    <w:left w:val="single" w:color="000000" w:sz="8"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废旧洗衣机处理线</w:t>
                  </w:r>
                </w:p>
              </w:tc>
              <w:tc>
                <w:tcPr>
                  <w:tcW w:w="1353" w:type="dxa"/>
                  <w:tcBorders>
                    <w:top w:val="nil"/>
                    <w:left w:val="single" w:color="000000" w:sz="8"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拆解+塑料破碎</w:t>
                  </w:r>
                </w:p>
              </w:tc>
              <w:tc>
                <w:tcPr>
                  <w:tcW w:w="1502" w:type="dxa"/>
                  <w:tcBorders>
                    <w:top w:val="nil"/>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粉尘</w:t>
                  </w:r>
                </w:p>
              </w:tc>
              <w:tc>
                <w:tcPr>
                  <w:tcW w:w="1202" w:type="dxa"/>
                  <w:tcBorders>
                    <w:top w:val="single" w:color="000000" w:sz="8" w:space="0"/>
                    <w:left w:val="nil"/>
                    <w:bottom w:val="single" w:color="000000" w:sz="8"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1.35</w:t>
                  </w:r>
                </w:p>
              </w:tc>
              <w:tc>
                <w:tcPr>
                  <w:tcW w:w="890" w:type="dxa"/>
                  <w:tcBorders>
                    <w:top w:val="nil"/>
                    <w:left w:val="nil"/>
                    <w:bottom w:val="single" w:color="auto" w:sz="4" w:space="0"/>
                    <w:right w:val="single" w:color="auto" w:sz="4"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w:t>
                  </w:r>
                  <w:r>
                    <w:rPr>
                      <w:color w:val="000000" w:themeColor="text1"/>
                      <w:szCs w:val="21"/>
                    </w:rPr>
                    <w:t>次/a</w:t>
                  </w:r>
                </w:p>
              </w:tc>
              <w:tc>
                <w:tcPr>
                  <w:tcW w:w="851" w:type="dxa"/>
                  <w:tcBorders>
                    <w:top w:val="nil"/>
                    <w:left w:val="single" w:color="auto" w:sz="4" w:space="0"/>
                    <w:bottom w:val="single" w:color="auto" w:sz="4" w:space="0"/>
                    <w:right w:val="single" w:color="000000" w:sz="8" w:space="0"/>
                  </w:tcBorders>
                  <w:shd w:val="clear" w:color="auto" w:fill="auto"/>
                  <w:vAlign w:val="center"/>
                </w:tcPr>
                <w:p>
                  <w:pPr>
                    <w:pStyle w:val="30"/>
                    <w:spacing w:line="360" w:lineRule="exact"/>
                    <w:rPr>
                      <w:color w:val="000000" w:themeColor="text1"/>
                      <w:szCs w:val="21"/>
                    </w:rPr>
                  </w:pPr>
                  <w:r>
                    <w:rPr>
                      <w:rFonts w:hint="eastAsia"/>
                      <w:color w:val="000000" w:themeColor="text1"/>
                      <w:szCs w:val="21"/>
                    </w:rPr>
                    <w:t>1h</w:t>
                  </w:r>
                  <w:r>
                    <w:rPr>
                      <w:color w:val="000000" w:themeColor="text1"/>
                      <w:szCs w:val="21"/>
                    </w:rPr>
                    <w:t>/次</w:t>
                  </w:r>
                </w:p>
              </w:tc>
              <w:tc>
                <w:tcPr>
                  <w:tcW w:w="1018" w:type="dxa"/>
                  <w:vMerge w:val="continue"/>
                  <w:tcBorders>
                    <w:left w:val="nil"/>
                    <w:bottom w:val="single" w:color="auto" w:sz="4" w:space="0"/>
                    <w:right w:val="single" w:color="000000" w:sz="8" w:space="0"/>
                  </w:tcBorders>
                  <w:shd w:val="clear" w:color="auto" w:fill="auto"/>
                  <w:vAlign w:val="center"/>
                </w:tcPr>
                <w:p>
                  <w:pPr>
                    <w:pStyle w:val="30"/>
                    <w:spacing w:line="360" w:lineRule="exact"/>
                    <w:ind w:firstLine="210" w:firstLineChars="100"/>
                    <w:jc w:val="left"/>
                    <w:rPr>
                      <w:color w:val="000000" w:themeColor="text1"/>
                      <w:kern w:val="0"/>
                      <w:szCs w:val="21"/>
                    </w:rPr>
                  </w:pP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）大气环境影响分析结论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根据上述分析可知，</w:t>
            </w:r>
            <w:r>
              <w:rPr>
                <w:rFonts w:hint="eastAsia" w:ascii="Times New Roman" w:hAnsi="Times New Roman" w:cs="Times New Roman"/>
                <w:color w:val="000000" w:themeColor="text1"/>
                <w:sz w:val="24"/>
                <w:szCs w:val="24"/>
              </w:rPr>
              <w:t>项目废气主要包括废旧冰箱处理线产生的粉尘和非甲烷总烃、</w:t>
            </w:r>
            <w:r>
              <w:rPr>
                <w:rFonts w:ascii="Times New Roman" w:hAnsi="Times New Roman" w:cs="Times New Roman"/>
                <w:color w:val="000000" w:themeColor="text1"/>
                <w:sz w:val="24"/>
                <w:szCs w:val="24"/>
              </w:rPr>
              <w:t>废旧洗衣机处理线</w:t>
            </w:r>
            <w:r>
              <w:rPr>
                <w:rFonts w:hint="eastAsia" w:ascii="Times New Roman" w:hAnsi="Times New Roman" w:cs="Times New Roman"/>
                <w:color w:val="000000" w:themeColor="text1"/>
                <w:sz w:val="24"/>
                <w:szCs w:val="24"/>
              </w:rPr>
              <w:t>产生的粉尘、空调/小家电/废手机及其视听设备消费电子产品处理线产生的粉尘、</w:t>
            </w:r>
            <w:r>
              <w:rPr>
                <w:rFonts w:ascii="Times New Roman" w:hAnsi="Times New Roman" w:cs="Times New Roman"/>
                <w:color w:val="000000" w:themeColor="text1"/>
                <w:sz w:val="24"/>
                <w:szCs w:val="24"/>
              </w:rPr>
              <w:t>1号废旧电视机（CRT）处理线</w:t>
            </w:r>
            <w:r>
              <w:rPr>
                <w:rFonts w:hint="eastAsia" w:ascii="Times New Roman" w:hAnsi="Times New Roman" w:cs="Times New Roman"/>
                <w:color w:val="000000" w:themeColor="text1"/>
                <w:sz w:val="24"/>
                <w:szCs w:val="24"/>
              </w:rPr>
              <w:t>废气处理设施产生的粉尘和前及其化合物、2号废旧电视机（液晶电视）处理线产生的粉尘和汞及其化合物；针对空调/小家电/废手机及其视听设备消费电子产品处理线拆解粉尘，项目已对喷吹室进行密闭，并设置1个集气效率不低于90%的集气罩对其进行收集；针对2号废旧电视机（液晶电视）处理线拆解粉尘，项目对每个拆解工位设置集气效率不低于90%的集气罩进行收集；汞及其化合物经负压系统全部收集后，通过</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去除效率不低于80%的汞及其化合物处理装置（</w:t>
            </w:r>
            <w:r>
              <w:rPr>
                <w:rFonts w:ascii="Times New Roman" w:hAnsi="Times New Roman" w:cs="Times New Roman"/>
                <w:color w:val="000000" w:themeColor="text1"/>
                <w:sz w:val="24"/>
                <w:szCs w:val="24"/>
              </w:rPr>
              <w:t>采用UV光氧裂解+</w:t>
            </w:r>
            <w:r>
              <w:rPr>
                <w:rFonts w:hint="eastAsia" w:ascii="Times New Roman" w:hAnsi="Times New Roman" w:cs="Times New Roman"/>
                <w:color w:val="000000" w:themeColor="text1"/>
                <w:sz w:val="24"/>
                <w:szCs w:val="24"/>
              </w:rPr>
              <w:t>载硫</w:t>
            </w:r>
            <w:r>
              <w:rPr>
                <w:rFonts w:ascii="Times New Roman" w:hAnsi="Times New Roman" w:cs="Times New Roman"/>
                <w:color w:val="000000" w:themeColor="text1"/>
                <w:sz w:val="24"/>
                <w:szCs w:val="24"/>
              </w:rPr>
              <w:t>活性炭吸附</w:t>
            </w:r>
            <w:r>
              <w:rPr>
                <w:rFonts w:hint="eastAsia" w:ascii="Times New Roman" w:hAnsi="Times New Roman" w:cs="Times New Roman"/>
                <w:color w:val="000000" w:themeColor="text1"/>
                <w:sz w:val="24"/>
                <w:szCs w:val="24"/>
              </w:rPr>
              <w:t>）对其进行处理；针对1号废旧电视机（CRT）处理线拆解普通粉尘，项目已分别在1个破碎区、2个人工喷吹室、1条人工拆解线工作台分别设置了集气效率不低于90%的集气罩进行收集；空调/小家电/废手机及其视听设备消费电子产品处理线、2号废旧电视机（液晶电视）处理线和1号废旧电视机（CRT）处理线产生的普通粉尘收集后统一进入1个处理效率不低于95%的1#脉冲除尘器对其进行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001）外排；针对1号废旧电视机（CRT）处理线拆解含铅粉尘，阴极射线管（CRT）拆解区为密闭式拆解区设置7个阴极射线管（CRT）拆解工作台，项目分别对7个阴极射线管（CRT）拆解工作台设置集气效率不低于95%的集气罩对其进行收集；收集后统一进入1个处理效率不低于95%的2#脉冲除尘器对其进行处理，处理后通过1根Φ0.5m、高15m的排气筒（DA002）外排；针对废旧冰箱处理线废气，项目已设置集气效率不低于90%的集气罩、</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去除效率不低于70%的</w:t>
            </w:r>
            <w:r>
              <w:rPr>
                <w:rFonts w:ascii="Times New Roman" w:hAnsi="Times New Roman" w:cs="Times New Roman"/>
                <w:color w:val="000000" w:themeColor="text1"/>
                <w:sz w:val="24"/>
                <w:szCs w:val="24"/>
              </w:rPr>
              <w:t>旋风除尘器</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去除效率不低于95%的</w:t>
            </w:r>
            <w:r>
              <w:rPr>
                <w:rFonts w:ascii="Times New Roman" w:hAnsi="Times New Roman" w:cs="Times New Roman"/>
                <w:color w:val="000000" w:themeColor="text1"/>
                <w:sz w:val="24"/>
                <w:szCs w:val="24"/>
              </w:rPr>
              <w:t>脉冲除尘器</w:t>
            </w:r>
            <w:r>
              <w:rPr>
                <w:rFonts w:hint="eastAsia"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去除效率不低于80%的</w:t>
            </w:r>
            <w:r>
              <w:rPr>
                <w:rFonts w:ascii="Times New Roman" w:hAnsi="Times New Roman" w:cs="Times New Roman"/>
                <w:color w:val="000000" w:themeColor="text1"/>
                <w:sz w:val="24"/>
                <w:szCs w:val="24"/>
              </w:rPr>
              <w:t>有机废气处理装置</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采用UV光氧裂解+活性炭吸附</w:t>
            </w:r>
            <w:r>
              <w:rPr>
                <w:rFonts w:hint="eastAsia" w:ascii="Times New Roman" w:hAnsi="Times New Roman" w:cs="Times New Roman"/>
                <w:color w:val="000000" w:themeColor="text1"/>
                <w:sz w:val="24"/>
                <w:szCs w:val="24"/>
              </w:rPr>
              <w:t>）对其进行处理，处理后通过和1</w:t>
            </w:r>
            <w:r>
              <w:rPr>
                <w:rFonts w:ascii="Times New Roman" w:hAnsi="Times New Roman" w:cs="Times New Roman"/>
                <w:color w:val="000000" w:themeColor="text1"/>
                <w:sz w:val="24"/>
                <w:szCs w:val="24"/>
              </w:rPr>
              <w:t>根Φ0.5m、高15m的排气筒</w:t>
            </w:r>
            <w:r>
              <w:rPr>
                <w:rFonts w:hint="eastAsia" w:ascii="Times New Roman" w:hAnsi="Times New Roman" w:cs="Times New Roman"/>
                <w:color w:val="000000" w:themeColor="text1"/>
                <w:sz w:val="24"/>
                <w:szCs w:val="24"/>
              </w:rPr>
              <w:t>（DA003）外排；针对废旧洗衣机拆解粉尘，项目拟对每个拆解工位设置集气效率不低于90%的集气罩进行收集，针对废旧洗衣机塑料破碎粉尘，项目拟分别对两台破碎机设置集气效率不低于90%的集气罩进行收集；收集后的粉尘通过1个处理效率不低于95%的4#脉冲除尘器处理，处理后通过1根</w:t>
            </w:r>
            <w:r>
              <w:rPr>
                <w:rFonts w:ascii="Times New Roman" w:hAnsi="Times New Roman" w:cs="Times New Roman"/>
                <w:color w:val="000000" w:themeColor="text1"/>
                <w:sz w:val="24"/>
                <w:szCs w:val="24"/>
              </w:rPr>
              <w:t>Φ</w:t>
            </w:r>
            <w:r>
              <w:rPr>
                <w:rFonts w:hint="eastAsia"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m、高15m的排气筒</w:t>
            </w:r>
            <w:r>
              <w:rPr>
                <w:rFonts w:hint="eastAsia" w:ascii="Times New Roman" w:hAnsi="Times New Roman" w:cs="Times New Roman"/>
                <w:color w:val="000000" w:themeColor="text1"/>
                <w:sz w:val="24"/>
                <w:szCs w:val="24"/>
              </w:rPr>
              <w:t>（DA005）外排；均可达到</w:t>
            </w:r>
            <w:r>
              <w:rPr>
                <w:rFonts w:ascii="Times New Roman" w:hAnsi="Times New Roman" w:cs="Times New Roman"/>
                <w:color w:val="000000" w:themeColor="text1"/>
                <w:sz w:val="24"/>
                <w:szCs w:val="24"/>
              </w:rPr>
              <w:t>《大气污染物综合排放标准》（GB16297-1996）表2中的二级排放标准</w:t>
            </w:r>
            <w:r>
              <w:rPr>
                <w:rFonts w:hint="eastAsia" w:ascii="Times New Roman" w:hAnsi="Times New Roman" w:cs="Times New Roman"/>
                <w:color w:val="000000" w:themeColor="text1"/>
                <w:sz w:val="24"/>
                <w:szCs w:val="24"/>
              </w:rPr>
              <w:t>；未收集部分，无组织排放可达到</w:t>
            </w:r>
            <w:r>
              <w:rPr>
                <w:rFonts w:ascii="Times New Roman" w:hAnsi="Times New Roman" w:cs="Times New Roman"/>
                <w:color w:val="000000" w:themeColor="text1"/>
                <w:sz w:val="24"/>
                <w:szCs w:val="24"/>
              </w:rPr>
              <w:t>《大气污染物综合排放标准》（GB16297-1996）表2中无组织排放监控浓度限值</w:t>
            </w:r>
            <w:r>
              <w:rPr>
                <w:rFonts w:hint="eastAsia" w:ascii="Times New Roman" w:hAnsi="Times New Roman" w:cs="Times New Roman"/>
                <w:color w:val="000000" w:themeColor="text1"/>
                <w:sz w:val="24"/>
                <w:szCs w:val="24"/>
              </w:rPr>
              <w:t>要求</w:t>
            </w:r>
            <w:r>
              <w:rPr>
                <w:rFonts w:ascii="Times New Roman" w:hAnsi="Times New Roman" w:cs="Times New Roman"/>
                <w:color w:val="000000" w:themeColor="text1"/>
                <w:sz w:val="24"/>
                <w:szCs w:val="24"/>
              </w:rPr>
              <w:t>。项目区厨房安装一个最低去除率60%的油烟净化器，经油烟净化器处理后的厨房油烟可达到</w:t>
            </w:r>
            <w:r>
              <w:rPr>
                <w:rFonts w:hint="eastAsia" w:ascii="Times New Roman" w:hAnsi="Times New Roman" w:cs="Times New Roman"/>
                <w:color w:val="000000" w:themeColor="text1"/>
                <w:sz w:val="24"/>
                <w:szCs w:val="24"/>
              </w:rPr>
              <w:t>《昆明市地方标准 餐饮业油烟污染物排放要求》（DB5301/T50-2021），通过</w:t>
            </w:r>
            <w:r>
              <w:rPr>
                <w:rFonts w:ascii="Times New Roman" w:hAnsi="Times New Roman" w:cs="Times New Roman"/>
                <w:color w:val="000000" w:themeColor="text1"/>
                <w:sz w:val="24"/>
                <w:szCs w:val="24"/>
              </w:rPr>
              <w:t>高于房顶1.5m的烟道外排。</w:t>
            </w:r>
          </w:p>
          <w:p>
            <w:pPr>
              <w:pStyle w:val="38"/>
              <w:ind w:firstLine="480"/>
              <w:rPr>
                <w:color w:val="000000" w:themeColor="text1"/>
                <w:szCs w:val="24"/>
              </w:rPr>
            </w:pPr>
            <w:r>
              <w:rPr>
                <w:rFonts w:hint="eastAsia"/>
                <w:color w:val="000000" w:themeColor="text1"/>
                <w:szCs w:val="24"/>
              </w:rPr>
              <w:t>根据预测结果，项目废气的最大落地浓度及环境保护目标处浓度中基本污染因子可达到</w:t>
            </w:r>
            <w:r>
              <w:rPr>
                <w:color w:val="000000" w:themeColor="text1"/>
                <w:szCs w:val="24"/>
              </w:rPr>
              <w:t>《环境空气质量标准》（GB3095-2012）二级标准</w:t>
            </w:r>
            <w:r>
              <w:rPr>
                <w:rFonts w:hint="eastAsia"/>
                <w:color w:val="000000" w:themeColor="text1"/>
                <w:szCs w:val="24"/>
              </w:rPr>
              <w:t>。因此项目废气对环境保护目标影响较小。</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rPr>
              <w:t>2</w:t>
            </w:r>
            <w:r>
              <w:rPr>
                <w:rFonts w:ascii="Times New Roman" w:hAnsi="Times New Roman" w:cs="Times New Roman"/>
                <w:b/>
                <w:color w:val="000000" w:themeColor="text1"/>
                <w:sz w:val="24"/>
                <w:szCs w:val="24"/>
              </w:rPr>
              <w:t xml:space="preserve"> 运营期</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环境影响和保护措施</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（1）废水污染源分析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根据调查，</w:t>
            </w:r>
            <w:r>
              <w:rPr>
                <w:rFonts w:hint="eastAsia" w:ascii="Times New Roman" w:hAnsi="Times New Roman" w:cs="Times New Roman"/>
                <w:color w:val="000000" w:themeColor="text1"/>
                <w:sz w:val="24"/>
                <w:szCs w:val="24"/>
              </w:rPr>
              <w:t>项目技改后废水种类未发生变化，主要为废旧洗衣机处理线产生的平衡盐水和员工生活污水；但现有项目未核算初期雨水，本次环评拟对初期雨水进行核算。具体如下。</w:t>
            </w:r>
          </w:p>
          <w:p>
            <w:pPr>
              <w:spacing w:line="360" w:lineRule="auto"/>
              <w:ind w:firstLine="482" w:firstLineChars="200"/>
              <w:rPr>
                <w:rFonts w:ascii="Times New Roman" w:hAnsi="Times New Roman" w:eastAsia="宋体" w:cs="Times New Roman"/>
                <w:b/>
                <w:color w:val="000000" w:themeColor="text1"/>
                <w:sz w:val="24"/>
              </w:rPr>
            </w:pPr>
            <w:r>
              <w:rPr>
                <w:rFonts w:hint="eastAsia" w:ascii="Times New Roman" w:hAnsi="Times New Roman" w:eastAsia="宋体" w:cs="Times New Roman"/>
                <w:b/>
                <w:color w:val="000000" w:themeColor="text1"/>
                <w:sz w:val="24"/>
              </w:rPr>
              <w:t>①平衡盐水</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根据调查，项目区主要生产废水为</w:t>
            </w:r>
            <w:r>
              <w:rPr>
                <w:rFonts w:ascii="Times New Roman" w:hAnsi="Times New Roman" w:cs="Times New Roman"/>
                <w:color w:val="000000" w:themeColor="text1"/>
                <w:sz w:val="24"/>
              </w:rPr>
              <w:t>废旧洗衣机处理线</w:t>
            </w:r>
            <w:r>
              <w:rPr>
                <w:rFonts w:hint="eastAsia" w:ascii="Times New Roman" w:hAnsi="Times New Roman" w:cs="Times New Roman"/>
                <w:color w:val="000000" w:themeColor="text1"/>
                <w:sz w:val="24"/>
              </w:rPr>
              <w:t>全自动洗衣机拆解过程中产生的平衡盐水，根据建设单位实际统计，技改项目将废旧洗衣机的处理能力由18万台/a提升至30万台/a；根据实际运营情况，现有工程正常运行期平衡盐水产生量为</w:t>
            </w:r>
            <w:r>
              <w:rPr>
                <w:rFonts w:ascii="Times New Roman" w:hAnsi="Times New Roman" w:cs="Times New Roman"/>
                <w:color w:val="000000" w:themeColor="text1"/>
                <w:sz w:val="24"/>
              </w:rPr>
              <w:t>0.15m³/月（0.005m³/d），</w:t>
            </w:r>
            <w:r>
              <w:rPr>
                <w:rFonts w:hint="eastAsia" w:ascii="Times New Roman" w:hAnsi="Times New Roman" w:cs="Times New Roman"/>
                <w:color w:val="000000" w:themeColor="text1"/>
                <w:sz w:val="24"/>
              </w:rPr>
              <w:t>则</w:t>
            </w:r>
            <w:r>
              <w:rPr>
                <w:rFonts w:ascii="Times New Roman" w:hAnsi="Times New Roman" w:cs="Times New Roman"/>
                <w:color w:val="000000" w:themeColor="text1"/>
                <w:sz w:val="24"/>
              </w:rPr>
              <w:t>改扩建后其产生量约为0.008m³/d</w:t>
            </w:r>
            <w:r>
              <w:rPr>
                <w:rFonts w:hint="eastAsia" w:ascii="Times New Roman" w:hAnsi="Times New Roman" w:cs="Times New Roman"/>
                <w:color w:val="000000" w:themeColor="text1"/>
                <w:sz w:val="24"/>
              </w:rPr>
              <w:t>，已设置了1个2m³的盐水缸对其进行收集，按1：8的比例稀释后回用于绿化，不外排。</w:t>
            </w:r>
          </w:p>
          <w:p>
            <w:pPr>
              <w:spacing w:line="360" w:lineRule="auto"/>
              <w:ind w:firstLine="482" w:firstLineChars="200"/>
              <w:rPr>
                <w:rFonts w:ascii="Times New Roman" w:hAnsi="Times New Roman" w:eastAsia="宋体" w:cs="Times New Roman"/>
                <w:b/>
                <w:color w:val="000000" w:themeColor="text1"/>
                <w:sz w:val="24"/>
              </w:rPr>
            </w:pPr>
            <w:r>
              <w:rPr>
                <w:rFonts w:hint="eastAsia" w:ascii="Times New Roman" w:hAnsi="Times New Roman" w:eastAsia="宋体" w:cs="Times New Roman"/>
                <w:b/>
                <w:color w:val="000000" w:themeColor="text1"/>
                <w:sz w:val="24"/>
              </w:rPr>
              <w:t>②生活污水</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技改项目劳动定员和工作制度较现有工程为发生变化，则其生活污水产生量未发生变化，根据现有工程分析，项目</w:t>
            </w:r>
            <w:r>
              <w:rPr>
                <w:rFonts w:ascii="Times New Roman" w:hAnsi="Times New Roman" w:cs="Times New Roman"/>
                <w:color w:val="000000" w:themeColor="text1"/>
                <w:sz w:val="24"/>
              </w:rPr>
              <w:t>生活用水量</w:t>
            </w:r>
            <w:r>
              <w:rPr>
                <w:rFonts w:hint="eastAsia" w:ascii="Times New Roman" w:hAnsi="Times New Roman" w:cs="Times New Roman"/>
                <w:color w:val="000000" w:themeColor="text1"/>
                <w:sz w:val="24"/>
              </w:rPr>
              <w:t>6.2</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1860</w:t>
            </w:r>
            <w:r>
              <w:rPr>
                <w:rFonts w:ascii="Times New Roman" w:hAnsi="Times New Roman" w:cs="Times New Roman"/>
                <w:color w:val="000000" w:themeColor="text1"/>
                <w:sz w:val="24"/>
              </w:rPr>
              <w:t>m³/a；废水率按80%计，则废水量为</w:t>
            </w:r>
            <w:r>
              <w:rPr>
                <w:rFonts w:hint="eastAsia" w:ascii="Times New Roman" w:hAnsi="Times New Roman" w:cs="Times New Roman"/>
                <w:color w:val="000000" w:themeColor="text1"/>
                <w:sz w:val="24"/>
              </w:rPr>
              <w:t>4.96</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1488</w:t>
            </w:r>
            <w:r>
              <w:rPr>
                <w:rFonts w:ascii="Times New Roman" w:hAnsi="Times New Roman" w:cs="Times New Roman"/>
                <w:color w:val="000000" w:themeColor="text1"/>
                <w:sz w:val="24"/>
              </w:rPr>
              <w:t>m³/a；其中食堂废水约为</w:t>
            </w:r>
            <w:r>
              <w:rPr>
                <w:rFonts w:hint="eastAsia" w:ascii="Times New Roman" w:hAnsi="Times New Roman" w:cs="Times New Roman"/>
                <w:color w:val="000000" w:themeColor="text1"/>
                <w:sz w:val="24"/>
              </w:rPr>
              <w:t>2.48</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744</w:t>
            </w:r>
            <w:r>
              <w:rPr>
                <w:rFonts w:ascii="Times New Roman" w:hAnsi="Times New Roman" w:cs="Times New Roman"/>
                <w:color w:val="000000" w:themeColor="text1"/>
                <w:sz w:val="24"/>
              </w:rPr>
              <w:t>m³/a</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根据</w:t>
            </w:r>
            <w:r>
              <w:rPr>
                <w:rFonts w:hint="eastAsia" w:ascii="Times New Roman" w:hAnsi="Times New Roman" w:cs="Times New Roman"/>
                <w:color w:val="000000" w:themeColor="text1"/>
                <w:sz w:val="24"/>
              </w:rPr>
              <w:t>现有工程分析</w:t>
            </w:r>
            <w:r>
              <w:rPr>
                <w:rFonts w:ascii="Times New Roman" w:hAnsi="Times New Roman" w:cs="Times New Roman"/>
                <w:color w:val="000000" w:themeColor="text1"/>
                <w:sz w:val="24"/>
              </w:rPr>
              <w:t>，生活污水水质如下表所示。</w:t>
            </w:r>
          </w:p>
          <w:p>
            <w:pPr>
              <w:jc w:val="center"/>
              <w:rPr>
                <w:rFonts w:ascii="Times New Roman" w:hAnsi="Times New Roman" w:cs="Times New Roman"/>
                <w:b/>
                <w:bCs/>
                <w:color w:val="000000" w:themeColor="text1"/>
                <w:kern w:val="0"/>
              </w:rPr>
            </w:pPr>
            <w:r>
              <w:rPr>
                <w:rFonts w:ascii="Times New Roman" w:hAnsi="Times New Roman" w:cs="Times New Roman"/>
                <w:b/>
                <w:bCs/>
                <w:color w:val="000000" w:themeColor="text1"/>
                <w:kern w:val="0"/>
              </w:rPr>
              <w:t>表4.2.2-</w:t>
            </w:r>
            <w:r>
              <w:rPr>
                <w:rFonts w:hint="eastAsia" w:ascii="Times New Roman" w:hAnsi="Times New Roman" w:cs="Times New Roman"/>
                <w:b/>
                <w:bCs/>
                <w:color w:val="000000" w:themeColor="text1"/>
                <w:kern w:val="0"/>
              </w:rPr>
              <w:t>1</w:t>
            </w:r>
            <w:r>
              <w:rPr>
                <w:rFonts w:ascii="Times New Roman" w:hAnsi="Times New Roman" w:cs="Times New Roman"/>
                <w:b/>
                <w:bCs/>
                <w:color w:val="000000" w:themeColor="text1"/>
                <w:kern w:val="0"/>
              </w:rPr>
              <w:t xml:space="preserve"> 生活污水水质指标一览表</w:t>
            </w:r>
            <w:r>
              <w:rPr>
                <w:rFonts w:hint="eastAsia" w:ascii="Times New Roman" w:hAnsi="Times New Roman" w:cs="Times New Roman"/>
                <w:b/>
                <w:bCs/>
                <w:color w:val="000000" w:themeColor="text1"/>
                <w:kern w:val="0"/>
              </w:rPr>
              <w:t xml:space="preserve"> </w:t>
            </w:r>
            <w:r>
              <w:rPr>
                <w:rFonts w:ascii="Times New Roman" w:hAnsi="Times New Roman" w:cs="Times New Roman"/>
                <w:b/>
                <w:bCs/>
                <w:color w:val="000000" w:themeColor="text1"/>
                <w:kern w:val="0"/>
              </w:rPr>
              <w:t>mg/L</w:t>
            </w:r>
          </w:p>
          <w:tbl>
            <w:tblPr>
              <w:tblStyle w:val="19"/>
              <w:tblW w:w="5000" w:type="pct"/>
              <w:jc w:val="center"/>
              <w:tblLayout w:type="fixed"/>
              <w:tblCellMar>
                <w:top w:w="0" w:type="dxa"/>
                <w:left w:w="108" w:type="dxa"/>
                <w:bottom w:w="0" w:type="dxa"/>
                <w:right w:w="108" w:type="dxa"/>
              </w:tblCellMar>
            </w:tblPr>
            <w:tblGrid>
              <w:gridCol w:w="771"/>
              <w:gridCol w:w="808"/>
              <w:gridCol w:w="884"/>
              <w:gridCol w:w="840"/>
              <w:gridCol w:w="662"/>
              <w:gridCol w:w="853"/>
              <w:gridCol w:w="614"/>
              <w:gridCol w:w="550"/>
              <w:gridCol w:w="838"/>
              <w:gridCol w:w="967"/>
              <w:gridCol w:w="1265"/>
            </w:tblGrid>
            <w:tr>
              <w:tblPrEx>
                <w:tblCellMar>
                  <w:top w:w="0" w:type="dxa"/>
                  <w:left w:w="108" w:type="dxa"/>
                  <w:bottom w:w="0" w:type="dxa"/>
                  <w:right w:w="108" w:type="dxa"/>
                </w:tblCellMar>
              </w:tblPrEx>
              <w:trPr>
                <w:trHeight w:val="285" w:hRule="atLeast"/>
                <w:jc w:val="center"/>
              </w:trPr>
              <w:tc>
                <w:tcPr>
                  <w:tcW w:w="733" w:type="dxa"/>
                  <w:tcBorders>
                    <w:top w:val="single" w:color="auto" w:sz="4" w:space="0"/>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污染物</w:t>
                  </w:r>
                </w:p>
              </w:tc>
              <w:tc>
                <w:tcPr>
                  <w:tcW w:w="768"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pH</w:t>
                  </w:r>
                </w:p>
              </w:tc>
              <w:tc>
                <w:tcPr>
                  <w:tcW w:w="840"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CODcr</w:t>
                  </w:r>
                </w:p>
              </w:tc>
              <w:tc>
                <w:tcPr>
                  <w:tcW w:w="798"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629"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SS</w:t>
                  </w:r>
                </w:p>
              </w:tc>
              <w:tc>
                <w:tcPr>
                  <w:tcW w:w="811"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583"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TN</w:t>
                  </w:r>
                </w:p>
              </w:tc>
              <w:tc>
                <w:tcPr>
                  <w:tcW w:w="522" w:type="dxa"/>
                  <w:tcBorders>
                    <w:top w:val="single" w:color="auto" w:sz="4" w:space="0"/>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TP</w:t>
                  </w:r>
                </w:p>
              </w:tc>
              <w:tc>
                <w:tcPr>
                  <w:tcW w:w="796" w:type="dxa"/>
                  <w:tcBorders>
                    <w:top w:val="single" w:color="auto" w:sz="4" w:space="0"/>
                    <w:left w:val="nil"/>
                    <w:bottom w:val="single" w:color="auto" w:sz="8"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动植物油</w:t>
                  </w:r>
                </w:p>
              </w:tc>
              <w:tc>
                <w:tcPr>
                  <w:tcW w:w="918" w:type="dxa"/>
                  <w:tcBorders>
                    <w:top w:val="single" w:color="auto" w:sz="4" w:space="0"/>
                    <w:left w:val="nil"/>
                    <w:bottom w:val="single" w:color="auto" w:sz="8"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阴离子表面活性剂</w:t>
                  </w:r>
                </w:p>
              </w:tc>
              <w:tc>
                <w:tcPr>
                  <w:tcW w:w="1202" w:type="dxa"/>
                  <w:tcBorders>
                    <w:top w:val="single" w:color="auto" w:sz="4" w:space="0"/>
                    <w:left w:val="nil"/>
                    <w:bottom w:val="single" w:color="auto" w:sz="8"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粪大肠菌群数（MPN/L）</w:t>
                  </w:r>
                </w:p>
              </w:tc>
            </w:tr>
            <w:tr>
              <w:tblPrEx>
                <w:tblCellMar>
                  <w:top w:w="0" w:type="dxa"/>
                  <w:left w:w="108" w:type="dxa"/>
                  <w:bottom w:w="0" w:type="dxa"/>
                  <w:right w:w="108" w:type="dxa"/>
                </w:tblCellMar>
              </w:tblPrEx>
              <w:trPr>
                <w:trHeight w:val="300" w:hRule="atLeast"/>
                <w:jc w:val="center"/>
              </w:trPr>
              <w:tc>
                <w:tcPr>
                  <w:tcW w:w="733" w:type="dxa"/>
                  <w:tcBorders>
                    <w:top w:val="nil"/>
                    <w:left w:val="single" w:color="auto" w:sz="8" w:space="0"/>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生活污水</w:t>
                  </w:r>
                </w:p>
              </w:tc>
              <w:tc>
                <w:tcPr>
                  <w:tcW w:w="768"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6-9</w:t>
                  </w:r>
                </w:p>
              </w:tc>
              <w:tc>
                <w:tcPr>
                  <w:tcW w:w="840"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350</w:t>
                  </w:r>
                </w:p>
              </w:tc>
              <w:tc>
                <w:tcPr>
                  <w:tcW w:w="798"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220</w:t>
                  </w:r>
                </w:p>
              </w:tc>
              <w:tc>
                <w:tcPr>
                  <w:tcW w:w="629"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300</w:t>
                  </w:r>
                </w:p>
              </w:tc>
              <w:tc>
                <w:tcPr>
                  <w:tcW w:w="811"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38</w:t>
                  </w:r>
                </w:p>
              </w:tc>
              <w:tc>
                <w:tcPr>
                  <w:tcW w:w="583"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45</w:t>
                  </w:r>
                </w:p>
              </w:tc>
              <w:tc>
                <w:tcPr>
                  <w:tcW w:w="522" w:type="dxa"/>
                  <w:tcBorders>
                    <w:top w:val="nil"/>
                    <w:left w:val="nil"/>
                    <w:bottom w:val="single" w:color="auto" w:sz="8" w:space="0"/>
                    <w:right w:val="single" w:color="auto" w:sz="8"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8</w:t>
                  </w:r>
                </w:p>
              </w:tc>
              <w:tc>
                <w:tcPr>
                  <w:tcW w:w="796" w:type="dxa"/>
                  <w:tcBorders>
                    <w:top w:val="nil"/>
                    <w:left w:val="nil"/>
                    <w:bottom w:val="single" w:color="auto" w:sz="8"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100</w:t>
                  </w:r>
                </w:p>
              </w:tc>
              <w:tc>
                <w:tcPr>
                  <w:tcW w:w="918" w:type="dxa"/>
                  <w:tcBorders>
                    <w:top w:val="nil"/>
                    <w:left w:val="nil"/>
                    <w:bottom w:val="single" w:color="auto" w:sz="8" w:space="0"/>
                    <w:right w:val="single" w:color="auto" w:sz="4" w:space="0"/>
                  </w:tcBorders>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16</w:t>
                  </w:r>
                </w:p>
              </w:tc>
              <w:tc>
                <w:tcPr>
                  <w:tcW w:w="1202" w:type="dxa"/>
                  <w:tcBorders>
                    <w:top w:val="nil"/>
                    <w:left w:val="nil"/>
                    <w:bottom w:val="single" w:color="auto" w:sz="8" w:space="0"/>
                    <w:right w:val="single" w:color="auto" w:sz="4" w:space="0"/>
                  </w:tcBorders>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16000</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③初期雨水</w:t>
            </w:r>
            <w:r>
              <w:rPr>
                <w:rFonts w:ascii="Times New Roman" w:hAnsi="Times New Roman" w:cs="Times New Roman"/>
                <w:b/>
                <w:color w:val="000000" w:themeColor="text1"/>
                <w:sz w:val="24"/>
                <w:szCs w:val="24"/>
              </w:rPr>
              <w:t>产排核算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rPr>
              <w:t>项目区初期雨水产生量按下述公式进行计算：</w:t>
            </w:r>
          </w:p>
          <w:p>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Qm=F·Hm·Ψ÷1000</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式中：Qm：最大径流量（m³）；</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F：汇水面积（m²）；</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Hm：降雨量（mm）；</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Ψ：径流系数，取0.6；</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汇水面积取雨水直接落到地面上的占地面积，</w:t>
            </w:r>
            <w:r>
              <w:rPr>
                <w:rFonts w:hint="eastAsia" w:ascii="Times New Roman" w:hAnsi="Times New Roman" w:cs="Times New Roman"/>
                <w:color w:val="000000" w:themeColor="text1"/>
                <w:sz w:val="24"/>
              </w:rPr>
              <w:t>根据调查，本项目</w:t>
            </w:r>
            <w:r>
              <w:rPr>
                <w:rFonts w:ascii="Times New Roman" w:hAnsi="Times New Roman" w:cs="Times New Roman"/>
                <w:color w:val="000000" w:themeColor="text1"/>
                <w:sz w:val="24"/>
              </w:rPr>
              <w:t>生产区域可能受污染区的占地面积约</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000m²，考虑到项目区场地的硬化程度，径流系数取0.6。该区30年一遇最大日降雨量153.3mm，经计算项目区最大日雨水量为</w:t>
            </w:r>
            <w:r>
              <w:rPr>
                <w:rFonts w:hint="eastAsia" w:ascii="Times New Roman" w:hAnsi="Times New Roman" w:cs="Times New Roman"/>
                <w:color w:val="000000" w:themeColor="text1"/>
                <w:sz w:val="24"/>
              </w:rPr>
              <w:t>551.88</w:t>
            </w:r>
            <w:r>
              <w:rPr>
                <w:rFonts w:ascii="Times New Roman" w:hAnsi="Times New Roman" w:cs="Times New Roman"/>
                <w:color w:val="000000" w:themeColor="text1"/>
                <w:sz w:val="24"/>
              </w:rPr>
              <w:t>m³，初期雨水主要产生于暴雨前</w:t>
            </w:r>
            <w:r>
              <w:rPr>
                <w:rFonts w:hint="eastAsia" w:ascii="Times New Roman" w:hAnsi="Times New Roman" w:cs="Times New Roman"/>
                <w:color w:val="000000" w:themeColor="text1"/>
                <w:sz w:val="24"/>
              </w:rPr>
              <w:t>30min</w:t>
            </w:r>
            <w:r>
              <w:rPr>
                <w:rFonts w:ascii="Times New Roman" w:hAnsi="Times New Roman" w:cs="Times New Roman"/>
                <w:color w:val="000000" w:themeColor="text1"/>
                <w:sz w:val="24"/>
              </w:rPr>
              <w:t>，经计算，项目初期雨水产生量约为</w:t>
            </w:r>
            <w:r>
              <w:rPr>
                <w:rFonts w:hint="eastAsia" w:ascii="Times New Roman" w:hAnsi="Times New Roman" w:cs="Times New Roman"/>
                <w:color w:val="000000" w:themeColor="text1"/>
                <w:sz w:val="24"/>
              </w:rPr>
              <w:t>11.50</w:t>
            </w:r>
            <w:r>
              <w:rPr>
                <w:rFonts w:ascii="Times New Roman" w:hAnsi="Times New Roman" w:cs="Times New Roman"/>
                <w:color w:val="000000" w:themeColor="text1"/>
                <w:sz w:val="24"/>
              </w:rPr>
              <w:t>m³/次</w:t>
            </w:r>
            <w:r>
              <w:rPr>
                <w:rFonts w:hint="eastAsia" w:ascii="Times New Roman" w:hAnsi="Times New Roman" w:cs="Times New Roman"/>
                <w:color w:val="000000" w:themeColor="text1"/>
                <w:sz w:val="24"/>
              </w:rPr>
              <w:t>，初期雨水的主要污染物为CODcr和SS，CODcr产生浓度约60mg/L、SS产生浓度约400mg/L。</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④绿化用水</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工程内容可知，项目拟设置面积约为6348m³绿化区；根据《云南省地方标准用水定额》（DB53/T168-2019），绿化用水定额约为3L/（m²·次），则绿化用水量约为19.04m³/次，其中雨天不浇灌，非雨天1天1次，项目区域非雨天以255d计，则绿化用水量为（19.04m³/d）4855.2m³/a。</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污染物排放源及达标性分析</w:t>
            </w:r>
          </w:p>
          <w:p>
            <w:pPr>
              <w:spacing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①</w:t>
            </w:r>
            <w:r>
              <w:rPr>
                <w:rFonts w:ascii="Times New Roman" w:hAnsi="Times New Roman" w:cs="Times New Roman"/>
                <w:b/>
                <w:color w:val="000000" w:themeColor="text1"/>
                <w:sz w:val="24"/>
              </w:rPr>
              <w:t>废水污染物治理措施及排放方式</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项目废水污染物排放源的治理措施及排放方式如下表所示。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 xml:space="preserve">4.2.2-2 </w:t>
            </w:r>
            <w:r>
              <w:rPr>
                <w:rFonts w:ascii="Times New Roman" w:hAnsi="Times New Roman" w:cs="Times New Roman"/>
                <w:b/>
                <w:color w:val="000000" w:themeColor="text1"/>
              </w:rPr>
              <w:t>废水</w:t>
            </w:r>
            <w:r>
              <w:rPr>
                <w:rFonts w:ascii="Times New Roman" w:hAnsi="Times New Roman" w:cs="Times New Roman"/>
                <w:b/>
                <w:color w:val="000000" w:themeColor="text1"/>
                <w:szCs w:val="24"/>
              </w:rPr>
              <w:t>污染物治理措施及排放方式一览表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72"/>
              <w:gridCol w:w="748"/>
              <w:gridCol w:w="1247"/>
              <w:gridCol w:w="3695"/>
              <w:gridCol w:w="850"/>
              <w:gridCol w:w="173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产排污环节</w:t>
                  </w:r>
                </w:p>
              </w:tc>
              <w:tc>
                <w:tcPr>
                  <w:tcW w:w="74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类别</w:t>
                  </w: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污染物种类</w:t>
                  </w:r>
                </w:p>
              </w:tc>
              <w:tc>
                <w:tcPr>
                  <w:tcW w:w="369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治理设施、效率及去向</w:t>
                  </w:r>
                </w:p>
              </w:tc>
              <w:tc>
                <w:tcPr>
                  <w:tcW w:w="850"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排放形式及规律</w:t>
                  </w:r>
                </w:p>
              </w:tc>
              <w:tc>
                <w:tcPr>
                  <w:tcW w:w="1732"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排放口基本情况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7" w:hRule="atLeast"/>
              </w:trPr>
              <w:tc>
                <w:tcPr>
                  <w:tcW w:w="77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废旧洗衣机处理线</w:t>
                  </w:r>
                </w:p>
              </w:tc>
              <w:tc>
                <w:tcPr>
                  <w:tcW w:w="74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平衡盐水</w:t>
                  </w:r>
                </w:p>
              </w:tc>
              <w:tc>
                <w:tcPr>
                  <w:tcW w:w="124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含盐（NaCl）</w:t>
                  </w:r>
                </w:p>
              </w:tc>
              <w:tc>
                <w:tcPr>
                  <w:tcW w:w="3695" w:type="dxa"/>
                  <w:vAlign w:val="center"/>
                </w:tcPr>
                <w:p>
                  <w:pPr>
                    <w:pStyle w:val="30"/>
                    <w:spacing w:line="360" w:lineRule="exact"/>
                    <w:ind w:firstLine="210" w:firstLineChars="100"/>
                    <w:jc w:val="both"/>
                    <w:rPr>
                      <w:rFonts w:eastAsiaTheme="minorEastAsia"/>
                      <w:color w:val="000000" w:themeColor="text1"/>
                      <w:szCs w:val="21"/>
                    </w:rPr>
                  </w:pPr>
                  <w:r>
                    <w:rPr>
                      <w:rFonts w:hint="eastAsia"/>
                      <w:color w:val="000000" w:themeColor="text1"/>
                      <w:szCs w:val="21"/>
                    </w:rPr>
                    <w:t>根据调查，针对平衡盐水，已设置了1个2m³的盐水缸对其进行收集，按1：8的比例稀释后回用于绿化，不外排。</w:t>
                  </w:r>
                </w:p>
              </w:tc>
              <w:tc>
                <w:tcPr>
                  <w:tcW w:w="850"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不外排</w:t>
                  </w:r>
                </w:p>
              </w:tc>
              <w:tc>
                <w:tcPr>
                  <w:tcW w:w="1732" w:type="dxa"/>
                  <w:tcBorders>
                    <w:bottom w:val="single" w:color="auto" w:sz="4" w:space="0"/>
                  </w:tcBorders>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不外排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员工生活</w:t>
                  </w:r>
                </w:p>
              </w:tc>
              <w:tc>
                <w:tcPr>
                  <w:tcW w:w="748"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生活污水</w:t>
                  </w: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pH</w:t>
                  </w:r>
                </w:p>
              </w:tc>
              <w:tc>
                <w:tcPr>
                  <w:tcW w:w="3695" w:type="dxa"/>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w:t>
                  </w:r>
                  <w:r>
                    <w:rPr>
                      <w:color w:val="000000" w:themeColor="text1"/>
                      <w:szCs w:val="21"/>
                    </w:rPr>
                    <w:t>厂区内针对</w:t>
                  </w:r>
                  <w:r>
                    <w:rPr>
                      <w:rFonts w:hint="eastAsia"/>
                      <w:color w:val="000000" w:themeColor="text1"/>
                      <w:szCs w:val="21"/>
                    </w:rPr>
                    <w:t>厨房废水</w:t>
                  </w:r>
                  <w:r>
                    <w:rPr>
                      <w:color w:val="000000" w:themeColor="text1"/>
                      <w:szCs w:val="21"/>
                    </w:rPr>
                    <w:t>，已配套设置了1个2m³的隔油池对厨房废水进行预处理</w:t>
                  </w:r>
                  <w:r>
                    <w:rPr>
                      <w:rFonts w:hint="eastAsia"/>
                      <w:color w:val="000000" w:themeColor="text1"/>
                      <w:szCs w:val="21"/>
                    </w:rPr>
                    <w:t>；</w:t>
                  </w:r>
                  <w:r>
                    <w:rPr>
                      <w:color w:val="000000" w:themeColor="text1"/>
                      <w:szCs w:val="21"/>
                    </w:rPr>
                    <w:t>针对办公生活区，已配套设置了3个5m³的化粪池</w:t>
                  </w:r>
                  <w:r>
                    <w:rPr>
                      <w:rFonts w:hint="eastAsia"/>
                      <w:color w:val="000000" w:themeColor="text1"/>
                      <w:szCs w:val="21"/>
                    </w:rPr>
                    <w:t>对生活污水进行处理；整改后拟建设1套处理能力为30m³/d的一体化污水处理设施对生活污水进行处理；并拟设置1个有效容积为30m³的清水池对处理后的生活污水进行暂存。</w:t>
                  </w:r>
                </w:p>
                <w:p>
                  <w:pPr>
                    <w:pStyle w:val="30"/>
                    <w:spacing w:line="360" w:lineRule="exact"/>
                    <w:ind w:firstLine="210" w:firstLineChars="100"/>
                    <w:jc w:val="both"/>
                    <w:rPr>
                      <w:color w:val="000000" w:themeColor="text1"/>
                      <w:szCs w:val="21"/>
                    </w:rPr>
                  </w:pPr>
                  <w:r>
                    <w:rPr>
                      <w:color w:val="000000" w:themeColor="text1"/>
                      <w:szCs w:val="21"/>
                    </w:rPr>
                    <w:t>近期（园区污水处理厂建成前），项目产生的生活污水通过隔油池、化粪池和一体化污水处理设施处理后，可达到《城市污水再生利用 城市杂用水水质》（GB/T18920 -2020）城市绿化标准，回用于绿化不外排；远期（园区污水处理厂建成后），项目产生的生活污水通过隔油池、化粪池预处理后，可达到《污水排入城镇下水道水质标准》（GB/T31962-2015）中B级标准，进入东川再就业特区天生桥特色产业园污水处理厂集中处理。</w:t>
                  </w:r>
                </w:p>
              </w:tc>
              <w:tc>
                <w:tcPr>
                  <w:tcW w:w="850"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间接排放、间断排放</w:t>
                  </w:r>
                </w:p>
              </w:tc>
              <w:tc>
                <w:tcPr>
                  <w:tcW w:w="1732" w:type="dxa"/>
                  <w:vMerge w:val="restart"/>
                  <w:tcBorders>
                    <w:top w:val="single" w:color="auto" w:sz="4" w:space="0"/>
                  </w:tcBorders>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①近期（园区污水处理厂建成前）不设排放口；</w:t>
                  </w:r>
                </w:p>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②远期（园区污水处理厂建成后）排放口信息如下：</w:t>
                  </w:r>
                </w:p>
                <w:p>
                  <w:pPr>
                    <w:pStyle w:val="30"/>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名称：化粪池</w:t>
                  </w:r>
                </w:p>
                <w:p>
                  <w:pPr>
                    <w:pStyle w:val="30"/>
                    <w:spacing w:line="360" w:lineRule="exact"/>
                    <w:ind w:firstLine="210" w:firstLineChars="100"/>
                    <w:jc w:val="left"/>
                    <w:rPr>
                      <w:rFonts w:eastAsiaTheme="minorEastAsia"/>
                      <w:color w:val="000000" w:themeColor="text1"/>
                      <w:szCs w:val="21"/>
                    </w:rPr>
                  </w:pPr>
                  <w:r>
                    <w:rPr>
                      <w:rFonts w:eastAsiaTheme="minorEastAsia"/>
                      <w:color w:val="000000" w:themeColor="text1"/>
                      <w:szCs w:val="21"/>
                    </w:rPr>
                    <w:t>坐标：E103°15'</w:t>
                  </w:r>
                  <w:r>
                    <w:rPr>
                      <w:rFonts w:hint="eastAsia" w:eastAsiaTheme="minorEastAsia"/>
                      <w:color w:val="000000" w:themeColor="text1"/>
                      <w:szCs w:val="21"/>
                    </w:rPr>
                    <w:t>5.26</w:t>
                  </w:r>
                  <w:r>
                    <w:rPr>
                      <w:rFonts w:eastAsiaTheme="minorEastAsia"/>
                      <w:color w:val="000000" w:themeColor="text1"/>
                      <w:szCs w:val="21"/>
                    </w:rPr>
                    <w:t>"，</w:t>
                  </w:r>
                  <w:r>
                    <w:rPr>
                      <w:rFonts w:hint="eastAsia" w:eastAsiaTheme="minorEastAsia"/>
                      <w:color w:val="000000" w:themeColor="text1"/>
                      <w:szCs w:val="21"/>
                    </w:rPr>
                    <w:t>N</w:t>
                  </w:r>
                  <w:r>
                    <w:rPr>
                      <w:rFonts w:eastAsiaTheme="minorEastAsia"/>
                      <w:color w:val="000000" w:themeColor="text1"/>
                      <w:szCs w:val="21"/>
                    </w:rPr>
                    <w:t>26°38'2</w:t>
                  </w:r>
                  <w:r>
                    <w:rPr>
                      <w:rFonts w:hint="eastAsia" w:eastAsiaTheme="minorEastAsia"/>
                      <w:color w:val="000000" w:themeColor="text1"/>
                      <w:szCs w:val="21"/>
                    </w:rPr>
                    <w:t>8.63</w:t>
                  </w: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CODcr</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SS</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总磷</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总氮</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bCs w:val="0"/>
                      <w:snapToGrid/>
                      <w:color w:val="000000" w:themeColor="text1"/>
                      <w:kern w:val="0"/>
                      <w:szCs w:val="21"/>
                      <w:lang w:val="en-US"/>
                    </w:rPr>
                    <w:t>阴离子表面活性剂</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Merge w:val="continue"/>
                  <w:vAlign w:val="center"/>
                </w:tcPr>
                <w:p>
                  <w:pPr>
                    <w:pStyle w:val="30"/>
                    <w:spacing w:line="360" w:lineRule="exact"/>
                    <w:rPr>
                      <w:rFonts w:eastAsiaTheme="minorEastAsia"/>
                      <w:color w:val="000000" w:themeColor="text1"/>
                      <w:szCs w:val="21"/>
                    </w:rPr>
                  </w:pPr>
                </w:p>
              </w:tc>
              <w:tc>
                <w:tcPr>
                  <w:tcW w:w="748" w:type="dxa"/>
                  <w:vMerge w:val="continue"/>
                  <w:vAlign w:val="center"/>
                </w:tcPr>
                <w:p>
                  <w:pPr>
                    <w:pStyle w:val="30"/>
                    <w:spacing w:line="360" w:lineRule="exact"/>
                    <w:rPr>
                      <w:rFonts w:eastAsiaTheme="minorEastAsia"/>
                      <w:color w:val="000000" w:themeColor="text1"/>
                      <w:szCs w:val="21"/>
                    </w:rPr>
                  </w:pPr>
                </w:p>
              </w:tc>
              <w:tc>
                <w:tcPr>
                  <w:tcW w:w="124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粪大肠菌群数（MPN/L）</w:t>
                  </w:r>
                </w:p>
              </w:tc>
              <w:tc>
                <w:tcPr>
                  <w:tcW w:w="3695" w:type="dxa"/>
                  <w:vMerge w:val="continue"/>
                  <w:vAlign w:val="center"/>
                </w:tcPr>
                <w:p>
                  <w:pPr>
                    <w:pStyle w:val="30"/>
                    <w:spacing w:line="360" w:lineRule="exact"/>
                    <w:ind w:firstLine="210" w:firstLineChars="100"/>
                    <w:jc w:val="both"/>
                    <w:rPr>
                      <w:color w:val="000000" w:themeColor="text1"/>
                      <w:szCs w:val="21"/>
                    </w:rPr>
                  </w:pPr>
                </w:p>
              </w:tc>
              <w:tc>
                <w:tcPr>
                  <w:tcW w:w="850" w:type="dxa"/>
                  <w:vMerge w:val="continue"/>
                  <w:vAlign w:val="center"/>
                </w:tcPr>
                <w:p>
                  <w:pPr>
                    <w:pStyle w:val="30"/>
                    <w:spacing w:line="360" w:lineRule="exact"/>
                    <w:rPr>
                      <w:rFonts w:eastAsiaTheme="minorEastAsia"/>
                      <w:color w:val="000000" w:themeColor="text1"/>
                      <w:szCs w:val="21"/>
                    </w:rPr>
                  </w:pPr>
                </w:p>
              </w:tc>
              <w:tc>
                <w:tcPr>
                  <w:tcW w:w="1732" w:type="dxa"/>
                  <w:vMerge w:val="continue"/>
                  <w:tcBorders>
                    <w:bottom w:val="single" w:color="auto" w:sz="4" w:space="0"/>
                  </w:tcBorders>
                  <w:vAlign w:val="center"/>
                </w:tcPr>
                <w:p>
                  <w:pPr>
                    <w:spacing w:line="360" w:lineRule="exact"/>
                    <w:jc w:val="center"/>
                    <w:rPr>
                      <w:color w:val="000000" w:themeColor="text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7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厂区范围</w:t>
                  </w:r>
                </w:p>
              </w:tc>
              <w:tc>
                <w:tcPr>
                  <w:tcW w:w="74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初期雨水</w:t>
                  </w:r>
                </w:p>
              </w:tc>
              <w:tc>
                <w:tcPr>
                  <w:tcW w:w="1247" w:type="dxa"/>
                  <w:vAlign w:val="center"/>
                </w:tcPr>
                <w:p>
                  <w:pPr>
                    <w:pStyle w:val="30"/>
                    <w:spacing w:line="360" w:lineRule="exact"/>
                    <w:rPr>
                      <w:rFonts w:eastAsiaTheme="minorEastAsia"/>
                      <w:color w:val="000000" w:themeColor="text1"/>
                      <w:szCs w:val="21"/>
                      <w:highlight w:val="yellow"/>
                    </w:rPr>
                  </w:pPr>
                  <w:r>
                    <w:rPr>
                      <w:rFonts w:eastAsiaTheme="minorEastAsia"/>
                      <w:color w:val="000000" w:themeColor="text1"/>
                      <w:szCs w:val="21"/>
                    </w:rPr>
                    <w:t>SS</w:t>
                  </w:r>
                </w:p>
              </w:tc>
              <w:tc>
                <w:tcPr>
                  <w:tcW w:w="3695"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项目</w:t>
                  </w:r>
                  <w:r>
                    <w:rPr>
                      <w:color w:val="000000" w:themeColor="text1"/>
                      <w:szCs w:val="21"/>
                    </w:rPr>
                    <w:t>拟建设1个30m³的初期雨水收集池，对厂区的初期雨水进行收集；收集沉淀处理后回用于项目区绿化，不外排。</w:t>
                  </w:r>
                </w:p>
              </w:tc>
              <w:tc>
                <w:tcPr>
                  <w:tcW w:w="850" w:type="dxa"/>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不外排</w:t>
                  </w:r>
                </w:p>
              </w:tc>
              <w:tc>
                <w:tcPr>
                  <w:tcW w:w="1732" w:type="dxa"/>
                  <w:tcBorders>
                    <w:top w:val="single" w:color="auto" w:sz="4" w:space="0"/>
                  </w:tcBorders>
                  <w:vAlign w:val="center"/>
                </w:tcPr>
                <w:p>
                  <w:pPr>
                    <w:pStyle w:val="30"/>
                    <w:spacing w:line="360" w:lineRule="exact"/>
                    <w:ind w:firstLine="210" w:firstLineChars="100"/>
                    <w:jc w:val="left"/>
                    <w:rPr>
                      <w:bCs w:val="0"/>
                      <w:color w:val="000000" w:themeColor="text1"/>
                    </w:rPr>
                  </w:pPr>
                  <w:r>
                    <w:rPr>
                      <w:rFonts w:hint="eastAsia"/>
                      <w:bCs w:val="0"/>
                      <w:color w:val="000000" w:themeColor="text1"/>
                    </w:rPr>
                    <w:t>--</w:t>
                  </w:r>
                </w:p>
              </w:tc>
            </w:tr>
          </w:tbl>
          <w:p>
            <w:pPr>
              <w:spacing w:beforeLines="50" w:line="360" w:lineRule="auto"/>
              <w:ind w:firstLine="482" w:firstLineChars="200"/>
              <w:rPr>
                <w:rFonts w:ascii="Times New Roman" w:hAnsi="Times New Roman" w:cs="Times New Roman"/>
                <w:b/>
                <w:color w:val="000000" w:themeColor="text1"/>
                <w:sz w:val="24"/>
              </w:rPr>
            </w:pPr>
            <w:r>
              <w:rPr>
                <w:rFonts w:hAnsi="Times New Roman" w:cs="Times New Roman" w:asciiTheme="minorEastAsia"/>
                <w:b/>
                <w:color w:val="000000" w:themeColor="text1"/>
                <w:sz w:val="24"/>
              </w:rPr>
              <w:t>②</w:t>
            </w:r>
            <w:r>
              <w:rPr>
                <w:rFonts w:ascii="Times New Roman" w:hAnsi="Times New Roman" w:cs="Times New Roman"/>
                <w:b/>
                <w:color w:val="000000" w:themeColor="text1"/>
                <w:sz w:val="24"/>
              </w:rPr>
              <w:t>废水污染物排放源产排量及达标情况</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1 \* GB2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平衡盐水污染源产排量及达标情况</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项目</w:t>
            </w:r>
            <w:r>
              <w:rPr>
                <w:rFonts w:ascii="Times New Roman" w:hAnsi="Times New Roman" w:cs="Times New Roman"/>
                <w:color w:val="000000" w:themeColor="text1"/>
                <w:sz w:val="24"/>
              </w:rPr>
              <w:t>改扩建后</w:t>
            </w:r>
            <w:r>
              <w:rPr>
                <w:rFonts w:hint="eastAsia" w:ascii="Times New Roman" w:hAnsi="Times New Roman" w:cs="Times New Roman"/>
                <w:color w:val="000000" w:themeColor="text1"/>
                <w:sz w:val="24"/>
              </w:rPr>
              <w:t>平衡盐水产生量为</w:t>
            </w:r>
            <w:r>
              <w:rPr>
                <w:rFonts w:ascii="Times New Roman" w:hAnsi="Times New Roman" w:cs="Times New Roman"/>
                <w:color w:val="000000" w:themeColor="text1"/>
                <w:sz w:val="24"/>
              </w:rPr>
              <w:t>0.008m³/d</w:t>
            </w:r>
            <w:r>
              <w:rPr>
                <w:rFonts w:hint="eastAsia" w:ascii="Times New Roman" w:hAnsi="Times New Roman" w:cs="Times New Roman"/>
                <w:color w:val="000000" w:themeColor="text1"/>
                <w:sz w:val="24"/>
              </w:rPr>
              <w:t>，其主要废水特性是含有NaCl，按1：8的比例稀释后回用于绿化；</w:t>
            </w:r>
            <w:r>
              <w:rPr>
                <w:rFonts w:ascii="Times New Roman" w:hAnsi="Times New Roman" w:cs="Times New Roman"/>
                <w:color w:val="000000" w:themeColor="text1"/>
                <w:sz w:val="24"/>
              </w:rPr>
              <w:t>《城市污水再生利用 城市杂用水水质》（GB/T18920-2020）中城市绿化标准</w:t>
            </w:r>
            <w:r>
              <w:rPr>
                <w:rFonts w:hint="eastAsia" w:ascii="Times New Roman" w:hAnsi="Times New Roman" w:cs="Times New Roman"/>
                <w:color w:val="000000" w:themeColor="text1"/>
                <w:sz w:val="24"/>
              </w:rPr>
              <w:t>中无该控制因子，因此回用可行。</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2 \* GB2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生活污水产排量及达标情况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根据项目产污环节和废水污染物治理措施可知，厂区内针对</w:t>
            </w:r>
            <w:r>
              <w:rPr>
                <w:rFonts w:hint="eastAsia" w:ascii="Times New Roman" w:hAnsi="Times New Roman" w:cs="Times New Roman"/>
                <w:color w:val="000000" w:themeColor="text1"/>
                <w:sz w:val="24"/>
                <w:szCs w:val="24"/>
              </w:rPr>
              <w:t>厨房废水</w:t>
            </w:r>
            <w:r>
              <w:rPr>
                <w:rFonts w:ascii="Times New Roman" w:hAnsi="Times New Roman" w:cs="Times New Roman"/>
                <w:color w:val="000000" w:themeColor="text1"/>
                <w:sz w:val="24"/>
                <w:szCs w:val="24"/>
              </w:rPr>
              <w:t>，已配套设置了1个2m³的隔油池对厨房废水进行预处理</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针对办公生活区，已配套设置了3个5m³的化粪池</w:t>
            </w:r>
            <w:r>
              <w:rPr>
                <w:rFonts w:hint="eastAsia" w:ascii="Times New Roman" w:hAnsi="Times New Roman" w:cs="Times New Roman"/>
                <w:color w:val="000000" w:themeColor="text1"/>
                <w:sz w:val="24"/>
                <w:szCs w:val="24"/>
              </w:rPr>
              <w:t>对生活污水进行处理；整改后拟建设1套处理能力为30m³/d的一体化污水处理设施对生活污水进行处理</w:t>
            </w:r>
            <w:r>
              <w:rPr>
                <w:rFonts w:ascii="Times New Roman" w:hAnsi="Times New Roman" w:cs="Times New Roman"/>
                <w:color w:val="000000" w:themeColor="text1"/>
                <w:sz w:val="24"/>
                <w:szCs w:val="24"/>
              </w:rPr>
              <w:t>。</w:t>
            </w:r>
          </w:p>
          <w:p>
            <w:pPr>
              <w:spacing w:line="360" w:lineRule="auto"/>
              <w:ind w:firstLine="482" w:firstLineChars="200"/>
              <w:rPr>
                <w:rFonts w:eastAsia="宋体" w:hAnsiTheme="minorEastAsia"/>
                <w:b/>
                <w:color w:val="000000" w:themeColor="text1"/>
                <w:szCs w:val="24"/>
              </w:rPr>
            </w:pPr>
            <w:r>
              <w:rPr>
                <w:rFonts w:ascii="Times New Roman" w:cs="Times New Roman" w:hAnsiTheme="minorEastAsia"/>
                <w:b/>
                <w:color w:val="000000" w:themeColor="text1"/>
                <w:sz w:val="24"/>
                <w:szCs w:val="24"/>
              </w:rPr>
              <w:fldChar w:fldCharType="begin"/>
            </w:r>
            <w:r>
              <w:rPr>
                <w:rFonts w:ascii="Times New Roman" w:cs="Times New Roman" w:hAnsiTheme="minorEastAsia"/>
                <w:b/>
                <w:color w:val="000000" w:themeColor="text1"/>
                <w:sz w:val="24"/>
                <w:szCs w:val="24"/>
              </w:rPr>
              <w:instrText xml:space="preserve"> </w:instrText>
            </w:r>
            <w:r>
              <w:rPr>
                <w:rFonts w:hint="eastAsia" w:ascii="Times New Roman" w:cs="Times New Roman" w:hAnsiTheme="minorEastAsia"/>
                <w:b/>
                <w:color w:val="000000" w:themeColor="text1"/>
                <w:sz w:val="24"/>
                <w:szCs w:val="24"/>
              </w:rPr>
              <w:instrText xml:space="preserve">= 1 \* GB4</w:instrText>
            </w:r>
            <w:r>
              <w:rPr>
                <w:rFonts w:ascii="Times New Roman" w:cs="Times New Roman" w:hAnsiTheme="minorEastAsia"/>
                <w:b/>
                <w:color w:val="000000" w:themeColor="text1"/>
                <w:sz w:val="24"/>
                <w:szCs w:val="24"/>
              </w:rPr>
              <w:instrText xml:space="preserve"> </w:instrText>
            </w:r>
            <w:r>
              <w:rPr>
                <w:rFonts w:ascii="Times New Roman" w:cs="Times New Roman" w:hAnsiTheme="minorEastAsia"/>
                <w:b/>
                <w:color w:val="000000" w:themeColor="text1"/>
                <w:sz w:val="24"/>
                <w:szCs w:val="24"/>
              </w:rPr>
              <w:fldChar w:fldCharType="separate"/>
            </w:r>
            <w:r>
              <w:rPr>
                <w:rFonts w:hint="eastAsia" w:ascii="Times New Roman" w:cs="Times New Roman" w:hAnsiTheme="minorEastAsia"/>
                <w:b/>
                <w:color w:val="000000" w:themeColor="text1"/>
                <w:sz w:val="24"/>
                <w:szCs w:val="24"/>
              </w:rPr>
              <w:t>㈠</w:t>
            </w:r>
            <w:r>
              <w:rPr>
                <w:rFonts w:ascii="Times New Roman" w:cs="Times New Roman" w:hAnsiTheme="minorEastAsia"/>
                <w:b/>
                <w:color w:val="000000" w:themeColor="text1"/>
                <w:sz w:val="24"/>
                <w:szCs w:val="24"/>
              </w:rPr>
              <w:fldChar w:fldCharType="end"/>
            </w:r>
            <w:r>
              <w:rPr>
                <w:rFonts w:ascii="Times New Roman" w:cs="Times New Roman" w:hAnsiTheme="minorEastAsia"/>
                <w:b/>
                <w:color w:val="000000" w:themeColor="text1"/>
                <w:sz w:val="24"/>
                <w:szCs w:val="24"/>
              </w:rPr>
              <w:t>隔油池、化粪池污染物去除分析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项目生活污水产生量约为</w:t>
            </w:r>
            <w:r>
              <w:rPr>
                <w:rFonts w:hint="eastAsia" w:ascii="Times New Roman" w:hAnsi="Times New Roman" w:cs="Times New Roman"/>
                <w:color w:val="000000" w:themeColor="text1"/>
                <w:sz w:val="24"/>
                <w:szCs w:val="24"/>
              </w:rPr>
              <w:t>1488m³/a</w:t>
            </w:r>
            <w:r>
              <w:rPr>
                <w:rFonts w:ascii="Times New Roman" w:hAnsi="Times New Roman" w:cs="Times New Roman"/>
                <w:color w:val="000000" w:themeColor="text1"/>
                <w:sz w:val="24"/>
                <w:szCs w:val="24"/>
              </w:rPr>
              <w:t>，隔油池主要对厨房废水进行预处理，而化粪池对水污染物有削减作用。</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该项目污水污染物产生源强表见下表。</w:t>
            </w:r>
          </w:p>
          <w:p>
            <w:pPr>
              <w:jc w:val="center"/>
              <w:rPr>
                <w:rFonts w:ascii="Times New Roman" w:cs="Times New Roman" w:hAnsiTheme="minorEastAsia"/>
                <w:b/>
                <w:color w:val="000000" w:themeColor="text1"/>
                <w:szCs w:val="24"/>
              </w:rPr>
            </w:pPr>
            <w:r>
              <w:rPr>
                <w:rFonts w:ascii="Times New Roman" w:cs="Times New Roman" w:hAnsiTheme="minorEastAsia"/>
                <w:b/>
                <w:color w:val="000000" w:themeColor="text1"/>
                <w:szCs w:val="24"/>
              </w:rPr>
              <w:t>表</w:t>
            </w:r>
            <w:r>
              <w:rPr>
                <w:rFonts w:hint="eastAsia" w:ascii="Times New Roman" w:cs="Times New Roman" w:hAnsiTheme="minorEastAsia"/>
                <w:b/>
                <w:color w:val="000000" w:themeColor="text1"/>
                <w:szCs w:val="24"/>
              </w:rPr>
              <w:t>4.2.2-3</w:t>
            </w:r>
            <w:r>
              <w:rPr>
                <w:rFonts w:ascii="Times New Roman" w:cs="Times New Roman" w:hAnsiTheme="minorEastAsia"/>
                <w:b/>
                <w:color w:val="000000" w:themeColor="text1"/>
                <w:szCs w:val="24"/>
              </w:rPr>
              <w:t>生活污水污染物产生及隔油池、化粪池预处理去除源强表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66"/>
              <w:gridCol w:w="950"/>
              <w:gridCol w:w="1393"/>
              <w:gridCol w:w="1042"/>
              <w:gridCol w:w="25"/>
              <w:gridCol w:w="988"/>
              <w:gridCol w:w="1151"/>
              <w:gridCol w:w="272"/>
              <w:gridCol w:w="1134"/>
              <w:gridCol w:w="10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产排污环节</w:t>
                  </w:r>
                </w:p>
              </w:tc>
              <w:tc>
                <w:tcPr>
                  <w:tcW w:w="950"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类别</w:t>
                  </w:r>
                </w:p>
              </w:tc>
              <w:tc>
                <w:tcPr>
                  <w:tcW w:w="1393"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污染物种类</w:t>
                  </w:r>
                </w:p>
              </w:tc>
              <w:tc>
                <w:tcPr>
                  <w:tcW w:w="2055" w:type="dxa"/>
                  <w:gridSpan w:val="3"/>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污染物产生情况</w:t>
                  </w:r>
                </w:p>
              </w:tc>
              <w:tc>
                <w:tcPr>
                  <w:tcW w:w="2557" w:type="dxa"/>
                  <w:gridSpan w:val="3"/>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隔油池、化粪池处理情况</w:t>
                  </w:r>
                </w:p>
              </w:tc>
              <w:tc>
                <w:tcPr>
                  <w:tcW w:w="1023" w:type="dxa"/>
                  <w:vMerge w:val="restart"/>
                  <w:vAlign w:val="center"/>
                </w:tcPr>
                <w:p>
                  <w:pPr>
                    <w:spacing w:line="360" w:lineRule="exact"/>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排放标准限值（mg/L）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Merge w:val="continue"/>
                  <w:vAlign w:val="center"/>
                </w:tcPr>
                <w:p>
                  <w:pPr>
                    <w:pStyle w:val="30"/>
                    <w:spacing w:line="360" w:lineRule="exact"/>
                    <w:rPr>
                      <w:rFonts w:eastAsiaTheme="minorEastAsia"/>
                      <w:color w:val="000000" w:themeColor="text1"/>
                      <w:szCs w:val="21"/>
                    </w:rPr>
                  </w:pPr>
                </w:p>
              </w:tc>
              <w:tc>
                <w:tcPr>
                  <w:tcW w:w="10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产生浓度mg/m³</w:t>
                  </w:r>
                </w:p>
              </w:tc>
              <w:tc>
                <w:tcPr>
                  <w:tcW w:w="1013"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产生量</w:t>
                  </w:r>
                  <w:r>
                    <w:rPr>
                      <w:rFonts w:hint="eastAsia" w:eastAsiaTheme="minorEastAsia"/>
                      <w:color w:val="000000" w:themeColor="text1"/>
                      <w:szCs w:val="21"/>
                    </w:rPr>
                    <w:t>t</w:t>
                  </w:r>
                  <w:r>
                    <w:rPr>
                      <w:rFonts w:eastAsiaTheme="minorEastAsia"/>
                      <w:color w:val="000000" w:themeColor="text1"/>
                      <w:szCs w:val="21"/>
                    </w:rPr>
                    <w:t>/a</w:t>
                  </w:r>
                </w:p>
              </w:tc>
              <w:tc>
                <w:tcPr>
                  <w:tcW w:w="1423"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化粪池出口浓度（mg/L）</w:t>
                  </w:r>
                </w:p>
              </w:tc>
              <w:tc>
                <w:tcPr>
                  <w:tcW w:w="1134" w:type="dxa"/>
                  <w:tcBorders>
                    <w:top w:val="single" w:color="auto" w:sz="4" w:space="0"/>
                    <w:bottom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化粪池出口量（t/a）</w:t>
                  </w:r>
                </w:p>
              </w:tc>
              <w:tc>
                <w:tcPr>
                  <w:tcW w:w="1023" w:type="dxa"/>
                  <w:vMerge w:val="continue"/>
                  <w:vAlign w:val="center"/>
                </w:tcPr>
                <w:p>
                  <w:pPr>
                    <w:pStyle w:val="30"/>
                    <w:spacing w:line="360" w:lineRule="exact"/>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员工生活</w:t>
                  </w:r>
                </w:p>
              </w:tc>
              <w:tc>
                <w:tcPr>
                  <w:tcW w:w="950"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生活污水</w:t>
                  </w: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废水量</w:t>
                  </w:r>
                </w:p>
              </w:tc>
              <w:tc>
                <w:tcPr>
                  <w:tcW w:w="2055" w:type="dxa"/>
                  <w:gridSpan w:val="3"/>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1488m³/a</w:t>
                  </w:r>
                </w:p>
              </w:tc>
              <w:tc>
                <w:tcPr>
                  <w:tcW w:w="2557" w:type="dxa"/>
                  <w:gridSpan w:val="3"/>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1488m³/a</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pH</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6-9</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6-9</w:t>
                  </w:r>
                </w:p>
              </w:tc>
              <w:tc>
                <w:tcPr>
                  <w:tcW w:w="1406" w:type="dxa"/>
                  <w:gridSpan w:val="2"/>
                  <w:tcBorders>
                    <w:top w:val="single" w:color="auto" w:sz="4" w:space="0"/>
                    <w:bottom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CODcr</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350</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0.52</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280</w:t>
                  </w:r>
                </w:p>
              </w:tc>
              <w:tc>
                <w:tcPr>
                  <w:tcW w:w="1406" w:type="dxa"/>
                  <w:gridSpan w:val="2"/>
                  <w:tcBorders>
                    <w:top w:val="single" w:color="auto" w:sz="4" w:space="0"/>
                    <w:bottom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0.42</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220</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0.33</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190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0.28</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38</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35</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0.05</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SS</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300</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0.45</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160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0.24</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总磷</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8</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0.01</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7</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0.01</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总氮</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45</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0.07</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动植物油</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100</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0.15</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0.09</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阴离子表面活性剂</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16</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0.02</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11</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0.02</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6" w:type="dxa"/>
                  <w:vMerge w:val="continue"/>
                  <w:vAlign w:val="center"/>
                </w:tcPr>
                <w:p>
                  <w:pPr>
                    <w:pStyle w:val="30"/>
                    <w:spacing w:line="360" w:lineRule="exact"/>
                    <w:rPr>
                      <w:rFonts w:eastAsiaTheme="minorEastAsia"/>
                      <w:color w:val="000000" w:themeColor="text1"/>
                      <w:szCs w:val="21"/>
                    </w:rPr>
                  </w:pPr>
                </w:p>
              </w:tc>
              <w:tc>
                <w:tcPr>
                  <w:tcW w:w="950" w:type="dxa"/>
                  <w:vMerge w:val="continue"/>
                  <w:vAlign w:val="center"/>
                </w:tcPr>
                <w:p>
                  <w:pPr>
                    <w:pStyle w:val="30"/>
                    <w:spacing w:line="360" w:lineRule="exact"/>
                    <w:rPr>
                      <w:rFonts w:eastAsiaTheme="minorEastAsia"/>
                      <w:color w:val="000000" w:themeColor="text1"/>
                      <w:szCs w:val="21"/>
                    </w:rPr>
                  </w:pPr>
                </w:p>
              </w:tc>
              <w:tc>
                <w:tcPr>
                  <w:tcW w:w="139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粪大肠菌群数（MPN/L）</w:t>
                  </w:r>
                </w:p>
              </w:tc>
              <w:tc>
                <w:tcPr>
                  <w:tcW w:w="1067" w:type="dxa"/>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16000</w:t>
                  </w:r>
                </w:p>
              </w:tc>
              <w:tc>
                <w:tcPr>
                  <w:tcW w:w="98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15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8000</w:t>
                  </w:r>
                </w:p>
              </w:tc>
              <w:tc>
                <w:tcPr>
                  <w:tcW w:w="1406" w:type="dxa"/>
                  <w:gridSpan w:val="2"/>
                  <w:tcBorders>
                    <w:top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23"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20</w:t>
                  </w:r>
                </w:p>
              </w:tc>
            </w:tr>
          </w:tbl>
          <w:p>
            <w:pPr>
              <w:pStyle w:val="38"/>
              <w:spacing w:beforeLines="50"/>
              <w:ind w:firstLine="480"/>
              <w:rPr>
                <w:color w:val="000000" w:themeColor="text1"/>
              </w:rPr>
            </w:pPr>
            <w:r>
              <w:rPr>
                <w:rFonts w:hAnsiTheme="minorEastAsia"/>
                <w:color w:val="000000" w:themeColor="text1"/>
                <w:szCs w:val="24"/>
              </w:rPr>
              <w:t>由上表可知，</w:t>
            </w:r>
            <w:r>
              <w:rPr>
                <w:color w:val="000000" w:themeColor="text1"/>
              </w:rPr>
              <w:t>项目生活污水经隔油池、化粪池处理后可达到《污水排入城镇下水道水质标准》（GB/T31962-2015）B等级标准。</w:t>
            </w:r>
          </w:p>
          <w:p>
            <w:pPr>
              <w:pStyle w:val="38"/>
              <w:ind w:firstLine="482"/>
              <w:rPr>
                <w:b/>
                <w:color w:val="000000" w:themeColor="text1"/>
              </w:rPr>
            </w:pPr>
            <w:r>
              <w:rPr>
                <w:b/>
                <w:color w:val="000000" w:themeColor="text1"/>
              </w:rPr>
              <w:fldChar w:fldCharType="begin"/>
            </w:r>
            <w:r>
              <w:rPr>
                <w:b/>
                <w:color w:val="000000" w:themeColor="text1"/>
              </w:rPr>
              <w:instrText xml:space="preserve"> </w:instrText>
            </w:r>
            <w:r>
              <w:rPr>
                <w:rFonts w:hint="eastAsia"/>
                <w:b/>
                <w:color w:val="000000" w:themeColor="text1"/>
              </w:rPr>
              <w:instrText xml:space="preserve">= 2 \* GB4</w:instrText>
            </w:r>
            <w:r>
              <w:rPr>
                <w:b/>
                <w:color w:val="000000" w:themeColor="text1"/>
              </w:rPr>
              <w:instrText xml:space="preserve"> </w:instrText>
            </w:r>
            <w:r>
              <w:rPr>
                <w:b/>
                <w:color w:val="000000" w:themeColor="text1"/>
              </w:rPr>
              <w:fldChar w:fldCharType="separate"/>
            </w:r>
            <w:r>
              <w:rPr>
                <w:rFonts w:hint="eastAsia"/>
                <w:b/>
                <w:color w:val="000000" w:themeColor="text1"/>
              </w:rPr>
              <w:t>㈡</w:t>
            </w:r>
            <w:r>
              <w:rPr>
                <w:b/>
                <w:color w:val="000000" w:themeColor="text1"/>
              </w:rPr>
              <w:fldChar w:fldCharType="end"/>
            </w:r>
            <w:r>
              <w:rPr>
                <w:b/>
                <w:color w:val="000000" w:themeColor="text1"/>
              </w:rPr>
              <w:t>一体化污水处理设施污染物去除分析</w:t>
            </w:r>
          </w:p>
          <w:p>
            <w:pPr>
              <w:pStyle w:val="38"/>
              <w:ind w:firstLine="480"/>
              <w:rPr>
                <w:color w:val="000000" w:themeColor="text1"/>
              </w:rPr>
            </w:pPr>
            <w:r>
              <w:rPr>
                <w:color w:val="000000" w:themeColor="text1"/>
              </w:rPr>
              <w:t>项目一体化污水处理设施对生活污水污染物处理情况见下表。</w:t>
            </w:r>
          </w:p>
          <w:p>
            <w:pPr>
              <w:jc w:val="center"/>
              <w:rPr>
                <w:rFonts w:ascii="Times New Roman" w:cs="Times New Roman" w:hAnsiTheme="minorEastAsia"/>
                <w:b/>
                <w:color w:val="000000" w:themeColor="text1"/>
                <w:szCs w:val="24"/>
              </w:rPr>
            </w:pPr>
            <w:r>
              <w:rPr>
                <w:rFonts w:ascii="Times New Roman" w:cs="Times New Roman" w:hAnsiTheme="minorEastAsia"/>
                <w:b/>
                <w:color w:val="000000" w:themeColor="text1"/>
                <w:szCs w:val="24"/>
              </w:rPr>
              <w:t>表</w:t>
            </w:r>
            <w:r>
              <w:rPr>
                <w:rFonts w:hint="eastAsia" w:ascii="Times New Roman" w:cs="Times New Roman" w:hAnsiTheme="minorEastAsia"/>
                <w:b/>
                <w:color w:val="000000" w:themeColor="text1"/>
                <w:szCs w:val="24"/>
              </w:rPr>
              <w:t>4.2.2-4</w:t>
            </w:r>
            <w:r>
              <w:rPr>
                <w:rFonts w:ascii="Times New Roman" w:cs="Times New Roman" w:hAnsiTheme="minorEastAsia"/>
                <w:b/>
                <w:color w:val="000000" w:themeColor="text1"/>
                <w:szCs w:val="24"/>
              </w:rPr>
              <w:t xml:space="preserve"> 项目一体化污水处理设施污染物核算一览表</w:t>
            </w:r>
          </w:p>
          <w:tbl>
            <w:tblPr>
              <w:tblStyle w:val="19"/>
              <w:tblW w:w="5000" w:type="pct"/>
              <w:tblInd w:w="0" w:type="dxa"/>
              <w:tblLayout w:type="fixed"/>
              <w:tblCellMar>
                <w:top w:w="0" w:type="dxa"/>
                <w:left w:w="108" w:type="dxa"/>
                <w:bottom w:w="0" w:type="dxa"/>
                <w:right w:w="108" w:type="dxa"/>
              </w:tblCellMar>
            </w:tblPr>
            <w:tblGrid>
              <w:gridCol w:w="1084"/>
              <w:gridCol w:w="1409"/>
              <w:gridCol w:w="1137"/>
              <w:gridCol w:w="972"/>
              <w:gridCol w:w="1126"/>
              <w:gridCol w:w="1114"/>
              <w:gridCol w:w="1126"/>
              <w:gridCol w:w="1084"/>
            </w:tblGrid>
            <w:tr>
              <w:tblPrEx>
                <w:tblCellMar>
                  <w:top w:w="0" w:type="dxa"/>
                  <w:left w:w="108" w:type="dxa"/>
                  <w:bottom w:w="0" w:type="dxa"/>
                  <w:right w:w="108" w:type="dxa"/>
                </w:tblCellMar>
              </w:tblPrEx>
              <w:tc>
                <w:tcPr>
                  <w:tcW w:w="1082"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排放源</w:t>
                  </w:r>
                </w:p>
              </w:tc>
              <w:tc>
                <w:tcPr>
                  <w:tcW w:w="1406"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污染物</w:t>
                  </w:r>
                </w:p>
              </w:tc>
              <w:tc>
                <w:tcPr>
                  <w:tcW w:w="113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进水浓度</w:t>
                  </w:r>
                </w:p>
                <w:p>
                  <w:pPr>
                    <w:pStyle w:val="30"/>
                    <w:spacing w:line="360" w:lineRule="exact"/>
                    <w:rPr>
                      <w:rFonts w:eastAsiaTheme="minorEastAsia"/>
                      <w:color w:val="000000" w:themeColor="text1"/>
                      <w:szCs w:val="21"/>
                    </w:rPr>
                  </w:pPr>
                  <w:r>
                    <w:rPr>
                      <w:rFonts w:hint="eastAsia" w:eastAsiaTheme="minorEastAsia"/>
                      <w:color w:val="000000" w:themeColor="text1"/>
                      <w:szCs w:val="21"/>
                    </w:rPr>
                    <w:t>（</w:t>
                  </w:r>
                  <w:r>
                    <w:rPr>
                      <w:rFonts w:eastAsiaTheme="minorEastAsia"/>
                      <w:color w:val="000000" w:themeColor="text1"/>
                      <w:szCs w:val="21"/>
                    </w:rPr>
                    <w:t>mg/L</w:t>
                  </w:r>
                  <w:r>
                    <w:rPr>
                      <w:rFonts w:hint="eastAsia" w:eastAsiaTheme="minorEastAsia"/>
                      <w:color w:val="000000" w:themeColor="text1"/>
                      <w:szCs w:val="21"/>
                    </w:rPr>
                    <w:t>）</w:t>
                  </w:r>
                </w:p>
              </w:tc>
              <w:tc>
                <w:tcPr>
                  <w:tcW w:w="970"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产生量（</w:t>
                  </w:r>
                  <w:r>
                    <w:rPr>
                      <w:rFonts w:eastAsiaTheme="minorEastAsia"/>
                      <w:color w:val="000000" w:themeColor="text1"/>
                      <w:szCs w:val="21"/>
                    </w:rPr>
                    <w:t>t/a</w:t>
                  </w:r>
                  <w:r>
                    <w:rPr>
                      <w:rFonts w:hint="eastAsia" w:eastAsiaTheme="minorEastAsia"/>
                      <w:color w:val="000000" w:themeColor="text1"/>
                      <w:szCs w:val="21"/>
                    </w:rPr>
                    <w:t>）</w:t>
                  </w:r>
                </w:p>
              </w:tc>
              <w:tc>
                <w:tcPr>
                  <w:tcW w:w="112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出水浓度</w:t>
                  </w:r>
                </w:p>
                <w:p>
                  <w:pPr>
                    <w:pStyle w:val="30"/>
                    <w:spacing w:line="360" w:lineRule="exact"/>
                    <w:rPr>
                      <w:rFonts w:eastAsiaTheme="minorEastAsia"/>
                      <w:color w:val="000000" w:themeColor="text1"/>
                      <w:szCs w:val="21"/>
                    </w:rPr>
                  </w:pPr>
                  <w:r>
                    <w:rPr>
                      <w:rFonts w:hint="eastAsia" w:eastAsiaTheme="minorEastAsia"/>
                      <w:color w:val="000000" w:themeColor="text1"/>
                      <w:szCs w:val="21"/>
                    </w:rPr>
                    <w:t>（</w:t>
                  </w:r>
                  <w:r>
                    <w:rPr>
                      <w:rFonts w:eastAsiaTheme="minorEastAsia"/>
                      <w:color w:val="000000" w:themeColor="text1"/>
                      <w:szCs w:val="21"/>
                    </w:rPr>
                    <w:t>mg/L</w:t>
                  </w:r>
                  <w:r>
                    <w:rPr>
                      <w:rFonts w:hint="eastAsia" w:eastAsiaTheme="minorEastAsia"/>
                      <w:color w:val="000000" w:themeColor="text1"/>
                      <w:szCs w:val="21"/>
                    </w:rPr>
                    <w:t>）</w:t>
                  </w:r>
                </w:p>
              </w:tc>
              <w:tc>
                <w:tcPr>
                  <w:tcW w:w="1112"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再生水回用量（</w:t>
                  </w:r>
                  <w:r>
                    <w:rPr>
                      <w:rFonts w:eastAsiaTheme="minorEastAsia"/>
                      <w:color w:val="000000" w:themeColor="text1"/>
                      <w:szCs w:val="21"/>
                    </w:rPr>
                    <w:t>t/a</w:t>
                  </w:r>
                  <w:r>
                    <w:rPr>
                      <w:rFonts w:hint="eastAsia" w:eastAsiaTheme="minorEastAsia"/>
                      <w:color w:val="000000" w:themeColor="text1"/>
                      <w:szCs w:val="21"/>
                    </w:rPr>
                    <w:t>）</w:t>
                  </w:r>
                </w:p>
              </w:tc>
              <w:tc>
                <w:tcPr>
                  <w:tcW w:w="1124" w:type="dxa"/>
                  <w:tcBorders>
                    <w:top w:val="single" w:color="auto" w:sz="8" w:space="0"/>
                    <w:left w:val="nil"/>
                    <w:bottom w:val="single" w:color="auto" w:sz="4"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标准值</w:t>
                  </w:r>
                </w:p>
                <w:p>
                  <w:pPr>
                    <w:pStyle w:val="30"/>
                    <w:spacing w:line="360" w:lineRule="exact"/>
                    <w:rPr>
                      <w:rFonts w:eastAsiaTheme="minorEastAsia"/>
                      <w:color w:val="000000" w:themeColor="text1"/>
                      <w:szCs w:val="21"/>
                    </w:rPr>
                  </w:pPr>
                  <w:r>
                    <w:rPr>
                      <w:rFonts w:hint="eastAsia" w:eastAsiaTheme="minorEastAsia"/>
                      <w:color w:val="000000" w:themeColor="text1"/>
                      <w:szCs w:val="21"/>
                    </w:rPr>
                    <w:t>（</w:t>
                  </w:r>
                  <w:r>
                    <w:rPr>
                      <w:rFonts w:eastAsiaTheme="minorEastAsia"/>
                      <w:color w:val="000000" w:themeColor="text1"/>
                      <w:szCs w:val="21"/>
                    </w:rPr>
                    <w:t>mg/L</w:t>
                  </w:r>
                  <w:r>
                    <w:rPr>
                      <w:rFonts w:hint="eastAsia" w:eastAsiaTheme="minorEastAsia"/>
                      <w:color w:val="000000" w:themeColor="text1"/>
                      <w:szCs w:val="21"/>
                    </w:rPr>
                    <w:t>）</w:t>
                  </w:r>
                </w:p>
              </w:tc>
              <w:tc>
                <w:tcPr>
                  <w:tcW w:w="1082" w:type="dxa"/>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达标情况</w:t>
                  </w:r>
                </w:p>
              </w:tc>
            </w:tr>
            <w:tr>
              <w:tblPrEx>
                <w:tblCellMar>
                  <w:top w:w="0" w:type="dxa"/>
                  <w:left w:w="108" w:type="dxa"/>
                  <w:bottom w:w="0" w:type="dxa"/>
                  <w:right w:w="108" w:type="dxa"/>
                </w:tblCellMar>
              </w:tblPrEx>
              <w:tc>
                <w:tcPr>
                  <w:tcW w:w="1082" w:type="dxa"/>
                  <w:vMerge w:val="restart"/>
                  <w:tcBorders>
                    <w:top w:val="nil"/>
                    <w:left w:val="single" w:color="auto" w:sz="8" w:space="0"/>
                    <w:bottom w:val="single" w:color="000000"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经化粪池处理后并进入一体化污水处理设施的生活污水</w:t>
                  </w: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废水量</w:t>
                  </w:r>
                </w:p>
              </w:tc>
              <w:tc>
                <w:tcPr>
                  <w:tcW w:w="2104" w:type="dxa"/>
                  <w:gridSpan w:val="2"/>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1488m³/a</w:t>
                  </w:r>
                </w:p>
              </w:tc>
              <w:tc>
                <w:tcPr>
                  <w:tcW w:w="2236" w:type="dxa"/>
                  <w:gridSpan w:val="2"/>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1488m³/a</w:t>
                  </w:r>
                </w:p>
              </w:tc>
              <w:tc>
                <w:tcPr>
                  <w:tcW w:w="112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pH</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6-9</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6-9</w:t>
                  </w:r>
                </w:p>
              </w:tc>
              <w:tc>
                <w:tcPr>
                  <w:tcW w:w="1112" w:type="dxa"/>
                  <w:tcBorders>
                    <w:top w:val="nil"/>
                    <w:left w:val="nil"/>
                    <w:bottom w:val="single" w:color="auto" w:sz="8" w:space="0"/>
                    <w:right w:val="single" w:color="auto" w:sz="8" w:space="0"/>
                  </w:tcBorders>
                  <w:shd w:val="clear" w:color="auto" w:fill="auto"/>
                  <w:vAlign w:val="bottom"/>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6.0</w:t>
                  </w:r>
                  <w:r>
                    <w:rPr>
                      <w:rFonts w:hint="eastAsia" w:eastAsiaTheme="minorEastAsia"/>
                      <w:color w:val="000000" w:themeColor="text1"/>
                      <w:szCs w:val="21"/>
                    </w:rPr>
                    <w:t>-</w:t>
                  </w:r>
                  <w:r>
                    <w:rPr>
                      <w:rFonts w:eastAsiaTheme="minorEastAsia"/>
                      <w:color w:val="000000" w:themeColor="text1"/>
                      <w:szCs w:val="21"/>
                    </w:rPr>
                    <w:t>9.0</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CODcr</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280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0.42</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30</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0.04</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190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0.28</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8</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0.01</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10</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35</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0.05</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0.01</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8</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达标</w:t>
                  </w:r>
                </w:p>
              </w:tc>
            </w:tr>
            <w:tr>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SS</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160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0.24</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30</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0.04</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总磷</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7</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0.01</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w:t>
                  </w:r>
                  <w:r>
                    <w:rPr>
                      <w:rFonts w:hint="eastAsia" w:eastAsiaTheme="minorEastAsia"/>
                      <w:color w:val="000000" w:themeColor="text1"/>
                      <w:szCs w:val="21"/>
                    </w:rPr>
                    <w:t>3</w:t>
                  </w:r>
                </w:p>
              </w:tc>
              <w:tc>
                <w:tcPr>
                  <w:tcW w:w="1124" w:type="dxa"/>
                  <w:tcBorders>
                    <w:top w:val="nil"/>
                    <w:left w:val="nil"/>
                    <w:bottom w:val="single" w:color="auto" w:sz="8" w:space="0"/>
                    <w:right w:val="single" w:color="auto" w:sz="8" w:space="0"/>
                  </w:tcBorders>
                  <w:shd w:val="clear" w:color="auto" w:fill="auto"/>
                  <w:noWrap/>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总氮</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16</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0.02</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动植物油</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0.09</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20</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0.03</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阴离子表面活性剂</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11</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0.02</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0.2</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w:t>
                  </w:r>
                  <w:r>
                    <w:rPr>
                      <w:rFonts w:hint="eastAsia" w:eastAsiaTheme="minorEastAsia"/>
                      <w:color w:val="000000" w:themeColor="text1"/>
                      <w:szCs w:val="21"/>
                    </w:rPr>
                    <w:t>03</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r>
                    <w:rPr>
                      <w:rFonts w:hint="eastAsia" w:eastAsiaTheme="minorEastAsia"/>
                      <w:color w:val="000000" w:themeColor="text1"/>
                      <w:szCs w:val="21"/>
                    </w:rPr>
                    <w:t>0.5</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达标</w:t>
                  </w:r>
                </w:p>
              </w:tc>
            </w:tr>
            <w:tr>
              <w:tblPrEx>
                <w:tblCellMar>
                  <w:top w:w="0" w:type="dxa"/>
                  <w:left w:w="108" w:type="dxa"/>
                  <w:bottom w:w="0" w:type="dxa"/>
                  <w:right w:w="108" w:type="dxa"/>
                </w:tblCellMar>
              </w:tblPrEx>
              <w:tc>
                <w:tcPr>
                  <w:tcW w:w="1082" w:type="dxa"/>
                  <w:vMerge w:val="continue"/>
                  <w:tcBorders>
                    <w:top w:val="nil"/>
                    <w:left w:val="single" w:color="auto" w:sz="8" w:space="0"/>
                    <w:bottom w:val="single" w:color="000000" w:sz="8" w:space="0"/>
                    <w:right w:val="single" w:color="auto" w:sz="8" w:space="0"/>
                  </w:tcBorders>
                  <w:vAlign w:val="center"/>
                </w:tcPr>
                <w:p>
                  <w:pPr>
                    <w:pStyle w:val="30"/>
                    <w:spacing w:line="360" w:lineRule="exact"/>
                    <w:rPr>
                      <w:rFonts w:eastAsiaTheme="minorEastAsia"/>
                      <w:color w:val="000000" w:themeColor="text1"/>
                      <w:szCs w:val="21"/>
                    </w:rPr>
                  </w:pPr>
                </w:p>
              </w:tc>
              <w:tc>
                <w:tcPr>
                  <w:tcW w:w="1406"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粪大肠菌群数（</w:t>
                  </w:r>
                  <w:r>
                    <w:rPr>
                      <w:rFonts w:eastAsiaTheme="minorEastAsia"/>
                      <w:color w:val="000000" w:themeColor="text1"/>
                      <w:szCs w:val="21"/>
                    </w:rPr>
                    <w:t>MPN/L</w:t>
                  </w:r>
                  <w:r>
                    <w:rPr>
                      <w:rFonts w:hint="eastAsia" w:eastAsiaTheme="minorEastAsia"/>
                      <w:color w:val="000000" w:themeColor="text1"/>
                      <w:szCs w:val="21"/>
                    </w:rPr>
                    <w:t>）</w:t>
                  </w:r>
                </w:p>
              </w:tc>
              <w:tc>
                <w:tcPr>
                  <w:tcW w:w="113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8000</w:t>
                  </w:r>
                </w:p>
              </w:tc>
              <w:tc>
                <w:tcPr>
                  <w:tcW w:w="970"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　</w:t>
                  </w:r>
                </w:p>
              </w:tc>
              <w:tc>
                <w:tcPr>
                  <w:tcW w:w="111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124"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082" w:type="dxa"/>
                  <w:tcBorders>
                    <w:top w:val="nil"/>
                    <w:left w:val="nil"/>
                    <w:bottom w:val="single" w:color="auto" w:sz="8" w:space="0"/>
                    <w:right w:val="single" w:color="auto" w:sz="8" w:space="0"/>
                  </w:tcBorders>
                  <w:shd w:val="clear" w:color="auto" w:fill="auto"/>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bl>
          <w:p>
            <w:pPr>
              <w:spacing w:beforeLines="50"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由上表可知，经一体化污水处理设施处理后的生活污水可达到《城市污水再生利用 城市杂用水水质》（GB/T18920-2020）中城市绿化标准。</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3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⑶</w:t>
            </w:r>
            <w:r>
              <w:rPr>
                <w:rFonts w:ascii="Times New Roman" w:hAnsi="Times New Roman" w:cs="Times New Roman"/>
                <w:b/>
                <w:color w:val="000000" w:themeColor="text1"/>
                <w:sz w:val="24"/>
                <w:szCs w:val="24"/>
              </w:rPr>
              <w:fldChar w:fldCharType="end"/>
            </w:r>
            <w:r>
              <w:rPr>
                <w:rFonts w:hint="eastAsia" w:ascii="Times New Roman" w:hAnsi="Times New Roman" w:cs="Times New Roman"/>
                <w:b/>
                <w:color w:val="000000" w:themeColor="text1"/>
                <w:sz w:val="24"/>
                <w:szCs w:val="24"/>
              </w:rPr>
              <w:t>初期雨水产排量及达标情况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根据项目产污环节和废水污染物治理措施可知，初期雨水</w:t>
            </w:r>
            <w:r>
              <w:rPr>
                <w:rFonts w:hint="eastAsia" w:ascii="Times New Roman" w:hAnsi="Times New Roman" w:cs="Times New Roman"/>
                <w:color w:val="000000" w:themeColor="text1"/>
                <w:sz w:val="24"/>
              </w:rPr>
              <w:t>的主要污染物为CODcr和SS，项目拟配套设置了1个30m³的初期雨水收集池对厂区初期雨水进行收集，收集沉淀处理后回用于绿化，不外排；由于</w:t>
            </w:r>
            <w:r>
              <w:rPr>
                <w:rFonts w:ascii="Times New Roman" w:hAnsi="Times New Roman" w:cs="Times New Roman"/>
                <w:color w:val="000000" w:themeColor="text1"/>
                <w:sz w:val="24"/>
              </w:rPr>
              <w:t>《城市污水再生利用 城市杂用水水质》（GB/T18920-2020）中城市绿化标准</w:t>
            </w:r>
            <w:r>
              <w:rPr>
                <w:rFonts w:hint="eastAsia" w:ascii="Times New Roman" w:hAnsi="Times New Roman" w:cs="Times New Roman"/>
                <w:color w:val="000000" w:themeColor="text1"/>
                <w:sz w:val="24"/>
              </w:rPr>
              <w:t>，因此回用可行。</w:t>
            </w:r>
          </w:p>
          <w:p>
            <w:pPr>
              <w:spacing w:line="360" w:lineRule="auto"/>
              <w:ind w:firstLine="361" w:firstLineChars="15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水平衡</w:t>
            </w:r>
          </w:p>
          <w:p>
            <w:pPr>
              <w:pStyle w:val="38"/>
              <w:ind w:firstLine="480"/>
              <w:rPr>
                <w:rFonts w:hAnsiTheme="minorEastAsia" w:eastAsiaTheme="minorEastAsia"/>
                <w:color w:val="000000" w:themeColor="text1"/>
                <w:szCs w:val="24"/>
              </w:rPr>
            </w:pPr>
            <w:r>
              <w:rPr>
                <w:rFonts w:hAnsiTheme="minorEastAsia" w:eastAsiaTheme="minorEastAsia"/>
                <w:color w:val="000000" w:themeColor="text1"/>
                <w:szCs w:val="24"/>
              </w:rPr>
              <w:t>通过核算，本项目用排水情况详见下表。</w:t>
            </w:r>
          </w:p>
          <w:p>
            <w:pPr>
              <w:jc w:val="center"/>
              <w:rPr>
                <w:rFonts w:ascii="Times New Roman" w:hAnsi="Times New Roman" w:cs="Times New Roman"/>
                <w:b/>
                <w:bCs/>
                <w:color w:val="000000" w:themeColor="text1"/>
                <w:kern w:val="0"/>
              </w:rPr>
            </w:pPr>
            <w:r>
              <w:rPr>
                <w:rFonts w:ascii="Times New Roman" w:cs="Times New Roman" w:hAnsiTheme="minorEastAsia"/>
                <w:b/>
                <w:bCs/>
                <w:color w:val="000000" w:themeColor="text1"/>
                <w:kern w:val="0"/>
              </w:rPr>
              <w:t>表</w:t>
            </w:r>
            <w:r>
              <w:rPr>
                <w:rFonts w:hint="eastAsia" w:ascii="Times New Roman" w:hAnsi="Times New Roman" w:cs="Times New Roman"/>
                <w:b/>
                <w:bCs/>
                <w:color w:val="000000" w:themeColor="text1"/>
                <w:kern w:val="0"/>
              </w:rPr>
              <w:t>4.2</w:t>
            </w:r>
            <w:r>
              <w:rPr>
                <w:rFonts w:ascii="Times New Roman" w:hAnsi="Times New Roman" w:cs="Times New Roman"/>
                <w:b/>
                <w:bCs/>
                <w:color w:val="000000" w:themeColor="text1"/>
                <w:kern w:val="0"/>
              </w:rPr>
              <w:t>.2-</w:t>
            </w:r>
            <w:r>
              <w:rPr>
                <w:rFonts w:hint="eastAsia" w:ascii="Times New Roman" w:hAnsi="Times New Roman" w:cs="Times New Roman"/>
                <w:b/>
                <w:bCs/>
                <w:color w:val="000000" w:themeColor="text1"/>
                <w:kern w:val="0"/>
              </w:rPr>
              <w:t>4</w:t>
            </w:r>
            <w:r>
              <w:rPr>
                <w:rFonts w:ascii="Times New Roman" w:hAnsi="Times New Roman" w:cs="Times New Roman"/>
                <w:b/>
                <w:bCs/>
                <w:color w:val="000000" w:themeColor="text1"/>
                <w:kern w:val="0"/>
              </w:rPr>
              <w:t xml:space="preserve">  </w:t>
            </w:r>
            <w:r>
              <w:rPr>
                <w:rFonts w:ascii="Times New Roman" w:cs="Times New Roman" w:hAnsiTheme="minorEastAsia"/>
                <w:b/>
                <w:bCs/>
                <w:color w:val="000000" w:themeColor="text1"/>
                <w:kern w:val="0"/>
              </w:rPr>
              <w:t>项目供排水情况一览表</w:t>
            </w:r>
          </w:p>
          <w:tbl>
            <w:tblPr>
              <w:tblStyle w:val="19"/>
              <w:tblW w:w="5000" w:type="pct"/>
              <w:jc w:val="center"/>
              <w:tblLayout w:type="fixed"/>
              <w:tblCellMar>
                <w:top w:w="0" w:type="dxa"/>
                <w:left w:w="108" w:type="dxa"/>
                <w:bottom w:w="0" w:type="dxa"/>
                <w:right w:w="108" w:type="dxa"/>
              </w:tblCellMar>
            </w:tblPr>
            <w:tblGrid>
              <w:gridCol w:w="1603"/>
              <w:gridCol w:w="1557"/>
              <w:gridCol w:w="1410"/>
              <w:gridCol w:w="1120"/>
              <w:gridCol w:w="1064"/>
              <w:gridCol w:w="1279"/>
              <w:gridCol w:w="1020"/>
            </w:tblGrid>
            <w:tr>
              <w:tblPrEx>
                <w:tblCellMar>
                  <w:top w:w="0" w:type="dxa"/>
                  <w:left w:w="108" w:type="dxa"/>
                  <w:bottom w:w="0" w:type="dxa"/>
                  <w:right w:w="108" w:type="dxa"/>
                </w:tblCellMar>
              </w:tblPrEx>
              <w:trPr>
                <w:trHeight w:val="67" w:hRule="atLeast"/>
                <w:jc w:val="center"/>
              </w:trPr>
              <w:tc>
                <w:tcPr>
                  <w:tcW w:w="1599" w:type="dxa"/>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用水单元</w:t>
                  </w:r>
                </w:p>
              </w:tc>
              <w:tc>
                <w:tcPr>
                  <w:tcW w:w="1554"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规模</w:t>
                  </w:r>
                </w:p>
              </w:tc>
              <w:tc>
                <w:tcPr>
                  <w:tcW w:w="1407"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用水定额</w:t>
                  </w:r>
                </w:p>
              </w:tc>
              <w:tc>
                <w:tcPr>
                  <w:tcW w:w="2180"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用水量</w:t>
                  </w:r>
                </w:p>
              </w:tc>
              <w:tc>
                <w:tcPr>
                  <w:tcW w:w="2294" w:type="dxa"/>
                  <w:gridSpan w:val="2"/>
                  <w:tcBorders>
                    <w:top w:val="single" w:color="auto" w:sz="8" w:space="0"/>
                    <w:left w:val="nil"/>
                    <w:bottom w:val="single" w:color="auto"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废水量</w:t>
                  </w:r>
                </w:p>
              </w:tc>
            </w:tr>
            <w:tr>
              <w:tblPrEx>
                <w:tblCellMar>
                  <w:top w:w="0" w:type="dxa"/>
                  <w:left w:w="108" w:type="dxa"/>
                  <w:bottom w:w="0" w:type="dxa"/>
                  <w:right w:w="108" w:type="dxa"/>
                </w:tblCellMar>
              </w:tblPrEx>
              <w:trPr>
                <w:trHeight w:val="285" w:hRule="atLeast"/>
                <w:jc w:val="center"/>
              </w:trPr>
              <w:tc>
                <w:tcPr>
                  <w:tcW w:w="1599" w:type="dxa"/>
                  <w:vMerge w:val="continue"/>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hAnsiTheme="minorEastAsia" w:eastAsiaTheme="minorEastAsia"/>
                      <w:color w:val="000000" w:themeColor="text1"/>
                    </w:rPr>
                  </w:pPr>
                </w:p>
              </w:tc>
              <w:tc>
                <w:tcPr>
                  <w:tcW w:w="1554"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hAnsiTheme="minorEastAsia" w:eastAsiaTheme="minorEastAsia"/>
                      <w:color w:val="000000" w:themeColor="text1"/>
                    </w:rPr>
                  </w:pPr>
                </w:p>
              </w:tc>
              <w:tc>
                <w:tcPr>
                  <w:tcW w:w="1407" w:type="dxa"/>
                  <w:vMerge w:val="continue"/>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hAnsiTheme="minorEastAsia" w:eastAsiaTheme="minorEastAsia"/>
                      <w:color w:val="000000" w:themeColor="text1"/>
                    </w:rPr>
                  </w:pP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m³/d</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m³/a</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m³/d</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m³/a</w:t>
                  </w:r>
                </w:p>
              </w:tc>
            </w:tr>
            <w:tr>
              <w:tblPrEx>
                <w:tblCellMar>
                  <w:top w:w="0" w:type="dxa"/>
                  <w:left w:w="108" w:type="dxa"/>
                  <w:bottom w:w="0" w:type="dxa"/>
                  <w:right w:w="108" w:type="dxa"/>
                </w:tblCellMar>
              </w:tblPrEx>
              <w:trPr>
                <w:trHeight w:val="285" w:hRule="atLeast"/>
                <w:jc w:val="center"/>
              </w:trPr>
              <w:tc>
                <w:tcPr>
                  <w:tcW w:w="1599" w:type="dxa"/>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平衡盐水</w:t>
                  </w:r>
                </w:p>
              </w:tc>
              <w:tc>
                <w:tcPr>
                  <w:tcW w:w="1554"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w:t>
                  </w:r>
                </w:p>
              </w:tc>
              <w:tc>
                <w:tcPr>
                  <w:tcW w:w="1407"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w:t>
                  </w: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0.008</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2.4</w:t>
                  </w:r>
                </w:p>
              </w:tc>
            </w:tr>
            <w:tr>
              <w:tblPrEx>
                <w:tblCellMar>
                  <w:top w:w="0" w:type="dxa"/>
                  <w:left w:w="108" w:type="dxa"/>
                  <w:bottom w:w="0" w:type="dxa"/>
                  <w:right w:w="108" w:type="dxa"/>
                </w:tblCellMar>
              </w:tblPrEx>
              <w:trPr>
                <w:trHeight w:val="285" w:hRule="atLeast"/>
                <w:jc w:val="center"/>
              </w:trPr>
              <w:tc>
                <w:tcPr>
                  <w:tcW w:w="1599" w:type="dxa"/>
                  <w:tcBorders>
                    <w:top w:val="single" w:color="auto" w:sz="8" w:space="0"/>
                    <w:left w:val="single" w:color="auto" w:sz="8" w:space="0"/>
                    <w:bottom w:val="single" w:color="000000" w:sz="8" w:space="0"/>
                    <w:right w:val="single" w:color="000000" w:sz="8" w:space="0"/>
                  </w:tcBorders>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绿化用水</w:t>
                  </w:r>
                </w:p>
              </w:tc>
              <w:tc>
                <w:tcPr>
                  <w:tcW w:w="1554"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6348m³</w:t>
                  </w:r>
                </w:p>
              </w:tc>
              <w:tc>
                <w:tcPr>
                  <w:tcW w:w="1407" w:type="dxa"/>
                  <w:tcBorders>
                    <w:top w:val="single" w:color="auto" w:sz="8" w:space="0"/>
                    <w:left w:val="single" w:color="auto" w:sz="8" w:space="0"/>
                    <w:bottom w:val="single" w:color="000000" w:sz="8" w:space="0"/>
                    <w:right w:val="single" w:color="auto" w:sz="8" w:space="0"/>
                  </w:tcBorders>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3L/（m²·次）</w:t>
                  </w:r>
                </w:p>
              </w:tc>
              <w:tc>
                <w:tcPr>
                  <w:tcW w:w="1118"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19.04</w:t>
                  </w:r>
                </w:p>
              </w:tc>
              <w:tc>
                <w:tcPr>
                  <w:tcW w:w="1062"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4855.2</w:t>
                  </w:r>
                </w:p>
              </w:tc>
              <w:tc>
                <w:tcPr>
                  <w:tcW w:w="1276"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0</w:t>
                  </w:r>
                </w:p>
              </w:tc>
              <w:tc>
                <w:tcPr>
                  <w:tcW w:w="1018"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0</w:t>
                  </w:r>
                </w:p>
              </w:tc>
            </w:tr>
            <w:tr>
              <w:tblPrEx>
                <w:tblCellMar>
                  <w:top w:w="0" w:type="dxa"/>
                  <w:left w:w="108" w:type="dxa"/>
                  <w:bottom w:w="0" w:type="dxa"/>
                  <w:right w:w="108" w:type="dxa"/>
                </w:tblCellMar>
              </w:tblPrEx>
              <w:trPr>
                <w:trHeight w:val="285" w:hRule="atLeast"/>
                <w:jc w:val="center"/>
              </w:trPr>
              <w:tc>
                <w:tcPr>
                  <w:tcW w:w="1599" w:type="dxa"/>
                  <w:vMerge w:val="restart"/>
                  <w:tcBorders>
                    <w:top w:val="single" w:color="auto" w:sz="8" w:space="0"/>
                    <w:left w:val="single" w:color="auto"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生活用水</w:t>
                  </w:r>
                </w:p>
              </w:tc>
              <w:tc>
                <w:tcPr>
                  <w:tcW w:w="1554"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32</w:t>
                  </w:r>
                  <w:r>
                    <w:rPr>
                      <w:rFonts w:hAnsiTheme="minorEastAsia" w:eastAsiaTheme="minorEastAsia"/>
                      <w:color w:val="000000" w:themeColor="text1"/>
                    </w:rPr>
                    <w:t>人</w:t>
                  </w:r>
                </w:p>
              </w:tc>
              <w:tc>
                <w:tcPr>
                  <w:tcW w:w="1407"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10</w:t>
                  </w:r>
                  <w:r>
                    <w:rPr>
                      <w:rFonts w:hAnsiTheme="minorEastAsia" w:eastAsiaTheme="minorEastAsia"/>
                      <w:color w:val="000000" w:themeColor="text1"/>
                    </w:rPr>
                    <w:t>0L/d·人</w:t>
                  </w:r>
                </w:p>
              </w:tc>
              <w:tc>
                <w:tcPr>
                  <w:tcW w:w="1118" w:type="dxa"/>
                  <w:vMerge w:val="restart"/>
                  <w:tcBorders>
                    <w:top w:val="nil"/>
                    <w:left w:val="nil"/>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6.2</w:t>
                  </w:r>
                </w:p>
              </w:tc>
              <w:tc>
                <w:tcPr>
                  <w:tcW w:w="1062" w:type="dxa"/>
                  <w:vMerge w:val="restart"/>
                  <w:tcBorders>
                    <w:top w:val="nil"/>
                    <w:left w:val="nil"/>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1860</w:t>
                  </w:r>
                </w:p>
              </w:tc>
              <w:tc>
                <w:tcPr>
                  <w:tcW w:w="1276" w:type="dxa"/>
                  <w:vMerge w:val="restart"/>
                  <w:tcBorders>
                    <w:top w:val="nil"/>
                    <w:left w:val="nil"/>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4.96</w:t>
                  </w:r>
                </w:p>
              </w:tc>
              <w:tc>
                <w:tcPr>
                  <w:tcW w:w="1018" w:type="dxa"/>
                  <w:vMerge w:val="restart"/>
                  <w:tcBorders>
                    <w:top w:val="nil"/>
                    <w:left w:val="nil"/>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1488</w:t>
                  </w:r>
                </w:p>
              </w:tc>
            </w:tr>
            <w:tr>
              <w:tblPrEx>
                <w:tblCellMar>
                  <w:top w:w="0" w:type="dxa"/>
                  <w:left w:w="108" w:type="dxa"/>
                  <w:bottom w:w="0" w:type="dxa"/>
                  <w:right w:w="108" w:type="dxa"/>
                </w:tblCellMar>
              </w:tblPrEx>
              <w:trPr>
                <w:trHeight w:val="285" w:hRule="atLeast"/>
                <w:jc w:val="center"/>
              </w:trPr>
              <w:tc>
                <w:tcPr>
                  <w:tcW w:w="1599" w:type="dxa"/>
                  <w:vMerge w:val="continue"/>
                  <w:tcBorders>
                    <w:left w:val="single" w:color="auto" w:sz="8" w:space="0"/>
                    <w:bottom w:val="single" w:color="auto" w:sz="4"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p>
              </w:tc>
              <w:tc>
                <w:tcPr>
                  <w:tcW w:w="1554"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50</w:t>
                  </w:r>
                  <w:r>
                    <w:rPr>
                      <w:rFonts w:hAnsiTheme="minorEastAsia" w:eastAsiaTheme="minorEastAsia"/>
                      <w:color w:val="000000" w:themeColor="text1"/>
                    </w:rPr>
                    <w:t>人</w:t>
                  </w:r>
                </w:p>
              </w:tc>
              <w:tc>
                <w:tcPr>
                  <w:tcW w:w="1407" w:type="dxa"/>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60L/d·人</w:t>
                  </w:r>
                </w:p>
              </w:tc>
              <w:tc>
                <w:tcPr>
                  <w:tcW w:w="1118"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p>
              </w:tc>
              <w:tc>
                <w:tcPr>
                  <w:tcW w:w="1062"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p>
              </w:tc>
              <w:tc>
                <w:tcPr>
                  <w:tcW w:w="1276"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p>
              </w:tc>
              <w:tc>
                <w:tcPr>
                  <w:tcW w:w="1018" w:type="dxa"/>
                  <w:vMerge w:val="continue"/>
                  <w:tcBorders>
                    <w:left w:val="nil"/>
                    <w:bottom w:val="single" w:color="auto" w:sz="4"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p>
              </w:tc>
            </w:tr>
            <w:tr>
              <w:tblPrEx>
                <w:tblCellMar>
                  <w:top w:w="0" w:type="dxa"/>
                  <w:left w:w="108" w:type="dxa"/>
                  <w:bottom w:w="0" w:type="dxa"/>
                  <w:right w:w="108" w:type="dxa"/>
                </w:tblCellMar>
              </w:tblPrEx>
              <w:trPr>
                <w:trHeight w:val="285" w:hRule="atLeast"/>
                <w:jc w:val="center"/>
              </w:trPr>
              <w:tc>
                <w:tcPr>
                  <w:tcW w:w="1599" w:type="dxa"/>
                  <w:tcBorders>
                    <w:top w:val="single" w:color="auto" w:sz="4" w:space="0"/>
                    <w:left w:val="single" w:color="auto" w:sz="8" w:space="0"/>
                    <w:bottom w:val="single" w:color="auto"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初期雨水</w:t>
                  </w:r>
                </w:p>
              </w:tc>
              <w:tc>
                <w:tcPr>
                  <w:tcW w:w="2961" w:type="dxa"/>
                  <w:gridSpan w:val="2"/>
                  <w:tcBorders>
                    <w:top w:val="nil"/>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可能受污染区6000m²</w:t>
                  </w:r>
                </w:p>
              </w:tc>
              <w:tc>
                <w:tcPr>
                  <w:tcW w:w="11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0</w:t>
                  </w:r>
                </w:p>
              </w:tc>
              <w:tc>
                <w:tcPr>
                  <w:tcW w:w="106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0</w:t>
                  </w:r>
                </w:p>
              </w:tc>
              <w:tc>
                <w:tcPr>
                  <w:tcW w:w="1276"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11.50</w:t>
                  </w:r>
                  <w:r>
                    <w:rPr>
                      <w:rFonts w:hAnsiTheme="minorEastAsia" w:eastAsiaTheme="minorEastAsia"/>
                      <w:color w:val="000000" w:themeColor="text1"/>
                    </w:rPr>
                    <w:t>m³/次</w:t>
                  </w:r>
                </w:p>
              </w:tc>
              <w:tc>
                <w:tcPr>
                  <w:tcW w:w="10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int="eastAsia" w:hAnsiTheme="minorEastAsia" w:eastAsiaTheme="minorEastAsia"/>
                      <w:color w:val="000000" w:themeColor="text1"/>
                    </w:rPr>
                    <w:t>--</w:t>
                  </w:r>
                </w:p>
              </w:tc>
            </w:tr>
            <w:tr>
              <w:tblPrEx>
                <w:tblCellMar>
                  <w:top w:w="0" w:type="dxa"/>
                  <w:left w:w="108" w:type="dxa"/>
                  <w:bottom w:w="0" w:type="dxa"/>
                  <w:right w:w="108" w:type="dxa"/>
                </w:tblCellMar>
              </w:tblPrEx>
              <w:trPr>
                <w:trHeight w:val="330" w:hRule="atLeast"/>
                <w:jc w:val="center"/>
              </w:trPr>
              <w:tc>
                <w:tcPr>
                  <w:tcW w:w="1599" w:type="dxa"/>
                  <w:tcBorders>
                    <w:top w:val="single" w:color="auto" w:sz="8" w:space="0"/>
                    <w:left w:val="single" w:color="auto" w:sz="8" w:space="0"/>
                    <w:bottom w:val="single" w:color="auto"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合计</w:t>
                  </w:r>
                </w:p>
              </w:tc>
              <w:tc>
                <w:tcPr>
                  <w:tcW w:w="1554"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w:t>
                  </w:r>
                </w:p>
              </w:tc>
              <w:tc>
                <w:tcPr>
                  <w:tcW w:w="1407"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w:t>
                  </w:r>
                </w:p>
              </w:tc>
              <w:tc>
                <w:tcPr>
                  <w:tcW w:w="1118"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25.24</w:t>
                  </w:r>
                </w:p>
              </w:tc>
              <w:tc>
                <w:tcPr>
                  <w:tcW w:w="1062" w:type="dxa"/>
                  <w:tcBorders>
                    <w:top w:val="single" w:color="auto" w:sz="4" w:space="0"/>
                    <w:left w:val="nil"/>
                    <w:bottom w:val="single" w:color="auto" w:sz="8" w:space="0"/>
                    <w:right w:val="single" w:color="auto"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6715.2</w:t>
                  </w:r>
                </w:p>
              </w:tc>
              <w:tc>
                <w:tcPr>
                  <w:tcW w:w="1276" w:type="dxa"/>
                  <w:tcBorders>
                    <w:top w:val="single" w:color="auto" w:sz="8" w:space="0"/>
                    <w:left w:val="nil"/>
                    <w:bottom w:val="single" w:color="auto" w:sz="8" w:space="0"/>
                    <w:right w:val="single" w:color="auto" w:sz="4"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4.968</w:t>
                  </w:r>
                </w:p>
              </w:tc>
              <w:tc>
                <w:tcPr>
                  <w:tcW w:w="1018" w:type="dxa"/>
                  <w:tcBorders>
                    <w:top w:val="single" w:color="auto" w:sz="8" w:space="0"/>
                    <w:left w:val="single" w:color="auto" w:sz="4" w:space="0"/>
                    <w:bottom w:val="single" w:color="auto" w:sz="8" w:space="0"/>
                    <w:right w:val="single" w:color="000000" w:sz="8" w:space="0"/>
                  </w:tcBorders>
                  <w:shd w:val="clear" w:color="auto" w:fill="auto"/>
                  <w:vAlign w:val="center"/>
                </w:tcPr>
                <w:p>
                  <w:pPr>
                    <w:pStyle w:val="30"/>
                    <w:spacing w:line="360" w:lineRule="exact"/>
                    <w:rPr>
                      <w:rFonts w:hAnsiTheme="minorEastAsia" w:eastAsiaTheme="minorEastAsia"/>
                      <w:color w:val="000000" w:themeColor="text1"/>
                    </w:rPr>
                  </w:pPr>
                  <w:r>
                    <w:rPr>
                      <w:rFonts w:hAnsiTheme="minorEastAsia" w:eastAsiaTheme="minorEastAsia"/>
                      <w:color w:val="000000" w:themeColor="text1"/>
                    </w:rPr>
                    <w:t>1490.4</w:t>
                  </w:r>
                </w:p>
              </w:tc>
            </w:tr>
          </w:tbl>
          <w:p>
            <w:pPr>
              <w:pStyle w:val="38"/>
              <w:spacing w:beforeLines="50"/>
              <w:ind w:firstLine="480"/>
              <w:rPr>
                <w:rFonts w:hAnsiTheme="minorEastAsia" w:eastAsiaTheme="minorEastAsia"/>
                <w:color w:val="000000" w:themeColor="text1"/>
                <w:szCs w:val="24"/>
              </w:rPr>
            </w:pPr>
            <w:r>
              <w:rPr>
                <w:rFonts w:hAnsiTheme="minorEastAsia" w:eastAsiaTheme="minorEastAsia"/>
                <w:color w:val="000000" w:themeColor="text1"/>
                <w:szCs w:val="24"/>
              </w:rPr>
              <w:fldChar w:fldCharType="begin"/>
            </w:r>
            <w:r>
              <w:rPr>
                <w:rFonts w:hAnsiTheme="minorEastAsia" w:eastAsiaTheme="minorEastAsia"/>
                <w:color w:val="000000" w:themeColor="text1"/>
                <w:szCs w:val="24"/>
              </w:rPr>
              <w:instrText xml:space="preserve"> </w:instrText>
            </w:r>
            <w:r>
              <w:rPr>
                <w:rFonts w:hint="eastAsia" w:hAnsiTheme="minorEastAsia" w:eastAsiaTheme="minorEastAsia"/>
                <w:color w:val="000000" w:themeColor="text1"/>
                <w:szCs w:val="24"/>
              </w:rPr>
              <w:instrText xml:space="preserve">= 1 \* GB2</w:instrText>
            </w:r>
            <w:r>
              <w:rPr>
                <w:rFonts w:hAnsiTheme="minorEastAsia" w:eastAsiaTheme="minorEastAsia"/>
                <w:color w:val="000000" w:themeColor="text1"/>
                <w:szCs w:val="24"/>
              </w:rPr>
              <w:instrText xml:space="preserve"> </w:instrText>
            </w:r>
            <w:r>
              <w:rPr>
                <w:rFonts w:hAnsiTheme="minorEastAsia" w:eastAsiaTheme="minorEastAsia"/>
                <w:color w:val="000000" w:themeColor="text1"/>
                <w:szCs w:val="24"/>
              </w:rPr>
              <w:fldChar w:fldCharType="separate"/>
            </w:r>
            <w:r>
              <w:rPr>
                <w:rFonts w:hint="eastAsia" w:hAnsiTheme="minorEastAsia" w:eastAsiaTheme="minorEastAsia"/>
                <w:color w:val="000000" w:themeColor="text1"/>
                <w:szCs w:val="24"/>
              </w:rPr>
              <w:t>⑴</w:t>
            </w:r>
            <w:r>
              <w:rPr>
                <w:rFonts w:hAnsiTheme="minorEastAsia" w:eastAsiaTheme="minorEastAsia"/>
                <w:color w:val="000000" w:themeColor="text1"/>
                <w:szCs w:val="24"/>
              </w:rPr>
              <w:fldChar w:fldCharType="end"/>
            </w:r>
            <w:r>
              <w:rPr>
                <w:rFonts w:hAnsiTheme="minorEastAsia" w:eastAsiaTheme="minorEastAsia"/>
                <w:color w:val="000000" w:themeColor="text1"/>
                <w:szCs w:val="24"/>
              </w:rPr>
              <w:t>非雨天水平衡如下图所示。</w:t>
            </w:r>
          </w:p>
          <w:p>
            <w:pPr>
              <w:jc w:val="center"/>
              <w:rPr>
                <w:rFonts w:ascii="Times New Roman" w:cs="Times New Roman" w:hAnsiTheme="minorEastAsia"/>
                <w:b/>
                <w:bCs/>
                <w:color w:val="000000" w:themeColor="text1"/>
                <w:kern w:val="0"/>
              </w:rPr>
            </w:pPr>
            <w:r>
              <w:rPr>
                <w:color w:val="000000" w:themeColor="text1"/>
              </w:rPr>
              <w:object>
                <v:shape id="_x0000_i1030" o:spt="75" type="#_x0000_t75" style="height:279pt;width:407.4pt;" o:ole="t" filled="f" o:preferrelative="t" stroked="f" coordsize="21600,21600">
                  <v:path/>
                  <v:fill on="f" focussize="0,0"/>
                  <v:stroke on="f" joinstyle="miter"/>
                  <v:imagedata r:id="rId34" o:title=""/>
                  <o:lock v:ext="edit" aspectratio="t"/>
                  <w10:wrap type="none"/>
                  <w10:anchorlock/>
                </v:shape>
                <o:OLEObject Type="Embed" ProgID="Visio.Drawing.11" ShapeID="_x0000_i1030" DrawAspect="Content" ObjectID="_1468075730" r:id="rId33">
                  <o:LockedField>false</o:LockedField>
                </o:OLEObject>
              </w:object>
            </w:r>
          </w:p>
          <w:p>
            <w:pPr>
              <w:jc w:val="center"/>
              <w:rPr>
                <w:rFonts w:ascii="Times New Roman" w:cs="Times New Roman" w:hAnsiTheme="minorEastAsia"/>
                <w:b/>
                <w:bCs/>
                <w:color w:val="000000" w:themeColor="text1"/>
                <w:kern w:val="0"/>
              </w:rPr>
            </w:pPr>
            <w:r>
              <w:rPr>
                <w:rFonts w:ascii="Times New Roman" w:cs="Times New Roman" w:hAnsiTheme="minorEastAsia"/>
                <w:b/>
                <w:bCs/>
                <w:color w:val="000000" w:themeColor="text1"/>
                <w:kern w:val="0"/>
              </w:rPr>
              <w:t>图</w:t>
            </w:r>
            <w:r>
              <w:rPr>
                <w:rFonts w:hint="eastAsia" w:ascii="Times New Roman" w:cs="Times New Roman" w:hAnsiTheme="minorEastAsia"/>
                <w:b/>
                <w:bCs/>
                <w:color w:val="000000" w:themeColor="text1"/>
                <w:kern w:val="0"/>
              </w:rPr>
              <w:t>4.2</w:t>
            </w:r>
            <w:r>
              <w:rPr>
                <w:rFonts w:ascii="Times New Roman" w:cs="Times New Roman" w:hAnsiTheme="minorEastAsia"/>
                <w:b/>
                <w:bCs/>
                <w:color w:val="000000" w:themeColor="text1"/>
                <w:kern w:val="0"/>
              </w:rPr>
              <w:t>.2-1 项目非雨天水平衡水平衡图 m³/d</w:t>
            </w:r>
          </w:p>
          <w:p>
            <w:pPr>
              <w:pStyle w:val="38"/>
              <w:spacing w:beforeLines="50"/>
              <w:ind w:firstLine="480"/>
              <w:rPr>
                <w:rFonts w:hint="eastAsia" w:hAnsiTheme="minorEastAsia" w:eastAsiaTheme="minorEastAsia"/>
                <w:color w:val="000000" w:themeColor="text1"/>
                <w:szCs w:val="24"/>
              </w:rPr>
            </w:pPr>
            <w:r>
              <w:rPr>
                <w:rFonts w:hAnsiTheme="minorEastAsia" w:eastAsiaTheme="minorEastAsia"/>
                <w:color w:val="000000" w:themeColor="text1"/>
                <w:szCs w:val="24"/>
              </w:rPr>
              <w:fldChar w:fldCharType="begin"/>
            </w:r>
            <w:r>
              <w:rPr>
                <w:rFonts w:hAnsiTheme="minorEastAsia" w:eastAsiaTheme="minorEastAsia"/>
                <w:color w:val="000000" w:themeColor="text1"/>
                <w:szCs w:val="24"/>
              </w:rPr>
              <w:instrText xml:space="preserve"> </w:instrText>
            </w:r>
            <w:r>
              <w:rPr>
                <w:rFonts w:hint="eastAsia" w:hAnsiTheme="minorEastAsia" w:eastAsiaTheme="minorEastAsia"/>
                <w:color w:val="000000" w:themeColor="text1"/>
                <w:szCs w:val="24"/>
              </w:rPr>
              <w:instrText xml:space="preserve">= 2 \* GB2</w:instrText>
            </w:r>
            <w:r>
              <w:rPr>
                <w:rFonts w:hAnsiTheme="minorEastAsia" w:eastAsiaTheme="minorEastAsia"/>
                <w:color w:val="000000" w:themeColor="text1"/>
                <w:szCs w:val="24"/>
              </w:rPr>
              <w:instrText xml:space="preserve"> </w:instrText>
            </w:r>
            <w:r>
              <w:rPr>
                <w:rFonts w:hAnsiTheme="minorEastAsia" w:eastAsiaTheme="minorEastAsia"/>
                <w:color w:val="000000" w:themeColor="text1"/>
                <w:szCs w:val="24"/>
              </w:rPr>
              <w:fldChar w:fldCharType="separate"/>
            </w:r>
            <w:r>
              <w:rPr>
                <w:rFonts w:hint="eastAsia" w:hAnsiTheme="minorEastAsia" w:eastAsiaTheme="minorEastAsia"/>
                <w:color w:val="000000" w:themeColor="text1"/>
                <w:szCs w:val="24"/>
              </w:rPr>
              <w:t>⑵</w:t>
            </w:r>
            <w:r>
              <w:rPr>
                <w:rFonts w:hAnsiTheme="minorEastAsia" w:eastAsiaTheme="minorEastAsia"/>
                <w:color w:val="000000" w:themeColor="text1"/>
                <w:szCs w:val="24"/>
              </w:rPr>
              <w:fldChar w:fldCharType="end"/>
            </w:r>
            <w:r>
              <w:rPr>
                <w:rFonts w:hAnsiTheme="minorEastAsia" w:eastAsiaTheme="minorEastAsia"/>
                <w:color w:val="000000" w:themeColor="text1"/>
                <w:szCs w:val="24"/>
              </w:rPr>
              <w:t>雨天水平衡如下图所示。</w:t>
            </w:r>
          </w:p>
          <w:p>
            <w:pPr>
              <w:pStyle w:val="38"/>
              <w:spacing w:beforeLines="50"/>
              <w:ind w:firstLine="480"/>
              <w:rPr>
                <w:rFonts w:hint="eastAsia" w:hAnsiTheme="minorEastAsia" w:eastAsiaTheme="minorEastAsia"/>
                <w:color w:val="000000" w:themeColor="text1"/>
                <w:szCs w:val="24"/>
              </w:rPr>
            </w:pPr>
          </w:p>
          <w:p>
            <w:pPr>
              <w:pStyle w:val="38"/>
              <w:spacing w:beforeLines="50"/>
              <w:ind w:firstLine="480"/>
              <w:rPr>
                <w:rFonts w:hint="eastAsia" w:hAnsiTheme="minorEastAsia" w:eastAsiaTheme="minorEastAsia"/>
                <w:color w:val="000000" w:themeColor="text1"/>
                <w:szCs w:val="24"/>
              </w:rPr>
            </w:pPr>
          </w:p>
          <w:p>
            <w:pPr>
              <w:pStyle w:val="38"/>
              <w:spacing w:beforeLines="50"/>
              <w:ind w:firstLine="480"/>
              <w:rPr>
                <w:rFonts w:hAnsiTheme="minorEastAsia" w:eastAsiaTheme="minorEastAsia"/>
                <w:color w:val="000000" w:themeColor="text1"/>
                <w:szCs w:val="24"/>
              </w:rPr>
            </w:pPr>
          </w:p>
          <w:p>
            <w:pPr>
              <w:jc w:val="center"/>
              <w:rPr>
                <w:rFonts w:ascii="Times New Roman" w:cs="Times New Roman" w:hAnsiTheme="minorEastAsia"/>
                <w:b/>
                <w:bCs/>
                <w:color w:val="000000" w:themeColor="text1"/>
                <w:kern w:val="0"/>
              </w:rPr>
            </w:pPr>
            <w:r>
              <w:rPr>
                <w:color w:val="000000" w:themeColor="text1"/>
              </w:rPr>
              <w:object>
                <v:shape id="_x0000_i1031" o:spt="75" type="#_x0000_t75" style="height:335.4pt;width:402.6pt;" o:ole="t" filled="f" o:preferrelative="t" stroked="f" coordsize="21600,21600">
                  <v:path/>
                  <v:fill on="f" focussize="0,0"/>
                  <v:stroke on="f" joinstyle="miter"/>
                  <v:imagedata r:id="rId36" o:title=""/>
                  <o:lock v:ext="edit" aspectratio="t"/>
                  <w10:wrap type="none"/>
                  <w10:anchorlock/>
                </v:shape>
                <o:OLEObject Type="Embed" ProgID="Visio.Drawing.11" ShapeID="_x0000_i1031" DrawAspect="Content" ObjectID="_1468075731" r:id="rId35">
                  <o:LockedField>false</o:LockedField>
                </o:OLEObject>
              </w:object>
            </w:r>
          </w:p>
          <w:p>
            <w:pPr>
              <w:jc w:val="center"/>
              <w:rPr>
                <w:rFonts w:ascii="Times New Roman" w:cs="Times New Roman" w:hAnsiTheme="minorEastAsia"/>
                <w:b/>
                <w:bCs/>
                <w:color w:val="000000" w:themeColor="text1"/>
                <w:kern w:val="0"/>
              </w:rPr>
            </w:pPr>
            <w:r>
              <w:rPr>
                <w:rFonts w:ascii="Times New Roman" w:cs="Times New Roman" w:hAnsiTheme="minorEastAsia"/>
                <w:b/>
                <w:bCs/>
                <w:color w:val="000000" w:themeColor="text1"/>
                <w:kern w:val="0"/>
              </w:rPr>
              <w:t>图5.4.2-2 项目雨天水平衡图 m³/d</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污染治理设施可行性分析</w:t>
            </w:r>
          </w:p>
          <w:p>
            <w:pPr>
              <w:pStyle w:val="38"/>
              <w:ind w:firstLine="480"/>
              <w:rPr>
                <w:rFonts w:hAnsiTheme="minorEastAsia" w:eastAsiaTheme="minorEastAsia"/>
                <w:color w:val="000000" w:themeColor="text1"/>
                <w:szCs w:val="24"/>
              </w:rPr>
            </w:pPr>
            <w:r>
              <w:rPr>
                <w:rFonts w:hint="eastAsia" w:hAnsiTheme="minorEastAsia" w:eastAsiaTheme="minorEastAsia"/>
                <w:color w:val="000000" w:themeColor="text1"/>
                <w:szCs w:val="24"/>
              </w:rPr>
              <w:t>根据项目特点，本项目针对平衡盐水设置的盐水缸兑水稀释措施、隔油池、化粪池等措施均为已建，并投入生产，可实际措施可行，环评重点分析拟建设的一体化污水处理设施、清水池和初期雨水收集池的</w:t>
            </w:r>
            <w:r>
              <w:rPr>
                <w:rFonts w:hAnsiTheme="minorEastAsia" w:eastAsiaTheme="minorEastAsia"/>
                <w:color w:val="000000" w:themeColor="text1"/>
                <w:szCs w:val="24"/>
              </w:rPr>
              <w:t>可行性</w:t>
            </w:r>
            <w:r>
              <w:rPr>
                <w:rFonts w:hint="eastAsia" w:hAnsiTheme="minorEastAsia" w:eastAsiaTheme="minorEastAsia"/>
                <w:color w:val="000000" w:themeColor="text1"/>
                <w:szCs w:val="24"/>
              </w:rPr>
              <w:t>。</w:t>
            </w:r>
          </w:p>
          <w:p>
            <w:pPr>
              <w:spacing w:line="360" w:lineRule="auto"/>
              <w:ind w:firstLine="482" w:firstLineChars="200"/>
              <w:rPr>
                <w:color w:val="000000" w:themeColor="text1"/>
                <w:szCs w:val="24"/>
              </w:rPr>
            </w:pPr>
            <w:r>
              <w:rPr>
                <w:rFonts w:hint="eastAsia" w:ascii="Times New Roman" w:hAnsi="Times New Roman" w:cs="Times New Roman"/>
                <w:b/>
                <w:color w:val="000000" w:themeColor="text1"/>
                <w:sz w:val="24"/>
                <w:szCs w:val="24"/>
              </w:rPr>
              <w:t>①一体化污水处理设施</w:t>
            </w:r>
            <w:r>
              <w:rPr>
                <w:rFonts w:ascii="Times New Roman" w:hAnsi="Times New Roman" w:cs="Times New Roman"/>
                <w:b/>
                <w:color w:val="000000" w:themeColor="text1"/>
                <w:sz w:val="24"/>
                <w:szCs w:val="24"/>
              </w:rPr>
              <w:t>有效性分析</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1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一体化污水处理设施规模设置合理性分析</w:t>
            </w:r>
          </w:p>
          <w:p>
            <w:pPr>
              <w:pStyle w:val="38"/>
              <w:ind w:firstLine="480"/>
              <w:rPr>
                <w:rFonts w:eastAsiaTheme="minorEastAsia"/>
                <w:color w:val="000000" w:themeColor="text1"/>
                <w:szCs w:val="24"/>
              </w:rPr>
            </w:pPr>
            <w:r>
              <w:rPr>
                <w:rFonts w:eastAsiaTheme="minorEastAsia"/>
                <w:color w:val="000000" w:themeColor="text1"/>
                <w:szCs w:val="24"/>
              </w:rPr>
              <w:t>根据工程分析可知，本项目</w:t>
            </w:r>
            <w:r>
              <w:rPr>
                <w:rFonts w:hint="eastAsia" w:eastAsiaTheme="minorEastAsia"/>
                <w:color w:val="000000" w:themeColor="text1"/>
                <w:szCs w:val="24"/>
              </w:rPr>
              <w:t>生活污水</w:t>
            </w:r>
            <w:r>
              <w:rPr>
                <w:rFonts w:eastAsiaTheme="minorEastAsia"/>
                <w:color w:val="000000" w:themeColor="text1"/>
                <w:szCs w:val="24"/>
              </w:rPr>
              <w:t>产生量为</w:t>
            </w:r>
            <w:r>
              <w:rPr>
                <w:rFonts w:hint="eastAsia" w:eastAsiaTheme="minorEastAsia"/>
                <w:color w:val="000000" w:themeColor="text1"/>
                <w:szCs w:val="24"/>
              </w:rPr>
              <w:t>4.96m³/d</w:t>
            </w:r>
            <w:r>
              <w:rPr>
                <w:rFonts w:eastAsiaTheme="minorEastAsia"/>
                <w:color w:val="000000" w:themeColor="text1"/>
                <w:szCs w:val="24"/>
              </w:rPr>
              <w:t>，变化系数按照1.2计，则最大</w:t>
            </w:r>
            <w:r>
              <w:rPr>
                <w:rFonts w:hint="eastAsia" w:eastAsiaTheme="minorEastAsia"/>
                <w:color w:val="000000" w:themeColor="text1"/>
                <w:szCs w:val="24"/>
              </w:rPr>
              <w:t>废水</w:t>
            </w:r>
            <w:r>
              <w:rPr>
                <w:rFonts w:eastAsiaTheme="minorEastAsia"/>
                <w:color w:val="000000" w:themeColor="text1"/>
                <w:szCs w:val="24"/>
              </w:rPr>
              <w:t>量约为</w:t>
            </w:r>
            <w:r>
              <w:rPr>
                <w:rFonts w:hint="eastAsia" w:eastAsiaTheme="minorEastAsia"/>
                <w:color w:val="000000" w:themeColor="text1"/>
                <w:szCs w:val="24"/>
              </w:rPr>
              <w:t>5.95m³/d</w:t>
            </w:r>
            <w:r>
              <w:rPr>
                <w:rFonts w:eastAsiaTheme="minorEastAsia"/>
                <w:color w:val="000000" w:themeColor="text1"/>
                <w:szCs w:val="24"/>
              </w:rPr>
              <w:t>，而项目拟设置1套处理能力为</w:t>
            </w:r>
            <w:r>
              <w:rPr>
                <w:rFonts w:hint="eastAsia" w:eastAsiaTheme="minorEastAsia"/>
                <w:color w:val="000000" w:themeColor="text1"/>
                <w:szCs w:val="24"/>
              </w:rPr>
              <w:t>30m³/d的一体化污水处理设施</w:t>
            </w:r>
            <w:r>
              <w:rPr>
                <w:rFonts w:eastAsiaTheme="minorEastAsia"/>
                <w:color w:val="000000" w:themeColor="text1"/>
                <w:szCs w:val="24"/>
              </w:rPr>
              <w:t>其规模可满足要求。</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w:instrText>
            </w:r>
            <w:r>
              <w:rPr>
                <w:rFonts w:hint="eastAsia" w:ascii="Times New Roman" w:hAnsi="Times New Roman" w:cs="Times New Roman"/>
                <w:b/>
                <w:color w:val="000000" w:themeColor="text1"/>
                <w:sz w:val="24"/>
                <w:szCs w:val="24"/>
              </w:rPr>
              <w:instrText xml:space="preserve">= 2 \* GB2</w:instrText>
            </w:r>
            <w:r>
              <w:rPr>
                <w:rFonts w:ascii="Times New Roman" w:hAnsi="Times New Roman" w:cs="Times New Roman"/>
                <w:b/>
                <w:color w:val="000000" w:themeColor="text1"/>
                <w:sz w:val="24"/>
                <w:szCs w:val="24"/>
              </w:rPr>
              <w:instrText xml:space="preserve"> </w:instrText>
            </w:r>
            <w:r>
              <w:rPr>
                <w:rFonts w:ascii="Times New Roman" w:hAnsi="Times New Roman" w:cs="Times New Roman"/>
                <w:b/>
                <w:color w:val="000000" w:themeColor="text1"/>
                <w:sz w:val="24"/>
                <w:szCs w:val="24"/>
              </w:rPr>
              <w:fldChar w:fldCharType="separate"/>
            </w:r>
            <w:r>
              <w:rPr>
                <w:rFonts w:hint="eastAsia"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一体化污水处理设施工艺设置合理性分析</w:t>
            </w:r>
          </w:p>
          <w:p>
            <w:pPr>
              <w:pStyle w:val="38"/>
              <w:ind w:firstLine="480"/>
              <w:rPr>
                <w:rFonts w:eastAsiaTheme="minorEastAsia"/>
                <w:color w:val="000000" w:themeColor="text1"/>
                <w:szCs w:val="24"/>
              </w:rPr>
            </w:pPr>
            <w:r>
              <w:rPr>
                <w:rFonts w:eastAsiaTheme="minorEastAsia"/>
                <w:color w:val="000000" w:themeColor="text1"/>
                <w:szCs w:val="24"/>
              </w:rPr>
              <w:t>本项目设置的一体化污水处理设施购买成品进行安装，根据该一体化设施的设计资料，该设施拟采用生化处理工艺对生活污水进行处理，设计工艺如下图所示。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object>
                <v:shape id="_x0000_i1032" o:spt="75" type="#_x0000_t75" style="height:136.2pt;width:392.4pt;" o:ole="t" filled="f" o:preferrelative="t" stroked="f" coordsize="21600,21600">
                  <v:path/>
                  <v:fill on="f" focussize="0,0"/>
                  <v:stroke on="f" joinstyle="miter"/>
                  <v:imagedata r:id="rId38" o:title=""/>
                  <o:lock v:ext="edit" aspectratio="t"/>
                  <w10:wrap type="none"/>
                  <w10:anchorlock/>
                </v:shape>
                <o:OLEObject Type="Embed" ProgID="Visio.Drawing.11" ShapeID="_x0000_i1032" DrawAspect="Content" ObjectID="_1468075732" r:id="rId37">
                  <o:LockedField>false</o:LockedField>
                </o:OLEObject>
              </w:objec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图</w:t>
            </w:r>
            <w:r>
              <w:rPr>
                <w:rFonts w:hint="eastAsia" w:ascii="Times New Roman" w:hAnsi="Times New Roman" w:cs="Times New Roman"/>
                <w:b/>
                <w:color w:val="000000" w:themeColor="text1"/>
                <w:szCs w:val="24"/>
              </w:rPr>
              <w:t>4</w:t>
            </w:r>
            <w:r>
              <w:rPr>
                <w:rFonts w:ascii="Times New Roman" w:hAnsi="Times New Roman" w:cs="Times New Roman"/>
                <w:b/>
                <w:color w:val="000000" w:themeColor="text1"/>
                <w:szCs w:val="24"/>
              </w:rPr>
              <w:t>.2.2-</w:t>
            </w:r>
            <w:r>
              <w:rPr>
                <w:rFonts w:hint="eastAsia" w:ascii="Times New Roman" w:hAnsi="Times New Roman" w:cs="Times New Roman"/>
                <w:b/>
                <w:color w:val="000000" w:themeColor="text1"/>
                <w:szCs w:val="24"/>
              </w:rPr>
              <w:t>1</w:t>
            </w:r>
            <w:r>
              <w:rPr>
                <w:rFonts w:ascii="Times New Roman" w:hAnsi="Times New Roman" w:cs="Times New Roman"/>
                <w:b/>
                <w:color w:val="000000" w:themeColor="text1"/>
                <w:szCs w:val="24"/>
              </w:rPr>
              <w:t xml:space="preserve"> 污水处理工艺</w:t>
            </w:r>
            <w:r>
              <w:rPr>
                <w:rFonts w:hint="eastAsia" w:ascii="Times New Roman" w:hAnsi="Times New Roman" w:cs="Times New Roman"/>
                <w:b/>
                <w:color w:val="000000" w:themeColor="text1"/>
                <w:szCs w:val="24"/>
              </w:rPr>
              <w:t>流程图</w:t>
            </w:r>
          </w:p>
          <w:p>
            <w:pPr>
              <w:pStyle w:val="38"/>
              <w:ind w:firstLine="480"/>
              <w:rPr>
                <w:rFonts w:eastAsiaTheme="minorEastAsia"/>
                <w:color w:val="000000" w:themeColor="text1"/>
                <w:szCs w:val="24"/>
              </w:rPr>
            </w:pPr>
            <w:r>
              <w:rPr>
                <w:rFonts w:eastAsiaTheme="minorEastAsia"/>
                <w:color w:val="000000" w:themeColor="text1"/>
                <w:szCs w:val="24"/>
              </w:rPr>
              <w:t>污水处理工艺流程简述：</w:t>
            </w:r>
          </w:p>
          <w:p>
            <w:pPr>
              <w:pStyle w:val="38"/>
              <w:ind w:firstLine="480"/>
              <w:rPr>
                <w:rFonts w:eastAsiaTheme="minorEastAsia"/>
                <w:color w:val="000000" w:themeColor="text1"/>
                <w:szCs w:val="24"/>
              </w:rPr>
            </w:pPr>
            <w:r>
              <w:rPr>
                <w:rFonts w:eastAsiaTheme="minorEastAsia"/>
                <w:color w:val="000000" w:themeColor="text1"/>
                <w:szCs w:val="24"/>
              </w:rPr>
              <w:fldChar w:fldCharType="begin"/>
            </w:r>
            <w:r>
              <w:rPr>
                <w:rFonts w:eastAsiaTheme="minorEastAsia"/>
                <w:color w:val="000000" w:themeColor="text1"/>
                <w:szCs w:val="24"/>
              </w:rPr>
              <w:instrText xml:space="preserve"> </w:instrText>
            </w:r>
            <w:r>
              <w:rPr>
                <w:rFonts w:hint="eastAsia" w:eastAsiaTheme="minorEastAsia"/>
                <w:color w:val="000000" w:themeColor="text1"/>
                <w:szCs w:val="24"/>
              </w:rPr>
              <w:instrText xml:space="preserve">= 1 \* GB4</w:instrText>
            </w:r>
            <w:r>
              <w:rPr>
                <w:rFonts w:eastAsiaTheme="minorEastAsia"/>
                <w:color w:val="000000" w:themeColor="text1"/>
                <w:szCs w:val="24"/>
              </w:rPr>
              <w:instrText xml:space="preserve"> </w:instrText>
            </w:r>
            <w:r>
              <w:rPr>
                <w:rFonts w:eastAsiaTheme="minorEastAsia"/>
                <w:color w:val="000000" w:themeColor="text1"/>
                <w:szCs w:val="24"/>
              </w:rPr>
              <w:fldChar w:fldCharType="separate"/>
            </w:r>
            <w:r>
              <w:rPr>
                <w:rFonts w:hint="eastAsia" w:eastAsiaTheme="minorEastAsia"/>
                <w:color w:val="000000" w:themeColor="text1"/>
                <w:szCs w:val="24"/>
              </w:rPr>
              <w:t>㈠</w:t>
            </w:r>
            <w:r>
              <w:rPr>
                <w:rFonts w:eastAsiaTheme="minorEastAsia"/>
                <w:color w:val="000000" w:themeColor="text1"/>
                <w:szCs w:val="24"/>
              </w:rPr>
              <w:fldChar w:fldCharType="end"/>
            </w:r>
            <w:r>
              <w:rPr>
                <w:rFonts w:eastAsiaTheme="minorEastAsia"/>
                <w:color w:val="000000" w:themeColor="text1"/>
                <w:szCs w:val="24"/>
              </w:rPr>
              <w:t xml:space="preserve"> 调节池</w:t>
            </w:r>
          </w:p>
          <w:p>
            <w:pPr>
              <w:pStyle w:val="38"/>
              <w:ind w:firstLine="480"/>
              <w:rPr>
                <w:rFonts w:eastAsiaTheme="minorEastAsia"/>
                <w:color w:val="000000" w:themeColor="text1"/>
                <w:szCs w:val="24"/>
              </w:rPr>
            </w:pPr>
            <w:r>
              <w:rPr>
                <w:rFonts w:eastAsiaTheme="minorEastAsia"/>
                <w:color w:val="000000" w:themeColor="text1"/>
                <w:szCs w:val="24"/>
              </w:rPr>
              <w:t>进入调节池进行水量水质的混合。调节池兼酸化水解作用，将大分子有机污染物分解去除，由于调节池集生物降解、物理沉降和吸附为一体，污水中的颗粒和胶体污染物得到截留和吸附，并在产酸细菌等微生物作用下得到分化和降解。</w:t>
            </w:r>
          </w:p>
          <w:p>
            <w:pPr>
              <w:pStyle w:val="38"/>
              <w:ind w:firstLine="480"/>
              <w:rPr>
                <w:rFonts w:eastAsiaTheme="minorEastAsia"/>
                <w:color w:val="000000" w:themeColor="text1"/>
                <w:szCs w:val="24"/>
              </w:rPr>
            </w:pPr>
            <w:r>
              <w:rPr>
                <w:rFonts w:eastAsiaTheme="minorEastAsia"/>
                <w:color w:val="000000" w:themeColor="text1"/>
                <w:szCs w:val="24"/>
              </w:rPr>
              <w:fldChar w:fldCharType="begin"/>
            </w:r>
            <w:r>
              <w:rPr>
                <w:rFonts w:eastAsiaTheme="minorEastAsia"/>
                <w:color w:val="000000" w:themeColor="text1"/>
                <w:szCs w:val="24"/>
              </w:rPr>
              <w:instrText xml:space="preserve"> </w:instrText>
            </w:r>
            <w:r>
              <w:rPr>
                <w:rFonts w:hint="eastAsia" w:eastAsiaTheme="minorEastAsia"/>
                <w:color w:val="000000" w:themeColor="text1"/>
                <w:szCs w:val="24"/>
              </w:rPr>
              <w:instrText xml:space="preserve">= 2 \* GB4</w:instrText>
            </w:r>
            <w:r>
              <w:rPr>
                <w:rFonts w:eastAsiaTheme="minorEastAsia"/>
                <w:color w:val="000000" w:themeColor="text1"/>
                <w:szCs w:val="24"/>
              </w:rPr>
              <w:instrText xml:space="preserve"> </w:instrText>
            </w:r>
            <w:r>
              <w:rPr>
                <w:rFonts w:eastAsiaTheme="minorEastAsia"/>
                <w:color w:val="000000" w:themeColor="text1"/>
                <w:szCs w:val="24"/>
              </w:rPr>
              <w:fldChar w:fldCharType="separate"/>
            </w:r>
            <w:r>
              <w:rPr>
                <w:rFonts w:hint="eastAsia" w:eastAsiaTheme="minorEastAsia"/>
                <w:color w:val="000000" w:themeColor="text1"/>
                <w:szCs w:val="24"/>
              </w:rPr>
              <w:t>㈡</w:t>
            </w:r>
            <w:r>
              <w:rPr>
                <w:rFonts w:eastAsiaTheme="minorEastAsia"/>
                <w:color w:val="000000" w:themeColor="text1"/>
                <w:szCs w:val="24"/>
              </w:rPr>
              <w:fldChar w:fldCharType="end"/>
            </w:r>
            <w:r>
              <w:rPr>
                <w:rFonts w:eastAsiaTheme="minorEastAsia"/>
                <w:color w:val="000000" w:themeColor="text1"/>
                <w:szCs w:val="24"/>
              </w:rPr>
              <w:t>接触氧化池</w:t>
            </w:r>
          </w:p>
          <w:p>
            <w:pPr>
              <w:pStyle w:val="38"/>
              <w:ind w:firstLine="480"/>
              <w:rPr>
                <w:rFonts w:eastAsiaTheme="minorEastAsia"/>
                <w:color w:val="000000" w:themeColor="text1"/>
                <w:szCs w:val="24"/>
              </w:rPr>
            </w:pPr>
            <w:r>
              <w:rPr>
                <w:rFonts w:eastAsiaTheme="minorEastAsia"/>
                <w:color w:val="000000" w:themeColor="text1"/>
                <w:szCs w:val="24"/>
              </w:rPr>
              <w:t>好氧接触氧化池主要利用好氧菌去除CODcr、BOD</w:t>
            </w:r>
            <w:r>
              <w:rPr>
                <w:rFonts w:eastAsiaTheme="minorEastAsia"/>
                <w:color w:val="000000" w:themeColor="text1"/>
                <w:szCs w:val="24"/>
                <w:vertAlign w:val="subscript"/>
              </w:rPr>
              <w:t>5</w:t>
            </w:r>
            <w:r>
              <w:rPr>
                <w:rFonts w:eastAsiaTheme="minorEastAsia"/>
                <w:color w:val="000000" w:themeColor="text1"/>
                <w:szCs w:val="24"/>
              </w:rPr>
              <w:t>、SS、NH</w:t>
            </w:r>
            <w:r>
              <w:rPr>
                <w:rFonts w:eastAsiaTheme="minorEastAsia"/>
                <w:color w:val="000000" w:themeColor="text1"/>
                <w:szCs w:val="24"/>
                <w:vertAlign w:val="subscript"/>
              </w:rPr>
              <w:t>3</w:t>
            </w:r>
            <w:r>
              <w:rPr>
                <w:rFonts w:eastAsiaTheme="minorEastAsia"/>
                <w:color w:val="000000" w:themeColor="text1"/>
                <w:szCs w:val="24"/>
              </w:rPr>
              <w:t>-N和总磷等污染物。污水</w:t>
            </w:r>
            <w:r>
              <w:rPr>
                <w:rFonts w:hint="eastAsia" w:eastAsiaTheme="minorEastAsia"/>
                <w:color w:val="000000" w:themeColor="text1"/>
                <w:szCs w:val="24"/>
              </w:rPr>
              <w:t>在</w:t>
            </w:r>
            <w:r>
              <w:rPr>
                <w:rFonts w:eastAsiaTheme="minorEastAsia"/>
                <w:color w:val="000000" w:themeColor="text1"/>
                <w:szCs w:val="24"/>
              </w:rPr>
              <w:t>调节</w:t>
            </w:r>
            <w:r>
              <w:rPr>
                <w:rFonts w:hint="eastAsia" w:eastAsiaTheme="minorEastAsia"/>
                <w:color w:val="000000" w:themeColor="text1"/>
                <w:szCs w:val="24"/>
              </w:rPr>
              <w:t>水解</w:t>
            </w:r>
            <w:r>
              <w:rPr>
                <w:rFonts w:eastAsiaTheme="minorEastAsia"/>
                <w:color w:val="000000" w:themeColor="text1"/>
                <w:szCs w:val="24"/>
              </w:rPr>
              <w:t>池中调节</w:t>
            </w:r>
            <w:r>
              <w:rPr>
                <w:rFonts w:hint="eastAsia" w:eastAsiaTheme="minorEastAsia"/>
                <w:color w:val="000000" w:themeColor="text1"/>
                <w:szCs w:val="24"/>
              </w:rPr>
              <w:t>水解后</w:t>
            </w:r>
            <w:r>
              <w:rPr>
                <w:rFonts w:eastAsiaTheme="minorEastAsia"/>
                <w:color w:val="000000" w:themeColor="text1"/>
                <w:szCs w:val="24"/>
              </w:rPr>
              <w:t>由泵提升依次进入接触氧化池，对污水中有机物进行充分的生物降解，在充氧的条件下，利用微生物的生物活动，将废水中大部分的有机物分解去除。</w:t>
            </w:r>
          </w:p>
          <w:p>
            <w:pPr>
              <w:pStyle w:val="38"/>
              <w:ind w:firstLine="480"/>
              <w:rPr>
                <w:rFonts w:eastAsiaTheme="minorEastAsia"/>
                <w:color w:val="000000" w:themeColor="text1"/>
                <w:szCs w:val="24"/>
              </w:rPr>
            </w:pPr>
            <w:r>
              <w:rPr>
                <w:rFonts w:eastAsiaTheme="minorEastAsia"/>
                <w:color w:val="000000" w:themeColor="text1"/>
                <w:szCs w:val="24"/>
              </w:rPr>
              <w:fldChar w:fldCharType="begin"/>
            </w:r>
            <w:r>
              <w:rPr>
                <w:rFonts w:eastAsiaTheme="minorEastAsia"/>
                <w:color w:val="000000" w:themeColor="text1"/>
                <w:szCs w:val="24"/>
              </w:rPr>
              <w:instrText xml:space="preserve"> </w:instrText>
            </w:r>
            <w:r>
              <w:rPr>
                <w:rFonts w:hint="eastAsia" w:eastAsiaTheme="minorEastAsia"/>
                <w:color w:val="000000" w:themeColor="text1"/>
                <w:szCs w:val="24"/>
              </w:rPr>
              <w:instrText xml:space="preserve">= 3 \* GB4</w:instrText>
            </w:r>
            <w:r>
              <w:rPr>
                <w:rFonts w:eastAsiaTheme="minorEastAsia"/>
                <w:color w:val="000000" w:themeColor="text1"/>
                <w:szCs w:val="24"/>
              </w:rPr>
              <w:instrText xml:space="preserve"> </w:instrText>
            </w:r>
            <w:r>
              <w:rPr>
                <w:rFonts w:eastAsiaTheme="minorEastAsia"/>
                <w:color w:val="000000" w:themeColor="text1"/>
                <w:szCs w:val="24"/>
              </w:rPr>
              <w:fldChar w:fldCharType="separate"/>
            </w:r>
            <w:r>
              <w:rPr>
                <w:rFonts w:hint="eastAsia" w:eastAsiaTheme="minorEastAsia"/>
                <w:color w:val="000000" w:themeColor="text1"/>
                <w:szCs w:val="24"/>
              </w:rPr>
              <w:t>㈢</w:t>
            </w:r>
            <w:r>
              <w:rPr>
                <w:rFonts w:eastAsiaTheme="minorEastAsia"/>
                <w:color w:val="000000" w:themeColor="text1"/>
                <w:szCs w:val="24"/>
              </w:rPr>
              <w:fldChar w:fldCharType="end"/>
            </w:r>
            <w:r>
              <w:rPr>
                <w:rFonts w:eastAsiaTheme="minorEastAsia"/>
                <w:color w:val="000000" w:themeColor="text1"/>
                <w:szCs w:val="24"/>
              </w:rPr>
              <w:t>二沉池</w:t>
            </w:r>
          </w:p>
          <w:p>
            <w:pPr>
              <w:pStyle w:val="38"/>
              <w:ind w:firstLine="480"/>
              <w:rPr>
                <w:rFonts w:eastAsiaTheme="minorEastAsia"/>
                <w:color w:val="000000" w:themeColor="text1"/>
                <w:szCs w:val="24"/>
              </w:rPr>
            </w:pPr>
            <w:r>
              <w:rPr>
                <w:rFonts w:eastAsiaTheme="minorEastAsia"/>
                <w:color w:val="000000" w:themeColor="text1"/>
                <w:szCs w:val="24"/>
              </w:rPr>
              <w:t>接触氧化池出水进入二沉池，二沉池前设PAC（絮凝剂）投加系统，投加PAC（絮凝剂），去除SS和部分胶体颗粒，二沉池出水经过石英砂过滤后，进一步降低水中SS和胶体颗粒含量。</w:t>
            </w:r>
          </w:p>
          <w:p>
            <w:pPr>
              <w:pStyle w:val="38"/>
              <w:ind w:firstLine="480"/>
              <w:rPr>
                <w:rFonts w:eastAsiaTheme="minorEastAsia"/>
                <w:color w:val="000000" w:themeColor="text1"/>
                <w:szCs w:val="24"/>
              </w:rPr>
            </w:pPr>
            <w:r>
              <w:rPr>
                <w:rFonts w:eastAsiaTheme="minorEastAsia"/>
                <w:color w:val="000000" w:themeColor="text1"/>
                <w:szCs w:val="24"/>
              </w:rPr>
              <w:fldChar w:fldCharType="begin"/>
            </w:r>
            <w:r>
              <w:rPr>
                <w:rFonts w:eastAsiaTheme="minorEastAsia"/>
                <w:color w:val="000000" w:themeColor="text1"/>
                <w:szCs w:val="24"/>
              </w:rPr>
              <w:instrText xml:space="preserve"> </w:instrText>
            </w:r>
            <w:r>
              <w:rPr>
                <w:rFonts w:hint="eastAsia" w:eastAsiaTheme="minorEastAsia"/>
                <w:color w:val="000000" w:themeColor="text1"/>
                <w:szCs w:val="24"/>
              </w:rPr>
              <w:instrText xml:space="preserve">= 4 \* GB4</w:instrText>
            </w:r>
            <w:r>
              <w:rPr>
                <w:rFonts w:eastAsiaTheme="minorEastAsia"/>
                <w:color w:val="000000" w:themeColor="text1"/>
                <w:szCs w:val="24"/>
              </w:rPr>
              <w:instrText xml:space="preserve"> </w:instrText>
            </w:r>
            <w:r>
              <w:rPr>
                <w:rFonts w:eastAsiaTheme="minorEastAsia"/>
                <w:color w:val="000000" w:themeColor="text1"/>
                <w:szCs w:val="24"/>
              </w:rPr>
              <w:fldChar w:fldCharType="separate"/>
            </w:r>
            <w:r>
              <w:rPr>
                <w:rFonts w:hint="eastAsia" w:eastAsiaTheme="minorEastAsia"/>
                <w:color w:val="000000" w:themeColor="text1"/>
                <w:szCs w:val="24"/>
              </w:rPr>
              <w:t>㈣</w:t>
            </w:r>
            <w:r>
              <w:rPr>
                <w:rFonts w:eastAsiaTheme="minorEastAsia"/>
                <w:color w:val="000000" w:themeColor="text1"/>
                <w:szCs w:val="24"/>
              </w:rPr>
              <w:fldChar w:fldCharType="end"/>
            </w:r>
            <w:r>
              <w:rPr>
                <w:rFonts w:eastAsiaTheme="minorEastAsia"/>
                <w:color w:val="000000" w:themeColor="text1"/>
                <w:szCs w:val="24"/>
              </w:rPr>
              <w:t>过滤</w:t>
            </w:r>
          </w:p>
          <w:p>
            <w:pPr>
              <w:pStyle w:val="38"/>
              <w:ind w:firstLine="480"/>
              <w:rPr>
                <w:rFonts w:eastAsiaTheme="minorEastAsia"/>
                <w:color w:val="000000" w:themeColor="text1"/>
                <w:szCs w:val="24"/>
              </w:rPr>
            </w:pPr>
            <w:r>
              <w:rPr>
                <w:rFonts w:eastAsiaTheme="minorEastAsia"/>
                <w:color w:val="000000" w:themeColor="text1"/>
                <w:szCs w:val="24"/>
              </w:rPr>
              <w:t>二沉池出水仍含有一定的悬浮物杂质，因此本方案设置深度处理（过滤）处理单元。</w:t>
            </w:r>
            <w:r>
              <w:rPr>
                <w:rFonts w:hint="eastAsia" w:eastAsiaTheme="minorEastAsia"/>
                <w:color w:val="000000" w:themeColor="text1"/>
                <w:szCs w:val="24"/>
              </w:rPr>
              <w:t>二沉池出水进入过滤池进行过滤，</w:t>
            </w:r>
            <w:r>
              <w:rPr>
                <w:rFonts w:eastAsiaTheme="minorEastAsia"/>
                <w:color w:val="000000" w:themeColor="text1"/>
                <w:szCs w:val="24"/>
              </w:rPr>
              <w:t>去除水中残存的有机物、胶体、细菌残留物、微生物等。</w:t>
            </w:r>
          </w:p>
          <w:p>
            <w:pPr>
              <w:pStyle w:val="38"/>
              <w:ind w:firstLine="480"/>
              <w:rPr>
                <w:rFonts w:eastAsiaTheme="minorEastAsia"/>
                <w:color w:val="000000" w:themeColor="text1"/>
                <w:szCs w:val="24"/>
              </w:rPr>
            </w:pPr>
            <w:r>
              <w:rPr>
                <w:rFonts w:eastAsiaTheme="minorEastAsia"/>
                <w:color w:val="000000" w:themeColor="text1"/>
                <w:szCs w:val="24"/>
              </w:rPr>
              <w:fldChar w:fldCharType="begin"/>
            </w:r>
            <w:r>
              <w:rPr>
                <w:rFonts w:eastAsiaTheme="minorEastAsia"/>
                <w:color w:val="000000" w:themeColor="text1"/>
                <w:szCs w:val="24"/>
              </w:rPr>
              <w:instrText xml:space="preserve"> </w:instrText>
            </w:r>
            <w:r>
              <w:rPr>
                <w:rFonts w:hint="eastAsia" w:eastAsiaTheme="minorEastAsia"/>
                <w:color w:val="000000" w:themeColor="text1"/>
                <w:szCs w:val="24"/>
              </w:rPr>
              <w:instrText xml:space="preserve">= 5 \* GB4</w:instrText>
            </w:r>
            <w:r>
              <w:rPr>
                <w:rFonts w:eastAsiaTheme="minorEastAsia"/>
                <w:color w:val="000000" w:themeColor="text1"/>
                <w:szCs w:val="24"/>
              </w:rPr>
              <w:instrText xml:space="preserve"> </w:instrText>
            </w:r>
            <w:r>
              <w:rPr>
                <w:rFonts w:eastAsiaTheme="minorEastAsia"/>
                <w:color w:val="000000" w:themeColor="text1"/>
                <w:szCs w:val="24"/>
              </w:rPr>
              <w:fldChar w:fldCharType="separate"/>
            </w:r>
            <w:r>
              <w:rPr>
                <w:rFonts w:hint="eastAsia" w:eastAsiaTheme="minorEastAsia"/>
                <w:color w:val="000000" w:themeColor="text1"/>
                <w:szCs w:val="24"/>
              </w:rPr>
              <w:t>㈤</w:t>
            </w:r>
            <w:r>
              <w:rPr>
                <w:rFonts w:eastAsiaTheme="minorEastAsia"/>
                <w:color w:val="000000" w:themeColor="text1"/>
                <w:szCs w:val="24"/>
              </w:rPr>
              <w:fldChar w:fldCharType="end"/>
            </w:r>
            <w:r>
              <w:rPr>
                <w:rFonts w:eastAsiaTheme="minorEastAsia"/>
                <w:color w:val="000000" w:themeColor="text1"/>
                <w:szCs w:val="24"/>
              </w:rPr>
              <w:t>消毒</w:t>
            </w:r>
          </w:p>
          <w:p>
            <w:pPr>
              <w:pStyle w:val="38"/>
              <w:ind w:firstLine="480"/>
              <w:rPr>
                <w:rFonts w:eastAsiaTheme="minorEastAsia"/>
                <w:color w:val="000000" w:themeColor="text1"/>
                <w:szCs w:val="24"/>
              </w:rPr>
            </w:pPr>
            <w:r>
              <w:rPr>
                <w:rFonts w:eastAsiaTheme="minorEastAsia"/>
                <w:color w:val="000000" w:themeColor="text1"/>
                <w:szCs w:val="24"/>
              </w:rPr>
              <w:t>过滤后的污水经过消毒，即可满足排放要求，消毒采用自动投加方式，定量把次氯酸钠药液投加到消毒池中，可以较彻底的消除细菌、臭味、色度等可能对人群造成的危害。</w:t>
            </w:r>
          </w:p>
          <w:p>
            <w:pPr>
              <w:pStyle w:val="38"/>
              <w:ind w:firstLine="480"/>
              <w:rPr>
                <w:rFonts w:eastAsiaTheme="minorEastAsia"/>
                <w:color w:val="000000" w:themeColor="text1"/>
                <w:szCs w:val="24"/>
              </w:rPr>
            </w:pPr>
            <w:r>
              <w:rPr>
                <w:rFonts w:eastAsiaTheme="minorEastAsia"/>
                <w:color w:val="000000" w:themeColor="text1"/>
                <w:szCs w:val="24"/>
              </w:rPr>
              <w:t>根据工程分析可知，经</w:t>
            </w:r>
            <w:r>
              <w:rPr>
                <w:rFonts w:hint="eastAsia" w:eastAsiaTheme="minorEastAsia"/>
                <w:color w:val="000000" w:themeColor="text1"/>
                <w:szCs w:val="24"/>
              </w:rPr>
              <w:t>调节池调节</w:t>
            </w:r>
            <w:r>
              <w:rPr>
                <w:rFonts w:eastAsiaTheme="minorEastAsia"/>
                <w:color w:val="000000" w:themeColor="text1"/>
                <w:szCs w:val="24"/>
              </w:rPr>
              <w:t>处理后的</w:t>
            </w:r>
            <w:r>
              <w:rPr>
                <w:rFonts w:hint="eastAsia" w:eastAsiaTheme="minorEastAsia"/>
                <w:color w:val="000000" w:themeColor="text1"/>
                <w:szCs w:val="24"/>
              </w:rPr>
              <w:t>生活污水</w:t>
            </w:r>
            <w:r>
              <w:rPr>
                <w:rFonts w:eastAsiaTheme="minorEastAsia"/>
                <w:color w:val="000000" w:themeColor="text1"/>
                <w:szCs w:val="24"/>
              </w:rPr>
              <w:t>BOD/COD约为0.</w:t>
            </w:r>
            <w:r>
              <w:rPr>
                <w:rFonts w:hint="eastAsia" w:eastAsiaTheme="minorEastAsia"/>
                <w:color w:val="000000" w:themeColor="text1"/>
                <w:szCs w:val="24"/>
              </w:rPr>
              <w:t>63</w:t>
            </w:r>
            <w:r>
              <w:rPr>
                <w:rFonts w:eastAsiaTheme="minorEastAsia"/>
                <w:color w:val="000000" w:themeColor="text1"/>
                <w:szCs w:val="24"/>
              </w:rPr>
              <w:t>≥0.3，满足可生化条件，因此项目拟采用废水生化处理工艺技术可行，由根据核算，项目</w:t>
            </w:r>
            <w:r>
              <w:rPr>
                <w:rFonts w:hint="eastAsia" w:eastAsiaTheme="minorEastAsia"/>
                <w:color w:val="000000" w:themeColor="text1"/>
                <w:szCs w:val="24"/>
              </w:rPr>
              <w:t>生活污水</w:t>
            </w:r>
            <w:r>
              <w:rPr>
                <w:rFonts w:eastAsiaTheme="minorEastAsia"/>
                <w:color w:val="000000" w:themeColor="text1"/>
                <w:szCs w:val="24"/>
              </w:rPr>
              <w:t>经一体化污水处理设施处理后可达到《城市污水再生利用 城市杂用水水质》（GB/T18920 -20</w:t>
            </w:r>
            <w:r>
              <w:rPr>
                <w:rFonts w:hint="eastAsia" w:eastAsiaTheme="minorEastAsia"/>
                <w:color w:val="000000" w:themeColor="text1"/>
                <w:szCs w:val="24"/>
              </w:rPr>
              <w:t>20</w:t>
            </w:r>
            <w:r>
              <w:rPr>
                <w:rFonts w:eastAsiaTheme="minorEastAsia"/>
                <w:color w:val="000000" w:themeColor="text1"/>
                <w:szCs w:val="24"/>
              </w:rPr>
              <w:t>）城市绿化标准，因此其技术可行。</w:t>
            </w:r>
          </w:p>
          <w:p>
            <w:pPr>
              <w:pStyle w:val="38"/>
              <w:ind w:firstLine="480"/>
              <w:rPr>
                <w:rFonts w:eastAsiaTheme="minorEastAsia"/>
                <w:color w:val="000000" w:themeColor="text1"/>
                <w:szCs w:val="24"/>
              </w:rPr>
            </w:pPr>
            <w:r>
              <w:rPr>
                <w:rFonts w:eastAsiaTheme="minorEastAsia"/>
                <w:color w:val="000000" w:themeColor="text1"/>
                <w:szCs w:val="24"/>
              </w:rPr>
              <w:t>综上，项目设置1套处理能力为</w:t>
            </w:r>
            <w:r>
              <w:rPr>
                <w:rFonts w:hint="eastAsia" w:eastAsiaTheme="minorEastAsia"/>
                <w:color w:val="000000" w:themeColor="text1"/>
                <w:szCs w:val="24"/>
              </w:rPr>
              <w:t>30m³/d的一体化污水处理设施</w:t>
            </w:r>
            <w:r>
              <w:rPr>
                <w:rFonts w:eastAsiaTheme="minorEastAsia"/>
                <w:color w:val="000000" w:themeColor="text1"/>
                <w:szCs w:val="24"/>
              </w:rPr>
              <w:t>对项目区废水进行处理，处理后回用于回用于项目区绿化，该措施可行。</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②清水池</w:t>
            </w:r>
            <w:r>
              <w:rPr>
                <w:rFonts w:ascii="Times New Roman" w:hAnsi="Times New Roman" w:cs="Times New Roman"/>
                <w:b/>
                <w:color w:val="000000" w:themeColor="text1"/>
                <w:sz w:val="24"/>
                <w:szCs w:val="24"/>
              </w:rPr>
              <w:t>环境影响减缓措施有效性分析</w:t>
            </w:r>
          </w:p>
          <w:p>
            <w:pPr>
              <w:pStyle w:val="38"/>
              <w:ind w:firstLine="480"/>
              <w:rPr>
                <w:rFonts w:eastAsiaTheme="minorEastAsia"/>
                <w:color w:val="000000" w:themeColor="text1"/>
                <w:szCs w:val="24"/>
              </w:rPr>
            </w:pPr>
            <w:r>
              <w:rPr>
                <w:rFonts w:eastAsiaTheme="minorEastAsia"/>
                <w:color w:val="000000" w:themeColor="text1"/>
                <w:szCs w:val="24"/>
              </w:rPr>
              <w:t>为了满足雨天等特殊情况，处理后生活污水的暂存要求，项目拟配套设置1个有效容积为30m³的清水池对处理后的生活污水进行暂存；项目生活污水最大产生量为4.96m³/d，清水池可满足生活污水超过6d的储存量，可满足雨天暂存后用于非雨天绿化的暂存要求，因此其设置可行。</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③初期雨水污染治理措施可行性分析</w:t>
            </w:r>
          </w:p>
          <w:p>
            <w:pPr>
              <w:pStyle w:val="38"/>
              <w:ind w:firstLine="480"/>
              <w:rPr>
                <w:rFonts w:eastAsiaTheme="minorEastAsia"/>
                <w:color w:val="000000" w:themeColor="text1"/>
                <w:szCs w:val="24"/>
              </w:rPr>
            </w:pPr>
            <w:r>
              <w:rPr>
                <w:rFonts w:eastAsiaTheme="minorEastAsia"/>
                <w:color w:val="000000" w:themeColor="text1"/>
                <w:szCs w:val="24"/>
              </w:rPr>
              <w:t>根据工程分析可知，</w:t>
            </w:r>
            <w:r>
              <w:rPr>
                <w:rFonts w:hint="eastAsia" w:eastAsiaTheme="minorEastAsia"/>
                <w:color w:val="000000" w:themeColor="text1"/>
                <w:szCs w:val="24"/>
              </w:rPr>
              <w:t>本项目厂区的初期雨水产生量约为11.50m³/次</w:t>
            </w:r>
            <w:r>
              <w:rPr>
                <w:rFonts w:eastAsiaTheme="minorEastAsia"/>
                <w:color w:val="000000" w:themeColor="text1"/>
                <w:szCs w:val="24"/>
              </w:rPr>
              <w:t>，</w:t>
            </w:r>
            <w:r>
              <w:rPr>
                <w:rFonts w:hint="eastAsia" w:eastAsiaTheme="minorEastAsia"/>
                <w:color w:val="000000" w:themeColor="text1"/>
                <w:szCs w:val="24"/>
              </w:rPr>
              <w:t>本项目拟配套设置了1个30m³的初期雨水收集池</w:t>
            </w:r>
            <w:r>
              <w:rPr>
                <w:rFonts w:eastAsiaTheme="minorEastAsia"/>
                <w:color w:val="000000" w:themeColor="text1"/>
                <w:szCs w:val="24"/>
              </w:rPr>
              <w:t>，初期雨水收集池的容积可满足收集要求，同时在初期雨水收集池前端设置阀门，初期雨水收集后，关闭阀门，将中、后期雨水通过雨水管网外排；该措施合理可行。</w:t>
            </w:r>
          </w:p>
          <w:p>
            <w:pPr>
              <w:spacing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（4）自行监测要求</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根据《排污单位自行监测技术指南 总则》（HJ819-2017）</w:t>
            </w:r>
            <w:r>
              <w:rPr>
                <w:rFonts w:hint="eastAsia" w:ascii="Times New Roman" w:hAnsi="Times New Roman" w:cs="Times New Roman"/>
                <w:color w:val="000000" w:themeColor="text1"/>
                <w:sz w:val="24"/>
                <w:szCs w:val="24"/>
              </w:rPr>
              <w:t>和《排污许可证申请与核发技术规范 废弃资源加工工业》（HJ1034-2019）</w:t>
            </w:r>
            <w:r>
              <w:rPr>
                <w:rFonts w:ascii="Times New Roman" w:hAnsi="Times New Roman" w:cs="Times New Roman"/>
                <w:color w:val="000000" w:themeColor="text1"/>
                <w:sz w:val="24"/>
                <w:szCs w:val="24"/>
              </w:rPr>
              <w:t>的要求，废水自行监测要求如下表。</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表4.2.2-</w:t>
            </w:r>
            <w:r>
              <w:rPr>
                <w:rFonts w:hint="eastAsia" w:ascii="Times New Roman" w:hAnsi="Times New Roman" w:cs="Times New Roman"/>
                <w:b/>
                <w:color w:val="000000" w:themeColor="text1"/>
                <w:szCs w:val="24"/>
              </w:rPr>
              <w:t>6</w:t>
            </w:r>
            <w:r>
              <w:rPr>
                <w:rFonts w:ascii="Times New Roman" w:hAnsi="Times New Roman" w:cs="Times New Roman"/>
                <w:b/>
                <w:color w:val="000000" w:themeColor="text1"/>
                <w:szCs w:val="24"/>
              </w:rPr>
              <w:t xml:space="preserve">  项目运营期</w:t>
            </w:r>
            <w:r>
              <w:rPr>
                <w:rFonts w:ascii="Times New Roman" w:hAnsi="Times New Roman" w:cs="Times New Roman"/>
                <w:b/>
                <w:color w:val="000000" w:themeColor="text1"/>
              </w:rPr>
              <w:t>废水</w:t>
            </w:r>
            <w:r>
              <w:rPr>
                <w:rFonts w:ascii="Times New Roman" w:hAnsi="Times New Roman" w:cs="Times New Roman"/>
                <w:b/>
                <w:color w:val="000000" w:themeColor="text1"/>
                <w:szCs w:val="24"/>
              </w:rPr>
              <w:t>自行监测计划一览表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1936"/>
              <w:gridCol w:w="2533"/>
              <w:gridCol w:w="1043"/>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对象</w:t>
                  </w:r>
                </w:p>
              </w:tc>
              <w:tc>
                <w:tcPr>
                  <w:tcW w:w="1842" w:type="dxa"/>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监测点位</w:t>
                  </w:r>
                </w:p>
              </w:tc>
              <w:tc>
                <w:tcPr>
                  <w:tcW w:w="2410" w:type="dxa"/>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监测因子</w:t>
                  </w:r>
                </w:p>
              </w:tc>
              <w:tc>
                <w:tcPr>
                  <w:tcW w:w="992" w:type="dxa"/>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最低监测频率</w:t>
                  </w:r>
                </w:p>
              </w:tc>
              <w:tc>
                <w:tcPr>
                  <w:tcW w:w="24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77" w:type="dxa"/>
                  <w:vMerge w:val="restart"/>
                  <w:vAlign w:val="center"/>
                </w:tcPr>
                <w:p>
                  <w:pPr>
                    <w:pStyle w:val="30"/>
                    <w:spacing w:line="360" w:lineRule="exact"/>
                    <w:rPr>
                      <w:rFonts w:eastAsiaTheme="minorEastAsia"/>
                      <w:color w:val="000000" w:themeColor="text1"/>
                      <w:szCs w:val="21"/>
                    </w:rPr>
                  </w:pPr>
                  <w:r>
                    <w:rPr>
                      <w:rFonts w:hAnsiTheme="minorEastAsia" w:eastAsiaTheme="minorEastAsia"/>
                      <w:color w:val="000000" w:themeColor="text1"/>
                      <w:szCs w:val="21"/>
                    </w:rPr>
                    <w:t>废水</w:t>
                  </w:r>
                </w:p>
              </w:tc>
              <w:tc>
                <w:tcPr>
                  <w:tcW w:w="1842" w:type="dxa"/>
                  <w:vAlign w:val="center"/>
                </w:tcPr>
                <w:p>
                  <w:pPr>
                    <w:pStyle w:val="30"/>
                    <w:spacing w:line="360" w:lineRule="exact"/>
                    <w:ind w:firstLine="210" w:firstLineChars="100"/>
                    <w:jc w:val="left"/>
                    <w:rPr>
                      <w:rFonts w:hAnsiTheme="minorEastAsia" w:eastAsiaTheme="minorEastAsia"/>
                      <w:color w:val="000000" w:themeColor="text1"/>
                      <w:szCs w:val="21"/>
                    </w:rPr>
                  </w:pPr>
                  <w:r>
                    <w:rPr>
                      <w:rFonts w:hint="eastAsia" w:hAnsiTheme="minorEastAsia" w:eastAsiaTheme="minorEastAsia"/>
                      <w:color w:val="000000" w:themeColor="text1"/>
                      <w:szCs w:val="21"/>
                    </w:rPr>
                    <w:t>近期监测点位位：一体化污水处理设施</w:t>
                  </w:r>
                </w:p>
              </w:tc>
              <w:tc>
                <w:tcPr>
                  <w:tcW w:w="2410" w:type="dxa"/>
                  <w:vAlign w:val="center"/>
                </w:tcPr>
                <w:p>
                  <w:pPr>
                    <w:pStyle w:val="30"/>
                    <w:spacing w:line="360" w:lineRule="exact"/>
                    <w:ind w:firstLine="210" w:firstLineChars="100"/>
                    <w:jc w:val="left"/>
                    <w:rPr>
                      <w:rFonts w:eastAsiaTheme="minorEastAsia"/>
                      <w:color w:val="000000" w:themeColor="text1"/>
                    </w:rPr>
                  </w:pPr>
                  <w:r>
                    <w:rPr>
                      <w:color w:val="000000" w:themeColor="text1"/>
                    </w:rPr>
                    <w:t>pH、</w:t>
                  </w:r>
                  <w:r>
                    <w:rPr>
                      <w:rFonts w:hint="eastAsia"/>
                      <w:color w:val="000000" w:themeColor="text1"/>
                    </w:rPr>
                    <w:t>CODcr、</w:t>
                  </w:r>
                  <w:r>
                    <w:rPr>
                      <w:color w:val="000000" w:themeColor="text1"/>
                    </w:rPr>
                    <w:t>BOD</w:t>
                  </w:r>
                  <w:r>
                    <w:rPr>
                      <w:color w:val="000000" w:themeColor="text1"/>
                      <w:vertAlign w:val="subscript"/>
                    </w:rPr>
                    <w:t>5</w:t>
                  </w:r>
                  <w:r>
                    <w:rPr>
                      <w:color w:val="000000" w:themeColor="text1"/>
                    </w:rPr>
                    <w:t>、NH</w:t>
                  </w:r>
                  <w:r>
                    <w:rPr>
                      <w:color w:val="000000" w:themeColor="text1"/>
                      <w:vertAlign w:val="subscript"/>
                    </w:rPr>
                    <w:t>3</w:t>
                  </w:r>
                  <w:r>
                    <w:rPr>
                      <w:color w:val="000000" w:themeColor="text1"/>
                    </w:rPr>
                    <w:t>-N、</w:t>
                  </w:r>
                  <w:r>
                    <w:rPr>
                      <w:bCs w:val="0"/>
                      <w:snapToGrid/>
                      <w:color w:val="000000" w:themeColor="text1"/>
                      <w:kern w:val="0"/>
                      <w:szCs w:val="21"/>
                      <w:lang w:val="en-US"/>
                    </w:rPr>
                    <w:t>阴离子表面活性剂、</w:t>
                  </w:r>
                  <w:r>
                    <w:rPr>
                      <w:color w:val="000000" w:themeColor="text1"/>
                    </w:rPr>
                    <w:t>粪大肠菌群数</w:t>
                  </w:r>
                  <w:r>
                    <w:rPr>
                      <w:rFonts w:hint="eastAsia"/>
                      <w:color w:val="000000" w:themeColor="text1"/>
                    </w:rPr>
                    <w:t>、总磷、动植物油、总余氯</w:t>
                  </w:r>
                </w:p>
              </w:tc>
              <w:tc>
                <w:tcPr>
                  <w:tcW w:w="99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仅在自行验收时监测</w:t>
                  </w:r>
                </w:p>
              </w:tc>
              <w:tc>
                <w:tcPr>
                  <w:tcW w:w="2484" w:type="dxa"/>
                  <w:vAlign w:val="center"/>
                </w:tcPr>
                <w:p>
                  <w:pPr>
                    <w:pStyle w:val="30"/>
                    <w:spacing w:line="360" w:lineRule="exact"/>
                    <w:ind w:firstLine="210" w:firstLineChars="100"/>
                    <w:jc w:val="both"/>
                    <w:rPr>
                      <w:rFonts w:eastAsiaTheme="minorEastAsia"/>
                      <w:color w:val="000000" w:themeColor="text1"/>
                      <w:szCs w:val="21"/>
                    </w:rPr>
                  </w:pPr>
                  <w:r>
                    <w:rPr>
                      <w:color w:val="000000" w:themeColor="text1"/>
                    </w:rPr>
                    <w:t>《城市污水再生利用 城市杂用水水质》（GB/T18920-2020）中城市绿化标准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877" w:type="dxa"/>
                  <w:vMerge w:val="continue"/>
                  <w:vAlign w:val="center"/>
                </w:tcPr>
                <w:p>
                  <w:pPr>
                    <w:pStyle w:val="30"/>
                    <w:spacing w:line="360" w:lineRule="exact"/>
                    <w:rPr>
                      <w:rFonts w:hAnsiTheme="minorEastAsia" w:eastAsiaTheme="minorEastAsia"/>
                      <w:color w:val="000000" w:themeColor="text1"/>
                      <w:szCs w:val="21"/>
                    </w:rPr>
                  </w:pPr>
                </w:p>
              </w:tc>
              <w:tc>
                <w:tcPr>
                  <w:tcW w:w="1842" w:type="dxa"/>
                  <w:vAlign w:val="center"/>
                </w:tcPr>
                <w:p>
                  <w:pPr>
                    <w:pStyle w:val="30"/>
                    <w:spacing w:line="360" w:lineRule="exact"/>
                    <w:ind w:firstLine="210" w:firstLineChars="100"/>
                    <w:jc w:val="left"/>
                    <w:rPr>
                      <w:rFonts w:hAnsiTheme="minorEastAsia" w:eastAsiaTheme="minorEastAsia"/>
                      <w:color w:val="000000" w:themeColor="text1"/>
                      <w:szCs w:val="21"/>
                    </w:rPr>
                  </w:pPr>
                  <w:r>
                    <w:rPr>
                      <w:rFonts w:hint="eastAsia" w:hAnsiTheme="minorEastAsia" w:eastAsiaTheme="minorEastAsia"/>
                      <w:color w:val="000000" w:themeColor="text1"/>
                      <w:szCs w:val="21"/>
                    </w:rPr>
                    <w:t>远期监测点位位：</w:t>
                  </w:r>
                  <w:r>
                    <w:rPr>
                      <w:rFonts w:hAnsiTheme="minorEastAsia" w:eastAsiaTheme="minorEastAsia"/>
                      <w:color w:val="000000" w:themeColor="text1"/>
                      <w:szCs w:val="21"/>
                    </w:rPr>
                    <w:t>化粪池排放口</w:t>
                  </w:r>
                </w:p>
              </w:tc>
              <w:tc>
                <w:tcPr>
                  <w:tcW w:w="2410" w:type="dxa"/>
                  <w:vAlign w:val="center"/>
                </w:tcPr>
                <w:p>
                  <w:pPr>
                    <w:pStyle w:val="30"/>
                    <w:spacing w:line="360" w:lineRule="exact"/>
                    <w:ind w:firstLine="210" w:firstLineChars="100"/>
                    <w:jc w:val="left"/>
                    <w:rPr>
                      <w:rFonts w:eastAsiaTheme="minorEastAsia"/>
                      <w:color w:val="000000" w:themeColor="text1"/>
                    </w:rPr>
                  </w:pPr>
                  <w:r>
                    <w:rPr>
                      <w:color w:val="000000" w:themeColor="text1"/>
                    </w:rPr>
                    <w:t>pH、CODcr、BOD</w:t>
                  </w:r>
                  <w:r>
                    <w:rPr>
                      <w:color w:val="000000" w:themeColor="text1"/>
                      <w:vertAlign w:val="subscript"/>
                    </w:rPr>
                    <w:t>5</w:t>
                  </w:r>
                  <w:r>
                    <w:rPr>
                      <w:color w:val="000000" w:themeColor="text1"/>
                    </w:rPr>
                    <w:t>、NH</w:t>
                  </w:r>
                  <w:r>
                    <w:rPr>
                      <w:color w:val="000000" w:themeColor="text1"/>
                      <w:vertAlign w:val="subscript"/>
                    </w:rPr>
                    <w:t>3</w:t>
                  </w:r>
                  <w:r>
                    <w:rPr>
                      <w:color w:val="000000" w:themeColor="text1"/>
                    </w:rPr>
                    <w:t>-N、SS、总磷、总氮、动植物油、</w:t>
                  </w:r>
                  <w:r>
                    <w:rPr>
                      <w:bCs w:val="0"/>
                      <w:snapToGrid/>
                      <w:color w:val="000000" w:themeColor="text1"/>
                      <w:kern w:val="0"/>
                      <w:szCs w:val="21"/>
                      <w:lang w:val="en-US"/>
                    </w:rPr>
                    <w:t>阴离子表面活性剂、</w:t>
                  </w:r>
                  <w:r>
                    <w:rPr>
                      <w:color w:val="000000" w:themeColor="text1"/>
                    </w:rPr>
                    <w:t>粪大肠菌群数</w:t>
                  </w:r>
                </w:p>
              </w:tc>
              <w:tc>
                <w:tcPr>
                  <w:tcW w:w="992" w:type="dxa"/>
                  <w:vAlign w:val="center"/>
                </w:tcPr>
                <w:p>
                  <w:pPr>
                    <w:pStyle w:val="30"/>
                    <w:spacing w:line="360" w:lineRule="exact"/>
                    <w:rPr>
                      <w:rFonts w:eastAsiaTheme="minorEastAsia"/>
                      <w:color w:val="000000" w:themeColor="text1"/>
                      <w:szCs w:val="21"/>
                    </w:rPr>
                  </w:pPr>
                  <w:r>
                    <w:rPr>
                      <w:rFonts w:hint="eastAsia" w:hAnsiTheme="minorEastAsia" w:eastAsiaTheme="minorEastAsia"/>
                      <w:color w:val="000000" w:themeColor="text1"/>
                      <w:szCs w:val="21"/>
                    </w:rPr>
                    <w:t>1</w:t>
                  </w:r>
                  <w:r>
                    <w:rPr>
                      <w:rFonts w:hAnsiTheme="minorEastAsia" w:eastAsiaTheme="minorEastAsia"/>
                      <w:color w:val="000000" w:themeColor="text1"/>
                      <w:szCs w:val="21"/>
                    </w:rPr>
                    <w:t>次</w:t>
                  </w:r>
                  <w:r>
                    <w:rPr>
                      <w:rFonts w:eastAsiaTheme="minorEastAsia"/>
                      <w:color w:val="000000" w:themeColor="text1"/>
                      <w:szCs w:val="21"/>
                    </w:rPr>
                    <w:t>/</w:t>
                  </w:r>
                  <w:r>
                    <w:rPr>
                      <w:rFonts w:hAnsiTheme="minorEastAsia" w:eastAsiaTheme="minorEastAsia"/>
                      <w:color w:val="000000" w:themeColor="text1"/>
                      <w:szCs w:val="21"/>
                    </w:rPr>
                    <w:t>年</w:t>
                  </w:r>
                </w:p>
              </w:tc>
              <w:tc>
                <w:tcPr>
                  <w:tcW w:w="2484" w:type="dxa"/>
                  <w:vAlign w:val="center"/>
                </w:tcPr>
                <w:p>
                  <w:pPr>
                    <w:pStyle w:val="30"/>
                    <w:spacing w:line="360" w:lineRule="exact"/>
                    <w:ind w:firstLine="210" w:firstLineChars="100"/>
                    <w:jc w:val="both"/>
                    <w:rPr>
                      <w:rFonts w:eastAsiaTheme="minorEastAsia"/>
                      <w:color w:val="000000" w:themeColor="text1"/>
                      <w:szCs w:val="21"/>
                    </w:rPr>
                  </w:pPr>
                  <w:r>
                    <w:rPr>
                      <w:color w:val="000000" w:themeColor="text1"/>
                    </w:rPr>
                    <w:t>《污水排入城镇下水道水质标准》（GB/T31962-2015）的B等级标准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877" w:type="dxa"/>
                  <w:vAlign w:val="center"/>
                </w:tcPr>
                <w:p>
                  <w:pPr>
                    <w:pStyle w:val="30"/>
                    <w:spacing w:line="360" w:lineRule="exact"/>
                    <w:rPr>
                      <w:rFonts w:hAnsiTheme="minorEastAsia" w:eastAsiaTheme="minorEastAsia"/>
                      <w:color w:val="000000" w:themeColor="text1"/>
                      <w:szCs w:val="21"/>
                    </w:rPr>
                  </w:pPr>
                  <w:r>
                    <w:rPr>
                      <w:rFonts w:hint="eastAsia" w:hAnsiTheme="minorEastAsia" w:eastAsiaTheme="minorEastAsia"/>
                      <w:color w:val="000000" w:themeColor="text1"/>
                      <w:szCs w:val="21"/>
                    </w:rPr>
                    <w:t>雨水</w:t>
                  </w:r>
                </w:p>
              </w:tc>
              <w:tc>
                <w:tcPr>
                  <w:tcW w:w="184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雨水排放口</w:t>
                  </w:r>
                </w:p>
              </w:tc>
              <w:tc>
                <w:tcPr>
                  <w:tcW w:w="2410" w:type="dxa"/>
                  <w:vAlign w:val="center"/>
                </w:tcPr>
                <w:p>
                  <w:pPr>
                    <w:pStyle w:val="30"/>
                    <w:spacing w:line="360" w:lineRule="exact"/>
                    <w:ind w:firstLine="210" w:firstLineChars="100"/>
                    <w:jc w:val="left"/>
                    <w:rPr>
                      <w:color w:val="000000" w:themeColor="text1"/>
                    </w:rPr>
                  </w:pPr>
                  <w:r>
                    <w:rPr>
                      <w:rFonts w:hint="eastAsia"/>
                      <w:color w:val="000000" w:themeColor="text1"/>
                    </w:rPr>
                    <w:t>SS、</w:t>
                  </w:r>
                  <w:r>
                    <w:rPr>
                      <w:color w:val="000000" w:themeColor="text1"/>
                    </w:rPr>
                    <w:t>CODcr</w:t>
                  </w:r>
                  <w:r>
                    <w:rPr>
                      <w:rFonts w:hint="eastAsia"/>
                      <w:color w:val="000000" w:themeColor="text1"/>
                    </w:rPr>
                    <w:t>、石油类</w:t>
                  </w:r>
                </w:p>
              </w:tc>
              <w:tc>
                <w:tcPr>
                  <w:tcW w:w="99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1次/日</w:t>
                  </w:r>
                </w:p>
              </w:tc>
              <w:tc>
                <w:tcPr>
                  <w:tcW w:w="2484" w:type="dxa"/>
                  <w:vAlign w:val="center"/>
                </w:tcPr>
                <w:p>
                  <w:pPr>
                    <w:pStyle w:val="30"/>
                    <w:spacing w:line="360" w:lineRule="exact"/>
                    <w:ind w:firstLine="210" w:firstLineChars="100"/>
                    <w:jc w:val="both"/>
                    <w:rPr>
                      <w:color w:val="000000" w:themeColor="text1"/>
                    </w:rPr>
                  </w:pPr>
                  <w:r>
                    <w:rPr>
                      <w:rFonts w:hint="eastAsia"/>
                      <w:color w:val="000000" w:themeColor="text1"/>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5" w:type="dxa"/>
                  <w:gridSpan w:val="5"/>
                  <w:vAlign w:val="center"/>
                </w:tcPr>
                <w:p>
                  <w:pPr>
                    <w:pStyle w:val="30"/>
                    <w:spacing w:line="360" w:lineRule="exact"/>
                    <w:ind w:firstLine="210" w:firstLineChars="100"/>
                    <w:jc w:val="both"/>
                    <w:rPr>
                      <w:color w:val="000000" w:themeColor="text1"/>
                    </w:rPr>
                  </w:pPr>
                  <w:r>
                    <w:rPr>
                      <w:rFonts w:hint="eastAsia"/>
                      <w:color w:val="000000" w:themeColor="text1"/>
                    </w:rPr>
                    <w:t>雨水排放口有流动水排放时开展监测，如监测一年无异常，按每季度有流量水时，开展监测。</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rPr>
              <w:t>废水</w:t>
            </w:r>
            <w:r>
              <w:rPr>
                <w:rFonts w:ascii="Times New Roman" w:hAnsi="Times New Roman" w:cs="Times New Roman"/>
                <w:b/>
                <w:color w:val="000000" w:themeColor="text1"/>
                <w:sz w:val="24"/>
                <w:szCs w:val="24"/>
              </w:rPr>
              <w:t>环境影响分析结论</w:t>
            </w:r>
          </w:p>
          <w:p>
            <w:pPr>
              <w:spacing w:line="360" w:lineRule="auto"/>
              <w:ind w:firstLine="480" w:firstLineChars="20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项目平衡盐水</w:t>
            </w:r>
            <w:r>
              <w:rPr>
                <w:rFonts w:ascii="Times New Roman" w:hAnsi="Times New Roman" w:cs="Times New Roman"/>
                <w:color w:val="000000" w:themeColor="text1"/>
                <w:sz w:val="24"/>
              </w:rPr>
              <w:t>改扩建后其产生量约为0.008m³/d</w:t>
            </w:r>
            <w:r>
              <w:rPr>
                <w:rFonts w:hint="eastAsia" w:ascii="Times New Roman" w:hAnsi="Times New Roman" w:cs="Times New Roman"/>
                <w:color w:val="000000" w:themeColor="text1"/>
                <w:sz w:val="24"/>
              </w:rPr>
              <w:t>，已设置了1个2m³的盐水缸对其进行收集，按1：8的比例稀释后回用于绿化，不外排；项目</w:t>
            </w:r>
            <w:r>
              <w:rPr>
                <w:rFonts w:ascii="Times New Roman" w:hAnsi="Times New Roman" w:cs="Times New Roman"/>
                <w:color w:val="000000" w:themeColor="text1"/>
                <w:sz w:val="24"/>
              </w:rPr>
              <w:t>生活</w:t>
            </w:r>
            <w:r>
              <w:rPr>
                <w:rFonts w:hint="eastAsia" w:ascii="Times New Roman" w:hAnsi="Times New Roman" w:cs="Times New Roman"/>
                <w:color w:val="000000" w:themeColor="text1"/>
                <w:sz w:val="24"/>
              </w:rPr>
              <w:t>污水产生量4.96</w:t>
            </w:r>
            <w:r>
              <w:rPr>
                <w:rFonts w:ascii="Times New Roman" w:hAnsi="Times New Roman" w:cs="Times New Roman"/>
                <w:color w:val="000000" w:themeColor="text1"/>
                <w:sz w:val="24"/>
              </w:rPr>
              <w:t>m³/d，合计为</w:t>
            </w:r>
            <w:r>
              <w:rPr>
                <w:rFonts w:hint="eastAsia" w:ascii="Times New Roman" w:hAnsi="Times New Roman" w:cs="Times New Roman"/>
                <w:color w:val="000000" w:themeColor="text1"/>
                <w:sz w:val="24"/>
              </w:rPr>
              <w:t>1488</w:t>
            </w:r>
            <w:r>
              <w:rPr>
                <w:rFonts w:ascii="Times New Roman" w:hAnsi="Times New Roman" w:cs="Times New Roman"/>
                <w:color w:val="000000" w:themeColor="text1"/>
                <w:sz w:val="24"/>
              </w:rPr>
              <w:t>m³/a</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厂区内针对</w:t>
            </w:r>
            <w:r>
              <w:rPr>
                <w:rFonts w:hint="eastAsia" w:ascii="Times New Roman" w:hAnsi="Times New Roman" w:cs="Times New Roman"/>
                <w:color w:val="000000" w:themeColor="text1"/>
                <w:sz w:val="24"/>
              </w:rPr>
              <w:t>厨房废水</w:t>
            </w:r>
            <w:r>
              <w:rPr>
                <w:rFonts w:ascii="Times New Roman" w:hAnsi="Times New Roman" w:cs="Times New Roman"/>
                <w:color w:val="000000" w:themeColor="text1"/>
                <w:sz w:val="24"/>
              </w:rPr>
              <w:t>，已配套设置了1个2m³的隔油池对厨房废水进行预处理</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针对办公生活区，已配套设置了3个5m³的化粪池</w:t>
            </w:r>
            <w:r>
              <w:rPr>
                <w:rFonts w:hint="eastAsia" w:ascii="Times New Roman" w:hAnsi="Times New Roman" w:cs="Times New Roman"/>
                <w:color w:val="000000" w:themeColor="text1"/>
                <w:sz w:val="24"/>
              </w:rPr>
              <w:t>对生活污水进行处理；整改后拟建设1套处理能力为30m³/d的一体化污水处理设施对生活污水进行处理，处理后可达到</w:t>
            </w:r>
            <w:r>
              <w:rPr>
                <w:rFonts w:ascii="Times New Roman" w:hAnsi="Times New Roman" w:cs="Times New Roman"/>
                <w:color w:val="000000" w:themeColor="text1"/>
                <w:sz w:val="24"/>
              </w:rPr>
              <w:t>城市污水再生利用城市杂用水水质》（GB/T18920-2020）城市绿化标准，</w:t>
            </w:r>
            <w:r>
              <w:rPr>
                <w:rFonts w:hint="eastAsia" w:ascii="Times New Roman" w:hAnsi="Times New Roman" w:cs="Times New Roman"/>
                <w:color w:val="000000" w:themeColor="text1"/>
                <w:sz w:val="24"/>
              </w:rPr>
              <w:t>非雨天可直接用于项目区绿化，雨天暂存于清水池后用于非雨天绿化，</w:t>
            </w:r>
            <w:r>
              <w:rPr>
                <w:rFonts w:ascii="Times New Roman" w:hAnsi="Times New Roman" w:cs="Times New Roman"/>
                <w:color w:val="000000" w:themeColor="text1"/>
                <w:sz w:val="24"/>
              </w:rPr>
              <w:t>本项目</w:t>
            </w:r>
            <w:r>
              <w:rPr>
                <w:rFonts w:hint="eastAsia" w:ascii="Times New Roman" w:hAnsi="Times New Roman" w:cs="Times New Roman"/>
                <w:color w:val="000000" w:themeColor="text1"/>
                <w:sz w:val="24"/>
              </w:rPr>
              <w:t>厂区</w:t>
            </w:r>
            <w:r>
              <w:rPr>
                <w:rFonts w:ascii="Times New Roman" w:hAnsi="Times New Roman" w:cs="Times New Roman"/>
                <w:color w:val="000000" w:themeColor="text1"/>
                <w:sz w:val="24"/>
              </w:rPr>
              <w:t>初期雨水产生量约为</w:t>
            </w:r>
            <w:r>
              <w:rPr>
                <w:rFonts w:hint="eastAsia" w:ascii="Times New Roman" w:hAnsi="Times New Roman" w:cs="Times New Roman"/>
                <w:color w:val="000000" w:themeColor="text1"/>
                <w:sz w:val="24"/>
              </w:rPr>
              <w:t>11.50m³/次</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本项目拟配套设置了1个30m³的初期雨水收集池</w:t>
            </w:r>
            <w:r>
              <w:rPr>
                <w:rFonts w:ascii="Times New Roman" w:hAnsi="Times New Roman" w:cs="Times New Roman"/>
                <w:color w:val="000000" w:themeColor="text1"/>
                <w:sz w:val="24"/>
              </w:rPr>
              <w:t>，对厂区的初期雨水进行收集</w:t>
            </w:r>
            <w:r>
              <w:rPr>
                <w:rFonts w:hint="eastAsia" w:ascii="Times New Roman" w:hAnsi="Times New Roman" w:cs="Times New Roman"/>
                <w:color w:val="000000" w:themeColor="text1"/>
                <w:sz w:val="24"/>
              </w:rPr>
              <w:t>，</w:t>
            </w:r>
            <w:r>
              <w:rPr>
                <w:rFonts w:ascii="Times New Roman" w:hAnsi="Times New Roman" w:cs="Times New Roman"/>
                <w:color w:val="000000" w:themeColor="text1"/>
                <w:sz w:val="24"/>
              </w:rPr>
              <w:t>初期雨水收集池的容积可满足收集要求，</w:t>
            </w:r>
            <w:r>
              <w:rPr>
                <w:rFonts w:hint="eastAsia" w:ascii="Times New Roman" w:hAnsi="Times New Roman" w:cs="Times New Roman"/>
                <w:color w:val="000000" w:themeColor="text1"/>
                <w:sz w:val="24"/>
              </w:rPr>
              <w:t>初期雨水经收集沉淀处理后回用于绿化；项目区绿化用量为</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19.04m³/d</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4855.2m³/a；项目废水可完全回用，不外排；</w:t>
            </w:r>
            <w:r>
              <w:rPr>
                <w:rFonts w:ascii="Times New Roman" w:hAnsi="Times New Roman" w:cs="Times New Roman"/>
                <w:color w:val="000000" w:themeColor="text1"/>
                <w:sz w:val="24"/>
              </w:rPr>
              <w:t>对环境影响较小。</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rPr>
              <w:t>3</w:t>
            </w:r>
            <w:r>
              <w:rPr>
                <w:rFonts w:ascii="Times New Roman" w:hAnsi="Times New Roman" w:cs="Times New Roman"/>
                <w:b/>
                <w:color w:val="000000" w:themeColor="text1"/>
                <w:sz w:val="24"/>
                <w:szCs w:val="24"/>
              </w:rPr>
              <w:t xml:space="preserve"> 运营期</w:t>
            </w:r>
            <w:r>
              <w:rPr>
                <w:rFonts w:ascii="Times New Roman" w:hAnsi="Times New Roman" w:cs="Times New Roman"/>
                <w:b/>
                <w:color w:val="000000" w:themeColor="text1"/>
                <w:sz w:val="24"/>
              </w:rPr>
              <w:t>噪声</w:t>
            </w:r>
            <w:r>
              <w:rPr>
                <w:rFonts w:ascii="Times New Roman" w:hAnsi="Times New Roman" w:cs="Times New Roman"/>
                <w:b/>
                <w:color w:val="000000" w:themeColor="text1"/>
                <w:sz w:val="24"/>
                <w:szCs w:val="24"/>
              </w:rPr>
              <w:t>环境影响和保护措施</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rPr>
              <w:t>运营期噪声污染源强</w:t>
            </w:r>
          </w:p>
          <w:p>
            <w:pPr>
              <w:pStyle w:val="38"/>
              <w:ind w:firstLine="480"/>
              <w:rPr>
                <w:color w:val="000000" w:themeColor="text1"/>
                <w:szCs w:val="24"/>
              </w:rPr>
            </w:pPr>
            <w:r>
              <w:rPr>
                <w:color w:val="000000" w:themeColor="text1"/>
                <w:szCs w:val="24"/>
              </w:rPr>
              <w:t>项目噪声污染源主要为设备噪声，其源强如下表所示。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szCs w:val="24"/>
              </w:rPr>
              <w:t>表4.2.</w:t>
            </w:r>
            <w:r>
              <w:rPr>
                <w:rFonts w:ascii="Times New Roman" w:hAnsi="Times New Roman" w:cs="Times New Roman"/>
                <w:b/>
                <w:color w:val="000000" w:themeColor="text1"/>
              </w:rPr>
              <w:t>3</w:t>
            </w:r>
            <w:r>
              <w:rPr>
                <w:rFonts w:ascii="Times New Roman" w:hAnsi="Times New Roman" w:cs="Times New Roman"/>
                <w:b/>
                <w:color w:val="000000" w:themeColor="text1"/>
                <w:szCs w:val="24"/>
              </w:rPr>
              <w:t>-1 项目主要生产设备噪声源强一览表</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0"/>
              <w:gridCol w:w="709"/>
              <w:gridCol w:w="708"/>
              <w:gridCol w:w="1134"/>
              <w:gridCol w:w="1134"/>
              <w:gridCol w:w="1276"/>
              <w:gridCol w:w="992"/>
              <w:gridCol w:w="1276"/>
              <w:gridCol w:w="11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7" w:hRule="atLeast"/>
                <w:jc w:val="center"/>
              </w:trPr>
              <w:tc>
                <w:tcPr>
                  <w:tcW w:w="6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主要生产单元</w:t>
                  </w:r>
                </w:p>
              </w:tc>
              <w:tc>
                <w:tcPr>
                  <w:tcW w:w="709"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主要工艺</w:t>
                  </w:r>
                </w:p>
              </w:tc>
              <w:tc>
                <w:tcPr>
                  <w:tcW w:w="1842"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生产设施</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设施参数</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产生强度〔dB（A）〕</w:t>
                  </w:r>
                </w:p>
              </w:tc>
              <w:tc>
                <w:tcPr>
                  <w:tcW w:w="992" w:type="dxa"/>
                  <w:tcBorders>
                    <w:bottom w:val="single" w:color="auto" w:sz="4" w:space="0"/>
                    <w:right w:val="single" w:color="auto" w:sz="4" w:space="0"/>
                  </w:tcBorders>
                  <w:vAlign w:val="center"/>
                </w:tcPr>
                <w:p>
                  <w:pPr>
                    <w:pStyle w:val="30"/>
                    <w:spacing w:line="360" w:lineRule="exact"/>
                    <w:rPr>
                      <w:color w:val="000000" w:themeColor="text1"/>
                      <w:szCs w:val="21"/>
                    </w:rPr>
                  </w:pPr>
                  <w:r>
                    <w:rPr>
                      <w:color w:val="000000" w:themeColor="text1"/>
                      <w:szCs w:val="21"/>
                    </w:rPr>
                    <w:t>降噪措施</w:t>
                  </w:r>
                </w:p>
              </w:tc>
              <w:tc>
                <w:tcPr>
                  <w:tcW w:w="127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排放强度〔dB（A）〕</w:t>
                  </w:r>
                </w:p>
              </w:tc>
              <w:tc>
                <w:tcPr>
                  <w:tcW w:w="1165"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持续时间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主体工程</w:t>
                  </w:r>
                </w:p>
              </w:tc>
              <w:tc>
                <w:tcPr>
                  <w:tcW w:w="709"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废旧冰箱处理线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冷媒抽取+拆解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手工拆解台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restart"/>
                  <w:tcBorders>
                    <w:top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减震垫、消声器、墙体阻隔等</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冷媒回收机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抽氟机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提升机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破碎机RS150-4-S</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出料螺旋输送机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铁/泡棉分选机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泡棉风机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泡棉压块机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涡电流分选机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锤磨机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铜铝分选机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出料传输线</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三通道塑料分选机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循环及传输系统</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手工平台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100台/h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废旧洗衣机处理线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钢板上料台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无动力辊道</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单工位</w:t>
                  </w:r>
                  <w:r>
                    <w:rPr>
                      <w:rFonts w:ascii="Times New Roman" w:hAnsi="Times New Roman" w:eastAsia="宋体" w:cs="Times New Roman"/>
                      <w:bCs/>
                      <w:snapToGrid w:val="0"/>
                      <w:color w:val="000000" w:themeColor="text1"/>
                      <w:kern w:val="32"/>
                      <w:lang w:val="zh-CN"/>
                    </w:rPr>
                    <w:t>工作台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皮带传送机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单柱液压机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盐水缸</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间歇产生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破碎机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空调/小家电/废手机及其视听设备消费电子产品处理线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冷媒抽取+拆解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钢板上料台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喷吹配套除尘系统</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动力辊传送线</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万向球工作台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冷媒回收机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抽氟机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回收钳</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皮带输送机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1号废旧电视机（CRT）处理线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切割+拆解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CRT除胶机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22.5台/h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后续输送机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喷吹配套除尘系统</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万向工作台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22.5台/h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角磨机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切屏机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13台/h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取消钉包装架</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16台/h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玻璃干洗设备</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荧光粉吸收器</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22.5台/h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2号废旧电视机（液晶电视）处理线</w:t>
                  </w:r>
                </w:p>
              </w:tc>
              <w:tc>
                <w:tcPr>
                  <w:tcW w:w="708" w:type="dxa"/>
                  <w:vMerge w:val="restart"/>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拆解</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钢板上料台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无动力辊道</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75</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单工位</w:t>
                  </w:r>
                  <w:r>
                    <w:rPr>
                      <w:rFonts w:ascii="Times New Roman" w:hAnsi="Times New Roman" w:eastAsia="宋体" w:cs="Times New Roman"/>
                      <w:bCs/>
                      <w:snapToGrid w:val="0"/>
                      <w:color w:val="000000" w:themeColor="text1"/>
                      <w:kern w:val="32"/>
                      <w:lang w:val="zh-CN"/>
                    </w:rPr>
                    <w:t>工作台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皮带传送机</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90台/h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9" w:type="dxa"/>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708"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荧光灯管背光模组负压拆解工作台</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45台/h</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80</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70</w:t>
                  </w:r>
                </w:p>
              </w:tc>
              <w:tc>
                <w:tcPr>
                  <w:tcW w:w="1165"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连续产生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0"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储运工程</w:t>
                  </w:r>
                </w:p>
              </w:tc>
              <w:tc>
                <w:tcPr>
                  <w:tcW w:w="1417" w:type="dxa"/>
                  <w:gridSpan w:val="2"/>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储运</w:t>
                  </w:r>
                </w:p>
              </w:tc>
              <w:tc>
                <w:tcPr>
                  <w:tcW w:w="1134" w:type="dxa"/>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叉车</w:t>
                  </w:r>
                </w:p>
              </w:tc>
              <w:tc>
                <w:tcPr>
                  <w:tcW w:w="113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95</w:t>
                  </w:r>
                </w:p>
              </w:tc>
              <w:tc>
                <w:tcPr>
                  <w:tcW w:w="992" w:type="dxa"/>
                  <w:vMerge w:val="continue"/>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276" w:type="dxa"/>
                  <w:tcBorders>
                    <w:right w:val="single" w:color="auto" w:sz="4" w:space="0"/>
                  </w:tcBorders>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85</w:t>
                  </w:r>
                </w:p>
              </w:tc>
              <w:tc>
                <w:tcPr>
                  <w:tcW w:w="1165" w:type="dxa"/>
                  <w:tcBorders>
                    <w:right w:val="single" w:color="auto" w:sz="4" w:space="0"/>
                  </w:tcBorders>
                  <w:vAlign w:val="center"/>
                </w:tcPr>
                <w:p>
                  <w:pPr>
                    <w:widowControl/>
                    <w:jc w:val="righ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间歇产生</w:t>
                  </w:r>
                </w:p>
              </w:tc>
            </w:tr>
          </w:tbl>
          <w:p>
            <w:pPr>
              <w:spacing w:beforeLines="50" w:line="360" w:lineRule="auto"/>
              <w:ind w:firstLine="361" w:firstLineChars="15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（2）厂界噪声预测</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本环评采用环安科技有限公司根据《环境影响评价技术导则 声环境》</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HJ2.4-2009</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开发的“环境噪声影响评价系统Noisesystem1.1”噪声预测软件，对项目设备</w:t>
            </w:r>
            <w:r>
              <w:rPr>
                <w:rFonts w:hint="eastAsia" w:ascii="Times New Roman" w:hAnsi="Times New Roman" w:cs="Times New Roman"/>
                <w:color w:val="000000" w:themeColor="text1"/>
                <w:sz w:val="24"/>
                <w:szCs w:val="24"/>
              </w:rPr>
              <w:t>厂界</w:t>
            </w:r>
            <w:r>
              <w:rPr>
                <w:rFonts w:ascii="Times New Roman" w:hAnsi="Times New Roman" w:cs="Times New Roman"/>
                <w:color w:val="000000" w:themeColor="text1"/>
                <w:sz w:val="24"/>
                <w:szCs w:val="24"/>
              </w:rPr>
              <w:t>噪声</w:t>
            </w:r>
            <w:r>
              <w:rPr>
                <w:rFonts w:hint="eastAsia" w:ascii="Times New Roman" w:hAnsi="Times New Roman" w:cs="Times New Roman"/>
                <w:color w:val="000000" w:themeColor="text1"/>
                <w:sz w:val="24"/>
                <w:szCs w:val="24"/>
              </w:rPr>
              <w:t>进行预测</w:t>
            </w:r>
            <w:r>
              <w:rPr>
                <w:rFonts w:ascii="Times New Roman" w:hAnsi="Times New Roman" w:cs="Times New Roman"/>
                <w:color w:val="000000" w:themeColor="text1"/>
                <w:sz w:val="24"/>
                <w:szCs w:val="24"/>
              </w:rPr>
              <w:t>。</w:t>
            </w:r>
          </w:p>
          <w:p>
            <w:pPr>
              <w:spacing w:line="360" w:lineRule="auto"/>
              <w:ind w:firstLine="482" w:firstLineChars="200"/>
              <w:rPr>
                <w:rFonts w:ascii="Times New Roman" w:hAnsi="Times New Roman" w:cs="Times New Roman"/>
                <w:b/>
                <w:color w:val="000000" w:themeColor="text1"/>
                <w:sz w:val="24"/>
                <w:szCs w:val="24"/>
              </w:rPr>
            </w:pPr>
            <w:bookmarkStart w:id="3" w:name="_Toc9337268"/>
            <w:bookmarkStart w:id="4" w:name="_Toc13390404"/>
            <w:r>
              <w:rPr>
                <w:rFonts w:hint="eastAsia" w:ascii="Times New Roman" w:hAnsi="Times New Roman" w:cs="Times New Roman"/>
                <w:b/>
                <w:color w:val="000000" w:themeColor="text1"/>
                <w:sz w:val="24"/>
                <w:szCs w:val="24"/>
              </w:rPr>
              <w:t>①声级计算</w:t>
            </w:r>
            <w:bookmarkEnd w:id="3"/>
            <w:bookmarkEnd w:id="4"/>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建设项目声源在预测点产生的等效声级贡献值</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Leq g</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计算公式：</w:t>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v:shape id="_x0000_i1033" o:spt="75" type="#_x0000_t75" style="height:34.2pt;width:132pt;" o:ole="t" filled="f" o:preferrelative="t" stroked="f" coordsize="21600,21600">
                  <v:path/>
                  <v:fill on="f" focussize="0,0"/>
                  <v:stroke on="f" joinstyle="miter"/>
                  <v:imagedata r:id="rId40" o:title=""/>
                  <o:lock v:ext="edit" aspectratio="t"/>
                  <w10:wrap type="none"/>
                  <w10:anchorlock/>
                </v:shape>
                <o:OLEObject Type="Embed" ProgID="Equation.3" ShapeID="_x0000_i1033" DrawAspect="Content" ObjectID="_1468075733" r:id="rId39">
                  <o:LockedField>false</o:LockedField>
                </o:OLEObject>
              </w:objec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式中：Leqg</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建设项目声源在预测点的等效声级贡献值，dB</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LAi</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i声源在预测点产生的A 声级，dB</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预测计算的时间段，s；</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Ti</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i 声源在T 时段内的运行时间，s。</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预测点的预测等效声级(L eq )计算公式</w:t>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object>
                <v:shape id="_x0000_i1034" o:spt="75" type="#_x0000_t75" style="height:20.4pt;width:141.6pt;" o:ole="t" filled="f" o:preferrelative="t" stroked="f" coordsize="21600,21600">
                  <v:path/>
                  <v:fill on="f" focussize="0,0"/>
                  <v:stroke on="f" joinstyle="miter"/>
                  <v:imagedata r:id="rId42" o:title=""/>
                  <o:lock v:ext="edit" aspectratio="t"/>
                  <w10:wrap type="none"/>
                  <w10:anchorlock/>
                </v:shape>
                <o:OLEObject Type="Embed" ProgID="Equation.3" ShapeID="_x0000_i1034" DrawAspect="Content" ObjectID="_1468075734" r:id="rId41">
                  <o:LockedField>false</o:LockedField>
                </o:OLEObject>
              </w:objec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式中：L eq g</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建设项目声源在预测点的等效声级贡献值，dB</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 eqb</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预测点的背景值，dB</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w:t>
            </w:r>
            <w:r>
              <w:rPr>
                <w:rFonts w:hint="eastAsia" w:ascii="Times New Roman" w:hAnsi="Times New Roman" w:cs="Times New Roman"/>
                <w:color w:val="000000" w:themeColor="text1"/>
                <w:sz w:val="24"/>
                <w:szCs w:val="24"/>
              </w:rPr>
              <w:t>）</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②户外声传播衰减计算</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预测模式如下：</w:t>
            </w:r>
          </w:p>
          <w:p>
            <w:pPr>
              <w:spacing w:line="360" w:lineRule="auto"/>
              <w:jc w:val="center"/>
              <w:rPr>
                <w:rFonts w:ascii="Times New Roman" w:hAnsi="Times New Roman" w:cs="Times New Roman"/>
                <w:color w:val="000000" w:themeColor="text1"/>
                <w:sz w:val="24"/>
                <w:szCs w:val="24"/>
              </w:rPr>
            </w:pPr>
            <w:bookmarkStart w:id="5" w:name="_Toc13390405"/>
            <w:bookmarkStart w:id="6" w:name="_Toc9337269"/>
            <w:r>
              <w:rPr>
                <w:rFonts w:ascii="Times New Roman" w:hAnsi="Times New Roman" w:cs="Times New Roman"/>
                <w:color w:val="000000" w:themeColor="text1"/>
                <w:sz w:val="24"/>
                <w:szCs w:val="24"/>
              </w:rPr>
              <w:t>LA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r</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=Lr</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-20g</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r/r</w:t>
            </w:r>
            <w:r>
              <w:rPr>
                <w:rFonts w:ascii="Times New Roman" w:hAnsi="Times New Roman" w:cs="Times New Roman"/>
                <w:color w:val="000000" w:themeColor="text1"/>
                <w:sz w:val="24"/>
                <w:szCs w:val="24"/>
                <w:vertAlign w:val="subscript"/>
              </w:rPr>
              <w:t>0</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Pr>
                <w:rFonts w:ascii="Cambria Math" w:hAnsi="Cambria Math" w:cs="Cambria Math"/>
                <w:color w:val="000000" w:themeColor="text1"/>
                <w:sz w:val="24"/>
                <w:szCs w:val="24"/>
              </w:rPr>
              <w:t>△</w:t>
            </w:r>
            <w:r>
              <w:rPr>
                <w:rFonts w:ascii="Times New Roman" w:hAnsi="Times New Roman" w:cs="Times New Roman"/>
                <w:color w:val="000000" w:themeColor="text1"/>
                <w:sz w:val="24"/>
                <w:szCs w:val="24"/>
              </w:rPr>
              <w:t>L</w:t>
            </w:r>
            <w:bookmarkEnd w:id="5"/>
            <w:bookmarkEnd w:id="6"/>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式中：LA</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r</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距声源r米处受声点的A声级；</w:t>
            </w:r>
          </w:p>
          <w:p>
            <w:pPr>
              <w:spacing w:line="360" w:lineRule="auto"/>
              <w:ind w:firstLine="480" w:firstLineChars="200"/>
              <w:rPr>
                <w:rFonts w:ascii="Times New Roman" w:hAnsi="Times New Roman" w:cs="Times New Roman"/>
                <w:color w:val="000000" w:themeColor="text1"/>
                <w:sz w:val="24"/>
                <w:szCs w:val="24"/>
              </w:rPr>
            </w:pPr>
            <w:bookmarkStart w:id="7" w:name="_Toc13390406"/>
            <w:bookmarkStart w:id="8" w:name="_Toc9337270"/>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Lr</w:t>
            </w:r>
            <w:r>
              <w:rPr>
                <w:rFonts w:ascii="Times New Roman" w:hAnsi="Times New Roman" w:cs="Times New Roman"/>
                <w:color w:val="000000" w:themeColor="text1"/>
                <w:sz w:val="24"/>
                <w:szCs w:val="24"/>
                <w:vertAlign w:val="subscript"/>
              </w:rPr>
              <w:t>0</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参考点声源强度；</w:t>
            </w:r>
            <w:bookmarkEnd w:id="7"/>
            <w:bookmarkEnd w:id="8"/>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预测受声点与源之间的距离（m）；</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bscript"/>
              </w:rPr>
              <w:t>0</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参考点与源之间的距离（m）。</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 xml:space="preserve">      </w:t>
            </w:r>
            <w:r>
              <w:rPr>
                <w:rFonts w:ascii="Cambria Math" w:hAnsi="Cambria Math" w:cs="Cambria Math"/>
                <w:color w:val="000000" w:themeColor="text1"/>
                <w:sz w:val="24"/>
                <w:szCs w:val="24"/>
              </w:rPr>
              <w:t>△</w:t>
            </w:r>
            <w:r>
              <w:rPr>
                <w:rFonts w:ascii="Times New Roman" w:hAnsi="Times New Roman" w:cs="Times New Roman"/>
                <w:color w:val="000000" w:themeColor="text1"/>
                <w:sz w:val="24"/>
                <w:szCs w:val="24"/>
              </w:rPr>
              <w:t>L</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其它衰减因素</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影响</w:t>
            </w:r>
            <w:r>
              <w:rPr>
                <w:rFonts w:ascii="Cambria Math" w:hAnsi="Cambria Math" w:cs="Cambria Math"/>
                <w:color w:val="000000" w:themeColor="text1"/>
                <w:sz w:val="24"/>
                <w:szCs w:val="24"/>
              </w:rPr>
              <w:t>△</w:t>
            </w:r>
            <w:r>
              <w:rPr>
                <w:rFonts w:ascii="Times New Roman" w:hAnsi="Times New Roman" w:cs="Times New Roman"/>
                <w:color w:val="000000" w:themeColor="text1"/>
                <w:sz w:val="24"/>
                <w:szCs w:val="24"/>
              </w:rPr>
              <w:t>L取值的因素很多，因空气吸收、地面、绿化等引起的衰减值相对较小，本次预测拟忽略它们影响的衰减值，即按ΔL=0计；另外运营期各设备噪声源强考虑按采取措施后厂房外1m噪声级。</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各受声点的声源叠加按下列公式计算：</w:t>
            </w:r>
          </w:p>
          <w:p>
            <w:pPr>
              <w:spacing w:line="360" w:lineRule="auto"/>
              <w:jc w:val="center"/>
              <w:rPr>
                <w:rFonts w:ascii="Times New Roman" w:hAnsi="Times New Roman" w:cs="Times New Roman"/>
                <w:color w:val="000000" w:themeColor="text1"/>
                <w:sz w:val="24"/>
                <w:szCs w:val="24"/>
              </w:rPr>
            </w:pPr>
            <w:bookmarkStart w:id="9" w:name="_Toc13390407"/>
            <w:bookmarkStart w:id="10" w:name="_Toc9337271"/>
            <w:r>
              <w:rPr>
                <w:rFonts w:ascii="Times New Roman" w:hAnsi="Times New Roman" w:cs="Times New Roman"/>
                <w:color w:val="000000" w:themeColor="text1"/>
                <w:sz w:val="24"/>
                <w:szCs w:val="24"/>
              </w:rPr>
              <w:t>LA=10g［</w:t>
            </w:r>
            <w:r>
              <w:rPr>
                <w:rFonts w:ascii="Times New Roman" w:hAnsi="Times New Roman" w:cs="Times New Roman"/>
                <w:color w:val="000000" w:themeColor="text1"/>
                <w:sz w:val="24"/>
                <w:szCs w:val="24"/>
              </w:rPr>
              <w:object>
                <v:shape id="_x0000_i1035" o:spt="75" type="#_x0000_t75" style="height:41.4pt;width:50.4pt;" o:ole="t" filled="f" o:preferrelative="t" stroked="f" coordsize="21600,21600">
                  <v:path/>
                  <v:fill on="f" focussize="0,0"/>
                  <v:stroke on="f" joinstyle="miter"/>
                  <v:imagedata r:id="rId44" o:title=""/>
                  <o:lock v:ext="edit" aspectratio="t"/>
                  <w10:wrap type="none"/>
                  <w10:anchorlock/>
                </v:shape>
                <o:OLEObject Type="Embed" ProgID="Equation.3" ShapeID="_x0000_i1035" DrawAspect="Content" ObjectID="_1468075735" r:id="rId43">
                  <o:LockedField>false</o:LockedField>
                </o:OLEObject>
              </w:object>
            </w:r>
            <w:r>
              <w:rPr>
                <w:rFonts w:ascii="Times New Roman" w:hAnsi="Times New Roman" w:cs="Times New Roman"/>
                <w:color w:val="000000" w:themeColor="text1"/>
                <w:sz w:val="24"/>
                <w:szCs w:val="24"/>
              </w:rPr>
              <w:t>］</w:t>
            </w:r>
            <w:bookmarkEnd w:id="9"/>
            <w:bookmarkEnd w:id="10"/>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式中：Li--第i个声源声值；</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LA--某点噪声总叠加值；</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n--声源个数。</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③预测点</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预测点</w:t>
            </w:r>
            <w:r>
              <w:rPr>
                <w:rFonts w:hint="eastAsia" w:ascii="Times New Roman" w:hAnsi="Times New Roman" w:cs="Times New Roman"/>
                <w:color w:val="000000" w:themeColor="text1"/>
                <w:sz w:val="24"/>
                <w:szCs w:val="24"/>
              </w:rPr>
              <w:t>均</w:t>
            </w:r>
            <w:r>
              <w:rPr>
                <w:rFonts w:ascii="Times New Roman" w:hAnsi="Times New Roman" w:cs="Times New Roman"/>
                <w:color w:val="000000" w:themeColor="text1"/>
                <w:sz w:val="24"/>
                <w:szCs w:val="24"/>
              </w:rPr>
              <w:t>设置为东、南、西、北四个</w:t>
            </w:r>
            <w:r>
              <w:rPr>
                <w:rFonts w:hint="eastAsia" w:ascii="Times New Roman" w:hAnsi="Times New Roman" w:cs="Times New Roman"/>
                <w:color w:val="000000" w:themeColor="text1"/>
                <w:sz w:val="24"/>
                <w:szCs w:val="24"/>
              </w:rPr>
              <w:t>厂界</w:t>
            </w:r>
            <w:r>
              <w:rPr>
                <w:rFonts w:ascii="Times New Roman" w:hAnsi="Times New Roman" w:cs="Times New Roman"/>
                <w:color w:val="000000" w:themeColor="text1"/>
                <w:sz w:val="24"/>
                <w:szCs w:val="24"/>
              </w:rPr>
              <w:t>。</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④预测结果与评价</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经过预测，</w:t>
            </w:r>
            <w:r>
              <w:rPr>
                <w:rFonts w:hint="eastAsia" w:ascii="Times New Roman" w:hAnsi="Times New Roman" w:cs="Times New Roman"/>
                <w:color w:val="000000" w:themeColor="text1"/>
                <w:sz w:val="24"/>
                <w:szCs w:val="24"/>
              </w:rPr>
              <w:t>项目厂界东、南、西、北</w:t>
            </w:r>
            <w:r>
              <w:rPr>
                <w:rFonts w:ascii="Times New Roman" w:hAnsi="Times New Roman" w:cs="Times New Roman"/>
                <w:color w:val="000000" w:themeColor="text1"/>
                <w:sz w:val="24"/>
                <w:szCs w:val="24"/>
              </w:rPr>
              <w:t>预测点的噪声预测结果</w:t>
            </w:r>
            <w:r>
              <w:rPr>
                <w:rFonts w:hint="eastAsia" w:ascii="Times New Roman" w:hAnsi="Times New Roman" w:cs="Times New Roman"/>
                <w:color w:val="000000" w:themeColor="text1"/>
                <w:sz w:val="24"/>
                <w:szCs w:val="24"/>
              </w:rPr>
              <w:t>如下表所示。</w:t>
            </w:r>
          </w:p>
          <w:p>
            <w:pPr>
              <w:jc w:val="center"/>
              <w:rPr>
                <w:rFonts w:ascii="Times New Roman" w:hAnsi="Times New Roman" w:cs="Times New Roman"/>
                <w:b/>
                <w:color w:val="000000" w:themeColor="text1"/>
                <w:szCs w:val="24"/>
              </w:rPr>
            </w:pPr>
            <w:r>
              <w:rPr>
                <w:rFonts w:ascii="Times New Roman" w:hAnsi="Times New Roman" w:cs="Times New Roman"/>
                <w:b/>
                <w:color w:val="000000" w:themeColor="text1"/>
                <w:szCs w:val="24"/>
              </w:rPr>
              <w:t>表</w:t>
            </w:r>
            <w:r>
              <w:rPr>
                <w:rFonts w:hint="eastAsia" w:ascii="Times New Roman" w:hAnsi="Times New Roman" w:cs="Times New Roman"/>
                <w:b/>
                <w:color w:val="000000" w:themeColor="text1"/>
                <w:szCs w:val="24"/>
              </w:rPr>
              <w:t>4.2.3-2</w:t>
            </w:r>
            <w:r>
              <w:rPr>
                <w:rFonts w:ascii="Times New Roman" w:hAnsi="Times New Roman" w:cs="Times New Roman"/>
                <w:b/>
                <w:color w:val="000000" w:themeColor="text1"/>
                <w:szCs w:val="24"/>
              </w:rPr>
              <w:t xml:space="preserve"> </w:t>
            </w:r>
            <w:r>
              <w:rPr>
                <w:rFonts w:hint="eastAsia" w:ascii="Times New Roman" w:hAnsi="Times New Roman" w:cs="Times New Roman"/>
                <w:b/>
                <w:color w:val="000000" w:themeColor="text1"/>
                <w:szCs w:val="24"/>
              </w:rPr>
              <w:t>项目建成后</w:t>
            </w:r>
            <w:r>
              <w:rPr>
                <w:rFonts w:ascii="Times New Roman" w:hAnsi="Times New Roman" w:cs="Times New Roman"/>
                <w:b/>
                <w:color w:val="000000" w:themeColor="text1"/>
                <w:szCs w:val="24"/>
              </w:rPr>
              <w:t>预测点的噪声</w:t>
            </w:r>
            <w:r>
              <w:rPr>
                <w:rFonts w:hint="eastAsia" w:ascii="Times New Roman" w:hAnsi="Times New Roman" w:cs="Times New Roman"/>
                <w:b/>
                <w:color w:val="000000" w:themeColor="text1"/>
                <w:szCs w:val="24"/>
              </w:rPr>
              <w:t>贡献</w:t>
            </w:r>
            <w:r>
              <w:rPr>
                <w:rFonts w:ascii="Times New Roman" w:hAnsi="Times New Roman" w:cs="Times New Roman"/>
                <w:b/>
                <w:color w:val="000000" w:themeColor="text1"/>
                <w:szCs w:val="24"/>
              </w:rPr>
              <w:t>值  单位：dB</w:t>
            </w:r>
            <w:r>
              <w:rPr>
                <w:rFonts w:hint="eastAsia" w:ascii="Times New Roman" w:hAnsi="Times New Roman" w:cs="Times New Roman"/>
                <w:b/>
                <w:color w:val="000000" w:themeColor="text1"/>
                <w:szCs w:val="24"/>
              </w:rPr>
              <w:t>（</w:t>
            </w:r>
            <w:r>
              <w:rPr>
                <w:rFonts w:ascii="Times New Roman" w:hAnsi="Times New Roman" w:cs="Times New Roman"/>
                <w:b/>
                <w:color w:val="000000" w:themeColor="text1"/>
                <w:szCs w:val="24"/>
              </w:rPr>
              <w:t>A</w:t>
            </w:r>
            <w:r>
              <w:rPr>
                <w:rFonts w:hint="eastAsia" w:ascii="Times New Roman" w:hAnsi="Times New Roman" w:cs="Times New Roman"/>
                <w:b/>
                <w:color w:val="000000" w:themeColor="text1"/>
                <w:szCs w:val="24"/>
              </w:rPr>
              <w:t>）</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001"/>
              <w:gridCol w:w="1899"/>
              <w:gridCol w:w="192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366" w:type="dxa"/>
                  <w:vAlign w:val="center"/>
                </w:tcPr>
                <w:p>
                  <w:pPr>
                    <w:pStyle w:val="30"/>
                    <w:spacing w:line="360" w:lineRule="exact"/>
                    <w:rPr>
                      <w:color w:val="000000" w:themeColor="text1"/>
                      <w:szCs w:val="21"/>
                    </w:rPr>
                  </w:pPr>
                  <w:r>
                    <w:rPr>
                      <w:rFonts w:hint="eastAsia"/>
                      <w:color w:val="000000" w:themeColor="text1"/>
                      <w:szCs w:val="21"/>
                    </w:rPr>
                    <w:t>贡献值</w:t>
                  </w:r>
                </w:p>
              </w:tc>
              <w:tc>
                <w:tcPr>
                  <w:tcW w:w="2001" w:type="dxa"/>
                  <w:vAlign w:val="center"/>
                </w:tcPr>
                <w:p>
                  <w:pPr>
                    <w:pStyle w:val="30"/>
                    <w:spacing w:line="360" w:lineRule="exact"/>
                    <w:rPr>
                      <w:color w:val="000000" w:themeColor="text1"/>
                      <w:szCs w:val="21"/>
                    </w:rPr>
                  </w:pPr>
                  <w:r>
                    <w:rPr>
                      <w:rFonts w:hint="eastAsia"/>
                      <w:color w:val="000000" w:themeColor="text1"/>
                      <w:szCs w:val="21"/>
                    </w:rPr>
                    <w:t>厂界东</w:t>
                  </w:r>
                </w:p>
              </w:tc>
              <w:tc>
                <w:tcPr>
                  <w:tcW w:w="1899" w:type="dxa"/>
                  <w:vAlign w:val="center"/>
                </w:tcPr>
                <w:p>
                  <w:pPr>
                    <w:pStyle w:val="30"/>
                    <w:spacing w:line="360" w:lineRule="exact"/>
                    <w:rPr>
                      <w:color w:val="000000" w:themeColor="text1"/>
                      <w:szCs w:val="21"/>
                    </w:rPr>
                  </w:pPr>
                  <w:r>
                    <w:rPr>
                      <w:rFonts w:hint="eastAsia"/>
                      <w:color w:val="000000" w:themeColor="text1"/>
                      <w:szCs w:val="21"/>
                    </w:rPr>
                    <w:t>厂界南</w:t>
                  </w:r>
                </w:p>
              </w:tc>
              <w:tc>
                <w:tcPr>
                  <w:tcW w:w="1920" w:type="dxa"/>
                  <w:vAlign w:val="center"/>
                </w:tcPr>
                <w:p>
                  <w:pPr>
                    <w:pStyle w:val="30"/>
                    <w:spacing w:line="360" w:lineRule="exact"/>
                    <w:rPr>
                      <w:color w:val="000000" w:themeColor="text1"/>
                      <w:szCs w:val="21"/>
                    </w:rPr>
                  </w:pPr>
                  <w:r>
                    <w:rPr>
                      <w:rFonts w:hint="eastAsia"/>
                      <w:color w:val="000000" w:themeColor="text1"/>
                      <w:szCs w:val="21"/>
                    </w:rPr>
                    <w:t>厂界西</w:t>
                  </w:r>
                </w:p>
              </w:tc>
              <w:tc>
                <w:tcPr>
                  <w:tcW w:w="1858" w:type="dxa"/>
                  <w:vAlign w:val="center"/>
                </w:tcPr>
                <w:p>
                  <w:pPr>
                    <w:pStyle w:val="30"/>
                    <w:spacing w:line="360" w:lineRule="exact"/>
                    <w:rPr>
                      <w:color w:val="000000" w:themeColor="text1"/>
                      <w:szCs w:val="21"/>
                    </w:rPr>
                  </w:pPr>
                  <w:r>
                    <w:rPr>
                      <w:rFonts w:hint="eastAsia"/>
                      <w:color w:val="000000" w:themeColor="text1"/>
                      <w:szCs w:val="21"/>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pPr>
                    <w:pStyle w:val="30"/>
                    <w:spacing w:line="360" w:lineRule="exact"/>
                    <w:rPr>
                      <w:color w:val="000000" w:themeColor="text1"/>
                      <w:szCs w:val="21"/>
                    </w:rPr>
                  </w:pPr>
                  <w:r>
                    <w:rPr>
                      <w:color w:val="000000" w:themeColor="text1"/>
                      <w:szCs w:val="21"/>
                    </w:rPr>
                    <w:t>昼</w:t>
                  </w:r>
                </w:p>
              </w:tc>
              <w:tc>
                <w:tcPr>
                  <w:tcW w:w="2001" w:type="dxa"/>
                  <w:vAlign w:val="center"/>
                </w:tcPr>
                <w:p>
                  <w:pPr>
                    <w:pStyle w:val="30"/>
                    <w:spacing w:line="360" w:lineRule="exact"/>
                    <w:rPr>
                      <w:color w:val="000000" w:themeColor="text1"/>
                      <w:szCs w:val="21"/>
                    </w:rPr>
                  </w:pPr>
                  <w:r>
                    <w:rPr>
                      <w:rFonts w:hint="eastAsia"/>
                      <w:color w:val="000000" w:themeColor="text1"/>
                      <w:szCs w:val="21"/>
                    </w:rPr>
                    <w:t>52.6</w:t>
                  </w:r>
                </w:p>
              </w:tc>
              <w:tc>
                <w:tcPr>
                  <w:tcW w:w="1899" w:type="dxa"/>
                  <w:vAlign w:val="center"/>
                </w:tcPr>
                <w:p>
                  <w:pPr>
                    <w:pStyle w:val="30"/>
                    <w:spacing w:line="360" w:lineRule="exact"/>
                    <w:rPr>
                      <w:color w:val="000000" w:themeColor="text1"/>
                      <w:szCs w:val="21"/>
                    </w:rPr>
                  </w:pPr>
                  <w:r>
                    <w:rPr>
                      <w:rFonts w:hint="eastAsia"/>
                      <w:color w:val="000000" w:themeColor="text1"/>
                      <w:szCs w:val="21"/>
                    </w:rPr>
                    <w:t>53.1</w:t>
                  </w:r>
                </w:p>
              </w:tc>
              <w:tc>
                <w:tcPr>
                  <w:tcW w:w="1920" w:type="dxa"/>
                  <w:vAlign w:val="center"/>
                </w:tcPr>
                <w:p>
                  <w:pPr>
                    <w:pStyle w:val="30"/>
                    <w:spacing w:line="360" w:lineRule="exact"/>
                    <w:rPr>
                      <w:color w:val="000000" w:themeColor="text1"/>
                      <w:szCs w:val="21"/>
                    </w:rPr>
                  </w:pPr>
                  <w:r>
                    <w:rPr>
                      <w:rFonts w:hint="eastAsia"/>
                      <w:color w:val="000000" w:themeColor="text1"/>
                      <w:szCs w:val="21"/>
                    </w:rPr>
                    <w:t>51.9</w:t>
                  </w:r>
                </w:p>
              </w:tc>
              <w:tc>
                <w:tcPr>
                  <w:tcW w:w="1858" w:type="dxa"/>
                  <w:vAlign w:val="center"/>
                </w:tcPr>
                <w:p>
                  <w:pPr>
                    <w:pStyle w:val="30"/>
                    <w:spacing w:line="360" w:lineRule="exact"/>
                    <w:rPr>
                      <w:color w:val="000000" w:themeColor="text1"/>
                      <w:szCs w:val="21"/>
                    </w:rPr>
                  </w:pPr>
                  <w:r>
                    <w:rPr>
                      <w:rFonts w:hint="eastAsia"/>
                      <w:color w:val="000000" w:themeColor="text1"/>
                      <w:szCs w:val="21"/>
                    </w:rPr>
                    <w:t>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pPr>
                    <w:pStyle w:val="30"/>
                    <w:spacing w:line="360" w:lineRule="exact"/>
                    <w:rPr>
                      <w:color w:val="000000" w:themeColor="text1"/>
                      <w:szCs w:val="21"/>
                    </w:rPr>
                  </w:pPr>
                  <w:r>
                    <w:rPr>
                      <w:color w:val="000000" w:themeColor="text1"/>
                      <w:szCs w:val="21"/>
                    </w:rPr>
                    <w:t>夜</w:t>
                  </w:r>
                </w:p>
              </w:tc>
              <w:tc>
                <w:tcPr>
                  <w:tcW w:w="2001" w:type="dxa"/>
                  <w:vAlign w:val="center"/>
                </w:tcPr>
                <w:p>
                  <w:pPr>
                    <w:pStyle w:val="30"/>
                    <w:spacing w:line="360" w:lineRule="exact"/>
                    <w:rPr>
                      <w:color w:val="000000" w:themeColor="text1"/>
                      <w:szCs w:val="21"/>
                    </w:rPr>
                  </w:pPr>
                  <w:r>
                    <w:rPr>
                      <w:rFonts w:hint="eastAsia"/>
                      <w:color w:val="000000" w:themeColor="text1"/>
                      <w:szCs w:val="21"/>
                    </w:rPr>
                    <w:t>52.6</w:t>
                  </w:r>
                </w:p>
              </w:tc>
              <w:tc>
                <w:tcPr>
                  <w:tcW w:w="1899" w:type="dxa"/>
                  <w:vAlign w:val="center"/>
                </w:tcPr>
                <w:p>
                  <w:pPr>
                    <w:pStyle w:val="30"/>
                    <w:spacing w:line="360" w:lineRule="exact"/>
                    <w:rPr>
                      <w:color w:val="000000" w:themeColor="text1"/>
                      <w:szCs w:val="21"/>
                    </w:rPr>
                  </w:pPr>
                  <w:r>
                    <w:rPr>
                      <w:rFonts w:hint="eastAsia"/>
                      <w:color w:val="000000" w:themeColor="text1"/>
                      <w:szCs w:val="21"/>
                    </w:rPr>
                    <w:t>53.1</w:t>
                  </w:r>
                </w:p>
              </w:tc>
              <w:tc>
                <w:tcPr>
                  <w:tcW w:w="1920" w:type="dxa"/>
                  <w:vAlign w:val="center"/>
                </w:tcPr>
                <w:p>
                  <w:pPr>
                    <w:pStyle w:val="30"/>
                    <w:spacing w:line="360" w:lineRule="exact"/>
                    <w:rPr>
                      <w:color w:val="000000" w:themeColor="text1"/>
                      <w:szCs w:val="21"/>
                    </w:rPr>
                  </w:pPr>
                  <w:r>
                    <w:rPr>
                      <w:rFonts w:hint="eastAsia"/>
                      <w:color w:val="000000" w:themeColor="text1"/>
                      <w:szCs w:val="21"/>
                    </w:rPr>
                    <w:t>51.9</w:t>
                  </w:r>
                </w:p>
              </w:tc>
              <w:tc>
                <w:tcPr>
                  <w:tcW w:w="1858" w:type="dxa"/>
                  <w:vAlign w:val="center"/>
                </w:tcPr>
                <w:p>
                  <w:pPr>
                    <w:pStyle w:val="30"/>
                    <w:spacing w:line="360" w:lineRule="exact"/>
                    <w:rPr>
                      <w:color w:val="000000" w:themeColor="text1"/>
                      <w:szCs w:val="21"/>
                    </w:rPr>
                  </w:pPr>
                  <w:r>
                    <w:rPr>
                      <w:rFonts w:hint="eastAsia"/>
                      <w:color w:val="000000" w:themeColor="text1"/>
                      <w:szCs w:val="21"/>
                    </w:rPr>
                    <w:t>52.1</w:t>
                  </w:r>
                </w:p>
              </w:tc>
            </w:tr>
          </w:tbl>
          <w:p>
            <w:pPr>
              <w:pStyle w:val="38"/>
              <w:spacing w:beforeLines="50"/>
              <w:ind w:firstLine="480"/>
              <w:rPr>
                <w:color w:val="000000" w:themeColor="text1"/>
                <w:szCs w:val="21"/>
              </w:rPr>
            </w:pPr>
            <w:r>
              <w:rPr>
                <w:color w:val="000000" w:themeColor="text1"/>
                <w:szCs w:val="21"/>
              </w:rPr>
              <w:t>从上表可知，项目运营期设备加装减振垫、消音器，噪声墙体阻隔、空气吸收和距离等衰减后，厂界噪声可达到《工业企业厂界环境噪声排放标准》（GB12348-2008）</w:t>
            </w:r>
            <w:r>
              <w:rPr>
                <w:rFonts w:hint="eastAsia"/>
                <w:color w:val="000000" w:themeColor="text1"/>
                <w:szCs w:val="21"/>
              </w:rPr>
              <w:t>3</w:t>
            </w:r>
            <w:r>
              <w:rPr>
                <w:color w:val="000000" w:themeColor="text1"/>
                <w:szCs w:val="21"/>
              </w:rPr>
              <w:t>类标准要求。</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（3）对环境保护目标影响预测</w:t>
            </w:r>
          </w:p>
          <w:p>
            <w:pPr>
              <w:pStyle w:val="38"/>
              <w:ind w:firstLine="480"/>
              <w:rPr>
                <w:rFonts w:eastAsiaTheme="minorEastAsia"/>
                <w:color w:val="000000" w:themeColor="text1"/>
                <w:szCs w:val="24"/>
              </w:rPr>
            </w:pPr>
            <w:r>
              <w:rPr>
                <w:rFonts w:eastAsiaTheme="minorEastAsia"/>
                <w:color w:val="000000" w:themeColor="text1"/>
                <w:szCs w:val="24"/>
              </w:rPr>
              <w:t>根据项目环境保护目标分布，项目区声环境评价范围内无声环境保护目标，因此项目噪声对环境影响较小。</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（4）自行监测要求</w:t>
            </w:r>
          </w:p>
          <w:p>
            <w:pPr>
              <w:pStyle w:val="38"/>
              <w:ind w:firstLine="480"/>
              <w:rPr>
                <w:rFonts w:eastAsiaTheme="minorEastAsia"/>
                <w:color w:val="000000" w:themeColor="text1"/>
                <w:szCs w:val="24"/>
              </w:rPr>
            </w:pPr>
            <w:r>
              <w:rPr>
                <w:rFonts w:eastAsiaTheme="minorEastAsia"/>
                <w:color w:val="000000" w:themeColor="text1"/>
                <w:szCs w:val="24"/>
              </w:rPr>
              <w:t>根据《排污单位自行监测技术指南 总则》（HJ819-2017）的要求，项目噪声自行监测要求如下表所示。</w:t>
            </w:r>
          </w:p>
          <w:p>
            <w:pPr>
              <w:pStyle w:val="32"/>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表4.2.3-</w:t>
            </w:r>
            <w:r>
              <w:rPr>
                <w:rFonts w:hint="eastAsia" w:hAnsi="Times New Roman" w:eastAsiaTheme="minorEastAsia"/>
                <w:color w:val="000000" w:themeColor="text1"/>
                <w:sz w:val="21"/>
                <w:szCs w:val="21"/>
              </w:rPr>
              <w:t>3</w:t>
            </w:r>
            <w:r>
              <w:rPr>
                <w:rFonts w:hAnsi="Times New Roman" w:eastAsiaTheme="minorEastAsia"/>
                <w:color w:val="000000" w:themeColor="text1"/>
                <w:sz w:val="21"/>
                <w:szCs w:val="21"/>
              </w:rPr>
              <w:t xml:space="preserve">  厂界噪声自行监测计划一览表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341"/>
              <w:gridCol w:w="1489"/>
              <w:gridCol w:w="17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对象</w:t>
                  </w:r>
                </w:p>
              </w:tc>
              <w:tc>
                <w:tcPr>
                  <w:tcW w:w="1276"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监测点位</w:t>
                  </w:r>
                </w:p>
              </w:tc>
              <w:tc>
                <w:tcPr>
                  <w:tcW w:w="1417"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监测因子</w:t>
                  </w:r>
                </w:p>
              </w:tc>
              <w:tc>
                <w:tcPr>
                  <w:tcW w:w="1701"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最低监测频率</w:t>
                  </w:r>
                </w:p>
              </w:tc>
              <w:tc>
                <w:tcPr>
                  <w:tcW w:w="3476" w:type="dxa"/>
                  <w:vAlign w:val="center"/>
                </w:tcPr>
                <w:p>
                  <w:pPr>
                    <w:pStyle w:val="30"/>
                    <w:widowControl w:val="0"/>
                    <w:spacing w:line="360" w:lineRule="exact"/>
                    <w:rPr>
                      <w:rFonts w:eastAsiaTheme="minorEastAsia"/>
                      <w:color w:val="000000" w:themeColor="text1"/>
                    </w:rPr>
                  </w:pPr>
                  <w:r>
                    <w:rPr>
                      <w:rFonts w:eastAsiaTheme="minorEastAsia"/>
                      <w:color w:val="000000" w:themeColor="text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735"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噪声</w:t>
                  </w:r>
                </w:p>
              </w:tc>
              <w:tc>
                <w:tcPr>
                  <w:tcW w:w="1276"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厂界四周</w:t>
                  </w:r>
                </w:p>
              </w:tc>
              <w:tc>
                <w:tcPr>
                  <w:tcW w:w="1417" w:type="dxa"/>
                  <w:vAlign w:val="center"/>
                </w:tcPr>
                <w:p>
                  <w:pPr>
                    <w:pStyle w:val="30"/>
                    <w:widowControl w:val="0"/>
                    <w:spacing w:line="360" w:lineRule="exact"/>
                    <w:rPr>
                      <w:rFonts w:eastAsiaTheme="minorEastAsia"/>
                      <w:color w:val="000000" w:themeColor="text1"/>
                    </w:rPr>
                  </w:pPr>
                  <w:r>
                    <w:rPr>
                      <w:rFonts w:eastAsiaTheme="minorEastAsia"/>
                      <w:color w:val="000000" w:themeColor="text1"/>
                    </w:rPr>
                    <w:t>等效连续A声级</w:t>
                  </w:r>
                </w:p>
              </w:tc>
              <w:tc>
                <w:tcPr>
                  <w:tcW w:w="1701" w:type="dxa"/>
                  <w:vAlign w:val="center"/>
                </w:tcPr>
                <w:p>
                  <w:pPr>
                    <w:pStyle w:val="30"/>
                    <w:widowControl w:val="0"/>
                    <w:spacing w:line="360" w:lineRule="exact"/>
                    <w:rPr>
                      <w:rFonts w:eastAsiaTheme="minorEastAsia"/>
                      <w:color w:val="000000" w:themeColor="text1"/>
                    </w:rPr>
                  </w:pPr>
                  <w:r>
                    <w:rPr>
                      <w:rFonts w:hint="eastAsia" w:eastAsiaTheme="minorEastAsia"/>
                      <w:color w:val="000000" w:themeColor="text1"/>
                    </w:rPr>
                    <w:t>1</w:t>
                  </w:r>
                  <w:r>
                    <w:rPr>
                      <w:rFonts w:eastAsiaTheme="minorEastAsia"/>
                      <w:color w:val="000000" w:themeColor="text1"/>
                    </w:rPr>
                    <w:t>次/季</w:t>
                  </w:r>
                </w:p>
              </w:tc>
              <w:tc>
                <w:tcPr>
                  <w:tcW w:w="3476" w:type="dxa"/>
                  <w:vAlign w:val="center"/>
                </w:tcPr>
                <w:p>
                  <w:pPr>
                    <w:pStyle w:val="30"/>
                    <w:widowControl w:val="0"/>
                    <w:spacing w:line="360" w:lineRule="exact"/>
                    <w:ind w:firstLine="210" w:firstLineChars="100"/>
                    <w:jc w:val="both"/>
                    <w:rPr>
                      <w:rFonts w:eastAsiaTheme="minorEastAsia"/>
                      <w:color w:val="000000" w:themeColor="text1"/>
                    </w:rPr>
                  </w:pPr>
                  <w:r>
                    <w:rPr>
                      <w:color w:val="000000" w:themeColor="text1"/>
                      <w:szCs w:val="21"/>
                    </w:rPr>
                    <w:t>《工业企业厂界环境噪声排放标准》（GB12348-2008）中</w:t>
                  </w:r>
                  <w:r>
                    <w:rPr>
                      <w:rFonts w:hint="eastAsia"/>
                      <w:color w:val="000000" w:themeColor="text1"/>
                      <w:szCs w:val="21"/>
                    </w:rPr>
                    <w:t>3</w:t>
                  </w:r>
                  <w:r>
                    <w:rPr>
                      <w:color w:val="000000" w:themeColor="text1"/>
                      <w:szCs w:val="21"/>
                    </w:rPr>
                    <w:t>类标准</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4.2.4 运营期固体废物环境影响和保护措施</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（1）固体废物污染源强分析</w:t>
            </w:r>
          </w:p>
          <w:p>
            <w:pPr>
              <w:pStyle w:val="38"/>
              <w:ind w:firstLine="480"/>
              <w:rPr>
                <w:rFonts w:eastAsiaTheme="minorEastAsia"/>
                <w:color w:val="000000" w:themeColor="text1"/>
                <w:szCs w:val="24"/>
              </w:rPr>
            </w:pPr>
            <w:r>
              <w:rPr>
                <w:rFonts w:eastAsiaTheme="minorEastAsia"/>
                <w:color w:val="000000" w:themeColor="text1"/>
                <w:szCs w:val="24"/>
              </w:rPr>
              <w:t>根据项目技改内容</w:t>
            </w:r>
            <w:r>
              <w:rPr>
                <w:rFonts w:hint="eastAsia" w:eastAsiaTheme="minorEastAsia"/>
                <w:color w:val="000000" w:themeColor="text1"/>
                <w:szCs w:val="24"/>
              </w:rPr>
              <w:t>可知</w:t>
            </w:r>
            <w:r>
              <w:rPr>
                <w:rFonts w:eastAsiaTheme="minorEastAsia"/>
                <w:color w:val="000000" w:themeColor="text1"/>
                <w:szCs w:val="24"/>
              </w:rPr>
              <w:t>，</w:t>
            </w:r>
            <w:r>
              <w:rPr>
                <w:rFonts w:hint="eastAsia" w:eastAsiaTheme="minorEastAsia"/>
                <w:color w:val="000000" w:themeColor="text1"/>
                <w:szCs w:val="24"/>
              </w:rPr>
              <w:t>本次项目技改后，废旧冰箱处理线不变，其固体废物污染源不发生变化，空调/小家电/废手机及其视听设备消费电子产品处理线仅为恢复，其固体废物污染源较环评不发生变化，1号废旧电视机（CRT）处理线不变，其固体废物污染源不发生变化；主要变化的是废旧洗衣机处理线和2号废旧电视机（液晶电视）处理线，废旧洗衣机处理线生产线新增4个拆解工位和两台破碎设施，其拆解固体废物产生量发生变化，2号废旧电视机（液晶电视）处理线新增荧光灯管背光模组负压拆解工作台，则增加汞及其化合物处理产生的固体废物废活性炭（吸附汞及其化合物）。其他3条拆解线（废旧冰箱处理线、空调/小家电/废手机及其视听设备消费电子产品处理线、1号废旧电视机（CRT）处理线）固体废物产排情况，详见现有工程核算章节。另外新建设的一体化污水处理设施将新增污泥。具体改变后的废物污染源核算如下：</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①技改后废旧洗衣机处理线固体废物产排情况</w:t>
            </w:r>
          </w:p>
          <w:p>
            <w:pPr>
              <w:pStyle w:val="38"/>
              <w:ind w:firstLine="480"/>
              <w:rPr>
                <w:rFonts w:eastAsiaTheme="minorEastAsia"/>
                <w:color w:val="000000" w:themeColor="text1"/>
                <w:szCs w:val="24"/>
              </w:rPr>
            </w:pPr>
            <w:r>
              <w:rPr>
                <w:rFonts w:hint="eastAsia" w:eastAsiaTheme="minorEastAsia"/>
                <w:color w:val="000000" w:themeColor="text1"/>
                <w:szCs w:val="24"/>
              </w:rPr>
              <w:t>根据废旧洗衣机处理线的处理工艺可知，废旧洗衣机处理线废旧洗衣机的处理能力由18万台/a提高至30万台/a，该处理线产生的固体废物为等比例增加，则废旧洗衣机处理线固体废物产生情况具体如下表所示：</w:t>
            </w:r>
          </w:p>
          <w:p>
            <w:pPr>
              <w:jc w:val="center"/>
              <w:rPr>
                <w:rFonts w:ascii="Times New Roman" w:hAnsi="Times New Roman" w:eastAsia="宋体" w:cs="Times New Roman"/>
                <w:b/>
                <w:color w:val="000000" w:themeColor="text1"/>
                <w:szCs w:val="24"/>
              </w:rPr>
            </w:pPr>
            <w:r>
              <w:rPr>
                <w:rFonts w:hint="eastAsia" w:ascii="Times New Roman" w:hAnsi="Times New Roman" w:eastAsia="宋体" w:cs="Times New Roman"/>
                <w:b/>
                <w:color w:val="000000" w:themeColor="text1"/>
                <w:szCs w:val="24"/>
              </w:rPr>
              <w:t xml:space="preserve">4.2.4-1 </w:t>
            </w:r>
            <w:r>
              <w:rPr>
                <w:rFonts w:ascii="Times New Roman" w:hAnsi="Times New Roman" w:eastAsia="宋体" w:cs="Times New Roman"/>
                <w:b/>
                <w:color w:val="000000" w:themeColor="text1"/>
                <w:szCs w:val="24"/>
              </w:rPr>
              <w:t>改扩建项目</w:t>
            </w:r>
            <w:r>
              <w:rPr>
                <w:rFonts w:hint="eastAsia" w:ascii="Times New Roman" w:hAnsi="Times New Roman" w:eastAsia="宋体" w:cs="Times New Roman"/>
                <w:b/>
                <w:color w:val="000000" w:themeColor="text1"/>
                <w:szCs w:val="24"/>
              </w:rPr>
              <w:t>废旧洗衣机处理线</w:t>
            </w:r>
            <w:r>
              <w:rPr>
                <w:rFonts w:ascii="Times New Roman" w:hAnsi="Times New Roman" w:eastAsia="宋体" w:cs="Times New Roman"/>
                <w:b/>
                <w:color w:val="000000" w:themeColor="text1"/>
                <w:szCs w:val="24"/>
              </w:rPr>
              <w:t>固体废物产生及处置情况一览表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82"/>
              <w:gridCol w:w="3187"/>
              <w:gridCol w:w="1882"/>
              <w:gridCol w:w="26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3" w:hRule="atLeast"/>
              </w:trPr>
              <w:tc>
                <w:tcPr>
                  <w:tcW w:w="96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产生环节</w:t>
                  </w: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固废</w:t>
                  </w:r>
                  <w:r>
                    <w:rPr>
                      <w:rFonts w:eastAsiaTheme="minorEastAsia"/>
                      <w:color w:val="000000" w:themeColor="text1"/>
                      <w:szCs w:val="21"/>
                    </w:rPr>
                    <w:t>名称</w:t>
                  </w:r>
                </w:p>
              </w:tc>
              <w:tc>
                <w:tcPr>
                  <w:tcW w:w="1420"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固体废物</w:t>
                  </w:r>
                  <w:r>
                    <w:rPr>
                      <w:rFonts w:eastAsiaTheme="minorEastAsia"/>
                      <w:color w:val="000000" w:themeColor="text1"/>
                      <w:szCs w:val="21"/>
                    </w:rPr>
                    <w:t>产生量</w:t>
                  </w:r>
                </w:p>
                <w:p>
                  <w:pPr>
                    <w:pStyle w:val="30"/>
                    <w:spacing w:line="360" w:lineRule="exact"/>
                    <w:rPr>
                      <w:rFonts w:eastAsiaTheme="minorEastAsia"/>
                      <w:color w:val="000000" w:themeColor="text1"/>
                      <w:szCs w:val="21"/>
                    </w:rPr>
                  </w:pPr>
                  <w:r>
                    <w:rPr>
                      <w:rFonts w:hint="eastAsia" w:eastAsiaTheme="minorEastAsia"/>
                      <w:color w:val="000000" w:themeColor="text1"/>
                      <w:szCs w:val="21"/>
                    </w:rPr>
                    <w:t>（t/a）</w:t>
                  </w:r>
                </w:p>
              </w:tc>
              <w:tc>
                <w:tcPr>
                  <w:tcW w:w="203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固废</w:t>
                  </w:r>
                  <w:r>
                    <w:rPr>
                      <w:rFonts w:eastAsiaTheme="minorEastAsia"/>
                      <w:color w:val="000000" w:themeColor="text1"/>
                      <w:szCs w:val="21"/>
                    </w:rPr>
                    <w:t>属性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67"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废旧洗衣机处理线</w:t>
                  </w: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废塑料</w:t>
                  </w:r>
                </w:p>
              </w:tc>
              <w:tc>
                <w:tcPr>
                  <w:tcW w:w="142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6416.67</w:t>
                  </w:r>
                </w:p>
              </w:tc>
              <w:tc>
                <w:tcPr>
                  <w:tcW w:w="2032"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67" w:type="dxa"/>
                  <w:vMerge w:val="continue"/>
                  <w:vAlign w:val="center"/>
                </w:tcPr>
                <w:p>
                  <w:pPr>
                    <w:pStyle w:val="30"/>
                    <w:spacing w:line="360" w:lineRule="exact"/>
                    <w:rPr>
                      <w:rFonts w:eastAsiaTheme="minorEastAsia"/>
                      <w:color w:val="000000" w:themeColor="text1"/>
                      <w:szCs w:val="21"/>
                    </w:rPr>
                  </w:pP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废旧有色金属（铜/铝等）</w:t>
                  </w:r>
                </w:p>
              </w:tc>
              <w:tc>
                <w:tcPr>
                  <w:tcW w:w="142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873.33</w:t>
                  </w:r>
                </w:p>
              </w:tc>
              <w:tc>
                <w:tcPr>
                  <w:tcW w:w="2032"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67" w:type="dxa"/>
                  <w:vMerge w:val="continue"/>
                  <w:vAlign w:val="center"/>
                </w:tcPr>
                <w:p>
                  <w:pPr>
                    <w:pStyle w:val="30"/>
                    <w:spacing w:line="360" w:lineRule="exact"/>
                    <w:rPr>
                      <w:rFonts w:eastAsiaTheme="minorEastAsia"/>
                      <w:color w:val="000000" w:themeColor="text1"/>
                      <w:szCs w:val="21"/>
                    </w:rPr>
                  </w:pP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废钢/铁</w:t>
                  </w:r>
                </w:p>
              </w:tc>
              <w:tc>
                <w:tcPr>
                  <w:tcW w:w="142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13200</w:t>
                  </w:r>
                </w:p>
              </w:tc>
              <w:tc>
                <w:tcPr>
                  <w:tcW w:w="2032"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67" w:type="dxa"/>
                  <w:vMerge w:val="continue"/>
                  <w:vAlign w:val="center"/>
                </w:tcPr>
                <w:p>
                  <w:pPr>
                    <w:pStyle w:val="30"/>
                    <w:spacing w:line="360" w:lineRule="exact"/>
                    <w:rPr>
                      <w:rFonts w:eastAsiaTheme="minorEastAsia"/>
                      <w:color w:val="000000" w:themeColor="text1"/>
                      <w:szCs w:val="21"/>
                    </w:rPr>
                  </w:pP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废电子配件（开关、电容、电源线等）</w:t>
                  </w:r>
                </w:p>
              </w:tc>
              <w:tc>
                <w:tcPr>
                  <w:tcW w:w="142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55.65</w:t>
                  </w:r>
                </w:p>
              </w:tc>
              <w:tc>
                <w:tcPr>
                  <w:tcW w:w="2032"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67" w:type="dxa"/>
                  <w:vMerge w:val="continue"/>
                  <w:vAlign w:val="center"/>
                </w:tcPr>
                <w:p>
                  <w:pPr>
                    <w:pStyle w:val="30"/>
                    <w:spacing w:line="360" w:lineRule="exact"/>
                    <w:rPr>
                      <w:rFonts w:eastAsiaTheme="minorEastAsia"/>
                      <w:color w:val="000000" w:themeColor="text1"/>
                      <w:szCs w:val="21"/>
                    </w:rPr>
                  </w:pP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142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480</w:t>
                  </w:r>
                </w:p>
              </w:tc>
              <w:tc>
                <w:tcPr>
                  <w:tcW w:w="2032"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危险废物（危废代码：</w:t>
                  </w:r>
                  <w:r>
                    <w:rPr>
                      <w:rFonts w:eastAsiaTheme="minorEastAsia"/>
                      <w:color w:val="000000" w:themeColor="text1"/>
                      <w:szCs w:val="21"/>
                    </w:rPr>
                    <w:t>900-045-49</w:t>
                  </w:r>
                  <w:r>
                    <w:rPr>
                      <w:rFonts w:hint="eastAsia"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67" w:type="dxa"/>
                  <w:vMerge w:val="continue"/>
                  <w:tcBorders>
                    <w:bottom w:val="single" w:color="auto" w:sz="4" w:space="0"/>
                  </w:tcBorders>
                  <w:vAlign w:val="center"/>
                </w:tcPr>
                <w:p>
                  <w:pPr>
                    <w:pStyle w:val="30"/>
                    <w:spacing w:line="360" w:lineRule="exact"/>
                    <w:rPr>
                      <w:rFonts w:eastAsiaTheme="minorEastAsia"/>
                      <w:color w:val="000000" w:themeColor="text1"/>
                      <w:szCs w:val="21"/>
                    </w:rPr>
                  </w:pPr>
                </w:p>
              </w:tc>
              <w:tc>
                <w:tcPr>
                  <w:tcW w:w="240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细碎料</w:t>
                  </w:r>
                </w:p>
              </w:tc>
              <w:tc>
                <w:tcPr>
                  <w:tcW w:w="142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780</w:t>
                  </w:r>
                </w:p>
              </w:tc>
              <w:tc>
                <w:tcPr>
                  <w:tcW w:w="2032" w:type="dxa"/>
                  <w:vAlign w:val="center"/>
                </w:tcPr>
                <w:p>
                  <w:pPr>
                    <w:pStyle w:val="30"/>
                    <w:spacing w:line="360" w:lineRule="exact"/>
                    <w:ind w:firstLine="210" w:firstLineChars="100"/>
                    <w:jc w:val="both"/>
                    <w:rPr>
                      <w:rFonts w:eastAsiaTheme="minorEastAsia"/>
                      <w:color w:val="000000" w:themeColor="text1"/>
                      <w:szCs w:val="21"/>
                    </w:rPr>
                  </w:pPr>
                  <w:r>
                    <w:rPr>
                      <w:rFonts w:hint="eastAsia" w:eastAsiaTheme="minorEastAsia"/>
                      <w:color w:val="000000" w:themeColor="text1"/>
                      <w:szCs w:val="21"/>
                    </w:rPr>
                    <w:t>一般工业固体废物</w:t>
                  </w:r>
                </w:p>
              </w:tc>
            </w:tr>
          </w:tbl>
          <w:p>
            <w:pPr>
              <w:spacing w:beforeLines="50"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②技改后2号废旧电视机（液晶电视）处理线固体废物产排情况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技改项目2号废旧电视机（液晶电视）处理线新增荧光灯管背光模组负压拆解工作台，若含汞灯管破碎汞溢出，汞及其化合物经负压系统全部收集后，通过</w:t>
            </w:r>
            <w:r>
              <w:rPr>
                <w:rFonts w:ascii="Times New Roman" w:hAnsi="Times New Roman" w:cs="Times New Roman"/>
                <w:color w:val="000000" w:themeColor="text1"/>
                <w:sz w:val="24"/>
                <w:szCs w:val="24"/>
              </w:rPr>
              <w:t>1套</w:t>
            </w:r>
            <w:r>
              <w:rPr>
                <w:rFonts w:hint="eastAsia" w:ascii="Times New Roman" w:hAnsi="Times New Roman" w:cs="Times New Roman"/>
                <w:color w:val="000000" w:themeColor="text1"/>
                <w:sz w:val="24"/>
                <w:szCs w:val="24"/>
              </w:rPr>
              <w:t>去除效率不低于80%的汞及其化合物处理装置（</w:t>
            </w:r>
            <w:r>
              <w:rPr>
                <w:rFonts w:ascii="Times New Roman" w:hAnsi="Times New Roman" w:cs="Times New Roman"/>
                <w:color w:val="000000" w:themeColor="text1"/>
                <w:sz w:val="24"/>
                <w:szCs w:val="24"/>
              </w:rPr>
              <w:t>采用UV光氧裂解+</w:t>
            </w:r>
            <w:r>
              <w:rPr>
                <w:rFonts w:hint="eastAsia" w:ascii="Times New Roman" w:hAnsi="Times New Roman" w:cs="Times New Roman"/>
                <w:color w:val="000000" w:themeColor="text1"/>
                <w:sz w:val="24"/>
                <w:szCs w:val="24"/>
              </w:rPr>
              <w:t>载硫</w:t>
            </w:r>
            <w:r>
              <w:rPr>
                <w:rFonts w:ascii="Times New Roman" w:hAnsi="Times New Roman" w:cs="Times New Roman"/>
                <w:color w:val="000000" w:themeColor="text1"/>
                <w:sz w:val="24"/>
                <w:szCs w:val="24"/>
              </w:rPr>
              <w:t>活性炭吸附</w:t>
            </w:r>
            <w:r>
              <w:rPr>
                <w:rFonts w:hint="eastAsia" w:ascii="Times New Roman" w:hAnsi="Times New Roman" w:cs="Times New Roman"/>
                <w:color w:val="000000" w:themeColor="text1"/>
                <w:sz w:val="24"/>
                <w:szCs w:val="24"/>
              </w:rPr>
              <w:t>）对其进行处理，则会产生汞及其化合物处理产生的固体废物废活性炭（吸附汞及其化合物）；</w:t>
            </w:r>
            <w:r>
              <w:rPr>
                <w:rFonts w:ascii="Times New Roman" w:hAnsi="Times New Roman" w:cs="Times New Roman"/>
                <w:color w:val="000000" w:themeColor="text1"/>
                <w:sz w:val="24"/>
                <w:szCs w:val="24"/>
              </w:rPr>
              <w:t>根据《国家危险废物名录》（2021版），其属性见下表。</w:t>
            </w:r>
          </w:p>
          <w:p>
            <w:pPr>
              <w:jc w:val="center"/>
              <w:rPr>
                <w:rFonts w:ascii="Times New Roman" w:hAnsi="Times New Roman" w:eastAsia="宋体" w:cs="Times New Roman"/>
                <w:b/>
                <w:color w:val="000000" w:themeColor="text1"/>
                <w:szCs w:val="24"/>
              </w:rPr>
            </w:pPr>
            <w:r>
              <w:rPr>
                <w:rFonts w:ascii="Times New Roman" w:hAnsi="Times New Roman" w:eastAsia="宋体" w:cs="Times New Roman"/>
                <w:b/>
                <w:color w:val="000000" w:themeColor="text1"/>
                <w:szCs w:val="24"/>
              </w:rPr>
              <w:t>表</w:t>
            </w:r>
            <w:r>
              <w:rPr>
                <w:rFonts w:hint="eastAsia" w:ascii="Times New Roman" w:hAnsi="Times New Roman" w:eastAsia="宋体" w:cs="Times New Roman"/>
                <w:b/>
                <w:color w:val="000000" w:themeColor="text1"/>
                <w:szCs w:val="24"/>
              </w:rPr>
              <w:t>4.2.4-2</w:t>
            </w:r>
            <w:r>
              <w:rPr>
                <w:rFonts w:ascii="Times New Roman" w:hAnsi="Times New Roman" w:eastAsia="宋体" w:cs="Times New Roman"/>
                <w:b/>
                <w:color w:val="000000" w:themeColor="text1"/>
                <w:szCs w:val="24"/>
              </w:rPr>
              <w:t xml:space="preserve">  国家危险废物名录（2021年）（摘抄）</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351"/>
              <w:gridCol w:w="852"/>
              <w:gridCol w:w="1275"/>
              <w:gridCol w:w="3543"/>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vAlign w:val="center"/>
                </w:tcPr>
                <w:p>
                  <w:pPr>
                    <w:pStyle w:val="30"/>
                    <w:spacing w:line="360" w:lineRule="exact"/>
                    <w:rPr>
                      <w:color w:val="000000" w:themeColor="text1"/>
                      <w:szCs w:val="21"/>
                    </w:rPr>
                  </w:pPr>
                  <w:r>
                    <w:rPr>
                      <w:color w:val="000000" w:themeColor="text1"/>
                      <w:szCs w:val="21"/>
                    </w:rPr>
                    <w:t>项目危废</w:t>
                  </w:r>
                </w:p>
              </w:tc>
              <w:tc>
                <w:tcPr>
                  <w:tcW w:w="747" w:type="pct"/>
                  <w:vAlign w:val="center"/>
                </w:tcPr>
                <w:p>
                  <w:pPr>
                    <w:pStyle w:val="30"/>
                    <w:spacing w:line="360" w:lineRule="exact"/>
                    <w:rPr>
                      <w:color w:val="000000" w:themeColor="text1"/>
                      <w:szCs w:val="21"/>
                    </w:rPr>
                  </w:pPr>
                  <w:r>
                    <w:rPr>
                      <w:color w:val="000000" w:themeColor="text1"/>
                      <w:szCs w:val="21"/>
                    </w:rPr>
                    <w:t>废物类别</w:t>
                  </w:r>
                </w:p>
              </w:tc>
              <w:tc>
                <w:tcPr>
                  <w:tcW w:w="471" w:type="pct"/>
                  <w:vAlign w:val="center"/>
                </w:tcPr>
                <w:p>
                  <w:pPr>
                    <w:pStyle w:val="30"/>
                    <w:spacing w:line="360" w:lineRule="exact"/>
                    <w:rPr>
                      <w:color w:val="000000" w:themeColor="text1"/>
                      <w:szCs w:val="21"/>
                    </w:rPr>
                  </w:pPr>
                  <w:r>
                    <w:rPr>
                      <w:color w:val="000000" w:themeColor="text1"/>
                      <w:szCs w:val="21"/>
                    </w:rPr>
                    <w:t>行业来源</w:t>
                  </w:r>
                </w:p>
              </w:tc>
              <w:tc>
                <w:tcPr>
                  <w:tcW w:w="705" w:type="pct"/>
                  <w:vAlign w:val="center"/>
                </w:tcPr>
                <w:p>
                  <w:pPr>
                    <w:pStyle w:val="30"/>
                    <w:spacing w:line="360" w:lineRule="exact"/>
                    <w:rPr>
                      <w:color w:val="000000" w:themeColor="text1"/>
                      <w:szCs w:val="21"/>
                    </w:rPr>
                  </w:pPr>
                  <w:r>
                    <w:rPr>
                      <w:color w:val="000000" w:themeColor="text1"/>
                      <w:szCs w:val="21"/>
                    </w:rPr>
                    <w:t>废物代码</w:t>
                  </w:r>
                </w:p>
              </w:tc>
              <w:tc>
                <w:tcPr>
                  <w:tcW w:w="1959" w:type="pct"/>
                  <w:vAlign w:val="center"/>
                </w:tcPr>
                <w:p>
                  <w:pPr>
                    <w:pStyle w:val="30"/>
                    <w:spacing w:line="360" w:lineRule="exact"/>
                    <w:rPr>
                      <w:color w:val="000000" w:themeColor="text1"/>
                      <w:szCs w:val="21"/>
                    </w:rPr>
                  </w:pPr>
                  <w:r>
                    <w:rPr>
                      <w:color w:val="000000" w:themeColor="text1"/>
                      <w:szCs w:val="21"/>
                    </w:rPr>
                    <w:t>危险废物</w:t>
                  </w:r>
                </w:p>
              </w:tc>
              <w:tc>
                <w:tcPr>
                  <w:tcW w:w="409" w:type="pct"/>
                  <w:vAlign w:val="center"/>
                </w:tcPr>
                <w:p>
                  <w:pPr>
                    <w:pStyle w:val="30"/>
                    <w:spacing w:line="360" w:lineRule="exact"/>
                    <w:rPr>
                      <w:color w:val="000000" w:themeColor="text1"/>
                      <w:szCs w:val="21"/>
                    </w:rPr>
                  </w:pPr>
                  <w:r>
                    <w:rPr>
                      <w:color w:val="000000" w:themeColor="text1"/>
                      <w:szCs w:val="21"/>
                    </w:rPr>
                    <w:t>危险特征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709" w:type="pct"/>
                  <w:vAlign w:val="center"/>
                </w:tcPr>
                <w:p>
                  <w:pPr>
                    <w:pStyle w:val="30"/>
                    <w:spacing w:line="360" w:lineRule="exact"/>
                    <w:rPr>
                      <w:color w:val="000000" w:themeColor="text1"/>
                      <w:szCs w:val="21"/>
                    </w:rPr>
                  </w:pPr>
                  <w:r>
                    <w:rPr>
                      <w:rFonts w:hint="eastAsia" w:eastAsiaTheme="minorEastAsia"/>
                      <w:color w:val="000000" w:themeColor="text1"/>
                      <w:szCs w:val="21"/>
                    </w:rPr>
                    <w:t>废活性炭（吸附汞及其化合物）</w:t>
                  </w:r>
                </w:p>
              </w:tc>
              <w:tc>
                <w:tcPr>
                  <w:tcW w:w="747" w:type="pct"/>
                  <w:vAlign w:val="center"/>
                </w:tcPr>
                <w:p>
                  <w:pPr>
                    <w:pStyle w:val="30"/>
                    <w:spacing w:line="360" w:lineRule="exact"/>
                    <w:rPr>
                      <w:color w:val="000000" w:themeColor="text1"/>
                      <w:szCs w:val="21"/>
                    </w:rPr>
                  </w:pPr>
                  <w:r>
                    <w:rPr>
                      <w:color w:val="000000" w:themeColor="text1"/>
                      <w:szCs w:val="21"/>
                    </w:rPr>
                    <w:t>HW29</w:t>
                  </w:r>
                  <w:r>
                    <w:rPr>
                      <w:rFonts w:hint="eastAsia"/>
                      <w:color w:val="000000" w:themeColor="text1"/>
                      <w:szCs w:val="21"/>
                    </w:rPr>
                    <w:t xml:space="preserve"> 含汞废物</w:t>
                  </w:r>
                </w:p>
              </w:tc>
              <w:tc>
                <w:tcPr>
                  <w:tcW w:w="471" w:type="pct"/>
                  <w:vAlign w:val="center"/>
                </w:tcPr>
                <w:p>
                  <w:pPr>
                    <w:pStyle w:val="30"/>
                    <w:spacing w:line="360" w:lineRule="exact"/>
                    <w:rPr>
                      <w:color w:val="000000" w:themeColor="text1"/>
                      <w:szCs w:val="21"/>
                    </w:rPr>
                  </w:pPr>
                  <w:r>
                    <w:rPr>
                      <w:rFonts w:hint="eastAsia"/>
                      <w:color w:val="000000" w:themeColor="text1"/>
                      <w:szCs w:val="21"/>
                    </w:rPr>
                    <w:t>非特定行业</w:t>
                  </w:r>
                </w:p>
              </w:tc>
              <w:tc>
                <w:tcPr>
                  <w:tcW w:w="705" w:type="pct"/>
                  <w:vAlign w:val="center"/>
                </w:tcPr>
                <w:p>
                  <w:pPr>
                    <w:pStyle w:val="30"/>
                    <w:spacing w:line="360" w:lineRule="exact"/>
                    <w:rPr>
                      <w:color w:val="000000" w:themeColor="text1"/>
                      <w:szCs w:val="21"/>
                    </w:rPr>
                  </w:pPr>
                  <w:r>
                    <w:rPr>
                      <w:color w:val="000000" w:themeColor="text1"/>
                      <w:szCs w:val="21"/>
                    </w:rPr>
                    <w:t>900-023-29</w:t>
                  </w:r>
                </w:p>
              </w:tc>
              <w:tc>
                <w:tcPr>
                  <w:tcW w:w="1959" w:type="pc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生产、销售及使用过程中产生的废含汞荧光灯管及其他废含汞电光源，及废弃含汞电光源处理处置过程中产生的废荧光粉、废活性炭和废水处理污泥</w:t>
                  </w:r>
                </w:p>
              </w:tc>
              <w:tc>
                <w:tcPr>
                  <w:tcW w:w="409" w:type="pct"/>
                  <w:vAlign w:val="center"/>
                </w:tcPr>
                <w:p>
                  <w:pPr>
                    <w:pStyle w:val="30"/>
                    <w:spacing w:line="360" w:lineRule="exact"/>
                    <w:rPr>
                      <w:rFonts w:ascii="TimesNewRomanPSMT" w:hAnsi="TimesNewRomanPSMT" w:cs="TimesNewRomanPSMT"/>
                      <w:color w:val="000000" w:themeColor="text1"/>
                      <w:kern w:val="0"/>
                      <w:szCs w:val="21"/>
                    </w:rPr>
                  </w:pPr>
                  <w:r>
                    <w:rPr>
                      <w:rFonts w:ascii="TimesNewRomanPSMT" w:hAnsi="TimesNewRomanPSMT" w:cs="TimesNewRomanPSMT"/>
                      <w:color w:val="000000" w:themeColor="text1"/>
                      <w:kern w:val="0"/>
                      <w:szCs w:val="21"/>
                    </w:rPr>
                    <w:t>T</w:t>
                  </w:r>
                </w:p>
              </w:tc>
            </w:tr>
          </w:tbl>
          <w:p>
            <w:pPr>
              <w:spacing w:beforeLines="50"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情况，废活性炭（吸附汞及其化合物）产生量主要取决于员工实际操作，根据设计，废活性炭（吸附汞及其化合物）产生量约为0.002t/a，拟暂存于1#危险废物贮存间，并委托云南沙甸铅业股份有限公司处置。</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2号废旧电视机（液晶电视）处理线其他种类固体废物产生量不发生变化，详见现有工程核算章节。</w:t>
            </w:r>
          </w:p>
          <w:p>
            <w:pPr>
              <w:spacing w:line="360" w:lineRule="auto"/>
              <w:ind w:firstLine="482" w:firstLineChars="200"/>
              <w:rPr>
                <w:rFonts w:ascii="Times New Roman" w:hAnsi="Times New Roman" w:cs="Times New Roman"/>
                <w:b/>
                <w:color w:val="000000" w:themeColor="text1"/>
                <w:sz w:val="24"/>
                <w:szCs w:val="24"/>
              </w:rPr>
            </w:pPr>
            <w:r>
              <w:rPr>
                <w:rFonts w:hint="eastAsia" w:ascii="Times New Roman" w:hAnsi="Times New Roman" w:cs="Times New Roman"/>
                <w:b/>
                <w:color w:val="000000" w:themeColor="text1"/>
                <w:sz w:val="24"/>
                <w:szCs w:val="24"/>
              </w:rPr>
              <w:t>③污水处理设施污泥</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根据项目特点可知，</w:t>
            </w:r>
            <w:r>
              <w:rPr>
                <w:rFonts w:ascii="Times New Roman" w:hAnsi="Times New Roman" w:cs="Times New Roman"/>
                <w:color w:val="000000" w:themeColor="text1"/>
                <w:sz w:val="24"/>
                <w:szCs w:val="24"/>
              </w:rPr>
              <w:t>项目一体化污水处理设施在处理废水的过程中，将产生一定的污泥，污泥主要来源于SS和BOD</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的去除，SS消减量为0.</w:t>
            </w:r>
            <w:r>
              <w:rPr>
                <w:rFonts w:hint="eastAsia"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t/a，BOD</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消减量为0.</w:t>
            </w:r>
            <w:r>
              <w:rPr>
                <w:rFonts w:hint="eastAsia" w:ascii="Times New Roman" w:hAnsi="Times New Roman" w:cs="Times New Roman"/>
                <w:color w:val="000000" w:themeColor="text1"/>
                <w:sz w:val="24"/>
                <w:szCs w:val="24"/>
              </w:rPr>
              <w:t>27</w:t>
            </w:r>
            <w:r>
              <w:rPr>
                <w:rFonts w:ascii="Times New Roman" w:hAnsi="Times New Roman" w:cs="Times New Roman"/>
                <w:color w:val="000000" w:themeColor="text1"/>
                <w:sz w:val="24"/>
                <w:szCs w:val="24"/>
              </w:rPr>
              <w:t>t/a，以每去除1kgBOD</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产生污泥0.8kg和去除1kgSS产生污泥1kg计，则预计污泥产生量为</w:t>
            </w:r>
            <w:r>
              <w:rPr>
                <w:rFonts w:hint="eastAsia" w:ascii="Times New Roman" w:hAnsi="Times New Roman" w:cs="Times New Roman"/>
                <w:color w:val="000000" w:themeColor="text1"/>
                <w:sz w:val="24"/>
                <w:szCs w:val="24"/>
              </w:rPr>
              <w:t>0.42</w:t>
            </w:r>
            <w:r>
              <w:rPr>
                <w:rFonts w:ascii="Times New Roman" w:hAnsi="Times New Roman" w:cs="Times New Roman"/>
                <w:color w:val="000000" w:themeColor="text1"/>
                <w:sz w:val="24"/>
                <w:szCs w:val="24"/>
              </w:rPr>
              <w:t>t/a。委托环卫部门清运处理，其处置率为100%。</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（2）固体废物环境影响和保护措施分析</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根据项目现有工程和技改工程产污环节和固体废物污染源强核算可知，项目产生的固体废物，其环境影响和保护措施分析具体如下：</w:t>
            </w:r>
          </w:p>
          <w:p>
            <w:pPr>
              <w:pStyle w:val="32"/>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表4.2.4-</w:t>
            </w:r>
            <w:r>
              <w:rPr>
                <w:rFonts w:hint="eastAsia" w:hAnsi="Times New Roman" w:eastAsiaTheme="minorEastAsia"/>
                <w:color w:val="000000" w:themeColor="text1"/>
                <w:sz w:val="21"/>
                <w:szCs w:val="21"/>
              </w:rPr>
              <w:t>3</w:t>
            </w:r>
            <w:r>
              <w:rPr>
                <w:rFonts w:hAnsi="Times New Roman" w:eastAsiaTheme="minorEastAsia"/>
                <w:color w:val="000000" w:themeColor="text1"/>
                <w:sz w:val="21"/>
                <w:szCs w:val="21"/>
              </w:rPr>
              <w:t xml:space="preserve">  </w:t>
            </w:r>
            <w:r>
              <w:rPr>
                <w:rFonts w:hint="eastAsia" w:hAnsi="Times New Roman" w:eastAsiaTheme="minorEastAsia"/>
                <w:color w:val="000000" w:themeColor="text1"/>
                <w:sz w:val="21"/>
                <w:szCs w:val="21"/>
              </w:rPr>
              <w:t>技改后</w:t>
            </w:r>
            <w:r>
              <w:rPr>
                <w:rFonts w:hAnsi="Times New Roman" w:eastAsiaTheme="minorEastAsia"/>
                <w:color w:val="000000" w:themeColor="text1"/>
                <w:sz w:val="21"/>
                <w:szCs w:val="21"/>
              </w:rPr>
              <w:t>固体废物环境影响和保护措施分析一览表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8"/>
              <w:gridCol w:w="992"/>
              <w:gridCol w:w="851"/>
              <w:gridCol w:w="709"/>
              <w:gridCol w:w="1701"/>
              <w:gridCol w:w="3260"/>
              <w:gridCol w:w="10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color w:val="000000" w:themeColor="text1"/>
                      <w:szCs w:val="21"/>
                    </w:rPr>
                    <w:t>序号</w:t>
                  </w:r>
                </w:p>
              </w:tc>
              <w:tc>
                <w:tcPr>
                  <w:tcW w:w="992" w:type="dxa"/>
                  <w:vAlign w:val="center"/>
                </w:tcPr>
                <w:p>
                  <w:pPr>
                    <w:pStyle w:val="30"/>
                    <w:spacing w:line="360" w:lineRule="exact"/>
                    <w:rPr>
                      <w:color w:val="000000" w:themeColor="text1"/>
                      <w:szCs w:val="21"/>
                    </w:rPr>
                  </w:pPr>
                  <w:r>
                    <w:rPr>
                      <w:color w:val="000000" w:themeColor="text1"/>
                      <w:szCs w:val="21"/>
                    </w:rPr>
                    <w:t>名称</w:t>
                  </w:r>
                </w:p>
              </w:tc>
              <w:tc>
                <w:tcPr>
                  <w:tcW w:w="851" w:type="dxa"/>
                  <w:vAlign w:val="center"/>
                </w:tcPr>
                <w:p>
                  <w:pPr>
                    <w:pStyle w:val="30"/>
                    <w:spacing w:line="360" w:lineRule="exact"/>
                    <w:rPr>
                      <w:color w:val="000000" w:themeColor="text1"/>
                      <w:szCs w:val="21"/>
                    </w:rPr>
                  </w:pPr>
                  <w:r>
                    <w:rPr>
                      <w:color w:val="000000" w:themeColor="text1"/>
                      <w:szCs w:val="21"/>
                    </w:rPr>
                    <w:t>产生量</w:t>
                  </w:r>
                  <w:r>
                    <w:rPr>
                      <w:rFonts w:hint="eastAsia"/>
                      <w:color w:val="000000" w:themeColor="text1"/>
                      <w:szCs w:val="21"/>
                    </w:rPr>
                    <w:t>t/a</w:t>
                  </w:r>
                </w:p>
              </w:tc>
              <w:tc>
                <w:tcPr>
                  <w:tcW w:w="709" w:type="dxa"/>
                  <w:vAlign w:val="center"/>
                </w:tcPr>
                <w:p>
                  <w:pPr>
                    <w:pStyle w:val="30"/>
                    <w:spacing w:line="360" w:lineRule="exact"/>
                    <w:rPr>
                      <w:color w:val="000000" w:themeColor="text1"/>
                      <w:szCs w:val="21"/>
                    </w:rPr>
                  </w:pPr>
                  <w:r>
                    <w:rPr>
                      <w:color w:val="000000" w:themeColor="text1"/>
                      <w:szCs w:val="21"/>
                    </w:rPr>
                    <w:t>属性</w:t>
                  </w:r>
                </w:p>
              </w:tc>
              <w:tc>
                <w:tcPr>
                  <w:tcW w:w="1701" w:type="dxa"/>
                  <w:vAlign w:val="center"/>
                </w:tcPr>
                <w:p>
                  <w:pPr>
                    <w:pStyle w:val="30"/>
                    <w:spacing w:line="360" w:lineRule="exact"/>
                    <w:rPr>
                      <w:color w:val="000000" w:themeColor="text1"/>
                      <w:szCs w:val="21"/>
                    </w:rPr>
                  </w:pPr>
                  <w:r>
                    <w:rPr>
                      <w:color w:val="000000" w:themeColor="text1"/>
                      <w:szCs w:val="21"/>
                    </w:rPr>
                    <w:t>贮存方式</w:t>
                  </w:r>
                </w:p>
              </w:tc>
              <w:tc>
                <w:tcPr>
                  <w:tcW w:w="3260" w:type="dxa"/>
                  <w:vAlign w:val="center"/>
                </w:tcPr>
                <w:p>
                  <w:pPr>
                    <w:pStyle w:val="30"/>
                    <w:spacing w:line="360" w:lineRule="exact"/>
                    <w:rPr>
                      <w:color w:val="000000" w:themeColor="text1"/>
                      <w:szCs w:val="21"/>
                    </w:rPr>
                  </w:pPr>
                  <w:r>
                    <w:rPr>
                      <w:color w:val="000000" w:themeColor="text1"/>
                      <w:szCs w:val="21"/>
                    </w:rPr>
                    <w:t>利用处置方式和去向</w:t>
                  </w:r>
                </w:p>
              </w:tc>
              <w:tc>
                <w:tcPr>
                  <w:tcW w:w="1023" w:type="dxa"/>
                  <w:vAlign w:val="center"/>
                </w:tcPr>
                <w:p>
                  <w:pPr>
                    <w:pStyle w:val="30"/>
                    <w:spacing w:line="360" w:lineRule="exact"/>
                    <w:rPr>
                      <w:color w:val="000000" w:themeColor="text1"/>
                      <w:szCs w:val="21"/>
                    </w:rPr>
                  </w:pPr>
                  <w:r>
                    <w:rPr>
                      <w:color w:val="000000" w:themeColor="text1"/>
                      <w:szCs w:val="21"/>
                    </w:rPr>
                    <w:t>利用或处置量</w:t>
                  </w:r>
                  <w:r>
                    <w:rPr>
                      <w:rFonts w:hint="eastAsia"/>
                      <w:color w:val="000000" w:themeColor="text1"/>
                      <w:szCs w:val="21"/>
                    </w:rPr>
                    <w:t>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w:t>
                  </w:r>
                </w:p>
              </w:tc>
              <w:tc>
                <w:tcPr>
                  <w:tcW w:w="992" w:type="dxa"/>
                  <w:vAlign w:val="center"/>
                </w:tcPr>
                <w:p>
                  <w:pPr>
                    <w:pStyle w:val="30"/>
                    <w:spacing w:line="360" w:lineRule="exact"/>
                    <w:rPr>
                      <w:color w:val="000000" w:themeColor="text1"/>
                      <w:szCs w:val="21"/>
                    </w:rPr>
                  </w:pPr>
                  <w:r>
                    <w:rPr>
                      <w:rFonts w:hint="eastAsia"/>
                      <w:color w:val="000000" w:themeColor="text1"/>
                      <w:szCs w:val="21"/>
                    </w:rPr>
                    <w:t>废塑料</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11580.51</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暂存于塑料暂存区</w:t>
                  </w:r>
                </w:p>
              </w:tc>
              <w:tc>
                <w:tcPr>
                  <w:tcW w:w="3260" w:type="dxa"/>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已和清远市联和再生资源有限公司</w:t>
                  </w:r>
                  <w:r>
                    <w:rPr>
                      <w:rFonts w:hint="eastAsia"/>
                      <w:color w:val="000000" w:themeColor="text1"/>
                    </w:rPr>
                    <w:t>、</w:t>
                  </w:r>
                  <w:r>
                    <w:rPr>
                      <w:rFonts w:hint="eastAsia" w:ascii="Calibri" w:hAnsi="Calibri"/>
                      <w:color w:val="000000" w:themeColor="text1"/>
                    </w:rPr>
                    <w:t>云南昆船环保技术有限公司等21家公司签订合同，通过招投标情况决定委托处置单位。</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11580.51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2</w:t>
                  </w:r>
                </w:p>
              </w:tc>
              <w:tc>
                <w:tcPr>
                  <w:tcW w:w="992" w:type="dxa"/>
                  <w:vAlign w:val="center"/>
                </w:tcPr>
                <w:p>
                  <w:pPr>
                    <w:pStyle w:val="30"/>
                    <w:spacing w:line="360" w:lineRule="exact"/>
                    <w:rPr>
                      <w:color w:val="000000" w:themeColor="text1"/>
                      <w:szCs w:val="21"/>
                    </w:rPr>
                  </w:pPr>
                  <w:r>
                    <w:rPr>
                      <w:rFonts w:hint="eastAsia"/>
                      <w:color w:val="000000" w:themeColor="text1"/>
                      <w:szCs w:val="21"/>
                    </w:rPr>
                    <w:t>废旧有色金属（铜/铝等）</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5391.03</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暂存于废旧有色金属（铜/铝）暂存区</w:t>
                  </w:r>
                </w:p>
              </w:tc>
              <w:tc>
                <w:tcPr>
                  <w:tcW w:w="3260" w:type="dxa"/>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已和天津通宜顺金属制品有限公司</w:t>
                  </w:r>
                  <w:r>
                    <w:rPr>
                      <w:rFonts w:hint="eastAsia"/>
                      <w:color w:val="000000" w:themeColor="text1"/>
                    </w:rPr>
                    <w:t>、</w:t>
                  </w:r>
                  <w:r>
                    <w:rPr>
                      <w:rFonts w:hint="eastAsia" w:ascii="Calibri" w:hAnsi="Calibri"/>
                      <w:color w:val="000000" w:themeColor="text1"/>
                    </w:rPr>
                    <w:t>曲靖市马龙区巨龙机电制造有限公司等16家公司签订合同，通过招投标情况决定委托处置单位。</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5391.03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3</w:t>
                  </w:r>
                </w:p>
              </w:tc>
              <w:tc>
                <w:tcPr>
                  <w:tcW w:w="992" w:type="dxa"/>
                  <w:vAlign w:val="center"/>
                </w:tcPr>
                <w:p>
                  <w:pPr>
                    <w:pStyle w:val="30"/>
                    <w:spacing w:line="360" w:lineRule="exact"/>
                    <w:rPr>
                      <w:color w:val="000000" w:themeColor="text1"/>
                      <w:szCs w:val="21"/>
                    </w:rPr>
                  </w:pPr>
                  <w:r>
                    <w:rPr>
                      <w:rFonts w:hint="eastAsia"/>
                      <w:color w:val="000000" w:themeColor="text1"/>
                      <w:szCs w:val="21"/>
                    </w:rPr>
                    <w:t>废钢/铁</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30139.77</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暂存于钢/铁暂存区</w:t>
                  </w:r>
                </w:p>
              </w:tc>
              <w:tc>
                <w:tcPr>
                  <w:tcW w:w="3260" w:type="dxa"/>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已和玉溪保家再生资源有限公司</w:t>
                  </w:r>
                  <w:r>
                    <w:rPr>
                      <w:rFonts w:hint="eastAsia"/>
                      <w:color w:val="000000" w:themeColor="text1"/>
                    </w:rPr>
                    <w:t>、</w:t>
                  </w:r>
                  <w:r>
                    <w:rPr>
                      <w:rFonts w:hint="eastAsia" w:ascii="Calibri" w:hAnsi="Calibri"/>
                      <w:color w:val="000000" w:themeColor="text1"/>
                    </w:rPr>
                    <w:t>天津凯成发金属制品有限公司</w:t>
                  </w:r>
                  <w:r>
                    <w:rPr>
                      <w:rFonts w:hint="eastAsia"/>
                      <w:color w:val="000000" w:themeColor="text1"/>
                    </w:rPr>
                    <w:t>、</w:t>
                  </w:r>
                  <w:r>
                    <w:rPr>
                      <w:rFonts w:hint="eastAsia" w:ascii="Calibri" w:hAnsi="Calibri"/>
                      <w:color w:val="000000" w:themeColor="text1"/>
                    </w:rPr>
                    <w:t>安宁市伟中铸造有限公司签订合同，通过招投标情况决定委托处置单位。</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30139.77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4</w:t>
                  </w:r>
                </w:p>
              </w:tc>
              <w:tc>
                <w:tcPr>
                  <w:tcW w:w="992" w:type="dxa"/>
                  <w:vAlign w:val="center"/>
                </w:tcPr>
                <w:p>
                  <w:pPr>
                    <w:pStyle w:val="30"/>
                    <w:spacing w:line="360" w:lineRule="exact"/>
                    <w:rPr>
                      <w:color w:val="000000" w:themeColor="text1"/>
                      <w:szCs w:val="21"/>
                    </w:rPr>
                  </w:pPr>
                  <w:r>
                    <w:rPr>
                      <w:rFonts w:hint="eastAsia"/>
                      <w:color w:val="000000" w:themeColor="text1"/>
                      <w:szCs w:val="21"/>
                    </w:rPr>
                    <w:t>废玻璃</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4281.98</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暂存于废玻璃暂存区</w:t>
                  </w:r>
                </w:p>
              </w:tc>
              <w:tc>
                <w:tcPr>
                  <w:tcW w:w="3260" w:type="dxa"/>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已和泸州永恒玻璃有限公司</w:t>
                  </w:r>
                  <w:r>
                    <w:rPr>
                      <w:rFonts w:hint="eastAsia"/>
                      <w:color w:val="000000" w:themeColor="text1"/>
                    </w:rPr>
                    <w:t>、</w:t>
                  </w:r>
                  <w:r>
                    <w:rPr>
                      <w:rFonts w:hint="eastAsia" w:ascii="Calibri" w:hAnsi="Calibri"/>
                      <w:color w:val="000000" w:themeColor="text1"/>
                    </w:rPr>
                    <w:t>四川省泸州市海纳环保科技有限公司</w:t>
                  </w:r>
                  <w:r>
                    <w:rPr>
                      <w:rFonts w:hint="eastAsia"/>
                      <w:color w:val="000000" w:themeColor="text1"/>
                    </w:rPr>
                    <w:t>、</w:t>
                  </w:r>
                  <w:r>
                    <w:rPr>
                      <w:rFonts w:hint="eastAsia" w:ascii="Calibri" w:hAnsi="Calibri"/>
                      <w:color w:val="000000" w:themeColor="text1"/>
                    </w:rPr>
                    <w:t>四川吉晶安新材料科技有限公司签订合同，通过招投标情况决定委托处置单位。</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4281.98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5</w:t>
                  </w:r>
                </w:p>
              </w:tc>
              <w:tc>
                <w:tcPr>
                  <w:tcW w:w="992" w:type="dxa"/>
                  <w:vAlign w:val="center"/>
                </w:tcPr>
                <w:p>
                  <w:pPr>
                    <w:pStyle w:val="30"/>
                    <w:spacing w:line="360" w:lineRule="exact"/>
                    <w:rPr>
                      <w:color w:val="000000" w:themeColor="text1"/>
                      <w:szCs w:val="21"/>
                    </w:rPr>
                  </w:pPr>
                  <w:r>
                    <w:rPr>
                      <w:rFonts w:hint="eastAsia"/>
                      <w:color w:val="000000" w:themeColor="text1"/>
                      <w:szCs w:val="21"/>
                    </w:rPr>
                    <w:t>泡棉</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2625.92</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2625.92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6</w:t>
                  </w:r>
                </w:p>
              </w:tc>
              <w:tc>
                <w:tcPr>
                  <w:tcW w:w="992" w:type="dxa"/>
                  <w:vAlign w:val="center"/>
                </w:tcPr>
                <w:p>
                  <w:pPr>
                    <w:pStyle w:val="30"/>
                    <w:spacing w:line="360" w:lineRule="exact"/>
                    <w:rPr>
                      <w:color w:val="000000" w:themeColor="text1"/>
                      <w:szCs w:val="21"/>
                    </w:rPr>
                  </w:pPr>
                  <w:r>
                    <w:rPr>
                      <w:rFonts w:hint="eastAsia"/>
                      <w:color w:val="000000" w:themeColor="text1"/>
                      <w:szCs w:val="21"/>
                    </w:rPr>
                    <w:t>废电子配件（开关、电容、电源线等）</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680.65</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3260" w:type="dxa"/>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已和北京国浩贸易有限公司</w:t>
                  </w:r>
                  <w:r>
                    <w:rPr>
                      <w:rFonts w:hint="eastAsia"/>
                      <w:color w:val="000000" w:themeColor="text1"/>
                    </w:rPr>
                    <w:t>、</w:t>
                  </w:r>
                  <w:r>
                    <w:rPr>
                      <w:rFonts w:hint="eastAsia" w:ascii="Calibri" w:hAnsi="Calibri"/>
                      <w:color w:val="000000" w:themeColor="text1"/>
                    </w:rPr>
                    <w:t>河南京飞再生资源有限公司签订合同，通过招投标情况决定委托处置单位。</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680.65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7</w:t>
                  </w:r>
                </w:p>
              </w:tc>
              <w:tc>
                <w:tcPr>
                  <w:tcW w:w="992" w:type="dxa"/>
                  <w:vAlign w:val="center"/>
                </w:tcPr>
                <w:p>
                  <w:pPr>
                    <w:pStyle w:val="30"/>
                    <w:spacing w:line="360" w:lineRule="exact"/>
                    <w:rPr>
                      <w:color w:val="000000" w:themeColor="text1"/>
                      <w:szCs w:val="21"/>
                    </w:rPr>
                  </w:pPr>
                  <w:r>
                    <w:rPr>
                      <w:rFonts w:hint="eastAsia"/>
                      <w:color w:val="000000" w:themeColor="text1"/>
                      <w:szCs w:val="21"/>
                    </w:rPr>
                    <w:t>废矿物油</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27.41</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暂存于2#危险废物贮存间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云南圣邦科技有限公司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27.41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8</w:t>
                  </w:r>
                </w:p>
              </w:tc>
              <w:tc>
                <w:tcPr>
                  <w:tcW w:w="992" w:type="dxa"/>
                  <w:vAlign w:val="center"/>
                </w:tcPr>
                <w:p>
                  <w:pPr>
                    <w:pStyle w:val="30"/>
                    <w:spacing w:line="360" w:lineRule="exact"/>
                    <w:rPr>
                      <w:color w:val="000000" w:themeColor="text1"/>
                      <w:szCs w:val="21"/>
                    </w:rPr>
                  </w:pPr>
                  <w:r>
                    <w:rPr>
                      <w:rFonts w:hint="eastAsia"/>
                      <w:color w:val="000000" w:themeColor="text1"/>
                      <w:szCs w:val="21"/>
                    </w:rPr>
                    <w:t>废电路板</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586.72</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暂存于废电路板贮存区</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贵州鸿鹄环保实业有限公司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586.72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9</w:t>
                  </w:r>
                </w:p>
              </w:tc>
              <w:tc>
                <w:tcPr>
                  <w:tcW w:w="992" w:type="dxa"/>
                  <w:vAlign w:val="center"/>
                </w:tcPr>
                <w:p>
                  <w:pPr>
                    <w:pStyle w:val="30"/>
                    <w:spacing w:line="360" w:lineRule="exact"/>
                    <w:rPr>
                      <w:color w:val="000000" w:themeColor="text1"/>
                      <w:szCs w:val="21"/>
                    </w:rPr>
                  </w:pPr>
                  <w:r>
                    <w:rPr>
                      <w:rFonts w:hint="eastAsia"/>
                      <w:color w:val="000000" w:themeColor="text1"/>
                      <w:szCs w:val="21"/>
                    </w:rPr>
                    <w:t>含汞灯管</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11.77</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11.77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10</w:t>
                  </w:r>
                </w:p>
              </w:tc>
              <w:tc>
                <w:tcPr>
                  <w:tcW w:w="992" w:type="dxa"/>
                  <w:vAlign w:val="center"/>
                </w:tcPr>
                <w:p>
                  <w:pPr>
                    <w:pStyle w:val="30"/>
                    <w:spacing w:line="360" w:lineRule="exact"/>
                    <w:rPr>
                      <w:color w:val="000000" w:themeColor="text1"/>
                      <w:szCs w:val="21"/>
                    </w:rPr>
                  </w:pPr>
                  <w:r>
                    <w:rPr>
                      <w:rFonts w:hint="eastAsia"/>
                      <w:color w:val="000000" w:themeColor="text1"/>
                      <w:szCs w:val="21"/>
                    </w:rPr>
                    <w:t>制冷剂</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2.49</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暂存于4危险废物贮存间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委托天津澳宏环保材料有限公司处置。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11</w:t>
                  </w:r>
                </w:p>
              </w:tc>
              <w:tc>
                <w:tcPr>
                  <w:tcW w:w="992" w:type="dxa"/>
                  <w:vAlign w:val="center"/>
                </w:tcPr>
                <w:p>
                  <w:pPr>
                    <w:pStyle w:val="30"/>
                    <w:spacing w:line="360" w:lineRule="exact"/>
                    <w:rPr>
                      <w:color w:val="000000" w:themeColor="text1"/>
                      <w:szCs w:val="21"/>
                    </w:rPr>
                  </w:pPr>
                  <w:r>
                    <w:rPr>
                      <w:rFonts w:hint="eastAsia"/>
                      <w:color w:val="000000" w:themeColor="text1"/>
                      <w:szCs w:val="21"/>
                    </w:rPr>
                    <w:t>背光模组</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15.52</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15.52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12</w:t>
                  </w:r>
                </w:p>
              </w:tc>
              <w:tc>
                <w:tcPr>
                  <w:tcW w:w="992" w:type="dxa"/>
                  <w:vAlign w:val="center"/>
                </w:tcPr>
                <w:p>
                  <w:pPr>
                    <w:pStyle w:val="30"/>
                    <w:spacing w:line="360" w:lineRule="exact"/>
                    <w:rPr>
                      <w:color w:val="000000" w:themeColor="text1"/>
                      <w:szCs w:val="21"/>
                    </w:rPr>
                  </w:pPr>
                  <w:r>
                    <w:rPr>
                      <w:rFonts w:hint="eastAsia"/>
                      <w:color w:val="000000" w:themeColor="text1"/>
                      <w:szCs w:val="21"/>
                    </w:rPr>
                    <w:t>废弃的阴极射线管（锥玻璃）</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2475</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暂存于废弃的阴极射线管（锥玻璃）含铅贮存区</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2475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13</w:t>
                  </w:r>
                </w:p>
              </w:tc>
              <w:tc>
                <w:tcPr>
                  <w:tcW w:w="992" w:type="dxa"/>
                  <w:vAlign w:val="center"/>
                </w:tcPr>
                <w:p>
                  <w:pPr>
                    <w:pStyle w:val="30"/>
                    <w:spacing w:line="360" w:lineRule="exact"/>
                    <w:rPr>
                      <w:color w:val="000000" w:themeColor="text1"/>
                      <w:szCs w:val="21"/>
                    </w:rPr>
                  </w:pPr>
                  <w:r>
                    <w:rPr>
                      <w:rFonts w:hint="eastAsia"/>
                      <w:color w:val="000000" w:themeColor="text1"/>
                      <w:szCs w:val="21"/>
                    </w:rPr>
                    <w:t>荧光粉</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225</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225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14</w:t>
                  </w:r>
                </w:p>
              </w:tc>
              <w:tc>
                <w:tcPr>
                  <w:tcW w:w="992" w:type="dxa"/>
                  <w:vAlign w:val="center"/>
                </w:tcPr>
                <w:p>
                  <w:pPr>
                    <w:pStyle w:val="30"/>
                    <w:spacing w:line="360" w:lineRule="exact"/>
                    <w:rPr>
                      <w:color w:val="000000" w:themeColor="text1"/>
                      <w:szCs w:val="21"/>
                    </w:rPr>
                  </w:pPr>
                  <w:r>
                    <w:rPr>
                      <w:rFonts w:hint="eastAsia"/>
                      <w:color w:val="000000" w:themeColor="text1"/>
                      <w:szCs w:val="21"/>
                    </w:rPr>
                    <w:t>废弃细碎料</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1369.20</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1369.20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15</w:t>
                  </w:r>
                </w:p>
              </w:tc>
              <w:tc>
                <w:tcPr>
                  <w:tcW w:w="992" w:type="dxa"/>
                  <w:vAlign w:val="center"/>
                </w:tcPr>
                <w:p>
                  <w:pPr>
                    <w:pStyle w:val="30"/>
                    <w:spacing w:line="360" w:lineRule="exact"/>
                    <w:rPr>
                      <w:color w:val="000000" w:themeColor="text1"/>
                      <w:szCs w:val="21"/>
                    </w:rPr>
                  </w:pPr>
                  <w:r>
                    <w:rPr>
                      <w:rFonts w:hint="eastAsia"/>
                      <w:color w:val="000000" w:themeColor="text1"/>
                      <w:szCs w:val="21"/>
                    </w:rPr>
                    <w:t>废活性炭（吸附有机废气）</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0.06</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暂存于3#危险废物贮存间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0.06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16</w:t>
                  </w:r>
                </w:p>
              </w:tc>
              <w:tc>
                <w:tcPr>
                  <w:tcW w:w="992" w:type="dxa"/>
                  <w:vAlign w:val="center"/>
                </w:tcPr>
                <w:p>
                  <w:pPr>
                    <w:pStyle w:val="30"/>
                    <w:spacing w:line="360" w:lineRule="exact"/>
                    <w:rPr>
                      <w:color w:val="000000" w:themeColor="text1"/>
                      <w:szCs w:val="21"/>
                    </w:rPr>
                  </w:pPr>
                  <w:r>
                    <w:rPr>
                      <w:rFonts w:hint="eastAsia"/>
                      <w:color w:val="000000" w:themeColor="text1"/>
                      <w:szCs w:val="21"/>
                    </w:rPr>
                    <w:t>废活性炭（吸附汞及其化合物）</w:t>
                  </w:r>
                </w:p>
              </w:tc>
              <w:tc>
                <w:tcPr>
                  <w:tcW w:w="851" w:type="dxa"/>
                  <w:vAlign w:val="center"/>
                </w:tcPr>
                <w:p>
                  <w:pPr>
                    <w:widowControl/>
                    <w:jc w:val="center"/>
                    <w:rPr>
                      <w:rFonts w:ascii="Times New Roman" w:hAnsi="Times New Roman" w:eastAsia="宋体" w:cs="Times New Roman"/>
                      <w:color w:val="000000" w:themeColor="text1"/>
                      <w:kern w:val="0"/>
                    </w:rPr>
                  </w:pPr>
                  <w:r>
                    <w:rPr>
                      <w:rFonts w:hint="eastAsia" w:ascii="Times New Roman" w:hAnsi="Times New Roman" w:eastAsia="宋体" w:cs="Times New Roman"/>
                      <w:color w:val="000000" w:themeColor="text1"/>
                      <w:kern w:val="0"/>
                    </w:rPr>
                    <w:t>0.002</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hint="eastAsia" w:ascii="Times New Roman" w:hAnsi="Times New Roman" w:eastAsia="宋体" w:cs="Times New Roman"/>
                      <w:color w:val="000000" w:themeColor="text1"/>
                      <w:kern w:val="0"/>
                    </w:rPr>
                    <w:t>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17</w:t>
                  </w:r>
                </w:p>
              </w:tc>
              <w:tc>
                <w:tcPr>
                  <w:tcW w:w="992" w:type="dxa"/>
                  <w:vAlign w:val="center"/>
                </w:tcPr>
                <w:p>
                  <w:pPr>
                    <w:pStyle w:val="30"/>
                    <w:spacing w:line="360" w:lineRule="exact"/>
                    <w:rPr>
                      <w:color w:val="000000" w:themeColor="text1"/>
                      <w:szCs w:val="21"/>
                    </w:rPr>
                  </w:pPr>
                  <w:r>
                    <w:rPr>
                      <w:rFonts w:hint="eastAsia"/>
                      <w:color w:val="000000" w:themeColor="text1"/>
                      <w:szCs w:val="21"/>
                    </w:rPr>
                    <w:t>收集粉尘</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25.12</w:t>
                  </w:r>
                </w:p>
              </w:tc>
              <w:tc>
                <w:tcPr>
                  <w:tcW w:w="709" w:type="dxa"/>
                  <w:vAlign w:val="center"/>
                </w:tcPr>
                <w:p>
                  <w:pPr>
                    <w:pStyle w:val="30"/>
                    <w:spacing w:line="360" w:lineRule="exact"/>
                    <w:rPr>
                      <w:color w:val="000000" w:themeColor="text1"/>
                      <w:szCs w:val="21"/>
                    </w:rPr>
                  </w:pPr>
                  <w:r>
                    <w:rPr>
                      <w:rFonts w:hint="eastAsia"/>
                      <w:color w:val="000000" w:themeColor="text1"/>
                      <w:szCs w:val="21"/>
                    </w:rPr>
                    <w:t>一般固废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暂存于仓储区</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25.12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18</w:t>
                  </w:r>
                </w:p>
              </w:tc>
              <w:tc>
                <w:tcPr>
                  <w:tcW w:w="992" w:type="dxa"/>
                  <w:vAlign w:val="center"/>
                </w:tcPr>
                <w:p>
                  <w:pPr>
                    <w:pStyle w:val="30"/>
                    <w:spacing w:line="360" w:lineRule="exact"/>
                    <w:rPr>
                      <w:color w:val="000000" w:themeColor="text1"/>
                      <w:szCs w:val="21"/>
                    </w:rPr>
                  </w:pPr>
                  <w:r>
                    <w:rPr>
                      <w:rFonts w:hint="eastAsia"/>
                      <w:color w:val="000000" w:themeColor="text1"/>
                      <w:szCs w:val="21"/>
                    </w:rPr>
                    <w:t>收集含铅粉尘</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0.65</w:t>
                  </w:r>
                </w:p>
              </w:tc>
              <w:tc>
                <w:tcPr>
                  <w:tcW w:w="709" w:type="dxa"/>
                  <w:vAlign w:val="center"/>
                </w:tcPr>
                <w:p>
                  <w:pPr>
                    <w:pStyle w:val="30"/>
                    <w:spacing w:line="360" w:lineRule="exact"/>
                    <w:rPr>
                      <w:color w:val="000000" w:themeColor="text1"/>
                      <w:szCs w:val="21"/>
                    </w:rPr>
                  </w:pPr>
                  <w:r>
                    <w:rPr>
                      <w:rFonts w:hint="eastAsia"/>
                      <w:color w:val="000000" w:themeColor="text1"/>
                      <w:szCs w:val="21"/>
                    </w:rPr>
                    <w:t>危险废物</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c>
                <w:tcPr>
                  <w:tcW w:w="3260"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0.65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19</w:t>
                  </w:r>
                </w:p>
              </w:tc>
              <w:tc>
                <w:tcPr>
                  <w:tcW w:w="992" w:type="dxa"/>
                  <w:vAlign w:val="center"/>
                </w:tcPr>
                <w:p>
                  <w:pPr>
                    <w:pStyle w:val="30"/>
                    <w:spacing w:line="360" w:lineRule="exact"/>
                    <w:rPr>
                      <w:color w:val="000000" w:themeColor="text1"/>
                      <w:szCs w:val="21"/>
                    </w:rPr>
                  </w:pPr>
                  <w:r>
                    <w:rPr>
                      <w:rFonts w:hint="eastAsia"/>
                      <w:color w:val="000000" w:themeColor="text1"/>
                      <w:szCs w:val="21"/>
                    </w:rPr>
                    <w:t>生活垃圾</w:t>
                  </w:r>
                </w:p>
              </w:tc>
              <w:tc>
                <w:tcPr>
                  <w:tcW w:w="851"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24.6</w:t>
                  </w:r>
                </w:p>
              </w:tc>
              <w:tc>
                <w:tcPr>
                  <w:tcW w:w="709" w:type="dxa"/>
                  <w:vMerge w:val="restart"/>
                  <w:vAlign w:val="center"/>
                </w:tcPr>
                <w:p>
                  <w:pPr>
                    <w:pStyle w:val="30"/>
                    <w:spacing w:line="360" w:lineRule="exact"/>
                    <w:rPr>
                      <w:color w:val="000000" w:themeColor="text1"/>
                      <w:szCs w:val="21"/>
                    </w:rPr>
                  </w:pPr>
                  <w:r>
                    <w:rPr>
                      <w:rFonts w:hint="eastAsia"/>
                      <w:color w:val="000000" w:themeColor="text1"/>
                      <w:szCs w:val="21"/>
                    </w:rPr>
                    <w:t>生活固废</w:t>
                  </w: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日产日清</w:t>
                  </w:r>
                </w:p>
              </w:tc>
              <w:tc>
                <w:tcPr>
                  <w:tcW w:w="3260" w:type="dxa"/>
                  <w:vMerge w:val="restar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委托环卫部门处置。</w:t>
                  </w:r>
                </w:p>
              </w:tc>
              <w:tc>
                <w:tcPr>
                  <w:tcW w:w="1023" w:type="dxa"/>
                  <w:vAlign w:val="center"/>
                </w:tcPr>
                <w:p>
                  <w:pPr>
                    <w:widowControl/>
                    <w:jc w:val="center"/>
                    <w:rPr>
                      <w:rFonts w:ascii="Times New Roman" w:hAnsi="Times New Roman" w:eastAsia="宋体" w:cs="Times New Roman"/>
                      <w:color w:val="000000" w:themeColor="text1"/>
                      <w:kern w:val="0"/>
                    </w:rPr>
                  </w:pPr>
                  <w:r>
                    <w:rPr>
                      <w:rFonts w:ascii="Times New Roman" w:hAnsi="Times New Roman" w:eastAsia="宋体" w:cs="Times New Roman"/>
                      <w:color w:val="000000" w:themeColor="text1"/>
                      <w:kern w:val="0"/>
                    </w:rPr>
                    <w:t>24.6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20</w:t>
                  </w:r>
                </w:p>
              </w:tc>
              <w:tc>
                <w:tcPr>
                  <w:tcW w:w="992" w:type="dxa"/>
                  <w:vAlign w:val="center"/>
                </w:tcPr>
                <w:p>
                  <w:pPr>
                    <w:pStyle w:val="30"/>
                    <w:spacing w:line="360" w:lineRule="exact"/>
                    <w:rPr>
                      <w:color w:val="000000" w:themeColor="text1"/>
                      <w:szCs w:val="21"/>
                    </w:rPr>
                  </w:pPr>
                  <w:r>
                    <w:rPr>
                      <w:rFonts w:hint="eastAsia"/>
                      <w:color w:val="000000" w:themeColor="text1"/>
                      <w:szCs w:val="21"/>
                    </w:rPr>
                    <w:t>餐厨废物</w:t>
                  </w:r>
                </w:p>
              </w:tc>
              <w:tc>
                <w:tcPr>
                  <w:tcW w:w="851" w:type="dxa"/>
                  <w:vAlign w:val="center"/>
                </w:tcPr>
                <w:p>
                  <w:pPr>
                    <w:pStyle w:val="30"/>
                    <w:spacing w:line="360" w:lineRule="exact"/>
                    <w:rPr>
                      <w:color w:val="000000" w:themeColor="text1"/>
                      <w:szCs w:val="21"/>
                    </w:rPr>
                  </w:pPr>
                  <w:r>
                    <w:rPr>
                      <w:rFonts w:hint="eastAsia"/>
                      <w:color w:val="000000" w:themeColor="text1"/>
                      <w:szCs w:val="21"/>
                    </w:rPr>
                    <w:t>6</w:t>
                  </w:r>
                </w:p>
              </w:tc>
              <w:tc>
                <w:tcPr>
                  <w:tcW w:w="709" w:type="dxa"/>
                  <w:vMerge w:val="continue"/>
                  <w:vAlign w:val="center"/>
                </w:tcPr>
                <w:p>
                  <w:pPr>
                    <w:pStyle w:val="30"/>
                    <w:spacing w:line="360" w:lineRule="exact"/>
                    <w:rPr>
                      <w:color w:val="000000" w:themeColor="text1"/>
                      <w:szCs w:val="21"/>
                    </w:rPr>
                  </w:pP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w:t>
                  </w:r>
                </w:p>
              </w:tc>
              <w:tc>
                <w:tcPr>
                  <w:tcW w:w="3260" w:type="dxa"/>
                  <w:vMerge w:val="continue"/>
                  <w:vAlign w:val="center"/>
                </w:tcPr>
                <w:p>
                  <w:pPr>
                    <w:pStyle w:val="30"/>
                    <w:spacing w:line="360" w:lineRule="exact"/>
                    <w:ind w:firstLine="210" w:firstLineChars="100"/>
                    <w:jc w:val="left"/>
                    <w:rPr>
                      <w:color w:val="000000" w:themeColor="text1"/>
                      <w:szCs w:val="21"/>
                    </w:rPr>
                  </w:pPr>
                </w:p>
              </w:tc>
              <w:tc>
                <w:tcPr>
                  <w:tcW w:w="1023"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21</w:t>
                  </w:r>
                </w:p>
              </w:tc>
              <w:tc>
                <w:tcPr>
                  <w:tcW w:w="992" w:type="dxa"/>
                  <w:vAlign w:val="center"/>
                </w:tcPr>
                <w:p>
                  <w:pPr>
                    <w:pStyle w:val="30"/>
                    <w:spacing w:line="360" w:lineRule="exact"/>
                    <w:rPr>
                      <w:color w:val="000000" w:themeColor="text1"/>
                      <w:szCs w:val="21"/>
                    </w:rPr>
                  </w:pPr>
                  <w:r>
                    <w:rPr>
                      <w:color w:val="000000" w:themeColor="text1"/>
                      <w:szCs w:val="21"/>
                    </w:rPr>
                    <w:t>隔油池浮油</w:t>
                  </w:r>
                </w:p>
              </w:tc>
              <w:tc>
                <w:tcPr>
                  <w:tcW w:w="851" w:type="dxa"/>
                  <w:vAlign w:val="center"/>
                </w:tcPr>
                <w:p>
                  <w:pPr>
                    <w:pStyle w:val="30"/>
                    <w:spacing w:line="360" w:lineRule="exact"/>
                    <w:rPr>
                      <w:color w:val="000000" w:themeColor="text1"/>
                      <w:szCs w:val="21"/>
                    </w:rPr>
                  </w:pPr>
                  <w:r>
                    <w:rPr>
                      <w:rFonts w:hint="eastAsia"/>
                      <w:color w:val="000000" w:themeColor="text1"/>
                      <w:szCs w:val="21"/>
                    </w:rPr>
                    <w:t>0.09</w:t>
                  </w:r>
                </w:p>
              </w:tc>
              <w:tc>
                <w:tcPr>
                  <w:tcW w:w="709" w:type="dxa"/>
                  <w:vMerge w:val="continue"/>
                  <w:vAlign w:val="center"/>
                </w:tcPr>
                <w:p>
                  <w:pPr>
                    <w:pStyle w:val="30"/>
                    <w:spacing w:line="360" w:lineRule="exact"/>
                    <w:rPr>
                      <w:color w:val="000000" w:themeColor="text1"/>
                      <w:szCs w:val="21"/>
                    </w:rPr>
                  </w:pP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w:t>
                  </w:r>
                </w:p>
              </w:tc>
              <w:tc>
                <w:tcPr>
                  <w:tcW w:w="3260" w:type="dxa"/>
                  <w:vMerge w:val="continue"/>
                  <w:vAlign w:val="center"/>
                </w:tcPr>
                <w:p>
                  <w:pPr>
                    <w:pStyle w:val="30"/>
                    <w:spacing w:line="360" w:lineRule="exact"/>
                    <w:ind w:firstLine="210" w:firstLineChars="100"/>
                    <w:jc w:val="left"/>
                    <w:rPr>
                      <w:color w:val="000000" w:themeColor="text1"/>
                      <w:szCs w:val="21"/>
                    </w:rPr>
                  </w:pPr>
                </w:p>
              </w:tc>
              <w:tc>
                <w:tcPr>
                  <w:tcW w:w="1023"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8" w:type="dxa"/>
                  <w:vAlign w:val="center"/>
                </w:tcPr>
                <w:p>
                  <w:pPr>
                    <w:pStyle w:val="30"/>
                    <w:spacing w:line="360" w:lineRule="exact"/>
                    <w:rPr>
                      <w:color w:val="000000" w:themeColor="text1"/>
                      <w:szCs w:val="21"/>
                    </w:rPr>
                  </w:pPr>
                  <w:r>
                    <w:rPr>
                      <w:rFonts w:hint="eastAsia"/>
                      <w:color w:val="000000" w:themeColor="text1"/>
                      <w:szCs w:val="21"/>
                    </w:rPr>
                    <w:t>22</w:t>
                  </w:r>
                </w:p>
              </w:tc>
              <w:tc>
                <w:tcPr>
                  <w:tcW w:w="992" w:type="dxa"/>
                  <w:vAlign w:val="center"/>
                </w:tcPr>
                <w:p>
                  <w:pPr>
                    <w:pStyle w:val="30"/>
                    <w:spacing w:line="360" w:lineRule="exact"/>
                    <w:rPr>
                      <w:color w:val="000000" w:themeColor="text1"/>
                      <w:szCs w:val="21"/>
                    </w:rPr>
                  </w:pPr>
                  <w:r>
                    <w:rPr>
                      <w:rFonts w:hint="eastAsia"/>
                      <w:color w:val="000000" w:themeColor="text1"/>
                      <w:szCs w:val="21"/>
                    </w:rPr>
                    <w:t>污水处理设施污泥</w:t>
                  </w:r>
                </w:p>
              </w:tc>
              <w:tc>
                <w:tcPr>
                  <w:tcW w:w="851" w:type="dxa"/>
                  <w:vAlign w:val="center"/>
                </w:tcPr>
                <w:p>
                  <w:pPr>
                    <w:pStyle w:val="30"/>
                    <w:spacing w:line="360" w:lineRule="exact"/>
                    <w:rPr>
                      <w:color w:val="000000" w:themeColor="text1"/>
                      <w:szCs w:val="21"/>
                    </w:rPr>
                  </w:pPr>
                  <w:r>
                    <w:rPr>
                      <w:rFonts w:hint="eastAsia"/>
                      <w:color w:val="000000" w:themeColor="text1"/>
                      <w:szCs w:val="21"/>
                    </w:rPr>
                    <w:t>0.42</w:t>
                  </w:r>
                </w:p>
              </w:tc>
              <w:tc>
                <w:tcPr>
                  <w:tcW w:w="709" w:type="dxa"/>
                  <w:vMerge w:val="continue"/>
                  <w:vAlign w:val="center"/>
                </w:tcPr>
                <w:p>
                  <w:pPr>
                    <w:pStyle w:val="30"/>
                    <w:spacing w:line="360" w:lineRule="exact"/>
                    <w:rPr>
                      <w:color w:val="000000" w:themeColor="text1"/>
                      <w:szCs w:val="21"/>
                    </w:rPr>
                  </w:pPr>
                </w:p>
              </w:tc>
              <w:tc>
                <w:tcPr>
                  <w:tcW w:w="1701"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w:t>
                  </w:r>
                </w:p>
              </w:tc>
              <w:tc>
                <w:tcPr>
                  <w:tcW w:w="3260" w:type="dxa"/>
                  <w:vMerge w:val="continue"/>
                  <w:vAlign w:val="center"/>
                </w:tcPr>
                <w:p>
                  <w:pPr>
                    <w:pStyle w:val="30"/>
                    <w:spacing w:line="360" w:lineRule="exact"/>
                    <w:ind w:firstLine="210" w:firstLineChars="100"/>
                    <w:jc w:val="left"/>
                    <w:rPr>
                      <w:color w:val="000000" w:themeColor="text1"/>
                      <w:szCs w:val="21"/>
                    </w:rPr>
                  </w:pPr>
                </w:p>
              </w:tc>
              <w:tc>
                <w:tcPr>
                  <w:tcW w:w="1023"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0.42</w:t>
                  </w:r>
                </w:p>
              </w:tc>
            </w:tr>
          </w:tbl>
          <w:p>
            <w:pPr>
              <w:pStyle w:val="38"/>
              <w:spacing w:beforeLines="50"/>
              <w:ind w:firstLine="480"/>
              <w:rPr>
                <w:rFonts w:eastAsiaTheme="minorEastAsia"/>
                <w:color w:val="000000" w:themeColor="text1"/>
                <w:szCs w:val="21"/>
              </w:rPr>
            </w:pPr>
            <w:r>
              <w:rPr>
                <w:rFonts w:hint="eastAsia" w:eastAsiaTheme="minorEastAsia"/>
                <w:color w:val="000000" w:themeColor="text1"/>
                <w:szCs w:val="21"/>
              </w:rPr>
              <w:t>由上表可知，项目产生的各类危险废物和一般工业固体废物均分类暂存于已设置的分区内，并委托有资质的单位或相关单位处置，</w:t>
            </w:r>
            <w:r>
              <w:rPr>
                <w:color w:val="000000" w:themeColor="text1"/>
                <w:szCs w:val="24"/>
              </w:rPr>
              <w:t>项目产生的固体废物均可得到合理处置，处置率为100%；对环境影响较小。</w:t>
            </w:r>
          </w:p>
          <w:p>
            <w:pPr>
              <w:spacing w:line="360" w:lineRule="auto"/>
              <w:ind w:firstLine="361" w:firstLineChars="150"/>
              <w:rPr>
                <w:rFonts w:ascii="Times New Roman" w:hAnsi="Times New Roman" w:cs="Times New Roman"/>
                <w:b/>
                <w:color w:val="000000" w:themeColor="text1"/>
                <w:sz w:val="24"/>
              </w:rPr>
            </w:pPr>
            <w:r>
              <w:rPr>
                <w:rFonts w:ascii="Times New Roman" w:hAnsi="Times New Roman" w:cs="Times New Roman"/>
                <w:b/>
                <w:color w:val="000000" w:themeColor="text1"/>
                <w:sz w:val="24"/>
              </w:rPr>
              <w:t>（2）环境管理要求</w:t>
            </w:r>
          </w:p>
          <w:p>
            <w:pPr>
              <w:pStyle w:val="38"/>
              <w:ind w:firstLine="482"/>
              <w:rPr>
                <w:rFonts w:eastAsiaTheme="minorEastAsia"/>
                <w:b/>
                <w:color w:val="000000" w:themeColor="text1"/>
                <w:szCs w:val="24"/>
              </w:rPr>
            </w:pPr>
            <w:r>
              <w:rPr>
                <w:rFonts w:eastAsiaTheme="minorEastAsia"/>
                <w:b/>
                <w:color w:val="000000" w:themeColor="text1"/>
                <w:szCs w:val="24"/>
              </w:rPr>
              <w:t>①危险废物管理要求</w:t>
            </w:r>
          </w:p>
          <w:p>
            <w:pPr>
              <w:pStyle w:val="38"/>
              <w:ind w:firstLine="480"/>
              <w:rPr>
                <w:color w:val="000000" w:themeColor="text1"/>
                <w:szCs w:val="24"/>
              </w:rPr>
            </w:pPr>
            <w:r>
              <w:rPr>
                <w:color w:val="000000" w:themeColor="text1"/>
                <w:szCs w:val="24"/>
              </w:rPr>
              <w:t>针对项目产生的危险废物，项目在日常管理过程中，必须严格按照《危险废物贮存污染控制标准》（GB18597-2001）及修改单的要求，在对危险废物的收集、贮存</w:t>
            </w:r>
            <w:r>
              <w:rPr>
                <w:rFonts w:hint="eastAsia"/>
                <w:color w:val="000000" w:themeColor="text1"/>
                <w:szCs w:val="24"/>
              </w:rPr>
              <w:t>、利用</w:t>
            </w:r>
            <w:r>
              <w:rPr>
                <w:color w:val="000000" w:themeColor="text1"/>
                <w:szCs w:val="24"/>
              </w:rPr>
              <w:t>和委托有资质的单位处理过程中，做到下表提出的要求。</w:t>
            </w:r>
          </w:p>
          <w:p>
            <w:pPr>
              <w:pStyle w:val="32"/>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表4.2.4-</w:t>
            </w:r>
            <w:r>
              <w:rPr>
                <w:rFonts w:hint="eastAsia" w:hAnsi="Times New Roman" w:eastAsiaTheme="minorEastAsia"/>
                <w:color w:val="000000" w:themeColor="text1"/>
                <w:sz w:val="21"/>
                <w:szCs w:val="21"/>
              </w:rPr>
              <w:t>4</w:t>
            </w:r>
            <w:r>
              <w:rPr>
                <w:rFonts w:hAnsi="Times New Roman" w:eastAsiaTheme="minorEastAsia"/>
                <w:color w:val="000000" w:themeColor="text1"/>
                <w:sz w:val="21"/>
                <w:szCs w:val="21"/>
              </w:rPr>
              <w:t xml:space="preserve"> 项目危险废物管理要求一览表</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3"/>
              <w:gridCol w:w="848"/>
              <w:gridCol w:w="76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4" w:type="dxa"/>
                  <w:vAlign w:val="center"/>
                </w:tcPr>
                <w:p>
                  <w:pPr>
                    <w:pStyle w:val="30"/>
                    <w:spacing w:before="78"/>
                    <w:ind w:left="11"/>
                    <w:rPr>
                      <w:rFonts w:eastAsiaTheme="minorEastAsia"/>
                      <w:color w:val="000000" w:themeColor="text1"/>
                    </w:rPr>
                  </w:pPr>
                  <w:r>
                    <w:rPr>
                      <w:rFonts w:eastAsiaTheme="minorEastAsia"/>
                      <w:color w:val="000000" w:themeColor="text1"/>
                    </w:rPr>
                    <w:t>序号</w:t>
                  </w:r>
                </w:p>
              </w:tc>
              <w:tc>
                <w:tcPr>
                  <w:tcW w:w="850" w:type="dxa"/>
                  <w:vAlign w:val="center"/>
                </w:tcPr>
                <w:p>
                  <w:pPr>
                    <w:pStyle w:val="30"/>
                    <w:spacing w:before="78"/>
                    <w:ind w:left="11"/>
                    <w:rPr>
                      <w:rFonts w:eastAsiaTheme="minorEastAsia"/>
                      <w:color w:val="000000" w:themeColor="text1"/>
                    </w:rPr>
                  </w:pPr>
                  <w:r>
                    <w:rPr>
                      <w:rFonts w:eastAsiaTheme="minorEastAsia"/>
                      <w:color w:val="000000" w:themeColor="text1"/>
                    </w:rPr>
                    <w:t>环节</w:t>
                  </w:r>
                </w:p>
              </w:tc>
              <w:tc>
                <w:tcPr>
                  <w:tcW w:w="7688" w:type="dxa"/>
                  <w:vAlign w:val="center"/>
                </w:tcPr>
                <w:p>
                  <w:pPr>
                    <w:pStyle w:val="30"/>
                    <w:spacing w:before="78"/>
                    <w:ind w:left="11"/>
                    <w:rPr>
                      <w:rFonts w:eastAsiaTheme="minorEastAsia"/>
                      <w:color w:val="000000" w:themeColor="text1"/>
                    </w:rPr>
                  </w:pPr>
                  <w:r>
                    <w:rPr>
                      <w:rFonts w:eastAsiaTheme="minorEastAsia"/>
                      <w:color w:val="000000" w:themeColor="text1"/>
                    </w:rPr>
                    <w:t>管理要求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4" w:type="dxa"/>
                  <w:vAlign w:val="center"/>
                </w:tcPr>
                <w:p>
                  <w:pPr>
                    <w:pStyle w:val="30"/>
                    <w:spacing w:before="78"/>
                    <w:ind w:left="11"/>
                    <w:rPr>
                      <w:rFonts w:eastAsiaTheme="minorEastAsia"/>
                      <w:color w:val="000000" w:themeColor="text1"/>
                    </w:rPr>
                  </w:pPr>
                  <w:r>
                    <w:rPr>
                      <w:rFonts w:eastAsiaTheme="minorEastAsia"/>
                      <w:color w:val="000000" w:themeColor="text1"/>
                    </w:rPr>
                    <w:t>1</w:t>
                  </w:r>
                </w:p>
              </w:tc>
              <w:tc>
                <w:tcPr>
                  <w:tcW w:w="850" w:type="dxa"/>
                  <w:vAlign w:val="center"/>
                </w:tcPr>
                <w:p>
                  <w:pPr>
                    <w:pStyle w:val="30"/>
                    <w:spacing w:before="78"/>
                    <w:ind w:left="11"/>
                    <w:rPr>
                      <w:rFonts w:eastAsiaTheme="minorEastAsia"/>
                      <w:color w:val="000000" w:themeColor="text1"/>
                    </w:rPr>
                  </w:pPr>
                  <w:r>
                    <w:rPr>
                      <w:rFonts w:eastAsiaTheme="minorEastAsia"/>
                      <w:color w:val="000000" w:themeColor="text1"/>
                    </w:rPr>
                    <w:t>收集过程</w:t>
                  </w:r>
                </w:p>
              </w:tc>
              <w:tc>
                <w:tcPr>
                  <w:tcW w:w="7688" w:type="dxa"/>
                  <w:vAlign w:val="center"/>
                </w:tcPr>
                <w:p>
                  <w:pPr>
                    <w:pStyle w:val="30"/>
                    <w:spacing w:before="78"/>
                    <w:ind w:left="11" w:firstLine="210" w:firstLineChars="100"/>
                    <w:jc w:val="left"/>
                    <w:rPr>
                      <w:rFonts w:eastAsiaTheme="minorEastAsia"/>
                      <w:color w:val="000000" w:themeColor="text1"/>
                    </w:rPr>
                  </w:pPr>
                  <w:r>
                    <w:rPr>
                      <w:rFonts w:eastAsiaTheme="minorEastAsia"/>
                      <w:color w:val="000000" w:themeColor="text1"/>
                    </w:rPr>
                    <w:t>项目所产生的危险废物必须单独收集，严禁和一般固体废物混装。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4" w:type="dxa"/>
                  <w:vAlign w:val="center"/>
                </w:tcPr>
                <w:p>
                  <w:pPr>
                    <w:pStyle w:val="30"/>
                    <w:spacing w:before="78"/>
                    <w:ind w:left="11"/>
                    <w:rPr>
                      <w:rFonts w:eastAsiaTheme="minorEastAsia"/>
                      <w:color w:val="000000" w:themeColor="text1"/>
                    </w:rPr>
                  </w:pPr>
                  <w:r>
                    <w:rPr>
                      <w:rFonts w:eastAsiaTheme="minorEastAsia"/>
                      <w:color w:val="000000" w:themeColor="text1"/>
                    </w:rPr>
                    <w:t>2</w:t>
                  </w:r>
                </w:p>
              </w:tc>
              <w:tc>
                <w:tcPr>
                  <w:tcW w:w="850" w:type="dxa"/>
                  <w:vAlign w:val="center"/>
                </w:tcPr>
                <w:p>
                  <w:pPr>
                    <w:pStyle w:val="30"/>
                    <w:spacing w:before="78"/>
                    <w:ind w:left="11"/>
                    <w:rPr>
                      <w:rFonts w:eastAsiaTheme="minorEastAsia"/>
                      <w:color w:val="000000" w:themeColor="text1"/>
                    </w:rPr>
                  </w:pPr>
                  <w:r>
                    <w:rPr>
                      <w:rFonts w:eastAsiaTheme="minorEastAsia"/>
                      <w:color w:val="000000" w:themeColor="text1"/>
                    </w:rPr>
                    <w:t>贮存过程</w:t>
                  </w:r>
                </w:p>
              </w:tc>
              <w:tc>
                <w:tcPr>
                  <w:tcW w:w="7688" w:type="dxa"/>
                  <w:vAlign w:val="center"/>
                </w:tcPr>
                <w:p>
                  <w:pPr>
                    <w:pStyle w:val="30"/>
                    <w:spacing w:before="78"/>
                    <w:ind w:left="11" w:firstLine="210" w:firstLineChars="100"/>
                    <w:jc w:val="left"/>
                    <w:rPr>
                      <w:rFonts w:eastAsiaTheme="minorEastAsia"/>
                      <w:color w:val="000000" w:themeColor="text1"/>
                    </w:rPr>
                  </w:pPr>
                  <w:r>
                    <w:rPr>
                      <w:rFonts w:eastAsiaTheme="minorEastAsia"/>
                      <w:color w:val="000000" w:themeColor="text1"/>
                    </w:rPr>
                    <w:t>①要做好危险废物贮存间的防渗、防泄漏工作。</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②危险废物堆场必须封顶，并做好防雨工作，场内须做好防渗措施。</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③危险废物需用符合标准的容器盛装，容器上需粘贴符合《危险废物贮存污染控制标准》（GB18597-2001）附录A所示的标签。</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④危险废物贮存间必须按GB15562.2《环境保护图形标志—固体废物贮存（处置）场》的规定设置警示标志。</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⑤装载危险废物的容器要满足相应的强度要求，必须完好无损。</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⑥盛装危险废物的容器材质和衬里要与危险废物性质相容（不相互反应）。</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⑦盛装危险废物容器都应有防漏裙脚或储漏盘，防漏裙脚或储漏盘的材料要与危险废物相容。</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⑧作好危险废物贮存情况的记录，记录上须注明危险废物的名称、来源、数量、特性和包装容器的类别、入库日期、存放库位、废物出库日期及接收单位名称。记录和货单在危险废物处置后继续保留三年。</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⑨必须定期对所贮存的危险废物包装容器进行检查，发现破损，应及时采取措施清理更换。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4" w:type="dxa"/>
                  <w:vAlign w:val="center"/>
                </w:tcPr>
                <w:p>
                  <w:pPr>
                    <w:pStyle w:val="30"/>
                    <w:spacing w:before="78"/>
                    <w:ind w:left="11"/>
                    <w:rPr>
                      <w:rFonts w:eastAsiaTheme="minorEastAsia"/>
                      <w:color w:val="000000" w:themeColor="text1"/>
                    </w:rPr>
                  </w:pPr>
                  <w:r>
                    <w:rPr>
                      <w:rFonts w:eastAsiaTheme="minorEastAsia"/>
                      <w:color w:val="000000" w:themeColor="text1"/>
                    </w:rPr>
                    <w:t>3</w:t>
                  </w:r>
                </w:p>
              </w:tc>
              <w:tc>
                <w:tcPr>
                  <w:tcW w:w="850" w:type="dxa"/>
                  <w:vAlign w:val="center"/>
                </w:tcPr>
                <w:p>
                  <w:pPr>
                    <w:pStyle w:val="30"/>
                    <w:spacing w:before="78"/>
                    <w:ind w:left="11"/>
                    <w:rPr>
                      <w:rFonts w:eastAsiaTheme="minorEastAsia"/>
                      <w:color w:val="000000" w:themeColor="text1"/>
                    </w:rPr>
                  </w:pPr>
                  <w:r>
                    <w:rPr>
                      <w:rFonts w:eastAsiaTheme="minorEastAsia"/>
                      <w:color w:val="000000" w:themeColor="text1"/>
                    </w:rPr>
                    <w:t>委托转移</w:t>
                  </w:r>
                </w:p>
              </w:tc>
              <w:tc>
                <w:tcPr>
                  <w:tcW w:w="7688" w:type="dxa"/>
                  <w:vAlign w:val="center"/>
                </w:tcPr>
                <w:p>
                  <w:pPr>
                    <w:pStyle w:val="30"/>
                    <w:spacing w:before="78"/>
                    <w:ind w:left="11" w:firstLine="210" w:firstLineChars="100"/>
                    <w:jc w:val="left"/>
                    <w:rPr>
                      <w:rFonts w:eastAsiaTheme="minorEastAsia"/>
                      <w:color w:val="000000" w:themeColor="text1"/>
                    </w:rPr>
                  </w:pPr>
                  <w:r>
                    <w:rPr>
                      <w:rFonts w:eastAsiaTheme="minorEastAsia"/>
                      <w:color w:val="000000" w:themeColor="text1"/>
                    </w:rPr>
                    <w:t>利用和委托有资质的单位处理过程中必须严格按照《危险废物转移联单管理办法》相关要求，严格执行危险废物转移联单制度，设置台账。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4" w:type="dxa"/>
                  <w:vAlign w:val="center"/>
                </w:tcPr>
                <w:p>
                  <w:pPr>
                    <w:pStyle w:val="30"/>
                    <w:spacing w:before="78"/>
                    <w:ind w:left="11"/>
                    <w:rPr>
                      <w:rFonts w:eastAsiaTheme="minorEastAsia"/>
                      <w:color w:val="000000" w:themeColor="text1"/>
                    </w:rPr>
                  </w:pPr>
                  <w:r>
                    <w:rPr>
                      <w:rFonts w:eastAsiaTheme="minorEastAsia"/>
                      <w:color w:val="000000" w:themeColor="text1"/>
                    </w:rPr>
                    <w:t>4</w:t>
                  </w:r>
                </w:p>
              </w:tc>
              <w:tc>
                <w:tcPr>
                  <w:tcW w:w="850" w:type="dxa"/>
                  <w:vAlign w:val="center"/>
                </w:tcPr>
                <w:p>
                  <w:pPr>
                    <w:pStyle w:val="30"/>
                    <w:spacing w:before="78"/>
                    <w:ind w:left="11"/>
                    <w:rPr>
                      <w:rFonts w:eastAsiaTheme="minorEastAsia"/>
                      <w:color w:val="000000" w:themeColor="text1"/>
                    </w:rPr>
                  </w:pPr>
                  <w:r>
                    <w:rPr>
                      <w:rFonts w:eastAsiaTheme="minorEastAsia"/>
                      <w:color w:val="000000" w:themeColor="text1"/>
                    </w:rPr>
                    <w:t>危险废物贮存间的建设及管理</w:t>
                  </w:r>
                </w:p>
              </w:tc>
              <w:tc>
                <w:tcPr>
                  <w:tcW w:w="7688" w:type="dxa"/>
                  <w:vAlign w:val="center"/>
                </w:tcPr>
                <w:p>
                  <w:pPr>
                    <w:pStyle w:val="30"/>
                    <w:spacing w:before="78"/>
                    <w:ind w:left="11" w:firstLine="210" w:firstLineChars="100"/>
                    <w:jc w:val="left"/>
                    <w:rPr>
                      <w:rFonts w:eastAsiaTheme="minorEastAsia"/>
                      <w:color w:val="000000" w:themeColor="text1"/>
                    </w:rPr>
                  </w:pPr>
                  <w:r>
                    <w:rPr>
                      <w:rFonts w:eastAsiaTheme="minorEastAsia"/>
                      <w:color w:val="000000" w:themeColor="text1"/>
                    </w:rPr>
                    <w:t>①危险废物贮存间必须要密闭建设，门口内侧设立围堰，地面应做好硬化及“三防”措施；</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②危险废物贮存间门口需张贴标准规范的危险废物标识和危险信息版，屋内张贴企业《危险废物管理制度》；</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③危险废物贮存间需按照“双人双锁”制度管理；</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④不同种类危险废物应有明显的过道划分，墙上张贴危废名称，液体危废需将盛装容器放至防渗漏托盘内并在容器粘贴危险废物标签，固态危险废物包装需完好无破损并系挂危险废物标签，并按要求填写；</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⑤建立台账并悬挂于危险废物贮存间内；</w:t>
                  </w:r>
                </w:p>
                <w:p>
                  <w:pPr>
                    <w:pStyle w:val="30"/>
                    <w:spacing w:before="78"/>
                    <w:ind w:left="11" w:firstLine="210" w:firstLineChars="100"/>
                    <w:jc w:val="left"/>
                    <w:rPr>
                      <w:rFonts w:eastAsiaTheme="minorEastAsia"/>
                      <w:color w:val="000000" w:themeColor="text1"/>
                    </w:rPr>
                  </w:pPr>
                  <w:r>
                    <w:rPr>
                      <w:rFonts w:eastAsiaTheme="minorEastAsia"/>
                      <w:color w:val="000000" w:themeColor="text1"/>
                    </w:rPr>
                    <w:t>⑥危险废物贮存间内禁止存放除危险废物及应急工具及其他物品；</w:t>
                  </w:r>
                </w:p>
              </w:tc>
            </w:tr>
          </w:tbl>
          <w:p>
            <w:pPr>
              <w:pStyle w:val="38"/>
              <w:spacing w:beforeLines="50"/>
              <w:ind w:firstLine="482"/>
              <w:rPr>
                <w:rFonts w:eastAsiaTheme="minorEastAsia"/>
                <w:b/>
                <w:color w:val="000000" w:themeColor="text1"/>
                <w:szCs w:val="24"/>
              </w:rPr>
            </w:pPr>
            <w:bookmarkStart w:id="11" w:name="_Toc484976361"/>
            <w:r>
              <w:rPr>
                <w:rFonts w:eastAsiaTheme="minorEastAsia"/>
                <w:b/>
                <w:color w:val="000000" w:themeColor="text1"/>
                <w:szCs w:val="24"/>
              </w:rPr>
              <w:t>②生活垃圾管理要求</w:t>
            </w:r>
          </w:p>
          <w:p>
            <w:pPr>
              <w:pStyle w:val="38"/>
              <w:ind w:firstLine="480"/>
              <w:rPr>
                <w:color w:val="000000" w:themeColor="text1"/>
                <w:szCs w:val="24"/>
              </w:rPr>
            </w:pPr>
            <w:r>
              <w:rPr>
                <w:color w:val="000000" w:themeColor="text1"/>
                <w:szCs w:val="24"/>
              </w:rPr>
              <w:t>项目产生的生活垃圾应做到日产日清。</w:t>
            </w:r>
          </w:p>
          <w:bookmarkEnd w:id="11"/>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4.2.5 地下水、土壤环境影响和保护措施</w:t>
            </w:r>
          </w:p>
          <w:p>
            <w:pPr>
              <w:pStyle w:val="38"/>
              <w:ind w:firstLine="361" w:firstLineChars="150"/>
              <w:rPr>
                <w:rFonts w:eastAsiaTheme="minorEastAsia"/>
                <w:b/>
                <w:color w:val="000000" w:themeColor="text1"/>
                <w:szCs w:val="24"/>
              </w:rPr>
            </w:pPr>
            <w:r>
              <w:rPr>
                <w:rFonts w:eastAsiaTheme="minorEastAsia"/>
                <w:b/>
                <w:color w:val="000000" w:themeColor="text1"/>
                <w:szCs w:val="24"/>
              </w:rPr>
              <w:t>（1）污染源及污染物类型</w:t>
            </w:r>
          </w:p>
          <w:p>
            <w:pPr>
              <w:pStyle w:val="38"/>
              <w:ind w:firstLine="480"/>
              <w:rPr>
                <w:color w:val="000000" w:themeColor="text1"/>
                <w:szCs w:val="24"/>
              </w:rPr>
            </w:pPr>
            <w:r>
              <w:rPr>
                <w:color w:val="000000" w:themeColor="text1"/>
                <w:szCs w:val="24"/>
              </w:rPr>
              <w:t>污染物从污染源进入地下水所经过的路径称为地下水污染途径，地下水污染途径是多种多样的。根据项目的特点，本项目可能对地下水造成污染的途径主要有：废</w:t>
            </w:r>
            <w:r>
              <w:rPr>
                <w:rFonts w:hint="eastAsia"/>
                <w:color w:val="000000" w:themeColor="text1"/>
                <w:szCs w:val="24"/>
              </w:rPr>
              <w:t>矿物油</w:t>
            </w:r>
            <w:r>
              <w:rPr>
                <w:color w:val="000000" w:themeColor="text1"/>
                <w:szCs w:val="24"/>
              </w:rPr>
              <w:t>等</w:t>
            </w:r>
            <w:r>
              <w:rPr>
                <w:rFonts w:hint="eastAsia"/>
                <w:color w:val="000000" w:themeColor="text1"/>
                <w:szCs w:val="24"/>
              </w:rPr>
              <w:t>危险废物</w:t>
            </w:r>
            <w:r>
              <w:rPr>
                <w:color w:val="000000" w:themeColor="text1"/>
                <w:szCs w:val="24"/>
              </w:rPr>
              <w:t>在地面防渗层发生破损的情况下会发生渗漏，对地下水造成污染，其污染物类型包括</w:t>
            </w:r>
            <w:r>
              <w:rPr>
                <w:rFonts w:hint="eastAsia"/>
                <w:color w:val="000000" w:themeColor="text1"/>
                <w:szCs w:val="24"/>
              </w:rPr>
              <w:t>石油类</w:t>
            </w:r>
            <w:r>
              <w:rPr>
                <w:color w:val="000000" w:themeColor="text1"/>
                <w:szCs w:val="24"/>
              </w:rPr>
              <w:t>。</w:t>
            </w:r>
          </w:p>
          <w:p>
            <w:pPr>
              <w:pStyle w:val="38"/>
              <w:ind w:firstLine="361" w:firstLineChars="150"/>
              <w:rPr>
                <w:rFonts w:eastAsiaTheme="minorEastAsia"/>
                <w:b/>
                <w:color w:val="000000" w:themeColor="text1"/>
                <w:szCs w:val="24"/>
              </w:rPr>
            </w:pPr>
            <w:r>
              <w:rPr>
                <w:rFonts w:eastAsiaTheme="minorEastAsia"/>
                <w:b/>
                <w:color w:val="000000" w:themeColor="text1"/>
                <w:szCs w:val="24"/>
              </w:rPr>
              <w:t>（2）污染源及污染途径</w:t>
            </w:r>
          </w:p>
          <w:p>
            <w:pPr>
              <w:pStyle w:val="38"/>
              <w:ind w:firstLine="480"/>
              <w:rPr>
                <w:color w:val="000000" w:themeColor="text1"/>
                <w:szCs w:val="24"/>
              </w:rPr>
            </w:pPr>
            <w:r>
              <w:rPr>
                <w:color w:val="000000" w:themeColor="text1"/>
                <w:szCs w:val="24"/>
              </w:rPr>
              <w:t>污染物从污染源进入地下水所经过的路径称为地下水污染途径，地下水污染途径是多种多样的。根据项目的特点，本项目可能对地下水造成污染的途径主要有：废</w:t>
            </w:r>
            <w:r>
              <w:rPr>
                <w:rFonts w:hint="eastAsia"/>
                <w:color w:val="000000" w:themeColor="text1"/>
                <w:szCs w:val="24"/>
              </w:rPr>
              <w:t>矿物油</w:t>
            </w:r>
            <w:r>
              <w:rPr>
                <w:color w:val="000000" w:themeColor="text1"/>
                <w:szCs w:val="24"/>
              </w:rPr>
              <w:t>等</w:t>
            </w:r>
            <w:r>
              <w:rPr>
                <w:rFonts w:hint="eastAsia"/>
                <w:color w:val="000000" w:themeColor="text1"/>
                <w:szCs w:val="24"/>
              </w:rPr>
              <w:t>危险废物</w:t>
            </w:r>
            <w:r>
              <w:rPr>
                <w:color w:val="000000" w:themeColor="text1"/>
                <w:szCs w:val="24"/>
              </w:rPr>
              <w:t>在地面防渗层发生破损的情况下会发生渗漏，对地下水造成污染。</w:t>
            </w:r>
          </w:p>
          <w:p>
            <w:pPr>
              <w:pStyle w:val="38"/>
              <w:ind w:firstLine="361" w:firstLineChars="150"/>
              <w:rPr>
                <w:rFonts w:eastAsiaTheme="minorEastAsia"/>
                <w:b/>
                <w:color w:val="000000" w:themeColor="text1"/>
                <w:szCs w:val="24"/>
              </w:rPr>
            </w:pPr>
            <w:r>
              <w:rPr>
                <w:rFonts w:eastAsiaTheme="minorEastAsia"/>
                <w:b/>
                <w:color w:val="000000" w:themeColor="text1"/>
                <w:szCs w:val="24"/>
              </w:rPr>
              <w:t>（2）防控措施</w:t>
            </w:r>
          </w:p>
          <w:p>
            <w:pPr>
              <w:pStyle w:val="38"/>
              <w:ind w:firstLine="480"/>
              <w:rPr>
                <w:color w:val="000000" w:themeColor="text1"/>
                <w:szCs w:val="24"/>
              </w:rPr>
            </w:pPr>
            <w:r>
              <w:rPr>
                <w:color w:val="000000" w:themeColor="text1"/>
                <w:szCs w:val="24"/>
              </w:rPr>
              <w:t>本项目地下水、土壤污染防治措施按照“源头控制、分区防治、应急响应”相结合的原则，从污染物的产生、入渗、扩散、应急响应进行控制。</w:t>
            </w:r>
          </w:p>
          <w:p>
            <w:pPr>
              <w:pStyle w:val="38"/>
              <w:ind w:firstLine="482"/>
              <w:rPr>
                <w:b/>
                <w:color w:val="000000" w:themeColor="text1"/>
                <w:szCs w:val="24"/>
              </w:rPr>
            </w:pPr>
            <w:r>
              <w:rPr>
                <w:b/>
                <w:color w:val="000000" w:themeColor="text1"/>
                <w:szCs w:val="24"/>
              </w:rPr>
              <w:t>①源头控制措施</w:t>
            </w:r>
          </w:p>
          <w:p>
            <w:pPr>
              <w:pStyle w:val="38"/>
              <w:ind w:firstLine="480"/>
              <w:rPr>
                <w:color w:val="000000" w:themeColor="text1"/>
                <w:szCs w:val="24"/>
              </w:rPr>
            </w:pPr>
            <w:r>
              <w:rPr>
                <w:color w:val="000000" w:themeColor="text1"/>
                <w:szCs w:val="24"/>
              </w:rPr>
              <w:t>严格按照公司制定的规范管理要求进行危险废物的管理。</w:t>
            </w:r>
          </w:p>
          <w:p>
            <w:pPr>
              <w:pStyle w:val="38"/>
              <w:ind w:firstLine="482"/>
              <w:rPr>
                <w:b/>
                <w:color w:val="000000" w:themeColor="text1"/>
                <w:szCs w:val="24"/>
              </w:rPr>
            </w:pPr>
            <w:r>
              <w:rPr>
                <w:b/>
                <w:color w:val="000000" w:themeColor="text1"/>
                <w:szCs w:val="24"/>
              </w:rPr>
              <w:t>②分区控制措施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根据《环境影响评价技术导则-地下水环境》（HJ610-2016），项目分区防控措施根据建设项目场地天然包气带防污性能、污染控制难易程度和污染物特性提出防渗技术要求。污染控制难易程度分级如下表所示</w:t>
            </w:r>
            <w:r>
              <w:rPr>
                <w:rFonts w:ascii="Times New Roman" w:hAnsi="Times New Roman" w:cs="Times New Roman"/>
                <w:color w:val="000000" w:themeColor="text1"/>
                <w:sz w:val="24"/>
              </w:rPr>
              <w:t>。</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表4.2.5-1  污染控制难易程度分级参照表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7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污染物控制难易程度</w:t>
                  </w:r>
                </w:p>
              </w:tc>
              <w:tc>
                <w:tcPr>
                  <w:tcW w:w="68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难</w:t>
                  </w:r>
                </w:p>
              </w:tc>
              <w:tc>
                <w:tcPr>
                  <w:tcW w:w="6875" w:type="dxa"/>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易</w:t>
                  </w:r>
                </w:p>
              </w:tc>
              <w:tc>
                <w:tcPr>
                  <w:tcW w:w="6875" w:type="dxa"/>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对地下水环境有污染的物料或污染物泄漏后，可及时发现和处理。</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天然包气带防污性能分级如下表所示。</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表4.2.5-2  天然包气带防污性能分级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分级</w:t>
                  </w:r>
                </w:p>
              </w:tc>
              <w:tc>
                <w:tcPr>
                  <w:tcW w:w="786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强</w:t>
                  </w:r>
                </w:p>
              </w:tc>
              <w:tc>
                <w:tcPr>
                  <w:tcW w:w="7867" w:type="dxa"/>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岩（土）单层厚度Mb≥1.0m，渗透系数K≤10</w:t>
                  </w:r>
                  <w:r>
                    <w:rPr>
                      <w:rFonts w:eastAsiaTheme="minorEastAsia"/>
                      <w:color w:val="000000" w:themeColor="text1"/>
                      <w:szCs w:val="21"/>
                      <w:vertAlign w:val="superscript"/>
                    </w:rPr>
                    <w:t>-6</w:t>
                  </w:r>
                  <w:r>
                    <w:rPr>
                      <w:rFonts w:eastAsiaTheme="minorEastAsia"/>
                      <w:color w:val="000000" w:themeColor="text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中</w:t>
                  </w:r>
                </w:p>
              </w:tc>
              <w:tc>
                <w:tcPr>
                  <w:tcW w:w="7867" w:type="dxa"/>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岩（土）单层厚度0.5m≤Mb＜1.0m，渗透系数K≤10</w:t>
                  </w:r>
                  <w:r>
                    <w:rPr>
                      <w:rFonts w:eastAsiaTheme="minorEastAsia"/>
                      <w:color w:val="000000" w:themeColor="text1"/>
                      <w:szCs w:val="21"/>
                      <w:vertAlign w:val="superscript"/>
                    </w:rPr>
                    <w:t>-6</w:t>
                  </w:r>
                  <w:r>
                    <w:rPr>
                      <w:rFonts w:eastAsiaTheme="minorEastAsia"/>
                      <w:color w:val="000000" w:themeColor="text1"/>
                      <w:szCs w:val="21"/>
                    </w:rPr>
                    <w:t>cm/s，且分布连续、稳定；</w:t>
                  </w:r>
                </w:p>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岩（土）单层厚度Mb≥1.0m，渗透系数10</w:t>
                  </w:r>
                  <w:r>
                    <w:rPr>
                      <w:rFonts w:eastAsiaTheme="minorEastAsia"/>
                      <w:color w:val="000000" w:themeColor="text1"/>
                      <w:szCs w:val="21"/>
                      <w:vertAlign w:val="superscript"/>
                    </w:rPr>
                    <w:t>-6</w:t>
                  </w:r>
                  <w:r>
                    <w:rPr>
                      <w:rFonts w:eastAsiaTheme="minorEastAsia"/>
                      <w:color w:val="000000" w:themeColor="text1"/>
                      <w:szCs w:val="21"/>
                    </w:rPr>
                    <w:t>cm/s＜K≤10</w:t>
                  </w:r>
                  <w:r>
                    <w:rPr>
                      <w:rFonts w:eastAsiaTheme="minorEastAsia"/>
                      <w:color w:val="000000" w:themeColor="text1"/>
                      <w:szCs w:val="21"/>
                      <w:vertAlign w:val="superscript"/>
                    </w:rPr>
                    <w:t>-4</w:t>
                  </w:r>
                  <w:r>
                    <w:rPr>
                      <w:rFonts w:eastAsiaTheme="minorEastAsia"/>
                      <w:color w:val="000000" w:themeColor="text1"/>
                      <w:szCs w:val="21"/>
                    </w:rPr>
                    <w:t>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弱</w:t>
                  </w:r>
                </w:p>
              </w:tc>
              <w:tc>
                <w:tcPr>
                  <w:tcW w:w="7867" w:type="dxa"/>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岩（土）层不满足上述“强”和“中”条件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备注</w:t>
                  </w:r>
                </w:p>
              </w:tc>
              <w:tc>
                <w:tcPr>
                  <w:tcW w:w="7867" w:type="dxa"/>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项目区地下水类型主要为岩溶水，含水层岩性主要为古生界石炭系大塘阶组（C1d）浅海相泥质灰岩或白云岩，综上确定包气带防污性能为“弱”。</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地下水污染防渗分区按下表要求执行。</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表4.2.5-3  地下水污染防渗分区</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490"/>
              <w:gridCol w:w="1490"/>
              <w:gridCol w:w="1787"/>
              <w:gridCol w:w="3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防渗分区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天然包气带防污性能</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污染控制难易程度</w:t>
                  </w:r>
                </w:p>
              </w:tc>
              <w:tc>
                <w:tcPr>
                  <w:tcW w:w="988"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污染物类型</w:t>
                  </w:r>
                </w:p>
              </w:tc>
              <w:tc>
                <w:tcPr>
                  <w:tcW w:w="1771"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重点防渗区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弱</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难</w:t>
                  </w:r>
                </w:p>
              </w:tc>
              <w:tc>
                <w:tcPr>
                  <w:tcW w:w="988" w:type="pct"/>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重金属、持久性有机污染物</w:t>
                  </w:r>
                </w:p>
              </w:tc>
              <w:tc>
                <w:tcPr>
                  <w:tcW w:w="1771" w:type="pct"/>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等效黏土防渗层Mb≥6.0m，K≤1×10</w:t>
                  </w:r>
                  <w:r>
                    <w:rPr>
                      <w:rFonts w:eastAsiaTheme="minorEastAsia"/>
                      <w:color w:val="000000" w:themeColor="text1"/>
                      <w:szCs w:val="21"/>
                      <w:vertAlign w:val="superscript"/>
                    </w:rPr>
                    <w:t>-7</w:t>
                  </w:r>
                  <w:r>
                    <w:rPr>
                      <w:rFonts w:eastAsiaTheme="minorEastAsia"/>
                      <w:color w:val="000000" w:themeColor="text1"/>
                      <w:szCs w:val="21"/>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vAlign w:val="center"/>
                </w:tcPr>
                <w:p>
                  <w:pPr>
                    <w:pStyle w:val="30"/>
                    <w:spacing w:line="360" w:lineRule="exact"/>
                    <w:rPr>
                      <w:rFonts w:eastAsiaTheme="minorEastAsia"/>
                      <w:color w:val="000000" w:themeColor="text1"/>
                      <w:szCs w:val="21"/>
                    </w:rPr>
                  </w:pP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中-强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难</w:t>
                  </w:r>
                </w:p>
              </w:tc>
              <w:tc>
                <w:tcPr>
                  <w:tcW w:w="988" w:type="pct"/>
                  <w:vMerge w:val="continue"/>
                  <w:vAlign w:val="center"/>
                </w:tcPr>
                <w:p>
                  <w:pPr>
                    <w:pStyle w:val="30"/>
                    <w:spacing w:line="360" w:lineRule="exact"/>
                    <w:rPr>
                      <w:rFonts w:eastAsiaTheme="minorEastAsia"/>
                      <w:color w:val="000000" w:themeColor="text1"/>
                      <w:szCs w:val="21"/>
                    </w:rPr>
                  </w:pPr>
                </w:p>
              </w:tc>
              <w:tc>
                <w:tcPr>
                  <w:tcW w:w="1771" w:type="pct"/>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vAlign w:val="center"/>
                </w:tcPr>
                <w:p>
                  <w:pPr>
                    <w:pStyle w:val="30"/>
                    <w:spacing w:line="360" w:lineRule="exact"/>
                    <w:rPr>
                      <w:rFonts w:eastAsiaTheme="minorEastAsia"/>
                      <w:color w:val="000000" w:themeColor="text1"/>
                      <w:szCs w:val="21"/>
                    </w:rPr>
                  </w:pP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弱</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Merge w:val="continue"/>
                  <w:vAlign w:val="center"/>
                </w:tcPr>
                <w:p>
                  <w:pPr>
                    <w:pStyle w:val="30"/>
                    <w:spacing w:line="360" w:lineRule="exact"/>
                    <w:rPr>
                      <w:rFonts w:eastAsiaTheme="minorEastAsia"/>
                      <w:color w:val="000000" w:themeColor="text1"/>
                      <w:szCs w:val="21"/>
                    </w:rPr>
                  </w:pPr>
                </w:p>
              </w:tc>
              <w:tc>
                <w:tcPr>
                  <w:tcW w:w="1771" w:type="pct"/>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一般防渗区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弱</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易-难</w:t>
                  </w:r>
                </w:p>
              </w:tc>
              <w:tc>
                <w:tcPr>
                  <w:tcW w:w="988" w:type="pct"/>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其他类型</w:t>
                  </w:r>
                </w:p>
              </w:tc>
              <w:tc>
                <w:tcPr>
                  <w:tcW w:w="1771" w:type="pct"/>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等效黏土防渗层Mb≥1.5m，K≤1×10</w:t>
                  </w:r>
                  <w:r>
                    <w:rPr>
                      <w:rFonts w:eastAsiaTheme="minorEastAsia"/>
                      <w:color w:val="000000" w:themeColor="text1"/>
                      <w:szCs w:val="21"/>
                      <w:vertAlign w:val="superscript"/>
                    </w:rPr>
                    <w:t>-7</w:t>
                  </w:r>
                  <w:r>
                    <w:rPr>
                      <w:rFonts w:eastAsiaTheme="minorEastAsia"/>
                      <w:color w:val="000000" w:themeColor="text1"/>
                      <w:szCs w:val="21"/>
                    </w:rPr>
                    <w:t>cm/s；或参照GB16889执行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vAlign w:val="center"/>
                </w:tcPr>
                <w:p>
                  <w:pPr>
                    <w:pStyle w:val="30"/>
                    <w:spacing w:line="360" w:lineRule="exact"/>
                    <w:rPr>
                      <w:rFonts w:eastAsiaTheme="minorEastAsia"/>
                      <w:color w:val="000000" w:themeColor="text1"/>
                      <w:szCs w:val="21"/>
                    </w:rPr>
                  </w:pP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中-强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难</w:t>
                  </w:r>
                </w:p>
              </w:tc>
              <w:tc>
                <w:tcPr>
                  <w:tcW w:w="988" w:type="pct"/>
                  <w:vMerge w:val="continue"/>
                  <w:vAlign w:val="center"/>
                </w:tcPr>
                <w:p>
                  <w:pPr>
                    <w:pStyle w:val="30"/>
                    <w:spacing w:line="360" w:lineRule="exact"/>
                    <w:rPr>
                      <w:rFonts w:eastAsiaTheme="minorEastAsia"/>
                      <w:color w:val="000000" w:themeColor="text1"/>
                      <w:szCs w:val="21"/>
                    </w:rPr>
                  </w:pPr>
                </w:p>
              </w:tc>
              <w:tc>
                <w:tcPr>
                  <w:tcW w:w="1771" w:type="pct"/>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vAlign w:val="center"/>
                </w:tcPr>
                <w:p>
                  <w:pPr>
                    <w:pStyle w:val="30"/>
                    <w:spacing w:line="360" w:lineRule="exact"/>
                    <w:rPr>
                      <w:rFonts w:eastAsiaTheme="minorEastAsia"/>
                      <w:color w:val="000000" w:themeColor="text1"/>
                      <w:szCs w:val="21"/>
                    </w:rPr>
                  </w:pP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中</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重金属、持久性有机污染物</w:t>
                  </w:r>
                </w:p>
              </w:tc>
              <w:tc>
                <w:tcPr>
                  <w:tcW w:w="1771" w:type="pct"/>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Merge w:val="continue"/>
                  <w:vAlign w:val="center"/>
                </w:tcPr>
                <w:p>
                  <w:pPr>
                    <w:pStyle w:val="30"/>
                    <w:spacing w:line="360" w:lineRule="exact"/>
                    <w:rPr>
                      <w:rFonts w:eastAsiaTheme="minorEastAsia"/>
                      <w:color w:val="000000" w:themeColor="text1"/>
                      <w:szCs w:val="21"/>
                    </w:rPr>
                  </w:pP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Merge w:val="continue"/>
                  <w:vAlign w:val="center"/>
                </w:tcPr>
                <w:p>
                  <w:pPr>
                    <w:pStyle w:val="30"/>
                    <w:spacing w:line="360" w:lineRule="exact"/>
                    <w:rPr>
                      <w:rFonts w:eastAsiaTheme="minorEastAsia"/>
                      <w:color w:val="000000" w:themeColor="text1"/>
                      <w:szCs w:val="21"/>
                    </w:rPr>
                  </w:pPr>
                </w:p>
              </w:tc>
              <w:tc>
                <w:tcPr>
                  <w:tcW w:w="1771" w:type="pct"/>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简单防渗区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中-强</w:t>
                  </w:r>
                </w:p>
              </w:tc>
              <w:tc>
                <w:tcPr>
                  <w:tcW w:w="824"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易</w:t>
                  </w:r>
                </w:p>
              </w:tc>
              <w:tc>
                <w:tcPr>
                  <w:tcW w:w="988" w:type="pc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其他类型</w:t>
                  </w:r>
                </w:p>
              </w:tc>
              <w:tc>
                <w:tcPr>
                  <w:tcW w:w="1771" w:type="pc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一般地面硬化</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根据以上分区原则可知，项目分区防渗具体如下：</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1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⑴</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重点防渗区</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根据调查，项目</w:t>
            </w:r>
            <w:r>
              <w:rPr>
                <w:rFonts w:ascii="Times New Roman" w:hAnsi="Times New Roman" w:cs="Times New Roman"/>
                <w:color w:val="000000" w:themeColor="text1"/>
                <w:sz w:val="24"/>
                <w:szCs w:val="24"/>
              </w:rPr>
              <w:t>重点防渗区为</w:t>
            </w:r>
            <w:r>
              <w:rPr>
                <w:rFonts w:hint="eastAsia" w:ascii="Times New Roman" w:hAnsi="Times New Roman" w:cs="Times New Roman"/>
                <w:color w:val="000000" w:themeColor="text1"/>
                <w:sz w:val="24"/>
                <w:szCs w:val="24"/>
              </w:rPr>
              <w:t>废电路板暂存区、4个危险废物贮存间；其地面和裙墙均已采用环氧树脂等防渗漆进行防渗</w:t>
            </w:r>
            <w:r>
              <w:rPr>
                <w:rFonts w:ascii="Times New Roman" w:hAnsi="Times New Roman" w:cs="Times New Roman"/>
                <w:color w:val="000000" w:themeColor="text1"/>
                <w:sz w:val="24"/>
                <w:szCs w:val="24"/>
              </w:rPr>
              <w:t>其渗透系数≤10</w:t>
            </w:r>
            <w:r>
              <w:rPr>
                <w:rFonts w:ascii="Times New Roman" w:hAnsi="Times New Roman" w:cs="Times New Roman"/>
                <w:color w:val="000000" w:themeColor="text1"/>
                <w:sz w:val="24"/>
                <w:szCs w:val="24"/>
                <w:vertAlign w:val="superscript"/>
              </w:rPr>
              <w:t>-10</w:t>
            </w:r>
            <w:r>
              <w:rPr>
                <w:rFonts w:ascii="Times New Roman" w:hAnsi="Times New Roman" w:cs="Times New Roman"/>
                <w:color w:val="000000" w:themeColor="text1"/>
                <w:sz w:val="24"/>
                <w:szCs w:val="24"/>
              </w:rPr>
              <w:t>cm/s；</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2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⑵</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一般防渗区</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根据调查，项目生产车间和仓库均属于一般防渗区</w:t>
            </w:r>
            <w:r>
              <w:rPr>
                <w:rFonts w:ascii="Times New Roman" w:hAnsi="Times New Roman" w:cs="Times New Roman"/>
                <w:color w:val="000000" w:themeColor="text1"/>
                <w:sz w:val="24"/>
                <w:szCs w:val="24"/>
              </w:rPr>
              <w:t>，一般防渗区措施地面采取粘土铺底，并在上层铺30cm的混凝土进行硬化。</w:t>
            </w:r>
            <w:r>
              <w:rPr>
                <w:rFonts w:hint="eastAsia" w:ascii="Times New Roman" w:hAnsi="Times New Roman" w:cs="Times New Roman"/>
                <w:color w:val="000000" w:themeColor="text1"/>
                <w:sz w:val="24"/>
                <w:szCs w:val="24"/>
              </w:rPr>
              <w:t>其渗透系数</w:t>
            </w:r>
            <w:r>
              <w:rPr>
                <w:rFonts w:ascii="Times New Roman" w:hAnsi="Times New Roman" w:cs="Times New Roman"/>
                <w:color w:val="000000" w:themeColor="text1"/>
                <w:sz w:val="24"/>
                <w:szCs w:val="24"/>
              </w:rPr>
              <w:t>≤1.0×10</w:t>
            </w:r>
            <w:r>
              <w:rPr>
                <w:rFonts w:ascii="Times New Roman" w:hAnsi="Times New Roman" w:cs="Times New Roman"/>
                <w:color w:val="000000" w:themeColor="text1"/>
                <w:sz w:val="24"/>
                <w:szCs w:val="24"/>
                <w:vertAlign w:val="superscript"/>
              </w:rPr>
              <w:t>-</w:t>
            </w:r>
            <w:r>
              <w:rPr>
                <w:rFonts w:hint="eastAsia" w:ascii="Times New Roman" w:hAnsi="Times New Roman" w:cs="Times New Roman"/>
                <w:color w:val="000000" w:themeColor="text1"/>
                <w:sz w:val="24"/>
                <w:szCs w:val="24"/>
                <w:vertAlign w:val="superscript"/>
              </w:rPr>
              <w:t>7</w:t>
            </w:r>
            <w:r>
              <w:rPr>
                <w:rFonts w:ascii="Times New Roman" w:hAnsi="Times New Roman" w:cs="Times New Roman"/>
                <w:color w:val="000000" w:themeColor="text1"/>
                <w:sz w:val="24"/>
                <w:szCs w:val="24"/>
              </w:rPr>
              <w:t>cm/s</w:t>
            </w:r>
            <w:r>
              <w:rPr>
                <w:rFonts w:hint="eastAsia" w:ascii="Times New Roman" w:hAnsi="Times New Roman" w:cs="Times New Roman"/>
                <w:color w:val="000000" w:themeColor="text1"/>
                <w:sz w:val="24"/>
                <w:szCs w:val="24"/>
              </w:rPr>
              <w:t>。</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fldChar w:fldCharType="begin"/>
            </w:r>
            <w:r>
              <w:rPr>
                <w:rFonts w:ascii="Times New Roman" w:hAnsi="Times New Roman" w:cs="Times New Roman"/>
                <w:b/>
                <w:color w:val="000000" w:themeColor="text1"/>
                <w:sz w:val="24"/>
                <w:szCs w:val="24"/>
              </w:rPr>
              <w:instrText xml:space="preserve"> = 3 \* GB2 </w:instrText>
            </w:r>
            <w:r>
              <w:rPr>
                <w:rFonts w:ascii="Times New Roman" w:hAnsi="Times New Roman" w:cs="Times New Roman"/>
                <w:b/>
                <w:color w:val="000000" w:themeColor="text1"/>
                <w:sz w:val="24"/>
                <w:szCs w:val="24"/>
              </w:rPr>
              <w:fldChar w:fldCharType="separate"/>
            </w:r>
            <w:r>
              <w:rPr>
                <w:rFonts w:ascii="Times New Roman" w:hAnsi="Times New Roman" w:cs="Times New Roman"/>
                <w:b/>
                <w:color w:val="000000" w:themeColor="text1"/>
                <w:sz w:val="24"/>
                <w:szCs w:val="24"/>
              </w:rPr>
              <w:t>⑶</w:t>
            </w:r>
            <w:r>
              <w:rPr>
                <w:rFonts w:ascii="Times New Roman" w:hAnsi="Times New Roman" w:cs="Times New Roman"/>
                <w:b/>
                <w:color w:val="000000" w:themeColor="text1"/>
                <w:sz w:val="24"/>
                <w:szCs w:val="24"/>
              </w:rPr>
              <w:fldChar w:fldCharType="end"/>
            </w:r>
            <w:r>
              <w:rPr>
                <w:rFonts w:ascii="Times New Roman" w:hAnsi="Times New Roman" w:cs="Times New Roman"/>
                <w:b/>
                <w:color w:val="000000" w:themeColor="text1"/>
                <w:sz w:val="24"/>
                <w:szCs w:val="24"/>
              </w:rPr>
              <w:t>简单防渗区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根据项目特点，对于基本上不产生污染物的简单防渗区，不采取专门针对地下水污染的防治措施。</w:t>
            </w:r>
          </w:p>
          <w:p>
            <w:pPr>
              <w:pStyle w:val="38"/>
              <w:ind w:firstLine="361" w:firstLineChars="150"/>
              <w:rPr>
                <w:rFonts w:eastAsiaTheme="minorEastAsia"/>
                <w:b/>
                <w:color w:val="000000" w:themeColor="text1"/>
                <w:szCs w:val="24"/>
              </w:rPr>
            </w:pPr>
            <w:r>
              <w:rPr>
                <w:rFonts w:eastAsiaTheme="minorEastAsia"/>
                <w:b/>
                <w:color w:val="000000" w:themeColor="text1"/>
                <w:szCs w:val="24"/>
              </w:rPr>
              <w:t>（</w:t>
            </w:r>
            <w:r>
              <w:rPr>
                <w:rFonts w:hint="eastAsia" w:eastAsiaTheme="minorEastAsia"/>
                <w:b/>
                <w:color w:val="000000" w:themeColor="text1"/>
                <w:szCs w:val="24"/>
              </w:rPr>
              <w:t>3</w:t>
            </w:r>
            <w:r>
              <w:rPr>
                <w:rFonts w:eastAsiaTheme="minorEastAsia"/>
                <w:b/>
                <w:color w:val="000000" w:themeColor="text1"/>
                <w:szCs w:val="24"/>
              </w:rPr>
              <w:t>）地下水环境影响跟踪监测计划</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由于项目地下水影响较小，因此本项目不设置</w:t>
            </w:r>
            <w:r>
              <w:rPr>
                <w:rFonts w:ascii="Times New Roman" w:hAnsi="Times New Roman" w:cs="Times New Roman"/>
                <w:color w:val="000000" w:themeColor="text1"/>
                <w:sz w:val="24"/>
                <w:szCs w:val="24"/>
              </w:rPr>
              <w:t>地下水环境影响跟踪监测计划</w:t>
            </w:r>
            <w:r>
              <w:rPr>
                <w:rFonts w:hint="eastAsia" w:ascii="Times New Roman" w:hAnsi="Times New Roman" w:cs="Times New Roman"/>
                <w:color w:val="000000" w:themeColor="text1"/>
                <w:sz w:val="24"/>
                <w:szCs w:val="24"/>
              </w:rPr>
              <w:t>。</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4.2.6 生态环境影响和保护措施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本项目位于昆明市东川区再就业特区天生桥特色产业园</w:t>
            </w:r>
            <w:r>
              <w:rPr>
                <w:rFonts w:hint="eastAsia" w:ascii="Times New Roman" w:hAnsi="Times New Roman" w:cs="Times New Roman"/>
                <w:color w:val="000000" w:themeColor="text1"/>
                <w:sz w:val="24"/>
                <w:szCs w:val="24"/>
              </w:rPr>
              <w:t>，项目在现有工程厂区范围内进行改扩建，不新增占地；项目</w:t>
            </w:r>
            <w:r>
              <w:rPr>
                <w:rFonts w:ascii="Times New Roman" w:hAnsi="Times New Roman" w:cs="Times New Roman"/>
                <w:color w:val="000000" w:themeColor="text1"/>
                <w:sz w:val="24"/>
                <w:szCs w:val="24"/>
              </w:rPr>
              <w:t>不设置生态环境保护目标</w:t>
            </w:r>
            <w:r>
              <w:rPr>
                <w:rFonts w:hint="eastAsia"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生态环境影响较小。</w:t>
            </w:r>
          </w:p>
          <w:p>
            <w:pPr>
              <w:spacing w:line="360" w:lineRule="auto"/>
              <w:ind w:firstLine="482" w:firstLineChars="2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4.2.7 环境风险影响和防治措施</w:t>
            </w:r>
          </w:p>
          <w:p>
            <w:pPr>
              <w:pStyle w:val="38"/>
              <w:ind w:firstLine="361" w:firstLineChars="150"/>
              <w:rPr>
                <w:rFonts w:eastAsiaTheme="minorEastAsia"/>
                <w:b/>
                <w:color w:val="000000" w:themeColor="text1"/>
                <w:szCs w:val="24"/>
              </w:rPr>
            </w:pPr>
            <w:r>
              <w:rPr>
                <w:rFonts w:eastAsiaTheme="minorEastAsia"/>
                <w:b/>
                <w:color w:val="000000" w:themeColor="text1"/>
                <w:szCs w:val="24"/>
              </w:rPr>
              <w:t>（1）风险物质的分布情况</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按照《建设项目环境风险评价技术导则》（HJ 169-2018）的要求，环境风险主要对对涉及到的有毒有害和易燃易爆危险物质生产、使用、储存（包括使用管线输运）可能发生的突发性事故（不包括人为破坏及自然灾害引发的事故）的环境风险评价。根据项目特点，本项目危险废物，其危险特性如下表所示。</w:t>
            </w:r>
          </w:p>
          <w:p>
            <w:pPr>
              <w:pStyle w:val="32"/>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表4.2.7-1  项目涉及的危险物质基本情况一览表</w:t>
            </w:r>
          </w:p>
          <w:tbl>
            <w:tblPr>
              <w:tblStyle w:val="20"/>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02"/>
              <w:gridCol w:w="1691"/>
              <w:gridCol w:w="997"/>
              <w:gridCol w:w="856"/>
              <w:gridCol w:w="857"/>
              <w:gridCol w:w="876"/>
              <w:gridCol w:w="29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pPr>
                    <w:pStyle w:val="30"/>
                    <w:spacing w:line="360" w:lineRule="exact"/>
                    <w:rPr>
                      <w:color w:val="000000" w:themeColor="text1"/>
                      <w:szCs w:val="21"/>
                    </w:rPr>
                  </w:pPr>
                  <w:r>
                    <w:rPr>
                      <w:color w:val="000000" w:themeColor="text1"/>
                      <w:szCs w:val="21"/>
                    </w:rPr>
                    <w:t>产生环节</w:t>
                  </w:r>
                </w:p>
              </w:tc>
              <w:tc>
                <w:tcPr>
                  <w:tcW w:w="1691" w:type="dxa"/>
                  <w:vAlign w:val="center"/>
                </w:tcPr>
                <w:p>
                  <w:pPr>
                    <w:pStyle w:val="30"/>
                    <w:spacing w:line="360" w:lineRule="exact"/>
                    <w:rPr>
                      <w:color w:val="000000" w:themeColor="text1"/>
                      <w:szCs w:val="21"/>
                    </w:rPr>
                  </w:pPr>
                  <w:r>
                    <w:rPr>
                      <w:color w:val="000000" w:themeColor="text1"/>
                      <w:szCs w:val="21"/>
                    </w:rPr>
                    <w:t>危险物质</w:t>
                  </w:r>
                </w:p>
              </w:tc>
              <w:tc>
                <w:tcPr>
                  <w:tcW w:w="997" w:type="dxa"/>
                  <w:vAlign w:val="center"/>
                </w:tcPr>
                <w:p>
                  <w:pPr>
                    <w:pStyle w:val="30"/>
                    <w:spacing w:line="360" w:lineRule="exact"/>
                    <w:rPr>
                      <w:color w:val="000000" w:themeColor="text1"/>
                      <w:szCs w:val="21"/>
                    </w:rPr>
                  </w:pPr>
                  <w:r>
                    <w:rPr>
                      <w:color w:val="000000" w:themeColor="text1"/>
                      <w:szCs w:val="21"/>
                    </w:rPr>
                    <w:t>年使用/产生量</w:t>
                  </w:r>
                  <w:r>
                    <w:rPr>
                      <w:rFonts w:eastAsiaTheme="minorEastAsia"/>
                      <w:color w:val="000000" w:themeColor="text1"/>
                      <w:szCs w:val="21"/>
                    </w:rPr>
                    <w:t>t</w:t>
                  </w:r>
                  <w:r>
                    <w:rPr>
                      <w:rFonts w:hint="eastAsia" w:eastAsiaTheme="minorEastAsia"/>
                      <w:color w:val="000000" w:themeColor="text1"/>
                      <w:szCs w:val="21"/>
                    </w:rPr>
                    <w:t>/a</w:t>
                  </w:r>
                </w:p>
              </w:tc>
              <w:tc>
                <w:tcPr>
                  <w:tcW w:w="856" w:type="dxa"/>
                  <w:tcBorders>
                    <w:right w:val="single" w:color="auto" w:sz="4" w:space="0"/>
                  </w:tcBorders>
                  <w:vAlign w:val="center"/>
                </w:tcPr>
                <w:p>
                  <w:pPr>
                    <w:pStyle w:val="30"/>
                    <w:spacing w:line="360" w:lineRule="exact"/>
                    <w:rPr>
                      <w:color w:val="000000" w:themeColor="text1"/>
                      <w:szCs w:val="21"/>
                    </w:rPr>
                  </w:pPr>
                  <w:r>
                    <w:rPr>
                      <w:color w:val="000000" w:themeColor="text1"/>
                      <w:szCs w:val="21"/>
                    </w:rPr>
                    <w:t>最大储存量</w:t>
                  </w:r>
                  <w:r>
                    <w:rPr>
                      <w:rFonts w:eastAsiaTheme="minorEastAsia"/>
                      <w:color w:val="000000" w:themeColor="text1"/>
                      <w:szCs w:val="21"/>
                    </w:rPr>
                    <w:t>t</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临界量t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Q值</w:t>
                  </w:r>
                </w:p>
              </w:tc>
              <w:tc>
                <w:tcPr>
                  <w:tcW w:w="2965" w:type="dxa"/>
                  <w:vAlign w:val="center"/>
                </w:tcPr>
                <w:p>
                  <w:pPr>
                    <w:pStyle w:val="30"/>
                    <w:spacing w:line="360" w:lineRule="exact"/>
                    <w:rPr>
                      <w:color w:val="000000" w:themeColor="text1"/>
                      <w:szCs w:val="21"/>
                    </w:rPr>
                  </w:pPr>
                  <w:r>
                    <w:rPr>
                      <w:color w:val="000000" w:themeColor="text1"/>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使用</w:t>
                  </w: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次氯酸钠</w:t>
                  </w:r>
                </w:p>
              </w:tc>
              <w:tc>
                <w:tcPr>
                  <w:tcW w:w="99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0.05</w:t>
                  </w:r>
                </w:p>
              </w:tc>
              <w:tc>
                <w:tcPr>
                  <w:tcW w:w="856" w:type="dxa"/>
                  <w:tcBorders>
                    <w:right w:val="single" w:color="auto" w:sz="4" w:space="0"/>
                  </w:tcBorders>
                  <w:vAlign w:val="center"/>
                </w:tcPr>
                <w:p>
                  <w:pPr>
                    <w:pStyle w:val="30"/>
                    <w:spacing w:line="360" w:lineRule="exact"/>
                    <w:ind w:left="11"/>
                    <w:rPr>
                      <w:rFonts w:eastAsiaTheme="minorEastAsia"/>
                      <w:color w:val="000000" w:themeColor="text1"/>
                      <w:szCs w:val="21"/>
                    </w:rPr>
                  </w:pPr>
                  <w:r>
                    <w:rPr>
                      <w:rFonts w:hint="eastAsia" w:eastAsiaTheme="minorEastAsia"/>
                      <w:color w:val="000000" w:themeColor="text1"/>
                      <w:szCs w:val="21"/>
                    </w:rPr>
                    <w:t>0.05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5</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0.01</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采用</w:t>
                  </w:r>
                  <w:r>
                    <w:rPr>
                      <w:color w:val="000000" w:themeColor="text1"/>
                      <w:szCs w:val="21"/>
                    </w:rPr>
                    <w:t>袋装</w:t>
                  </w:r>
                  <w:r>
                    <w:rPr>
                      <w:rFonts w:hint="eastAsia"/>
                      <w:color w:val="000000" w:themeColor="text1"/>
                      <w:szCs w:val="21"/>
                    </w:rPr>
                    <w:t>贮存于办公区内，保持干燥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储存</w:t>
                  </w: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废矿物油</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27.41</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2.28</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2500</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0.0009</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暂存于2#危险废物贮存间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废电路板</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586.72</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48.89</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暂存于废电路板贮存区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含汞灯管</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11.77</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0.98</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背光模组</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15.52</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1.29</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废弃的阴极射线管（锥玻璃）</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2475</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206.25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暂存于废弃的阴极射线管（锥玻璃）含铅贮存区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荧光粉</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225</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18.75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废活性炭（吸附有机废气）</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0.01</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暂存于3#危险废物贮存间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废活性炭（吸附汞及其化合物）</w:t>
                  </w:r>
                </w:p>
              </w:tc>
              <w:tc>
                <w:tcPr>
                  <w:tcW w:w="99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0.002</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w:t>
                  </w:r>
                  <w:r>
                    <w:rPr>
                      <w:rFonts w:hint="eastAsia" w:eastAsiaTheme="minorEastAsia"/>
                      <w:color w:val="000000" w:themeColor="text1"/>
                      <w:szCs w:val="21"/>
                    </w:rPr>
                    <w:t>1</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收集含铅粉尘</w:t>
                  </w:r>
                </w:p>
              </w:tc>
              <w:tc>
                <w:tcPr>
                  <w:tcW w:w="99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0.65</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0.05</w:t>
                  </w:r>
                </w:p>
              </w:tc>
              <w:tc>
                <w:tcPr>
                  <w:tcW w:w="857" w:type="dxa"/>
                  <w:tcBorders>
                    <w:left w:val="single" w:color="auto" w:sz="4" w:space="0"/>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Merge w:val="continue"/>
                  <w:vAlign w:val="center"/>
                </w:tcPr>
                <w:p>
                  <w:pPr>
                    <w:pStyle w:val="30"/>
                    <w:spacing w:line="360" w:lineRule="exact"/>
                    <w:rPr>
                      <w:rFonts w:eastAsiaTheme="minorEastAsia"/>
                      <w:color w:val="000000" w:themeColor="text1"/>
                      <w:szCs w:val="21"/>
                    </w:rPr>
                  </w:pPr>
                </w:p>
              </w:tc>
              <w:tc>
                <w:tcPr>
                  <w:tcW w:w="169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制冷剂</w:t>
                  </w:r>
                </w:p>
              </w:tc>
              <w:tc>
                <w:tcPr>
                  <w:tcW w:w="99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2.49</w:t>
                  </w:r>
                </w:p>
              </w:tc>
              <w:tc>
                <w:tcPr>
                  <w:tcW w:w="856" w:type="dxa"/>
                  <w:tcBorders>
                    <w:righ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0.02</w:t>
                  </w:r>
                </w:p>
              </w:tc>
              <w:tc>
                <w:tcPr>
                  <w:tcW w:w="857" w:type="dxa"/>
                  <w:tcBorders>
                    <w:left w:val="single" w:color="auto" w:sz="4" w:space="0"/>
                    <w:right w:val="single" w:color="auto" w:sz="4" w:space="0"/>
                  </w:tcBorders>
                  <w:vAlign w:val="center"/>
                </w:tcPr>
                <w:p>
                  <w:pPr>
                    <w:pStyle w:val="30"/>
                    <w:spacing w:line="360" w:lineRule="exact"/>
                    <w:ind w:firstLine="210" w:firstLineChars="100"/>
                    <w:jc w:val="left"/>
                    <w:rPr>
                      <w:rFonts w:eastAsiaTheme="minorEastAsia"/>
                      <w:color w:val="000000" w:themeColor="text1"/>
                      <w:szCs w:val="21"/>
                    </w:rPr>
                  </w:pPr>
                  <w:r>
                    <w:rPr>
                      <w:rFonts w:hint="eastAsia" w:eastAsiaTheme="minorEastAsia"/>
                      <w:color w:val="000000" w:themeColor="text1"/>
                      <w:szCs w:val="21"/>
                    </w:rPr>
                    <w:t>--</w:t>
                  </w:r>
                </w:p>
              </w:tc>
              <w:tc>
                <w:tcPr>
                  <w:tcW w:w="876" w:type="dxa"/>
                  <w:tcBorders>
                    <w:left w:val="single" w:color="auto" w:sz="4" w:space="0"/>
                  </w:tcBorders>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w:t>
                  </w:r>
                </w:p>
              </w:tc>
              <w:tc>
                <w:tcPr>
                  <w:tcW w:w="2965" w:type="dxa"/>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采用专用钢瓶密封储存于4#危险废物贮存间</w:t>
                  </w:r>
                </w:p>
              </w:tc>
            </w:tr>
          </w:tbl>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项目涉及危险物质的理化性质如下表所示。</w:t>
            </w:r>
          </w:p>
          <w:p>
            <w:pPr>
              <w:pStyle w:val="32"/>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表4.2.7-2 危险物质主要成分基本性质一览表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8"/>
              <w:gridCol w:w="8"/>
              <w:gridCol w:w="1414"/>
              <w:gridCol w:w="1106"/>
              <w:gridCol w:w="1243"/>
              <w:gridCol w:w="39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restart"/>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次氯酸钠</w:t>
                  </w: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文别名：</w:t>
                  </w:r>
                </w:p>
              </w:tc>
              <w:tc>
                <w:tcPr>
                  <w:tcW w:w="110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次氯酸钠</w:t>
                  </w:r>
                </w:p>
              </w:tc>
              <w:tc>
                <w:tcPr>
                  <w:tcW w:w="1244"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英文名称：</w:t>
                  </w:r>
                </w:p>
              </w:tc>
              <w:tc>
                <w:tcPr>
                  <w:tcW w:w="391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CAS号：</w:t>
                  </w:r>
                </w:p>
              </w:tc>
              <w:tc>
                <w:tcPr>
                  <w:tcW w:w="1107"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7681-52-9</w:t>
                  </w:r>
                </w:p>
              </w:tc>
              <w:tc>
                <w:tcPr>
                  <w:tcW w:w="1244" w:type="dxa"/>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UN号：</w:t>
                  </w:r>
                </w:p>
              </w:tc>
              <w:tc>
                <w:tcPr>
                  <w:tcW w:w="3912"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1791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危险性类别：</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皮肤腐蚀/刺激</w:t>
                  </w:r>
                  <w:r>
                    <w:rPr>
                      <w:rFonts w:hint="eastAsia" w:ascii="Times New Roman" w:hAnsi="Times New Roman" w:eastAsia="宋体" w:cs="Times New Roman"/>
                      <w:bCs/>
                      <w:snapToGrid w:val="0"/>
                      <w:color w:val="000000" w:themeColor="text1"/>
                      <w:kern w:val="32"/>
                      <w:lang w:val="zh-CN"/>
                    </w:rPr>
                    <w:t>-类别1B，</w:t>
                  </w:r>
                  <w:r>
                    <w:rPr>
                      <w:rFonts w:ascii="Times New Roman" w:hAnsi="Times New Roman" w:eastAsia="宋体" w:cs="Times New Roman"/>
                      <w:bCs/>
                      <w:snapToGrid w:val="0"/>
                      <w:color w:val="000000" w:themeColor="text1"/>
                      <w:kern w:val="32"/>
                      <w:lang w:val="zh-CN"/>
                    </w:rPr>
                    <w:t>严重眼损伤/眼刺激</w:t>
                  </w:r>
                  <w:r>
                    <w:rPr>
                      <w:rFonts w:hint="eastAsia" w:ascii="Times New Roman" w:hAnsi="Times New Roman" w:eastAsia="宋体" w:cs="Times New Roman"/>
                      <w:bCs/>
                      <w:snapToGrid w:val="0"/>
                      <w:color w:val="000000" w:themeColor="text1"/>
                      <w:kern w:val="32"/>
                      <w:lang w:val="zh-CN"/>
                    </w:rPr>
                    <w:t>-</w:t>
                  </w:r>
                  <w:r>
                    <w:rPr>
                      <w:rFonts w:ascii="Times New Roman" w:hAnsi="Times New Roman" w:eastAsia="宋体" w:cs="Times New Roman"/>
                      <w:bCs/>
                      <w:snapToGrid w:val="0"/>
                      <w:color w:val="000000" w:themeColor="text1"/>
                      <w:kern w:val="32"/>
                      <w:lang w:val="zh-CN"/>
                    </w:rPr>
                    <w:t>类别1</w:t>
                  </w:r>
                  <w:r>
                    <w:rPr>
                      <w:rFonts w:hint="eastAsia" w:ascii="Times New Roman" w:hAnsi="Times New Roman" w:eastAsia="宋体" w:cs="Times New Roman"/>
                      <w:bCs/>
                      <w:snapToGrid w:val="0"/>
                      <w:color w:val="000000" w:themeColor="text1"/>
                      <w:kern w:val="32"/>
                      <w:lang w:val="zh-CN"/>
                    </w:rPr>
                    <w:t>，危害水生环境-急性危害-类别1，危害水生环境-长期危害-类别1，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GHS警示词：</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危险性说明：</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H31</w:t>
                  </w:r>
                  <w:r>
                    <w:rPr>
                      <w:rFonts w:hint="eastAsia" w:ascii="Times New Roman" w:hAnsi="Times New Roman" w:eastAsia="宋体" w:cs="Times New Roman"/>
                      <w:bCs/>
                      <w:snapToGrid w:val="0"/>
                      <w:color w:val="000000" w:themeColor="text1"/>
                      <w:kern w:val="32"/>
                      <w:lang w:val="zh-CN"/>
                    </w:rPr>
                    <w:t>4</w:t>
                  </w:r>
                  <w:r>
                    <w:rPr>
                      <w:rFonts w:ascii="Times New Roman" w:hAnsi="Times New Roman" w:eastAsia="宋体" w:cs="Times New Roman"/>
                      <w:bCs/>
                      <w:snapToGrid w:val="0"/>
                      <w:color w:val="000000" w:themeColor="text1"/>
                      <w:kern w:val="32"/>
                      <w:lang w:val="zh-CN"/>
                    </w:rPr>
                    <w:t>:造成严重</w:t>
                  </w:r>
                  <w:r>
                    <w:rPr>
                      <w:rFonts w:hint="eastAsia" w:ascii="Times New Roman" w:hAnsi="Times New Roman" w:eastAsia="宋体" w:cs="Times New Roman"/>
                      <w:bCs/>
                      <w:snapToGrid w:val="0"/>
                      <w:color w:val="000000" w:themeColor="text1"/>
                      <w:kern w:val="32"/>
                      <w:lang w:val="zh-CN"/>
                    </w:rPr>
                    <w:t>的皮肤灼伤和眼</w:t>
                  </w:r>
                  <w:r>
                    <w:rPr>
                      <w:rFonts w:ascii="Times New Roman" w:hAnsi="Times New Roman" w:eastAsia="宋体" w:cs="Times New Roman"/>
                      <w:bCs/>
                      <w:snapToGrid w:val="0"/>
                      <w:color w:val="000000" w:themeColor="text1"/>
                      <w:kern w:val="32"/>
                      <w:lang w:val="zh-CN"/>
                    </w:rPr>
                    <w:t>损伤</w:t>
                  </w:r>
                  <w:r>
                    <w:rPr>
                      <w:rFonts w:hint="eastAsia" w:ascii="Times New Roman" w:hAnsi="Times New Roman" w:eastAsia="宋体" w:cs="Times New Roman"/>
                      <w:bCs/>
                      <w:snapToGrid w:val="0"/>
                      <w:color w:val="000000" w:themeColor="text1"/>
                      <w:kern w:val="32"/>
                      <w:lang w:val="zh-CN"/>
                    </w:rPr>
                    <w:t>H410；对水生生物毒性极大并具有长期持续影响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理</w:t>
                  </w:r>
                  <w:r>
                    <w:rPr>
                      <w:rFonts w:ascii="Times New Roman" w:hAnsi="Times New Roman" w:eastAsia="宋体" w:cs="Times New Roman"/>
                      <w:bCs/>
                      <w:snapToGrid w:val="0"/>
                      <w:color w:val="000000" w:themeColor="text1"/>
                      <w:kern w:val="32"/>
                      <w:lang w:val="zh-CN"/>
                    </w:rPr>
                    <w:t>化特性：</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微黄色、有似氯气的气味，溶于水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燃烧与爆炸危险性</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不燃</w:t>
                  </w:r>
                  <w:r>
                    <w:rPr>
                      <w:rFonts w:hint="eastAsia" w:ascii="Times New Roman" w:hAnsi="Times New Roman" w:eastAsia="宋体" w:cs="Times New Roman"/>
                      <w:bCs/>
                      <w:snapToGrid w:val="0"/>
                      <w:color w:val="000000" w:themeColor="text1"/>
                      <w:kern w:val="32"/>
                      <w:lang w:val="zh-CN"/>
                    </w:rPr>
                    <w:t>，无特殊燃爆特性。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活性反应：</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与强还原剂、易燃或可燃物等禁配物接触发生强烈反应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禁忌物：</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碱</w:t>
                  </w:r>
                  <w:r>
                    <w:rPr>
                      <w:rFonts w:ascii="Times New Roman" w:hAnsi="Times New Roman" w:eastAsia="宋体" w:cs="Times New Roman"/>
                      <w:bCs/>
                      <w:snapToGrid w:val="0"/>
                      <w:color w:val="000000" w:themeColor="text1"/>
                      <w:kern w:val="32"/>
                      <w:lang w:val="zh-CN"/>
                    </w:rPr>
                    <w:t>类</w:t>
                  </w:r>
                  <w:r>
                    <w:rPr>
                      <w:rFonts w:hint="eastAsia" w:ascii="Times New Roman" w:hAnsi="Times New Roman" w:eastAsia="宋体" w:cs="Times New Roman"/>
                      <w:bCs/>
                      <w:snapToGrid w:val="0"/>
                      <w:color w:val="000000" w:themeColor="text1"/>
                      <w:kern w:val="32"/>
                      <w:lang w:val="zh-CN"/>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spacing w:line="360" w:lineRule="exact"/>
                    <w:jc w:val="center"/>
                    <w:rPr>
                      <w:rFonts w:ascii="Times New Roman" w:hAnsi="Times New Roman" w:eastAsia="宋体" w:cs="Times New Roman"/>
                      <w:bCs/>
                      <w:snapToGrid w:val="0"/>
                      <w:color w:val="000000" w:themeColor="text1"/>
                      <w:kern w:val="32"/>
                      <w:lang w:val="zh-CN"/>
                    </w:rPr>
                  </w:pPr>
                </w:p>
              </w:tc>
              <w:tc>
                <w:tcPr>
                  <w:tcW w:w="1415" w:type="dxa"/>
                  <w:vAlign w:val="center"/>
                </w:tcPr>
                <w:p>
                  <w:pPr>
                    <w:spacing w:line="360" w:lineRule="exact"/>
                    <w:jc w:val="center"/>
                    <w:rPr>
                      <w:rFonts w:ascii="Times New Roman" w:hAnsi="Times New Roman" w:eastAsia="宋体" w:cs="Times New Roman"/>
                      <w:bCs/>
                      <w:snapToGrid w:val="0"/>
                      <w:color w:val="000000" w:themeColor="text1"/>
                      <w:kern w:val="32"/>
                      <w:lang w:val="zh-CN"/>
                    </w:rPr>
                  </w:pPr>
                  <w:r>
                    <w:rPr>
                      <w:rFonts w:ascii="Times New Roman" w:hAnsi="Times New Roman" w:eastAsia="宋体" w:cs="Times New Roman"/>
                      <w:bCs/>
                      <w:snapToGrid w:val="0"/>
                      <w:color w:val="000000" w:themeColor="text1"/>
                      <w:kern w:val="32"/>
                      <w:lang w:val="zh-CN"/>
                    </w:rPr>
                    <w:t>毒性：</w:t>
                  </w:r>
                </w:p>
              </w:tc>
              <w:tc>
                <w:tcPr>
                  <w:tcW w:w="6263" w:type="dxa"/>
                  <w:gridSpan w:val="3"/>
                  <w:vAlign w:val="center"/>
                </w:tcPr>
                <w:p>
                  <w:pPr>
                    <w:spacing w:line="360" w:lineRule="exact"/>
                    <w:ind w:firstLine="210" w:firstLineChars="100"/>
                    <w:jc w:val="left"/>
                    <w:rPr>
                      <w:rFonts w:ascii="Times New Roman" w:hAnsi="Times New Roman" w:eastAsia="宋体" w:cs="Times New Roman"/>
                      <w:bCs/>
                      <w:snapToGrid w:val="0"/>
                      <w:color w:val="000000" w:themeColor="text1"/>
                      <w:kern w:val="32"/>
                      <w:lang w:val="zh-CN"/>
                    </w:rPr>
                  </w:pPr>
                  <w:r>
                    <w:rPr>
                      <w:rFonts w:hint="eastAsia" w:ascii="Times New Roman" w:hAnsi="Times New Roman" w:eastAsia="宋体" w:cs="Times New Roman"/>
                      <w:bCs/>
                      <w:snapToGrid w:val="0"/>
                      <w:color w:val="000000" w:themeColor="text1"/>
                      <w:kern w:val="32"/>
                      <w:lang w:val="zh-CN"/>
                    </w:rPr>
                    <w:t>LD50：8500mg/kg（大鼠腹腔）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66" w:type="dxa"/>
                  <w:gridSpan w:val="2"/>
                  <w:vMerge w:val="restart"/>
                  <w:vAlign w:val="center"/>
                </w:tcPr>
                <w:p>
                  <w:pPr>
                    <w:pStyle w:val="30"/>
                    <w:spacing w:line="360" w:lineRule="exact"/>
                    <w:rPr>
                      <w:color w:val="000000" w:themeColor="text1"/>
                      <w:szCs w:val="21"/>
                    </w:rPr>
                  </w:pPr>
                  <w:r>
                    <w:rPr>
                      <w:color w:val="000000" w:themeColor="text1"/>
                      <w:szCs w:val="21"/>
                    </w:rPr>
                    <w:t>废</w:t>
                  </w:r>
                  <w:r>
                    <w:rPr>
                      <w:rFonts w:hint="eastAsia"/>
                      <w:color w:val="000000" w:themeColor="text1"/>
                      <w:szCs w:val="21"/>
                    </w:rPr>
                    <w:t>矿物油</w:t>
                  </w:r>
                </w:p>
              </w:tc>
              <w:tc>
                <w:tcPr>
                  <w:tcW w:w="1415" w:type="dxa"/>
                </w:tcPr>
                <w:p>
                  <w:pPr>
                    <w:pStyle w:val="30"/>
                    <w:spacing w:line="360" w:lineRule="exact"/>
                    <w:rPr>
                      <w:color w:val="000000" w:themeColor="text1"/>
                      <w:szCs w:val="21"/>
                    </w:rPr>
                  </w:pPr>
                  <w:r>
                    <w:rPr>
                      <w:color w:val="000000" w:themeColor="text1"/>
                      <w:szCs w:val="21"/>
                    </w:rPr>
                    <w:t>废物类别</w:t>
                  </w:r>
                </w:p>
              </w:tc>
              <w:tc>
                <w:tcPr>
                  <w:tcW w:w="6263" w:type="dxa"/>
                  <w:gridSpan w:val="3"/>
                  <w:vAlign w:val="center"/>
                </w:tcPr>
                <w:p>
                  <w:pPr>
                    <w:pStyle w:val="30"/>
                    <w:spacing w:line="360" w:lineRule="exact"/>
                    <w:ind w:left="11" w:firstLine="210" w:firstLineChars="100"/>
                    <w:jc w:val="left"/>
                    <w:rPr>
                      <w:color w:val="000000" w:themeColor="text1"/>
                      <w:szCs w:val="21"/>
                    </w:rPr>
                  </w:pPr>
                  <w:r>
                    <w:rPr>
                      <w:color w:val="000000" w:themeColor="text1"/>
                      <w:szCs w:val="21"/>
                    </w:rPr>
                    <w:t>HW08废矿物油与含矿物油废物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66" w:type="dxa"/>
                  <w:gridSpan w:val="2"/>
                  <w:vMerge w:val="continue"/>
                  <w:vAlign w:val="center"/>
                </w:tcPr>
                <w:p>
                  <w:pPr>
                    <w:pStyle w:val="30"/>
                    <w:spacing w:line="360" w:lineRule="exact"/>
                    <w:rPr>
                      <w:color w:val="000000" w:themeColor="text1"/>
                      <w:szCs w:val="21"/>
                    </w:rPr>
                  </w:pPr>
                </w:p>
              </w:tc>
              <w:tc>
                <w:tcPr>
                  <w:tcW w:w="1415" w:type="dxa"/>
                  <w:vAlign w:val="center"/>
                </w:tcPr>
                <w:p>
                  <w:pPr>
                    <w:pStyle w:val="30"/>
                    <w:spacing w:line="360" w:lineRule="exact"/>
                    <w:rPr>
                      <w:color w:val="000000" w:themeColor="text1"/>
                      <w:szCs w:val="21"/>
                    </w:rPr>
                  </w:pPr>
                  <w:r>
                    <w:rPr>
                      <w:color w:val="000000" w:themeColor="text1"/>
                      <w:szCs w:val="21"/>
                    </w:rPr>
                    <w:t>废物代码</w:t>
                  </w:r>
                </w:p>
              </w:tc>
              <w:tc>
                <w:tcPr>
                  <w:tcW w:w="6263" w:type="dxa"/>
                  <w:gridSpan w:val="3"/>
                  <w:vAlign w:val="center"/>
                </w:tcPr>
                <w:p>
                  <w:pPr>
                    <w:pStyle w:val="30"/>
                    <w:spacing w:line="360" w:lineRule="exact"/>
                    <w:ind w:left="11" w:firstLine="210" w:firstLineChars="100"/>
                    <w:jc w:val="left"/>
                    <w:rPr>
                      <w:color w:val="000000" w:themeColor="text1"/>
                      <w:szCs w:val="21"/>
                    </w:rPr>
                  </w:pPr>
                  <w:r>
                    <w:rPr>
                      <w:color w:val="000000" w:themeColor="text1"/>
                      <w:szCs w:val="21"/>
                    </w:rPr>
                    <w:t>900-214-08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66" w:type="dxa"/>
                  <w:gridSpan w:val="2"/>
                  <w:vMerge w:val="continue"/>
                  <w:vAlign w:val="center"/>
                </w:tcPr>
                <w:p>
                  <w:pPr>
                    <w:pStyle w:val="30"/>
                    <w:spacing w:line="360" w:lineRule="exact"/>
                    <w:rPr>
                      <w:color w:val="000000" w:themeColor="text1"/>
                      <w:szCs w:val="21"/>
                    </w:rPr>
                  </w:pPr>
                </w:p>
              </w:tc>
              <w:tc>
                <w:tcPr>
                  <w:tcW w:w="1415" w:type="dxa"/>
                  <w:vAlign w:val="center"/>
                </w:tcPr>
                <w:p>
                  <w:pPr>
                    <w:pStyle w:val="30"/>
                    <w:spacing w:line="360" w:lineRule="exact"/>
                    <w:rPr>
                      <w:color w:val="000000" w:themeColor="text1"/>
                      <w:szCs w:val="21"/>
                    </w:rPr>
                  </w:pPr>
                  <w:r>
                    <w:rPr>
                      <w:color w:val="000000" w:themeColor="text1"/>
                      <w:szCs w:val="21"/>
                    </w:rPr>
                    <w:t>危险特征</w:t>
                  </w:r>
                </w:p>
              </w:tc>
              <w:tc>
                <w:tcPr>
                  <w:tcW w:w="6263" w:type="dxa"/>
                  <w:gridSpan w:val="3"/>
                  <w:vAlign w:val="center"/>
                </w:tcPr>
                <w:p>
                  <w:pPr>
                    <w:pStyle w:val="30"/>
                    <w:spacing w:line="360" w:lineRule="exact"/>
                    <w:ind w:left="11" w:firstLine="210" w:firstLineChars="100"/>
                    <w:jc w:val="left"/>
                    <w:rPr>
                      <w:color w:val="000000" w:themeColor="text1"/>
                      <w:szCs w:val="21"/>
                    </w:rPr>
                  </w:pPr>
                  <w:r>
                    <w:rPr>
                      <w:color w:val="000000" w:themeColor="text1"/>
                      <w:szCs w:val="21"/>
                    </w:rPr>
                    <w:t>T，I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66" w:type="dxa"/>
                  <w:gridSpan w:val="2"/>
                  <w:vMerge w:val="continue"/>
                  <w:vAlign w:val="center"/>
                </w:tcPr>
                <w:p>
                  <w:pPr>
                    <w:pStyle w:val="30"/>
                    <w:spacing w:line="360" w:lineRule="exact"/>
                    <w:rPr>
                      <w:color w:val="000000" w:themeColor="text1"/>
                      <w:szCs w:val="21"/>
                    </w:rPr>
                  </w:pPr>
                </w:p>
              </w:tc>
              <w:tc>
                <w:tcPr>
                  <w:tcW w:w="1415" w:type="dxa"/>
                  <w:vAlign w:val="center"/>
                </w:tcPr>
                <w:p>
                  <w:pPr>
                    <w:pStyle w:val="30"/>
                    <w:spacing w:line="360" w:lineRule="exact"/>
                    <w:rPr>
                      <w:color w:val="000000" w:themeColor="text1"/>
                      <w:szCs w:val="21"/>
                    </w:rPr>
                  </w:pPr>
                  <w:r>
                    <w:rPr>
                      <w:color w:val="000000" w:themeColor="text1"/>
                      <w:szCs w:val="21"/>
                    </w:rPr>
                    <w:t>危险特性</w:t>
                  </w:r>
                </w:p>
              </w:tc>
              <w:tc>
                <w:tcPr>
                  <w:tcW w:w="6263" w:type="dxa"/>
                  <w:gridSpan w:val="3"/>
                  <w:vAlign w:val="center"/>
                </w:tcPr>
                <w:p>
                  <w:pPr>
                    <w:pStyle w:val="30"/>
                    <w:spacing w:line="360" w:lineRule="exact"/>
                    <w:ind w:left="11" w:firstLine="210" w:firstLineChars="100"/>
                    <w:jc w:val="left"/>
                    <w:rPr>
                      <w:color w:val="000000" w:themeColor="text1"/>
                      <w:szCs w:val="21"/>
                    </w:rPr>
                  </w:pPr>
                  <w:r>
                    <w:rPr>
                      <w:color w:val="000000" w:themeColor="text1"/>
                      <w:szCs w:val="21"/>
                    </w:rPr>
                    <w:t>和矿物油性质类似，废矿油含有多种有毒性物质。如果废矿油内的有毒物质通过人体和动物的表皮渗透到血液中，并在体内积累，会导致各种细胞丧失正常功能，是公认的致癌和致突变化合物。其毒性可经呼吸道、消化道、皮肤进入人体。主要引起消化道和中枢神经系统损害。大剂量食入矿物油而引发的急性中毒变现为恶心、呕吐、头晕、视物模糊、易激动、步态不稳、细微震颤等。一般日常食用多位呕吐、腹泻症状。慢性中毒则可导致神经衰弱综合症及植物神经功能紊乱，轻者出现头晕、头疼、记忆力下降、失眠多梦、心悸、乏力等，有眼睑、舌、手指震颤，有些患者甚至会有癔病样发作；重者可出现表情淡漠、反应迟钝、傻笑、智力下降等类似精神分裂的症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8" w:type="dxa"/>
                  <w:vMerge w:val="restart"/>
                  <w:vAlign w:val="center"/>
                </w:tcPr>
                <w:p>
                  <w:pPr>
                    <w:pStyle w:val="30"/>
                    <w:spacing w:line="360" w:lineRule="exact"/>
                    <w:rPr>
                      <w:color w:val="000000" w:themeColor="text1"/>
                      <w:szCs w:val="21"/>
                    </w:rPr>
                  </w:pPr>
                  <w:r>
                    <w:rPr>
                      <w:rFonts w:hint="eastAsia"/>
                      <w:color w:val="000000" w:themeColor="text1"/>
                      <w:szCs w:val="21"/>
                    </w:rPr>
                    <w:t>电路板</w:t>
                  </w:r>
                </w:p>
              </w:tc>
              <w:tc>
                <w:tcPr>
                  <w:tcW w:w="1417" w:type="dxa"/>
                  <w:gridSpan w:val="2"/>
                  <w:vAlign w:val="center"/>
                </w:tcPr>
                <w:p>
                  <w:pPr>
                    <w:pStyle w:val="30"/>
                    <w:spacing w:line="360" w:lineRule="exact"/>
                    <w:rPr>
                      <w:color w:val="000000" w:themeColor="text1"/>
                      <w:szCs w:val="21"/>
                    </w:rPr>
                  </w:pPr>
                  <w:r>
                    <w:rPr>
                      <w:color w:val="000000" w:themeColor="text1"/>
                      <w:szCs w:val="21"/>
                    </w:rPr>
                    <w:t>废物类别</w:t>
                  </w:r>
                </w:p>
              </w:tc>
              <w:tc>
                <w:tcPr>
                  <w:tcW w:w="6269"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HW49</w:t>
                  </w:r>
                  <w:r>
                    <w:rPr>
                      <w:rFonts w:hint="eastAsia"/>
                      <w:color w:val="000000" w:themeColor="text1"/>
                      <w:szCs w:val="21"/>
                    </w:rPr>
                    <w:t>其他废物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8" w:type="dxa"/>
                  <w:vMerge w:val="continue"/>
                  <w:vAlign w:val="center"/>
                </w:tcPr>
                <w:p>
                  <w:pPr>
                    <w:pStyle w:val="30"/>
                    <w:spacing w:line="360" w:lineRule="exact"/>
                    <w:rPr>
                      <w:color w:val="000000" w:themeColor="text1"/>
                      <w:szCs w:val="21"/>
                    </w:rPr>
                  </w:pPr>
                </w:p>
              </w:tc>
              <w:tc>
                <w:tcPr>
                  <w:tcW w:w="1417" w:type="dxa"/>
                  <w:gridSpan w:val="2"/>
                  <w:vAlign w:val="center"/>
                </w:tcPr>
                <w:p>
                  <w:pPr>
                    <w:pStyle w:val="30"/>
                    <w:spacing w:line="360" w:lineRule="exact"/>
                    <w:rPr>
                      <w:color w:val="000000" w:themeColor="text1"/>
                      <w:szCs w:val="21"/>
                    </w:rPr>
                  </w:pPr>
                  <w:r>
                    <w:rPr>
                      <w:color w:val="000000" w:themeColor="text1"/>
                      <w:szCs w:val="21"/>
                    </w:rPr>
                    <w:t>废物代码</w:t>
                  </w:r>
                </w:p>
              </w:tc>
              <w:tc>
                <w:tcPr>
                  <w:tcW w:w="6269"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900-045-49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8" w:type="dxa"/>
                  <w:vMerge w:val="continue"/>
                  <w:vAlign w:val="center"/>
                </w:tcPr>
                <w:p>
                  <w:pPr>
                    <w:pStyle w:val="30"/>
                    <w:spacing w:line="360" w:lineRule="exact"/>
                    <w:rPr>
                      <w:color w:val="000000" w:themeColor="text1"/>
                      <w:szCs w:val="21"/>
                    </w:rPr>
                  </w:pPr>
                </w:p>
              </w:tc>
              <w:tc>
                <w:tcPr>
                  <w:tcW w:w="1417" w:type="dxa"/>
                  <w:gridSpan w:val="2"/>
                  <w:vAlign w:val="center"/>
                </w:tcPr>
                <w:p>
                  <w:pPr>
                    <w:pStyle w:val="30"/>
                    <w:spacing w:line="360" w:lineRule="exact"/>
                    <w:rPr>
                      <w:color w:val="000000" w:themeColor="text1"/>
                      <w:szCs w:val="21"/>
                    </w:rPr>
                  </w:pPr>
                  <w:r>
                    <w:rPr>
                      <w:color w:val="000000" w:themeColor="text1"/>
                      <w:szCs w:val="21"/>
                    </w:rPr>
                    <w:t>危险特征</w:t>
                  </w:r>
                </w:p>
              </w:tc>
              <w:tc>
                <w:tcPr>
                  <w:tcW w:w="6269"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8" w:type="dxa"/>
                  <w:vMerge w:val="continue"/>
                  <w:vAlign w:val="center"/>
                </w:tcPr>
                <w:p>
                  <w:pPr>
                    <w:pStyle w:val="30"/>
                    <w:spacing w:line="360" w:lineRule="exact"/>
                    <w:rPr>
                      <w:color w:val="000000" w:themeColor="text1"/>
                      <w:szCs w:val="21"/>
                    </w:rPr>
                  </w:pPr>
                </w:p>
              </w:tc>
              <w:tc>
                <w:tcPr>
                  <w:tcW w:w="1417" w:type="dxa"/>
                  <w:gridSpan w:val="2"/>
                  <w:vAlign w:val="center"/>
                </w:tcPr>
                <w:p>
                  <w:pPr>
                    <w:pStyle w:val="30"/>
                    <w:spacing w:line="360" w:lineRule="exact"/>
                    <w:rPr>
                      <w:color w:val="000000" w:themeColor="text1"/>
                      <w:szCs w:val="21"/>
                    </w:rPr>
                  </w:pPr>
                  <w:r>
                    <w:rPr>
                      <w:color w:val="000000" w:themeColor="text1"/>
                      <w:szCs w:val="21"/>
                    </w:rPr>
                    <w:t>危险特性</w:t>
                  </w:r>
                </w:p>
              </w:tc>
              <w:tc>
                <w:tcPr>
                  <w:tcW w:w="6269" w:type="dxa"/>
                  <w:gridSpan w:val="3"/>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废电路板的成分复杂，不少家电含有有毒化学物质，其中半数以上的材料对人体有害，有一些甚至是剧毒。主要包括砷、镉、铅以及其他多种持久降和生物累积性的有毒物质，重金属渗人土壤，进入河流和地下水，将会造成当地土壤和地下水的污染，直接或间接地对当地的居民及其它的生物造成损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restart"/>
                  <w:vAlign w:val="center"/>
                </w:tcPr>
                <w:p>
                  <w:pPr>
                    <w:pStyle w:val="30"/>
                    <w:spacing w:line="360" w:lineRule="exact"/>
                    <w:rPr>
                      <w:color w:val="000000" w:themeColor="text1"/>
                      <w:szCs w:val="21"/>
                    </w:rPr>
                  </w:pPr>
                  <w:r>
                    <w:rPr>
                      <w:rFonts w:hint="eastAsia"/>
                      <w:color w:val="000000" w:themeColor="text1"/>
                      <w:szCs w:val="21"/>
                    </w:rPr>
                    <w:t>背光模组、含汞灯管、</w:t>
                  </w:r>
                  <w:r>
                    <w:rPr>
                      <w:rFonts w:hint="eastAsia" w:eastAsiaTheme="minorEastAsia"/>
                      <w:color w:val="000000" w:themeColor="text1"/>
                      <w:szCs w:val="21"/>
                    </w:rPr>
                    <w:t>废活性炭（吸附汞及其化合物）</w:t>
                  </w:r>
                </w:p>
              </w:tc>
              <w:tc>
                <w:tcPr>
                  <w:tcW w:w="1410" w:type="dxa"/>
                  <w:vAlign w:val="center"/>
                </w:tcPr>
                <w:p>
                  <w:pPr>
                    <w:pStyle w:val="30"/>
                    <w:spacing w:line="360" w:lineRule="exact"/>
                    <w:rPr>
                      <w:color w:val="000000" w:themeColor="text1"/>
                      <w:szCs w:val="21"/>
                    </w:rPr>
                  </w:pPr>
                  <w:r>
                    <w:rPr>
                      <w:color w:val="000000" w:themeColor="text1"/>
                      <w:szCs w:val="21"/>
                    </w:rPr>
                    <w:t>废物类别</w:t>
                  </w:r>
                </w:p>
              </w:tc>
              <w:tc>
                <w:tcPr>
                  <w:tcW w:w="6268"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HW29</w:t>
                  </w:r>
                  <w:r>
                    <w:rPr>
                      <w:rFonts w:hint="eastAsia"/>
                      <w:color w:val="000000" w:themeColor="text1"/>
                      <w:szCs w:val="21"/>
                    </w:rPr>
                    <w:t xml:space="preserve"> 含汞废物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废物代码</w:t>
                  </w:r>
                </w:p>
              </w:tc>
              <w:tc>
                <w:tcPr>
                  <w:tcW w:w="6268"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900-023-29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危险特征</w:t>
                  </w:r>
                </w:p>
              </w:tc>
              <w:tc>
                <w:tcPr>
                  <w:tcW w:w="6268" w:type="dxa"/>
                  <w:gridSpan w:val="3"/>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生产、销售及使用过程中产生的废含汞荧光灯管及其他废含汞电光源，及废弃含汞电光源处理处置过程中产生的废荧光粉、废活性炭和废水处理污泥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危险特性</w:t>
                  </w:r>
                </w:p>
              </w:tc>
              <w:tc>
                <w:tcPr>
                  <w:tcW w:w="6268" w:type="dxa"/>
                  <w:gridSpan w:val="3"/>
                  <w:vAlign w:val="center"/>
                </w:tcPr>
                <w:p>
                  <w:pPr>
                    <w:pStyle w:val="30"/>
                    <w:spacing w:line="360" w:lineRule="exact"/>
                    <w:ind w:firstLine="210" w:firstLineChars="100"/>
                    <w:jc w:val="left"/>
                    <w:rPr>
                      <w:color w:val="000000" w:themeColor="text1"/>
                      <w:szCs w:val="21"/>
                    </w:rPr>
                  </w:pPr>
                  <w:r>
                    <w:rPr>
                      <w:rFonts w:ascii="TimesNewRomanPSMT" w:hAnsi="TimesNewRomanPSMT" w:cs="TimesNewRomanPSMT"/>
                      <w:color w:val="000000" w:themeColor="text1"/>
                      <w:kern w:val="0"/>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restart"/>
                  <w:vAlign w:val="center"/>
                </w:tcPr>
                <w:p>
                  <w:pPr>
                    <w:pStyle w:val="30"/>
                    <w:spacing w:line="360" w:lineRule="exact"/>
                    <w:rPr>
                      <w:color w:val="000000" w:themeColor="text1"/>
                      <w:szCs w:val="21"/>
                    </w:rPr>
                  </w:pPr>
                  <w:r>
                    <w:rPr>
                      <w:rFonts w:hint="eastAsia"/>
                      <w:color w:val="000000" w:themeColor="text1"/>
                      <w:szCs w:val="21"/>
                    </w:rPr>
                    <w:t>废弃的阴极射线管（锥玻璃）、荧光粉、</w:t>
                  </w:r>
                  <w:r>
                    <w:rPr>
                      <w:rFonts w:hint="eastAsia" w:eastAsiaTheme="minorEastAsia"/>
                      <w:color w:val="000000" w:themeColor="text1"/>
                      <w:szCs w:val="21"/>
                    </w:rPr>
                    <w:t>收集含铅粉尘</w:t>
                  </w:r>
                </w:p>
              </w:tc>
              <w:tc>
                <w:tcPr>
                  <w:tcW w:w="1410" w:type="dxa"/>
                  <w:vAlign w:val="center"/>
                </w:tcPr>
                <w:p>
                  <w:pPr>
                    <w:pStyle w:val="30"/>
                    <w:spacing w:line="360" w:lineRule="exact"/>
                    <w:rPr>
                      <w:color w:val="000000" w:themeColor="text1"/>
                      <w:szCs w:val="21"/>
                    </w:rPr>
                  </w:pPr>
                  <w:r>
                    <w:rPr>
                      <w:color w:val="000000" w:themeColor="text1"/>
                      <w:szCs w:val="21"/>
                    </w:rPr>
                    <w:t>废物类别</w:t>
                  </w:r>
                </w:p>
              </w:tc>
              <w:tc>
                <w:tcPr>
                  <w:tcW w:w="6268"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HW49</w:t>
                  </w:r>
                  <w:r>
                    <w:rPr>
                      <w:rFonts w:hint="eastAsia"/>
                      <w:color w:val="000000" w:themeColor="text1"/>
                      <w:szCs w:val="21"/>
                    </w:rPr>
                    <w:t xml:space="preserve"> 其他废物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废物代码</w:t>
                  </w:r>
                </w:p>
              </w:tc>
              <w:tc>
                <w:tcPr>
                  <w:tcW w:w="6268"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900-044-49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危险特征</w:t>
                  </w:r>
                </w:p>
              </w:tc>
              <w:tc>
                <w:tcPr>
                  <w:tcW w:w="6268" w:type="dxa"/>
                  <w:gridSpan w:val="3"/>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废弃的镉镍电池、荧光粉和阴极射线管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危险特性</w:t>
                  </w:r>
                </w:p>
              </w:tc>
              <w:tc>
                <w:tcPr>
                  <w:tcW w:w="6268" w:type="dxa"/>
                  <w:gridSpan w:val="3"/>
                  <w:vAlign w:val="center"/>
                </w:tcPr>
                <w:p>
                  <w:pPr>
                    <w:pStyle w:val="30"/>
                    <w:spacing w:line="360" w:lineRule="exact"/>
                    <w:ind w:firstLine="210" w:firstLineChars="100"/>
                    <w:jc w:val="left"/>
                    <w:rPr>
                      <w:color w:val="000000" w:themeColor="text1"/>
                      <w:szCs w:val="21"/>
                    </w:rPr>
                  </w:pPr>
                  <w:r>
                    <w:rPr>
                      <w:rFonts w:ascii="TimesNewRomanPSMT" w:hAnsi="TimesNewRomanPSMT" w:cs="TimesNewRomanPSMT"/>
                      <w:color w:val="000000" w:themeColor="text1"/>
                      <w:kern w:val="0"/>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restart"/>
                  <w:vAlign w:val="center"/>
                </w:tcPr>
                <w:p>
                  <w:pPr>
                    <w:pStyle w:val="30"/>
                    <w:spacing w:line="360" w:lineRule="exact"/>
                    <w:rPr>
                      <w:color w:val="000000" w:themeColor="text1"/>
                      <w:szCs w:val="21"/>
                    </w:rPr>
                  </w:pPr>
                  <w:r>
                    <w:rPr>
                      <w:rFonts w:hint="eastAsia"/>
                      <w:color w:val="000000" w:themeColor="text1"/>
                      <w:szCs w:val="21"/>
                    </w:rPr>
                    <w:t>废活性炭（吸附有机废气）</w:t>
                  </w:r>
                </w:p>
              </w:tc>
              <w:tc>
                <w:tcPr>
                  <w:tcW w:w="1410" w:type="dxa"/>
                  <w:vAlign w:val="center"/>
                </w:tcPr>
                <w:p>
                  <w:pPr>
                    <w:pStyle w:val="30"/>
                    <w:spacing w:line="360" w:lineRule="exact"/>
                    <w:rPr>
                      <w:color w:val="000000" w:themeColor="text1"/>
                      <w:szCs w:val="21"/>
                    </w:rPr>
                  </w:pPr>
                  <w:r>
                    <w:rPr>
                      <w:color w:val="000000" w:themeColor="text1"/>
                      <w:szCs w:val="21"/>
                    </w:rPr>
                    <w:t>废物类别</w:t>
                  </w:r>
                </w:p>
              </w:tc>
              <w:tc>
                <w:tcPr>
                  <w:tcW w:w="6268"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HW49</w:t>
                  </w:r>
                  <w:r>
                    <w:rPr>
                      <w:rFonts w:hint="eastAsia"/>
                      <w:color w:val="000000" w:themeColor="text1"/>
                      <w:szCs w:val="21"/>
                    </w:rPr>
                    <w:t xml:space="preserve"> 其他废物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废物代码</w:t>
                  </w:r>
                </w:p>
              </w:tc>
              <w:tc>
                <w:tcPr>
                  <w:tcW w:w="6268" w:type="dxa"/>
                  <w:gridSpan w:val="3"/>
                  <w:vAlign w:val="center"/>
                </w:tcPr>
                <w:p>
                  <w:pPr>
                    <w:pStyle w:val="30"/>
                    <w:spacing w:line="360" w:lineRule="exact"/>
                    <w:ind w:firstLine="210" w:firstLineChars="100"/>
                    <w:jc w:val="left"/>
                    <w:rPr>
                      <w:color w:val="000000" w:themeColor="text1"/>
                      <w:szCs w:val="21"/>
                    </w:rPr>
                  </w:pPr>
                  <w:r>
                    <w:rPr>
                      <w:color w:val="000000" w:themeColor="text1"/>
                      <w:szCs w:val="21"/>
                    </w:rPr>
                    <w:t>900-039-49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危险特征</w:t>
                  </w:r>
                </w:p>
              </w:tc>
              <w:tc>
                <w:tcPr>
                  <w:tcW w:w="6268" w:type="dxa"/>
                  <w:gridSpan w:val="3"/>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烟气、</w:t>
                  </w:r>
                  <w:r>
                    <w:rPr>
                      <w:color w:val="000000" w:themeColor="text1"/>
                      <w:szCs w:val="21"/>
                    </w:rPr>
                    <w:t xml:space="preserve">VOCs </w:t>
                  </w:r>
                  <w:r>
                    <w:rPr>
                      <w:rFonts w:hint="eastAsia"/>
                      <w:color w:val="000000" w:themeColor="text1"/>
                      <w:szCs w:val="21"/>
                    </w:rPr>
                    <w:t>治理过程（不包括餐饮行业油烟治理过程）产生的废活性炭，化学原料和化学制品脱色（不包括有机合成食品添加剂脱色）、除杂、净化过程产生的废活性炭（不包括</w:t>
                  </w:r>
                  <w:r>
                    <w:rPr>
                      <w:color w:val="000000" w:themeColor="text1"/>
                      <w:szCs w:val="21"/>
                    </w:rPr>
                    <w:t>900-405-06</w:t>
                  </w:r>
                  <w:r>
                    <w:rPr>
                      <w:rFonts w:hint="eastAsia"/>
                      <w:color w:val="000000" w:themeColor="text1"/>
                      <w:szCs w:val="21"/>
                    </w:rPr>
                    <w:t>、</w:t>
                  </w:r>
                  <w:r>
                    <w:rPr>
                      <w:color w:val="000000" w:themeColor="text1"/>
                      <w:szCs w:val="21"/>
                    </w:rPr>
                    <w:t>772-005-18</w:t>
                  </w:r>
                  <w:r>
                    <w:rPr>
                      <w:rFonts w:hint="eastAsia"/>
                      <w:color w:val="000000" w:themeColor="text1"/>
                      <w:szCs w:val="21"/>
                    </w:rPr>
                    <w:t>、</w:t>
                  </w:r>
                  <w:r>
                    <w:rPr>
                      <w:color w:val="000000" w:themeColor="text1"/>
                      <w:szCs w:val="21"/>
                    </w:rPr>
                    <w:t>261-053-29</w:t>
                  </w:r>
                  <w:r>
                    <w:rPr>
                      <w:rFonts w:hint="eastAsia"/>
                      <w:color w:val="000000" w:themeColor="text1"/>
                      <w:szCs w:val="21"/>
                    </w:rPr>
                    <w:t>、</w:t>
                  </w:r>
                  <w:r>
                    <w:rPr>
                      <w:color w:val="000000" w:themeColor="text1"/>
                      <w:szCs w:val="21"/>
                    </w:rPr>
                    <w:t>265-002-29</w:t>
                  </w:r>
                  <w:r>
                    <w:rPr>
                      <w:rFonts w:hint="eastAsia"/>
                      <w:color w:val="000000" w:themeColor="text1"/>
                      <w:szCs w:val="21"/>
                    </w:rPr>
                    <w:t>、</w:t>
                  </w:r>
                  <w:r>
                    <w:rPr>
                      <w:color w:val="000000" w:themeColor="text1"/>
                      <w:szCs w:val="21"/>
                    </w:rPr>
                    <w:t>384-003-29</w:t>
                  </w:r>
                  <w:r>
                    <w:rPr>
                      <w:rFonts w:hint="eastAsia"/>
                      <w:color w:val="000000" w:themeColor="text1"/>
                      <w:szCs w:val="21"/>
                    </w:rPr>
                    <w:t>、</w:t>
                  </w:r>
                  <w:r>
                    <w:rPr>
                      <w:color w:val="000000" w:themeColor="text1"/>
                      <w:szCs w:val="21"/>
                    </w:rPr>
                    <w:t xml:space="preserve">387-001-29 </w:t>
                  </w:r>
                  <w:r>
                    <w:rPr>
                      <w:rFonts w:hint="eastAsia"/>
                      <w:color w:val="000000" w:themeColor="text1"/>
                      <w:szCs w:val="21"/>
                    </w:rPr>
                    <w:t>类废物）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66" w:type="dxa"/>
                  <w:gridSpan w:val="2"/>
                  <w:vMerge w:val="continue"/>
                  <w:vAlign w:val="center"/>
                </w:tcPr>
                <w:p>
                  <w:pPr>
                    <w:pStyle w:val="30"/>
                    <w:spacing w:line="360" w:lineRule="exact"/>
                    <w:rPr>
                      <w:color w:val="000000" w:themeColor="text1"/>
                      <w:szCs w:val="21"/>
                    </w:rPr>
                  </w:pPr>
                </w:p>
              </w:tc>
              <w:tc>
                <w:tcPr>
                  <w:tcW w:w="1410" w:type="dxa"/>
                  <w:vAlign w:val="center"/>
                </w:tcPr>
                <w:p>
                  <w:pPr>
                    <w:pStyle w:val="30"/>
                    <w:spacing w:line="360" w:lineRule="exact"/>
                    <w:rPr>
                      <w:color w:val="000000" w:themeColor="text1"/>
                      <w:szCs w:val="21"/>
                    </w:rPr>
                  </w:pPr>
                  <w:r>
                    <w:rPr>
                      <w:color w:val="000000" w:themeColor="text1"/>
                      <w:szCs w:val="21"/>
                    </w:rPr>
                    <w:t>危险特性</w:t>
                  </w:r>
                </w:p>
              </w:tc>
              <w:tc>
                <w:tcPr>
                  <w:tcW w:w="6268" w:type="dxa"/>
                  <w:gridSpan w:val="3"/>
                  <w:vAlign w:val="center"/>
                </w:tcPr>
                <w:p>
                  <w:pPr>
                    <w:pStyle w:val="30"/>
                    <w:spacing w:line="360" w:lineRule="exact"/>
                    <w:ind w:firstLine="210" w:firstLineChars="100"/>
                    <w:jc w:val="left"/>
                    <w:rPr>
                      <w:color w:val="000000" w:themeColor="text1"/>
                      <w:szCs w:val="21"/>
                    </w:rPr>
                  </w:pPr>
                  <w:r>
                    <w:rPr>
                      <w:rFonts w:ascii="TimesNewRomanPSMT" w:hAnsi="TimesNewRomanPSMT" w:cs="TimesNewRomanPSMT"/>
                      <w:color w:val="000000" w:themeColor="text1"/>
                      <w:kern w:val="0"/>
                      <w:szCs w:val="21"/>
                    </w:rPr>
                    <w:t>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58" w:type="dxa"/>
                  <w:vAlign w:val="center"/>
                </w:tcPr>
                <w:p>
                  <w:pPr>
                    <w:pStyle w:val="30"/>
                    <w:spacing w:line="360" w:lineRule="exact"/>
                    <w:rPr>
                      <w:color w:val="000000" w:themeColor="text1"/>
                      <w:szCs w:val="21"/>
                    </w:rPr>
                  </w:pPr>
                  <w:r>
                    <w:rPr>
                      <w:rFonts w:hint="eastAsia"/>
                      <w:color w:val="000000" w:themeColor="text1"/>
                      <w:szCs w:val="21"/>
                    </w:rPr>
                    <w:t>制冷剂</w:t>
                  </w:r>
                </w:p>
              </w:tc>
              <w:tc>
                <w:tcPr>
                  <w:tcW w:w="1418" w:type="dxa"/>
                  <w:gridSpan w:val="2"/>
                  <w:vAlign w:val="center"/>
                </w:tcPr>
                <w:p>
                  <w:pPr>
                    <w:pStyle w:val="30"/>
                    <w:spacing w:line="360" w:lineRule="exact"/>
                    <w:rPr>
                      <w:color w:val="000000" w:themeColor="text1"/>
                      <w:szCs w:val="21"/>
                    </w:rPr>
                  </w:pPr>
                  <w:r>
                    <w:rPr>
                      <w:rFonts w:hint="eastAsia"/>
                      <w:color w:val="000000" w:themeColor="text1"/>
                      <w:szCs w:val="21"/>
                    </w:rPr>
                    <w:t>特性</w:t>
                  </w:r>
                </w:p>
              </w:tc>
              <w:tc>
                <w:tcPr>
                  <w:tcW w:w="6268" w:type="dxa"/>
                  <w:gridSpan w:val="3"/>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目前废旧冰箱的制冷剂主要包括两类，其中生产较早的冰箱一般采用R134A制冷剂，属于</w:t>
                  </w:r>
                  <w:r>
                    <w:rPr>
                      <w:color w:val="000000" w:themeColor="text1"/>
                      <w:szCs w:val="21"/>
                    </w:rPr>
                    <w:t>共沸混合制冷剂</w:t>
                  </w:r>
                  <w:r>
                    <w:rPr>
                      <w:rFonts w:hint="eastAsia"/>
                      <w:color w:val="000000" w:themeColor="text1"/>
                      <w:szCs w:val="21"/>
                    </w:rPr>
                    <w:t>，含氟；第二类为目前家用冰箱使用最为广泛的制冷剂R600A，基本上目前新推出的家用冰箱90%以上都是用R600A制冷剂，</w:t>
                  </w:r>
                  <w:r>
                    <w:rPr>
                      <w:color w:val="000000" w:themeColor="text1"/>
                      <w:szCs w:val="21"/>
                    </w:rPr>
                    <w:t>R600a是一种性能优异的新型碳氢制冷剂</w:t>
                  </w:r>
                  <w:r>
                    <w:rPr>
                      <w:rFonts w:hint="eastAsia"/>
                      <w:color w:val="000000" w:themeColor="text1"/>
                      <w:szCs w:val="21"/>
                    </w:rPr>
                    <w:t>，具有可爆性；制冷剂不属于危险废物，但消耗臭氧层物质有环境风险。</w:t>
                  </w:r>
                </w:p>
              </w:tc>
            </w:tr>
          </w:tbl>
          <w:p>
            <w:pPr>
              <w:pStyle w:val="38"/>
              <w:spacing w:beforeLines="50"/>
              <w:ind w:firstLine="361" w:firstLineChars="150"/>
              <w:rPr>
                <w:rFonts w:eastAsiaTheme="minorEastAsia"/>
                <w:b/>
                <w:color w:val="000000" w:themeColor="text1"/>
                <w:szCs w:val="24"/>
              </w:rPr>
            </w:pPr>
            <w:r>
              <w:rPr>
                <w:rFonts w:eastAsiaTheme="minorEastAsia"/>
                <w:b/>
                <w:color w:val="000000" w:themeColor="text1"/>
                <w:szCs w:val="24"/>
              </w:rPr>
              <w:t>（2）可能影响途径</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项目主要风险物质</w:t>
            </w:r>
            <w:r>
              <w:rPr>
                <w:rFonts w:hint="eastAsia" w:ascii="Times New Roman" w:hAnsi="Times New Roman" w:cs="Times New Roman"/>
                <w:color w:val="000000" w:themeColor="text1"/>
                <w:sz w:val="24"/>
                <w:szCs w:val="24"/>
              </w:rPr>
              <w:t>电路板等属于固态物质，而</w:t>
            </w:r>
            <w:r>
              <w:rPr>
                <w:rFonts w:ascii="Times New Roman" w:hAnsi="Times New Roman" w:cs="Times New Roman"/>
                <w:color w:val="000000" w:themeColor="text1"/>
                <w:sz w:val="24"/>
                <w:szCs w:val="24"/>
              </w:rPr>
              <w:t>制冷剂以及废矿物油在生产过程通过抽真空的方式被抽吸到专用的密封容器中封存，整个生产过程均处于密闭状态，因此生产过程发生泄漏的机率较小，只有在设备故障或管道破裂的情况下可能发生泄漏事故。另外，在装卸或运输过程中也有可能发生泄漏事故。</w:t>
            </w:r>
          </w:p>
          <w:p>
            <w:pPr>
              <w:pStyle w:val="38"/>
              <w:ind w:firstLine="361" w:firstLineChars="150"/>
              <w:rPr>
                <w:rFonts w:eastAsiaTheme="minorEastAsia"/>
                <w:b/>
                <w:color w:val="000000" w:themeColor="text1"/>
                <w:szCs w:val="24"/>
              </w:rPr>
            </w:pPr>
            <w:r>
              <w:rPr>
                <w:rFonts w:eastAsiaTheme="minorEastAsia"/>
                <w:b/>
                <w:color w:val="000000" w:themeColor="text1"/>
                <w:szCs w:val="24"/>
              </w:rPr>
              <w:t>（3）环境风险防范措施</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根据本项目环境影响途经，提出以下风险防范措施：</w:t>
            </w:r>
            <w:bookmarkStart w:id="12" w:name="_Toc115259923"/>
            <w:bookmarkStart w:id="13" w:name="_Toc56427845"/>
            <w:bookmarkStart w:id="14" w:name="_Toc114997846"/>
            <w:bookmarkStart w:id="15" w:name="_Toc67822189"/>
            <w:bookmarkStart w:id="16" w:name="_Toc57516383"/>
            <w:bookmarkStart w:id="17" w:name="_Toc76139457"/>
            <w:bookmarkStart w:id="18" w:name="_Toc82857308"/>
            <w:bookmarkStart w:id="19" w:name="_Toc88466811"/>
            <w:bookmarkStart w:id="20" w:name="_Toc116622310"/>
            <w:bookmarkStart w:id="21" w:name="_Toc57516232"/>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①R134A和R600A制冷剂均在密闭压力钢瓶中储存</w:t>
            </w:r>
            <w:r>
              <w:rPr>
                <w:rFonts w:ascii="Times New Roman" w:hAnsi="Times New Roman" w:cs="Times New Roman"/>
                <w:color w:val="000000" w:themeColor="text1"/>
                <w:sz w:val="24"/>
                <w:szCs w:val="24"/>
              </w:rPr>
              <w:t>。R600a是一种性能优异的新型碳氢制冷剂</w:t>
            </w:r>
            <w:r>
              <w:rPr>
                <w:rFonts w:hint="eastAsia" w:ascii="Times New Roman" w:hAnsi="Times New Roman" w:cs="Times New Roman"/>
                <w:color w:val="000000" w:themeColor="text1"/>
                <w:sz w:val="24"/>
                <w:szCs w:val="24"/>
              </w:rPr>
              <w:t>，压力钢瓶采取防爆措施</w:t>
            </w:r>
            <w:r>
              <w:rPr>
                <w:rFonts w:ascii="Times New Roman" w:hAnsi="Times New Roman" w:cs="Times New Roman"/>
                <w:color w:val="000000" w:themeColor="text1"/>
                <w:sz w:val="24"/>
                <w:szCs w:val="24"/>
              </w:rPr>
              <w:t>。</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②</w:t>
            </w:r>
            <w:r>
              <w:rPr>
                <w:rFonts w:ascii="Times New Roman" w:hAnsi="Times New Roman" w:cs="Times New Roman"/>
                <w:color w:val="000000" w:themeColor="text1"/>
                <w:sz w:val="24"/>
                <w:szCs w:val="24"/>
              </w:rPr>
              <w:t>严禁将各类废物转移给没有相应处理资质及能力的单位。</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③</w:t>
            </w:r>
            <w:r>
              <w:rPr>
                <w:rFonts w:ascii="Times New Roman" w:hAnsi="Times New Roman" w:cs="Times New Roman"/>
                <w:color w:val="000000" w:themeColor="text1"/>
                <w:sz w:val="24"/>
                <w:szCs w:val="24"/>
              </w:rPr>
              <w:t>强化安全生产管理，必须制订岗位责任制，将责任落实到部门和个人，严格遵守操作规程，严格遵守《危险品化学安全管理条例》及国家、地方关于易燃、易爆、有毒有害物料的储运使用安全规定。</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④</w:t>
            </w:r>
            <w:r>
              <w:rPr>
                <w:rFonts w:ascii="Times New Roman" w:hAnsi="Times New Roman" w:cs="Times New Roman"/>
                <w:color w:val="000000" w:themeColor="text1"/>
                <w:sz w:val="24"/>
                <w:szCs w:val="24"/>
              </w:rPr>
              <w:t>强化安全生产及环境保护意识的教育，提高职工的素质。</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⑤</w:t>
            </w:r>
            <w:r>
              <w:rPr>
                <w:rFonts w:ascii="Times New Roman" w:hAnsi="Times New Roman" w:cs="Times New Roman"/>
                <w:color w:val="000000" w:themeColor="text1"/>
                <w:sz w:val="24"/>
                <w:szCs w:val="24"/>
              </w:rPr>
              <w:t>加强个人劳动保护，进入生产区必须穿载防护服及防护手套。</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⑥</w:t>
            </w:r>
            <w:r>
              <w:rPr>
                <w:rFonts w:ascii="Times New Roman" w:hAnsi="Times New Roman" w:cs="Times New Roman"/>
                <w:color w:val="000000" w:themeColor="text1"/>
                <w:sz w:val="24"/>
                <w:szCs w:val="24"/>
              </w:rPr>
              <w:t>厂房区要加强通风，电气设备须选用防腐、防爆型，电源绝缘良好，防止产生电火花，接地牢靠，防止产生静电。</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⑦</w:t>
            </w:r>
            <w:r>
              <w:rPr>
                <w:rFonts w:ascii="Times New Roman" w:hAnsi="Times New Roman" w:cs="Times New Roman"/>
                <w:color w:val="000000" w:themeColor="text1"/>
                <w:sz w:val="24"/>
                <w:szCs w:val="24"/>
              </w:rPr>
              <w:t>严格遵守国家有关防火防爆的安全规定，各生产区域装置及建筑物间考虑足够的安全防火距离，并布置相应的消防通道、消防水池以及足够的消防器材等装置，并要有专人负责管理。</w:t>
            </w:r>
          </w:p>
          <w:bookmarkEnd w:id="12"/>
          <w:bookmarkEnd w:id="13"/>
          <w:bookmarkEnd w:id="14"/>
          <w:bookmarkEnd w:id="15"/>
          <w:bookmarkEnd w:id="16"/>
          <w:bookmarkEnd w:id="17"/>
          <w:bookmarkEnd w:id="18"/>
          <w:bookmarkEnd w:id="19"/>
          <w:bookmarkEnd w:id="20"/>
          <w:bookmarkEnd w:id="21"/>
          <w:p>
            <w:pPr>
              <w:pStyle w:val="38"/>
              <w:ind w:firstLine="361" w:firstLineChars="150"/>
              <w:rPr>
                <w:rFonts w:eastAsiaTheme="minorEastAsia"/>
                <w:b/>
                <w:color w:val="000000" w:themeColor="text1"/>
                <w:szCs w:val="24"/>
              </w:rPr>
            </w:pPr>
            <w:r>
              <w:rPr>
                <w:rFonts w:eastAsiaTheme="minorEastAsia"/>
                <w:b/>
                <w:color w:val="000000" w:themeColor="text1"/>
                <w:szCs w:val="24"/>
              </w:rPr>
              <w:t>（4）环境风险结论</w:t>
            </w:r>
          </w:p>
          <w:p>
            <w:pPr>
              <w:spacing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本项目涉及到的危险物质在采取严格的防护措施后，事故发生概率较小，环境风险可接受。</w:t>
            </w:r>
          </w:p>
          <w:p>
            <w:pPr>
              <w:spacing w:line="360" w:lineRule="auto"/>
              <w:ind w:firstLine="482" w:firstLineChars="200"/>
              <w:rPr>
                <w:rFonts w:ascii="Times New Roman" w:hAnsi="Times New Roman" w:cs="Times New Roman"/>
                <w:b/>
                <w:color w:val="000000" w:themeColor="text1"/>
                <w:sz w:val="24"/>
                <w:szCs w:val="24"/>
              </w:rPr>
            </w:pPr>
            <w:bookmarkStart w:id="22" w:name="_Toc72228649"/>
            <w:r>
              <w:rPr>
                <w:rFonts w:ascii="Times New Roman" w:hAnsi="Times New Roman" w:cs="Times New Roman"/>
                <w:b/>
                <w:color w:val="000000" w:themeColor="text1"/>
                <w:sz w:val="24"/>
                <w:szCs w:val="24"/>
              </w:rPr>
              <w:t>4.</w:t>
            </w:r>
            <w:r>
              <w:rPr>
                <w:rFonts w:hint="eastAsia"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xml:space="preserve"> 环保投资估算</w:t>
            </w:r>
            <w:bookmarkEnd w:id="22"/>
          </w:p>
          <w:p>
            <w:pPr>
              <w:spacing w:line="360" w:lineRule="auto"/>
              <w:ind w:firstLine="480" w:firstLineChars="200"/>
              <w:rPr>
                <w:rFonts w:hint="eastAsia" w:ascii="Times New Roman" w:hAnsi="Times New Roman" w:cs="Times New Roman"/>
                <w:color w:val="000000" w:themeColor="text1"/>
                <w:sz w:val="24"/>
                <w:szCs w:val="24"/>
              </w:rPr>
            </w:pPr>
            <w:r>
              <w:rPr>
                <w:rFonts w:ascii="Times New Roman" w:hAnsi="Times New Roman" w:cs="Times New Roman"/>
                <w:color w:val="000000" w:themeColor="text1"/>
                <w:sz w:val="24"/>
                <w:szCs w:val="24"/>
              </w:rPr>
              <w:t>项目总投资1050万元，其中</w:t>
            </w:r>
            <w:r>
              <w:rPr>
                <w:rFonts w:hint="eastAsia" w:ascii="Times New Roman" w:hAnsi="Times New Roman" w:cs="Times New Roman"/>
                <w:color w:val="000000" w:themeColor="text1"/>
                <w:sz w:val="24"/>
                <w:szCs w:val="24"/>
              </w:rPr>
              <w:t>新增</w:t>
            </w:r>
            <w:r>
              <w:rPr>
                <w:rFonts w:ascii="Times New Roman" w:hAnsi="Times New Roman" w:cs="Times New Roman"/>
                <w:color w:val="000000" w:themeColor="text1"/>
                <w:sz w:val="24"/>
                <w:szCs w:val="24"/>
              </w:rPr>
              <w:t>基建环保投资为47.11万元，占总投资的4.49%。年环保投资运行费用约为</w:t>
            </w:r>
            <w:r>
              <w:rPr>
                <w:rFonts w:hint="eastAsia" w:ascii="Times New Roman" w:hAnsi="Times New Roman" w:cs="Times New Roman"/>
                <w:color w:val="000000" w:themeColor="text1"/>
                <w:sz w:val="24"/>
                <w:szCs w:val="24"/>
              </w:rPr>
              <w:t>31.2</w:t>
            </w:r>
            <w:r>
              <w:rPr>
                <w:rFonts w:ascii="Times New Roman" w:hAnsi="Times New Roman" w:cs="Times New Roman"/>
                <w:color w:val="000000" w:themeColor="text1"/>
                <w:sz w:val="24"/>
                <w:szCs w:val="24"/>
              </w:rPr>
              <w:t>万元，项目拟采取措施的具体内容、责任主体、实施时段及环境保护投入资金如下表所示。</w:t>
            </w: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spacing w:line="360" w:lineRule="auto"/>
              <w:ind w:firstLine="480" w:firstLineChars="200"/>
              <w:rPr>
                <w:rFonts w:hint="eastAsia" w:ascii="Times New Roman" w:hAnsi="Times New Roman" w:cs="Times New Roman"/>
                <w:color w:val="000000" w:themeColor="text1"/>
                <w:sz w:val="24"/>
                <w:szCs w:val="24"/>
              </w:rPr>
            </w:pPr>
          </w:p>
          <w:p>
            <w:pPr>
              <w:pStyle w:val="32"/>
              <w:spacing w:beforeLines="0"/>
              <w:rPr>
                <w:rFonts w:hint="eastAsia" w:hAnsi="Times New Roman" w:eastAsiaTheme="minorEastAsia"/>
                <w:color w:val="000000" w:themeColor="text1"/>
                <w:sz w:val="21"/>
                <w:szCs w:val="21"/>
              </w:rPr>
            </w:pPr>
          </w:p>
          <w:p>
            <w:pPr>
              <w:pStyle w:val="32"/>
              <w:spacing w:beforeLines="0"/>
              <w:rPr>
                <w:rFonts w:hAnsi="Times New Roman" w:eastAsiaTheme="minorEastAsia"/>
                <w:color w:val="000000" w:themeColor="text1"/>
                <w:sz w:val="21"/>
                <w:szCs w:val="21"/>
              </w:rPr>
            </w:pPr>
            <w:r>
              <w:rPr>
                <w:rFonts w:hAnsi="Times New Roman" w:eastAsiaTheme="minorEastAsia"/>
                <w:color w:val="000000" w:themeColor="text1"/>
                <w:sz w:val="21"/>
                <w:szCs w:val="21"/>
              </w:rPr>
              <w:t>表4.</w:t>
            </w:r>
            <w:r>
              <w:rPr>
                <w:rFonts w:hint="eastAsia" w:hAnsi="Times New Roman" w:eastAsiaTheme="minorEastAsia"/>
                <w:color w:val="000000" w:themeColor="text1"/>
                <w:sz w:val="21"/>
                <w:szCs w:val="21"/>
              </w:rPr>
              <w:t>4</w:t>
            </w:r>
            <w:r>
              <w:rPr>
                <w:rFonts w:hAnsi="Times New Roman" w:eastAsiaTheme="minorEastAsia"/>
                <w:color w:val="000000" w:themeColor="text1"/>
                <w:sz w:val="21"/>
                <w:szCs w:val="21"/>
              </w:rPr>
              <w:t>-1  项目环保投资一览表 单位：万元</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595"/>
              <w:gridCol w:w="704"/>
              <w:gridCol w:w="1414"/>
              <w:gridCol w:w="2666"/>
              <w:gridCol w:w="850"/>
              <w:gridCol w:w="136"/>
              <w:gridCol w:w="595"/>
              <w:gridCol w:w="821"/>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vAlign w:val="center"/>
                </w:tcPr>
                <w:p>
                  <w:pPr>
                    <w:pStyle w:val="30"/>
                    <w:spacing w:line="360" w:lineRule="exact"/>
                    <w:rPr>
                      <w:color w:val="000000" w:themeColor="text1"/>
                      <w:szCs w:val="21"/>
                    </w:rPr>
                  </w:pPr>
                  <w:r>
                    <w:rPr>
                      <w:color w:val="000000" w:themeColor="text1"/>
                      <w:szCs w:val="21"/>
                    </w:rPr>
                    <w:t>时期</w:t>
                  </w:r>
                </w:p>
              </w:tc>
              <w:tc>
                <w:tcPr>
                  <w:tcW w:w="718" w:type="pct"/>
                  <w:gridSpan w:val="2"/>
                  <w:vMerge w:val="restart"/>
                  <w:vAlign w:val="center"/>
                </w:tcPr>
                <w:p>
                  <w:pPr>
                    <w:pStyle w:val="30"/>
                    <w:spacing w:line="360" w:lineRule="exact"/>
                    <w:rPr>
                      <w:color w:val="000000" w:themeColor="text1"/>
                      <w:szCs w:val="21"/>
                    </w:rPr>
                  </w:pPr>
                  <w:r>
                    <w:rPr>
                      <w:color w:val="000000" w:themeColor="text1"/>
                      <w:szCs w:val="21"/>
                    </w:rPr>
                    <w:t>类型</w:t>
                  </w:r>
                </w:p>
              </w:tc>
              <w:tc>
                <w:tcPr>
                  <w:tcW w:w="2256" w:type="pct"/>
                  <w:gridSpan w:val="2"/>
                  <w:vAlign w:val="center"/>
                </w:tcPr>
                <w:p>
                  <w:pPr>
                    <w:pStyle w:val="30"/>
                    <w:spacing w:line="360" w:lineRule="exact"/>
                    <w:rPr>
                      <w:color w:val="000000" w:themeColor="text1"/>
                      <w:szCs w:val="21"/>
                    </w:rPr>
                  </w:pPr>
                  <w:r>
                    <w:rPr>
                      <w:color w:val="000000" w:themeColor="text1"/>
                      <w:szCs w:val="21"/>
                    </w:rPr>
                    <w:t>环保措施</w:t>
                  </w:r>
                </w:p>
              </w:tc>
              <w:tc>
                <w:tcPr>
                  <w:tcW w:w="874" w:type="pct"/>
                  <w:gridSpan w:val="3"/>
                  <w:vAlign w:val="center"/>
                </w:tcPr>
                <w:p>
                  <w:pPr>
                    <w:pStyle w:val="30"/>
                    <w:spacing w:line="360" w:lineRule="exact"/>
                    <w:rPr>
                      <w:color w:val="000000" w:themeColor="text1"/>
                      <w:szCs w:val="21"/>
                    </w:rPr>
                  </w:pPr>
                  <w:r>
                    <w:rPr>
                      <w:color w:val="000000" w:themeColor="text1"/>
                      <w:szCs w:val="21"/>
                    </w:rPr>
                    <w:t>建设期资金投入（万元）</w:t>
                  </w:r>
                </w:p>
              </w:tc>
              <w:tc>
                <w:tcPr>
                  <w:tcW w:w="867" w:type="pct"/>
                  <w:gridSpan w:val="2"/>
                  <w:vAlign w:val="center"/>
                </w:tcPr>
                <w:p>
                  <w:pPr>
                    <w:pStyle w:val="30"/>
                    <w:spacing w:line="360" w:lineRule="exact"/>
                    <w:rPr>
                      <w:color w:val="000000" w:themeColor="text1"/>
                      <w:szCs w:val="21"/>
                    </w:rPr>
                  </w:pPr>
                  <w:r>
                    <w:rPr>
                      <w:color w:val="000000" w:themeColor="text1"/>
                      <w:szCs w:val="21"/>
                    </w:rPr>
                    <w:t>运行期资金投入（万元/a）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718" w:type="pct"/>
                  <w:gridSpan w:val="2"/>
                  <w:vMerge w:val="continue"/>
                  <w:vAlign w:val="center"/>
                </w:tcPr>
                <w:p>
                  <w:pPr>
                    <w:pStyle w:val="30"/>
                    <w:spacing w:line="360" w:lineRule="exact"/>
                    <w:rPr>
                      <w:color w:val="000000" w:themeColor="text1"/>
                      <w:szCs w:val="21"/>
                    </w:rPr>
                  </w:pPr>
                </w:p>
              </w:tc>
              <w:tc>
                <w:tcPr>
                  <w:tcW w:w="782" w:type="pct"/>
                  <w:vAlign w:val="center"/>
                </w:tcPr>
                <w:p>
                  <w:pPr>
                    <w:pStyle w:val="30"/>
                    <w:spacing w:line="360" w:lineRule="exact"/>
                    <w:rPr>
                      <w:color w:val="000000" w:themeColor="text1"/>
                      <w:szCs w:val="21"/>
                    </w:rPr>
                  </w:pPr>
                  <w:r>
                    <w:rPr>
                      <w:color w:val="000000" w:themeColor="text1"/>
                      <w:szCs w:val="21"/>
                    </w:rPr>
                    <w:t>环保项目</w:t>
                  </w:r>
                </w:p>
              </w:tc>
              <w:tc>
                <w:tcPr>
                  <w:tcW w:w="1474" w:type="pct"/>
                  <w:vAlign w:val="center"/>
                </w:tcPr>
                <w:p>
                  <w:pPr>
                    <w:pStyle w:val="30"/>
                    <w:spacing w:line="360" w:lineRule="exact"/>
                    <w:rPr>
                      <w:color w:val="000000" w:themeColor="text1"/>
                      <w:szCs w:val="21"/>
                    </w:rPr>
                  </w:pPr>
                  <w:r>
                    <w:rPr>
                      <w:color w:val="000000" w:themeColor="text1"/>
                      <w:szCs w:val="21"/>
                    </w:rPr>
                    <w:t>数量</w:t>
                  </w:r>
                </w:p>
              </w:tc>
              <w:tc>
                <w:tcPr>
                  <w:tcW w:w="470" w:type="pct"/>
                  <w:vAlign w:val="center"/>
                </w:tcPr>
                <w:p>
                  <w:pPr>
                    <w:pStyle w:val="30"/>
                    <w:spacing w:line="360" w:lineRule="exact"/>
                    <w:rPr>
                      <w:color w:val="000000" w:themeColor="text1"/>
                      <w:szCs w:val="21"/>
                    </w:rPr>
                  </w:pPr>
                  <w:r>
                    <w:rPr>
                      <w:color w:val="000000" w:themeColor="text1"/>
                      <w:szCs w:val="21"/>
                    </w:rPr>
                    <w:t>建设费用</w:t>
                  </w:r>
                </w:p>
              </w:tc>
              <w:tc>
                <w:tcPr>
                  <w:tcW w:w="404" w:type="pct"/>
                  <w:gridSpan w:val="2"/>
                  <w:vAlign w:val="center"/>
                </w:tcPr>
                <w:p>
                  <w:pPr>
                    <w:pStyle w:val="30"/>
                    <w:spacing w:line="360" w:lineRule="exact"/>
                    <w:rPr>
                      <w:color w:val="000000" w:themeColor="text1"/>
                      <w:szCs w:val="21"/>
                    </w:rPr>
                  </w:pPr>
                  <w:r>
                    <w:rPr>
                      <w:color w:val="000000" w:themeColor="text1"/>
                      <w:szCs w:val="21"/>
                    </w:rPr>
                    <w:t>责任主体</w:t>
                  </w:r>
                </w:p>
              </w:tc>
              <w:tc>
                <w:tcPr>
                  <w:tcW w:w="454" w:type="pct"/>
                  <w:vAlign w:val="center"/>
                </w:tcPr>
                <w:p>
                  <w:pPr>
                    <w:pStyle w:val="30"/>
                    <w:spacing w:line="360" w:lineRule="exact"/>
                    <w:rPr>
                      <w:color w:val="000000" w:themeColor="text1"/>
                      <w:szCs w:val="21"/>
                    </w:rPr>
                  </w:pPr>
                  <w:r>
                    <w:rPr>
                      <w:color w:val="000000" w:themeColor="text1"/>
                      <w:szCs w:val="21"/>
                    </w:rPr>
                    <w:t>运行维护费用</w:t>
                  </w:r>
                </w:p>
              </w:tc>
              <w:tc>
                <w:tcPr>
                  <w:tcW w:w="413" w:type="pct"/>
                  <w:vAlign w:val="center"/>
                </w:tcPr>
                <w:p>
                  <w:pPr>
                    <w:pStyle w:val="30"/>
                    <w:spacing w:line="360" w:lineRule="exact"/>
                    <w:rPr>
                      <w:color w:val="000000" w:themeColor="text1"/>
                      <w:szCs w:val="21"/>
                    </w:rPr>
                  </w:pPr>
                  <w:r>
                    <w:rPr>
                      <w:color w:val="000000" w:themeColor="text1"/>
                      <w:szCs w:val="21"/>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vAlign w:val="center"/>
                </w:tcPr>
                <w:p>
                  <w:pPr>
                    <w:pStyle w:val="30"/>
                    <w:spacing w:line="360" w:lineRule="exact"/>
                    <w:rPr>
                      <w:color w:val="000000" w:themeColor="text1"/>
                      <w:szCs w:val="21"/>
                    </w:rPr>
                  </w:pPr>
                  <w:r>
                    <w:rPr>
                      <w:color w:val="000000" w:themeColor="text1"/>
                      <w:szCs w:val="21"/>
                    </w:rPr>
                    <w:t>运营期污染源</w:t>
                  </w:r>
                </w:p>
              </w:tc>
              <w:tc>
                <w:tcPr>
                  <w:tcW w:w="329" w:type="pct"/>
                  <w:vMerge w:val="restart"/>
                  <w:vAlign w:val="center"/>
                </w:tcPr>
                <w:p>
                  <w:pPr>
                    <w:pStyle w:val="30"/>
                    <w:spacing w:line="360" w:lineRule="exact"/>
                    <w:rPr>
                      <w:color w:val="000000" w:themeColor="text1"/>
                      <w:szCs w:val="21"/>
                    </w:rPr>
                  </w:pPr>
                  <w:r>
                    <w:rPr>
                      <w:color w:val="000000" w:themeColor="text1"/>
                      <w:szCs w:val="21"/>
                    </w:rPr>
                    <w:t>废气</w:t>
                  </w:r>
                </w:p>
              </w:tc>
              <w:tc>
                <w:tcPr>
                  <w:tcW w:w="389"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厨房油烟</w:t>
                  </w:r>
                </w:p>
              </w:tc>
              <w:tc>
                <w:tcPr>
                  <w:tcW w:w="782" w:type="pct"/>
                  <w:vAlign w:val="center"/>
                </w:tcPr>
                <w:p>
                  <w:pPr>
                    <w:pStyle w:val="30"/>
                    <w:spacing w:line="360" w:lineRule="exact"/>
                    <w:rPr>
                      <w:color w:val="000000" w:themeColor="text1"/>
                      <w:szCs w:val="21"/>
                    </w:rPr>
                  </w:pPr>
                  <w:r>
                    <w:rPr>
                      <w:rFonts w:hint="eastAsia"/>
                      <w:color w:val="000000" w:themeColor="text1"/>
                      <w:szCs w:val="21"/>
                    </w:rPr>
                    <w:t>油烟净化器</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1台处理效率不低于60%的油烟净化器</w:t>
                  </w:r>
                </w:p>
              </w:tc>
              <w:tc>
                <w:tcPr>
                  <w:tcW w:w="470" w:type="pct"/>
                  <w:vAlign w:val="center"/>
                </w:tcPr>
                <w:p>
                  <w:pPr>
                    <w:pStyle w:val="30"/>
                    <w:spacing w:line="360" w:lineRule="exact"/>
                    <w:rPr>
                      <w:color w:val="000000" w:themeColor="text1"/>
                      <w:szCs w:val="21"/>
                    </w:rPr>
                  </w:pPr>
                  <w:r>
                    <w:rPr>
                      <w:rFonts w:hint="eastAsia"/>
                      <w:color w:val="000000" w:themeColor="text1"/>
                      <w:szCs w:val="21"/>
                    </w:rPr>
                    <w:t>“1”</w:t>
                  </w:r>
                </w:p>
              </w:tc>
              <w:tc>
                <w:tcPr>
                  <w:tcW w:w="404" w:type="pct"/>
                  <w:gridSpan w:val="2"/>
                  <w:vMerge w:val="restart"/>
                  <w:vAlign w:val="center"/>
                </w:tcPr>
                <w:p>
                  <w:pPr>
                    <w:pStyle w:val="30"/>
                    <w:spacing w:line="360" w:lineRule="exact"/>
                    <w:rPr>
                      <w:color w:val="000000" w:themeColor="text1"/>
                      <w:szCs w:val="21"/>
                    </w:rPr>
                  </w:pPr>
                  <w:r>
                    <w:rPr>
                      <w:color w:val="000000" w:themeColor="text1"/>
                      <w:szCs w:val="21"/>
                    </w:rPr>
                    <w:t>施工单位</w:t>
                  </w:r>
                </w:p>
              </w:tc>
              <w:tc>
                <w:tcPr>
                  <w:tcW w:w="454" w:type="pct"/>
                  <w:vAlign w:val="center"/>
                </w:tcPr>
                <w:p>
                  <w:pPr>
                    <w:pStyle w:val="30"/>
                    <w:spacing w:line="360" w:lineRule="exact"/>
                    <w:rPr>
                      <w:color w:val="000000" w:themeColor="text1"/>
                      <w:szCs w:val="21"/>
                    </w:rPr>
                  </w:pPr>
                  <w:r>
                    <w:rPr>
                      <w:rFonts w:hint="eastAsia"/>
                      <w:color w:val="000000" w:themeColor="text1"/>
                      <w:szCs w:val="21"/>
                    </w:rPr>
                    <w:t>0.2</w:t>
                  </w:r>
                </w:p>
              </w:tc>
              <w:tc>
                <w:tcPr>
                  <w:tcW w:w="413" w:type="pct"/>
                  <w:vMerge w:val="restart"/>
                  <w:vAlign w:val="center"/>
                </w:tcPr>
                <w:p>
                  <w:pPr>
                    <w:pStyle w:val="30"/>
                    <w:spacing w:line="360" w:lineRule="exact"/>
                    <w:rPr>
                      <w:color w:val="000000" w:themeColor="text1"/>
                      <w:szCs w:val="21"/>
                    </w:rPr>
                  </w:pPr>
                  <w:r>
                    <w:rPr>
                      <w:color w:val="000000" w:themeColor="text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粉尘、非甲烷总烃</w:t>
                  </w:r>
                </w:p>
              </w:tc>
              <w:tc>
                <w:tcPr>
                  <w:tcW w:w="782" w:type="pct"/>
                  <w:vAlign w:val="center"/>
                </w:tcPr>
                <w:p>
                  <w:pPr>
                    <w:pStyle w:val="30"/>
                    <w:spacing w:line="360" w:lineRule="exact"/>
                    <w:rPr>
                      <w:color w:val="000000" w:themeColor="text1"/>
                      <w:szCs w:val="21"/>
                    </w:rPr>
                  </w:pPr>
                  <w:r>
                    <w:rPr>
                      <w:rFonts w:hint="eastAsia"/>
                      <w:color w:val="000000" w:themeColor="text1"/>
                      <w:szCs w:val="21"/>
                    </w:rPr>
                    <w:t>废旧冰箱处理线废气处理设施</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集气效率不低于90%的集气罩、</w:t>
                  </w:r>
                  <w:r>
                    <w:rPr>
                      <w:color w:val="000000" w:themeColor="text1"/>
                      <w:szCs w:val="21"/>
                    </w:rPr>
                    <w:t>1套</w:t>
                  </w:r>
                  <w:r>
                    <w:rPr>
                      <w:rFonts w:hint="eastAsia"/>
                      <w:color w:val="000000" w:themeColor="text1"/>
                      <w:szCs w:val="21"/>
                    </w:rPr>
                    <w:t>去除效率不低于70%的</w:t>
                  </w:r>
                  <w:r>
                    <w:rPr>
                      <w:color w:val="000000" w:themeColor="text1"/>
                      <w:szCs w:val="21"/>
                    </w:rPr>
                    <w:t>旋风除尘器</w:t>
                  </w:r>
                  <w:r>
                    <w:rPr>
                      <w:rFonts w:hint="eastAsia"/>
                      <w:color w:val="000000" w:themeColor="text1"/>
                      <w:szCs w:val="21"/>
                    </w:rPr>
                    <w:t>、</w:t>
                  </w:r>
                  <w:r>
                    <w:rPr>
                      <w:color w:val="000000" w:themeColor="text1"/>
                      <w:szCs w:val="21"/>
                    </w:rPr>
                    <w:t>1套</w:t>
                  </w:r>
                  <w:r>
                    <w:rPr>
                      <w:rFonts w:hint="eastAsia"/>
                      <w:color w:val="000000" w:themeColor="text1"/>
                      <w:szCs w:val="21"/>
                    </w:rPr>
                    <w:t>去除效率不低于95%的</w:t>
                  </w:r>
                  <w:r>
                    <w:rPr>
                      <w:color w:val="000000" w:themeColor="text1"/>
                      <w:szCs w:val="21"/>
                    </w:rPr>
                    <w:t>脉冲除尘器</w:t>
                  </w:r>
                  <w:r>
                    <w:rPr>
                      <w:rFonts w:hint="eastAsia"/>
                      <w:color w:val="000000" w:themeColor="text1"/>
                      <w:szCs w:val="21"/>
                    </w:rPr>
                    <w:t>（3#）、</w:t>
                  </w:r>
                  <w:r>
                    <w:rPr>
                      <w:color w:val="000000" w:themeColor="text1"/>
                      <w:szCs w:val="21"/>
                    </w:rPr>
                    <w:t>1套</w:t>
                  </w:r>
                  <w:r>
                    <w:rPr>
                      <w:rFonts w:hint="eastAsia"/>
                      <w:color w:val="000000" w:themeColor="text1"/>
                      <w:szCs w:val="21"/>
                    </w:rPr>
                    <w:t>去除效率不低于80%的</w:t>
                  </w:r>
                  <w:r>
                    <w:rPr>
                      <w:color w:val="000000" w:themeColor="text1"/>
                      <w:szCs w:val="21"/>
                    </w:rPr>
                    <w:t>有机废气处理装置</w:t>
                  </w:r>
                  <w:r>
                    <w:rPr>
                      <w:rFonts w:hint="eastAsia"/>
                      <w:color w:val="000000" w:themeColor="text1"/>
                      <w:szCs w:val="21"/>
                    </w:rPr>
                    <w:t>（</w:t>
                  </w:r>
                  <w:r>
                    <w:rPr>
                      <w:color w:val="000000" w:themeColor="text1"/>
                      <w:szCs w:val="21"/>
                    </w:rPr>
                    <w:t>采用UV光氧裂解+活性炭吸附</w:t>
                  </w:r>
                  <w:r>
                    <w:rPr>
                      <w:rFonts w:hint="eastAsia"/>
                      <w:color w:val="000000" w:themeColor="text1"/>
                      <w:szCs w:val="21"/>
                    </w:rPr>
                    <w:t>）和1</w:t>
                  </w:r>
                  <w:r>
                    <w:rPr>
                      <w:color w:val="000000" w:themeColor="text1"/>
                      <w:szCs w:val="21"/>
                    </w:rPr>
                    <w:t>根Φ0.5m、高15m的排气筒</w:t>
                  </w:r>
                  <w:r>
                    <w:rPr>
                      <w:rFonts w:hint="eastAsia"/>
                      <w:color w:val="000000" w:themeColor="text1"/>
                      <w:szCs w:val="21"/>
                    </w:rPr>
                    <w:t>（DA003）</w:t>
                  </w:r>
                </w:p>
              </w:tc>
              <w:tc>
                <w:tcPr>
                  <w:tcW w:w="470" w:type="pct"/>
                  <w:vAlign w:val="center"/>
                </w:tcPr>
                <w:p>
                  <w:pPr>
                    <w:pStyle w:val="30"/>
                    <w:spacing w:line="360" w:lineRule="exact"/>
                    <w:rPr>
                      <w:color w:val="000000" w:themeColor="text1"/>
                      <w:szCs w:val="21"/>
                    </w:rPr>
                  </w:pPr>
                  <w:r>
                    <w:rPr>
                      <w:rFonts w:hint="eastAsia"/>
                      <w:color w:val="000000" w:themeColor="text1"/>
                      <w:szCs w:val="21"/>
                    </w:rPr>
                    <w:t>“60”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5</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粉尘</w:t>
                  </w:r>
                </w:p>
              </w:tc>
              <w:tc>
                <w:tcPr>
                  <w:tcW w:w="782" w:type="pct"/>
                  <w:vAlign w:val="center"/>
                </w:tcPr>
                <w:p>
                  <w:pPr>
                    <w:pStyle w:val="30"/>
                    <w:spacing w:line="360" w:lineRule="exact"/>
                    <w:rPr>
                      <w:color w:val="000000" w:themeColor="text1"/>
                      <w:szCs w:val="21"/>
                    </w:rPr>
                  </w:pPr>
                  <w:r>
                    <w:rPr>
                      <w:color w:val="000000" w:themeColor="text1"/>
                      <w:szCs w:val="21"/>
                    </w:rPr>
                    <w:t>废旧洗衣机处理线</w:t>
                  </w:r>
                  <w:r>
                    <w:rPr>
                      <w:rFonts w:hint="eastAsia"/>
                      <w:color w:val="000000" w:themeColor="text1"/>
                      <w:szCs w:val="21"/>
                    </w:rPr>
                    <w:t>废气处理设施</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设置集气罩的集气效率不低于90%集气罩、1个处理效率不低于95%的4#脉冲除尘器和1根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（DA005）</w:t>
                  </w:r>
                </w:p>
              </w:tc>
              <w:tc>
                <w:tcPr>
                  <w:tcW w:w="470" w:type="pct"/>
                  <w:vAlign w:val="center"/>
                </w:tcPr>
                <w:p>
                  <w:pPr>
                    <w:pStyle w:val="30"/>
                    <w:spacing w:line="360" w:lineRule="exact"/>
                    <w:rPr>
                      <w:color w:val="000000" w:themeColor="text1"/>
                      <w:szCs w:val="21"/>
                    </w:rPr>
                  </w:pPr>
                  <w:r>
                    <w:rPr>
                      <w:rFonts w:hint="eastAsia"/>
                      <w:color w:val="000000" w:themeColor="text1"/>
                      <w:szCs w:val="21"/>
                    </w:rPr>
                    <w:t>10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2</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rFonts w:eastAsiaTheme="minorEastAsia"/>
                      <w:color w:val="000000" w:themeColor="text1"/>
                      <w:szCs w:val="21"/>
                    </w:rPr>
                  </w:pPr>
                  <w:r>
                    <w:rPr>
                      <w:rFonts w:hint="eastAsia"/>
                      <w:color w:val="000000" w:themeColor="text1"/>
                      <w:szCs w:val="21"/>
                    </w:rPr>
                    <w:t>粉尘</w:t>
                  </w:r>
                </w:p>
              </w:tc>
              <w:tc>
                <w:tcPr>
                  <w:tcW w:w="782" w:type="pct"/>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空调/小家电/废手机及其视听设备消费电子产品处理线废气处理设施</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项目已对喷吹室进行密闭，并设置1个集气效率不低于90%的集气罩对其进行收集，通过1根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tc>
              <w:tc>
                <w:tcPr>
                  <w:tcW w:w="470" w:type="pct"/>
                  <w:vAlign w:val="center"/>
                </w:tcPr>
                <w:p>
                  <w:pPr>
                    <w:pStyle w:val="30"/>
                    <w:spacing w:line="360" w:lineRule="exact"/>
                    <w:rPr>
                      <w:color w:val="000000" w:themeColor="text1"/>
                      <w:szCs w:val="21"/>
                    </w:rPr>
                  </w:pPr>
                  <w:r>
                    <w:rPr>
                      <w:rFonts w:hint="eastAsia"/>
                      <w:color w:val="000000" w:themeColor="text1"/>
                      <w:szCs w:val="21"/>
                    </w:rPr>
                    <w:t>“30”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3</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rFonts w:eastAsiaTheme="minorEastAsia"/>
                      <w:color w:val="000000" w:themeColor="text1"/>
                      <w:szCs w:val="21"/>
                    </w:rPr>
                  </w:pPr>
                  <w:r>
                    <w:rPr>
                      <w:rFonts w:hint="eastAsia"/>
                      <w:color w:val="000000" w:themeColor="text1"/>
                      <w:szCs w:val="21"/>
                    </w:rPr>
                    <w:t>粉尘、铅及其化合物</w:t>
                  </w:r>
                </w:p>
              </w:tc>
              <w:tc>
                <w:tcPr>
                  <w:tcW w:w="782" w:type="pct"/>
                  <w:vAlign w:val="center"/>
                </w:tcPr>
                <w:p>
                  <w:pPr>
                    <w:pStyle w:val="30"/>
                    <w:spacing w:line="360" w:lineRule="exact"/>
                    <w:rPr>
                      <w:color w:val="000000" w:themeColor="text1"/>
                      <w:szCs w:val="21"/>
                    </w:rPr>
                  </w:pPr>
                  <w:r>
                    <w:rPr>
                      <w:color w:val="000000" w:themeColor="text1"/>
                      <w:szCs w:val="21"/>
                    </w:rPr>
                    <w:t>1号废旧电视机（CRT）处理线</w:t>
                  </w:r>
                  <w:r>
                    <w:rPr>
                      <w:rFonts w:hint="eastAsia"/>
                      <w:color w:val="000000" w:themeColor="text1"/>
                      <w:szCs w:val="21"/>
                    </w:rPr>
                    <w:t>废气处理设施</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①在1个破碎区、2个人工喷吹室、1条人工拆解线工作台分别设置了集气效率不低于90%的集气罩和1根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w:t>
                  </w:r>
                </w:p>
                <w:p>
                  <w:pPr>
                    <w:pStyle w:val="30"/>
                    <w:spacing w:line="360" w:lineRule="exact"/>
                    <w:ind w:firstLine="210" w:firstLineChars="100"/>
                    <w:jc w:val="left"/>
                    <w:rPr>
                      <w:color w:val="000000" w:themeColor="text1"/>
                      <w:szCs w:val="21"/>
                    </w:rPr>
                  </w:pPr>
                  <w:r>
                    <w:rPr>
                      <w:rFonts w:hint="eastAsia"/>
                      <w:color w:val="000000" w:themeColor="text1"/>
                      <w:szCs w:val="21"/>
                    </w:rPr>
                    <w:t>②对7个阴极射线管（CRT）拆解工作台设置集气效率不低于95%的集气罩对其进行收集；1个处理效率不低于95%的2#脉冲除尘器和1根Φ0.5m、高15m的排气筒（DA002）外排。</w:t>
                  </w:r>
                </w:p>
              </w:tc>
              <w:tc>
                <w:tcPr>
                  <w:tcW w:w="470" w:type="pct"/>
                  <w:vAlign w:val="center"/>
                </w:tcPr>
                <w:p>
                  <w:pPr>
                    <w:pStyle w:val="30"/>
                    <w:spacing w:line="360" w:lineRule="exact"/>
                    <w:rPr>
                      <w:color w:val="000000" w:themeColor="text1"/>
                      <w:szCs w:val="21"/>
                    </w:rPr>
                  </w:pPr>
                  <w:r>
                    <w:rPr>
                      <w:rFonts w:hint="eastAsia"/>
                      <w:color w:val="000000" w:themeColor="text1"/>
                      <w:szCs w:val="21"/>
                    </w:rPr>
                    <w:t>“120”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5</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Merge w:val="restart"/>
                  <w:vAlign w:val="center"/>
                </w:tcPr>
                <w:p>
                  <w:pPr>
                    <w:pStyle w:val="30"/>
                    <w:spacing w:line="360" w:lineRule="exact"/>
                    <w:rPr>
                      <w:rFonts w:eastAsiaTheme="minorEastAsia"/>
                      <w:color w:val="000000" w:themeColor="text1"/>
                      <w:szCs w:val="21"/>
                    </w:rPr>
                  </w:pPr>
                  <w:r>
                    <w:rPr>
                      <w:rFonts w:hint="eastAsia"/>
                      <w:color w:val="000000" w:themeColor="text1"/>
                      <w:szCs w:val="21"/>
                    </w:rPr>
                    <w:t>粉尘、汞及其化合物</w:t>
                  </w:r>
                </w:p>
              </w:tc>
              <w:tc>
                <w:tcPr>
                  <w:tcW w:w="782" w:type="pct"/>
                  <w:vMerge w:val="restart"/>
                  <w:vAlign w:val="center"/>
                </w:tcPr>
                <w:p>
                  <w:pPr>
                    <w:pStyle w:val="30"/>
                    <w:spacing w:line="360" w:lineRule="exact"/>
                    <w:rPr>
                      <w:color w:val="000000" w:themeColor="text1"/>
                      <w:szCs w:val="21"/>
                    </w:rPr>
                  </w:pPr>
                  <w:r>
                    <w:rPr>
                      <w:rFonts w:hint="eastAsia"/>
                      <w:color w:val="000000" w:themeColor="text1"/>
                      <w:szCs w:val="21"/>
                    </w:rPr>
                    <w:t>2号废旧电视机（液晶电视）处理线废气处理设施</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拟对每个拆解工位设置集气效率不低于90%的集气罩进行收集。</w:t>
                  </w:r>
                </w:p>
              </w:tc>
              <w:tc>
                <w:tcPr>
                  <w:tcW w:w="470" w:type="pct"/>
                  <w:vAlign w:val="center"/>
                </w:tcPr>
                <w:p>
                  <w:pPr>
                    <w:pStyle w:val="30"/>
                    <w:spacing w:line="360" w:lineRule="exact"/>
                    <w:rPr>
                      <w:color w:val="000000" w:themeColor="text1"/>
                      <w:szCs w:val="21"/>
                    </w:rPr>
                  </w:pPr>
                  <w:r>
                    <w:rPr>
                      <w:rFonts w:hint="eastAsia"/>
                      <w:color w:val="000000" w:themeColor="text1"/>
                      <w:szCs w:val="21"/>
                    </w:rPr>
                    <w:t>“30”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4</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8" w:hRule="atLeast"/>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Merge w:val="continue"/>
                  <w:vAlign w:val="center"/>
                </w:tcPr>
                <w:p>
                  <w:pPr>
                    <w:pStyle w:val="30"/>
                    <w:spacing w:line="360" w:lineRule="exact"/>
                    <w:rPr>
                      <w:color w:val="000000" w:themeColor="text1"/>
                      <w:szCs w:val="21"/>
                    </w:rPr>
                  </w:pPr>
                </w:p>
              </w:tc>
              <w:tc>
                <w:tcPr>
                  <w:tcW w:w="782" w:type="pct"/>
                  <w:vMerge w:val="continue"/>
                  <w:vAlign w:val="center"/>
                </w:tcPr>
                <w:p>
                  <w:pPr>
                    <w:pStyle w:val="30"/>
                    <w:spacing w:line="360" w:lineRule="exact"/>
                    <w:rPr>
                      <w:color w:val="000000" w:themeColor="text1"/>
                      <w:szCs w:val="21"/>
                    </w:rPr>
                  </w:pP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汞及其化合物经负压系统全部收集后，通过</w:t>
                  </w:r>
                  <w:r>
                    <w:rPr>
                      <w:color w:val="000000" w:themeColor="text1"/>
                      <w:szCs w:val="21"/>
                    </w:rPr>
                    <w:t>1套</w:t>
                  </w:r>
                  <w:r>
                    <w:rPr>
                      <w:rFonts w:hint="eastAsia"/>
                      <w:color w:val="000000" w:themeColor="text1"/>
                      <w:szCs w:val="21"/>
                    </w:rPr>
                    <w:t>去除效率不低于80%的汞及其化合物处理装置（</w:t>
                  </w:r>
                  <w:r>
                    <w:rPr>
                      <w:color w:val="000000" w:themeColor="text1"/>
                      <w:szCs w:val="21"/>
                    </w:rPr>
                    <w:t>采用UV光氧裂解+</w:t>
                  </w:r>
                  <w:r>
                    <w:rPr>
                      <w:rFonts w:hint="eastAsia"/>
                      <w:color w:val="000000" w:themeColor="text1"/>
                      <w:szCs w:val="21"/>
                    </w:rPr>
                    <w:t>载硫</w:t>
                  </w:r>
                  <w:r>
                    <w:rPr>
                      <w:color w:val="000000" w:themeColor="text1"/>
                      <w:szCs w:val="21"/>
                    </w:rPr>
                    <w:t>活性炭吸附</w:t>
                  </w:r>
                  <w:r>
                    <w:rPr>
                      <w:rFonts w:hint="eastAsia"/>
                      <w:color w:val="000000" w:themeColor="text1"/>
                      <w:szCs w:val="21"/>
                    </w:rPr>
                    <w:t>）对其进行处理；通过1根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tc>
              <w:tc>
                <w:tcPr>
                  <w:tcW w:w="470" w:type="pct"/>
                  <w:vAlign w:val="center"/>
                </w:tcPr>
                <w:p>
                  <w:pPr>
                    <w:pStyle w:val="30"/>
                    <w:spacing w:line="360" w:lineRule="exact"/>
                    <w:rPr>
                      <w:color w:val="000000" w:themeColor="text1"/>
                      <w:szCs w:val="21"/>
                    </w:rPr>
                  </w:pPr>
                  <w:r>
                    <w:rPr>
                      <w:rFonts w:hint="eastAsia"/>
                      <w:color w:val="000000" w:themeColor="text1"/>
                      <w:szCs w:val="21"/>
                    </w:rPr>
                    <w:t>“40”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2</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restart"/>
                  <w:vAlign w:val="center"/>
                </w:tcPr>
                <w:p>
                  <w:pPr>
                    <w:pStyle w:val="30"/>
                    <w:spacing w:line="360" w:lineRule="exact"/>
                    <w:rPr>
                      <w:color w:val="000000" w:themeColor="text1"/>
                      <w:szCs w:val="21"/>
                    </w:rPr>
                  </w:pPr>
                  <w:r>
                    <w:rPr>
                      <w:color w:val="000000" w:themeColor="text1"/>
                      <w:szCs w:val="21"/>
                    </w:rPr>
                    <w:t>废水</w:t>
                  </w:r>
                </w:p>
              </w:tc>
              <w:tc>
                <w:tcPr>
                  <w:tcW w:w="1171" w:type="pct"/>
                  <w:gridSpan w:val="2"/>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雨污分流</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雨水管网</w:t>
                  </w:r>
                </w:p>
              </w:tc>
              <w:tc>
                <w:tcPr>
                  <w:tcW w:w="470" w:type="pct"/>
                  <w:vAlign w:val="center"/>
                </w:tcPr>
                <w:p>
                  <w:pPr>
                    <w:pStyle w:val="30"/>
                    <w:spacing w:line="360" w:lineRule="exact"/>
                    <w:rPr>
                      <w:color w:val="000000" w:themeColor="text1"/>
                      <w:szCs w:val="21"/>
                    </w:rPr>
                  </w:pPr>
                  <w:r>
                    <w:rPr>
                      <w:color w:val="000000" w:themeColor="text1"/>
                      <w:szCs w:val="21"/>
                    </w:rPr>
                    <w:t>--</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平衡盐水</w:t>
                  </w:r>
                </w:p>
              </w:tc>
              <w:tc>
                <w:tcPr>
                  <w:tcW w:w="782" w:type="pct"/>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盐水缸</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1个2</w:t>
                  </w:r>
                  <w:r>
                    <w:rPr>
                      <w:color w:val="000000" w:themeColor="text1"/>
                      <w:szCs w:val="21"/>
                    </w:rPr>
                    <w:t>m³</w:t>
                  </w:r>
                </w:p>
              </w:tc>
              <w:tc>
                <w:tcPr>
                  <w:tcW w:w="470" w:type="pct"/>
                  <w:vAlign w:val="center"/>
                </w:tcPr>
                <w:p>
                  <w:pPr>
                    <w:pStyle w:val="30"/>
                    <w:spacing w:line="360" w:lineRule="exact"/>
                    <w:rPr>
                      <w:color w:val="000000" w:themeColor="text1"/>
                      <w:szCs w:val="21"/>
                    </w:rPr>
                  </w:pPr>
                  <w:r>
                    <w:rPr>
                      <w:rFonts w:hint="eastAsia"/>
                      <w:color w:val="000000" w:themeColor="text1"/>
                      <w:szCs w:val="21"/>
                    </w:rPr>
                    <w:t>“1”</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color w:val="000000" w:themeColor="text1"/>
                      <w:szCs w:val="21"/>
                    </w:rPr>
                  </w:pPr>
                  <w:r>
                    <w:rPr>
                      <w:color w:val="000000" w:themeColor="text1"/>
                      <w:szCs w:val="21"/>
                    </w:rPr>
                    <w:t>初期雨水</w:t>
                  </w:r>
                </w:p>
              </w:tc>
              <w:tc>
                <w:tcPr>
                  <w:tcW w:w="782" w:type="pct"/>
                  <w:vAlign w:val="center"/>
                </w:tcPr>
                <w:p>
                  <w:pPr>
                    <w:pStyle w:val="30"/>
                    <w:spacing w:line="360" w:lineRule="exact"/>
                    <w:rPr>
                      <w:color w:val="000000" w:themeColor="text1"/>
                      <w:szCs w:val="21"/>
                    </w:rPr>
                  </w:pPr>
                  <w:r>
                    <w:rPr>
                      <w:color w:val="000000" w:themeColor="text1"/>
                      <w:szCs w:val="21"/>
                    </w:rPr>
                    <w:t>初期雨水收集池</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1个</w:t>
                  </w:r>
                  <w:r>
                    <w:rPr>
                      <w:rFonts w:hint="eastAsia"/>
                      <w:color w:val="000000" w:themeColor="text1"/>
                      <w:szCs w:val="21"/>
                    </w:rPr>
                    <w:t>3</w:t>
                  </w:r>
                  <w:r>
                    <w:rPr>
                      <w:color w:val="000000" w:themeColor="text1"/>
                      <w:szCs w:val="21"/>
                    </w:rPr>
                    <w:t>0m³</w:t>
                  </w:r>
                </w:p>
              </w:tc>
              <w:tc>
                <w:tcPr>
                  <w:tcW w:w="470" w:type="pct"/>
                  <w:vAlign w:val="center"/>
                </w:tcPr>
                <w:p>
                  <w:pPr>
                    <w:pStyle w:val="30"/>
                    <w:spacing w:line="360" w:lineRule="exact"/>
                    <w:rPr>
                      <w:color w:val="000000" w:themeColor="text1"/>
                      <w:szCs w:val="21"/>
                    </w:rPr>
                  </w:pPr>
                  <w:r>
                    <w:rPr>
                      <w:rFonts w:hint="eastAsia"/>
                      <w:color w:val="000000" w:themeColor="text1"/>
                      <w:szCs w:val="21"/>
                    </w:rPr>
                    <w:t>5</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Merge w:val="restart"/>
                  <w:vAlign w:val="center"/>
                </w:tcPr>
                <w:p>
                  <w:pPr>
                    <w:pStyle w:val="30"/>
                    <w:spacing w:line="360" w:lineRule="exact"/>
                    <w:rPr>
                      <w:color w:val="000000" w:themeColor="text1"/>
                      <w:szCs w:val="21"/>
                    </w:rPr>
                  </w:pPr>
                  <w:r>
                    <w:rPr>
                      <w:color w:val="000000" w:themeColor="text1"/>
                      <w:szCs w:val="21"/>
                    </w:rPr>
                    <w:t>生活污水</w:t>
                  </w:r>
                </w:p>
              </w:tc>
              <w:tc>
                <w:tcPr>
                  <w:tcW w:w="782" w:type="pct"/>
                  <w:vAlign w:val="center"/>
                </w:tcPr>
                <w:p>
                  <w:pPr>
                    <w:pStyle w:val="30"/>
                    <w:spacing w:line="360" w:lineRule="exact"/>
                    <w:rPr>
                      <w:color w:val="000000" w:themeColor="text1"/>
                      <w:szCs w:val="21"/>
                    </w:rPr>
                  </w:pPr>
                  <w:r>
                    <w:rPr>
                      <w:color w:val="000000" w:themeColor="text1"/>
                      <w:szCs w:val="21"/>
                    </w:rPr>
                    <w:t>隔油池</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1个2m³</w:t>
                  </w:r>
                </w:p>
              </w:tc>
              <w:tc>
                <w:tcPr>
                  <w:tcW w:w="470" w:type="pct"/>
                  <w:vAlign w:val="center"/>
                </w:tcPr>
                <w:p>
                  <w:pPr>
                    <w:pStyle w:val="30"/>
                    <w:spacing w:line="360" w:lineRule="exact"/>
                    <w:rPr>
                      <w:color w:val="000000" w:themeColor="text1"/>
                      <w:szCs w:val="21"/>
                    </w:rPr>
                  </w:pPr>
                  <w:r>
                    <w:rPr>
                      <w:rFonts w:hint="eastAsia"/>
                      <w:color w:val="000000" w:themeColor="text1"/>
                      <w:szCs w:val="21"/>
                    </w:rPr>
                    <w:t>“0.5”</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Merge w:val="continue"/>
                  <w:vAlign w:val="center"/>
                </w:tcPr>
                <w:p>
                  <w:pPr>
                    <w:pStyle w:val="30"/>
                    <w:spacing w:line="360" w:lineRule="exact"/>
                    <w:rPr>
                      <w:color w:val="000000" w:themeColor="text1"/>
                      <w:szCs w:val="21"/>
                    </w:rPr>
                  </w:pPr>
                </w:p>
              </w:tc>
              <w:tc>
                <w:tcPr>
                  <w:tcW w:w="782" w:type="pct"/>
                  <w:vAlign w:val="center"/>
                </w:tcPr>
                <w:p>
                  <w:pPr>
                    <w:pStyle w:val="30"/>
                    <w:spacing w:line="360" w:lineRule="exact"/>
                    <w:rPr>
                      <w:color w:val="000000" w:themeColor="text1"/>
                      <w:szCs w:val="21"/>
                    </w:rPr>
                  </w:pPr>
                  <w:r>
                    <w:rPr>
                      <w:color w:val="000000" w:themeColor="text1"/>
                      <w:szCs w:val="21"/>
                    </w:rPr>
                    <w:t>化粪池</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3个5m³</w:t>
                  </w:r>
                </w:p>
              </w:tc>
              <w:tc>
                <w:tcPr>
                  <w:tcW w:w="470" w:type="pct"/>
                  <w:vAlign w:val="center"/>
                </w:tcPr>
                <w:p>
                  <w:pPr>
                    <w:pStyle w:val="30"/>
                    <w:spacing w:line="360" w:lineRule="exact"/>
                    <w:rPr>
                      <w:color w:val="000000" w:themeColor="text1"/>
                      <w:szCs w:val="21"/>
                    </w:rPr>
                  </w:pPr>
                  <w:r>
                    <w:rPr>
                      <w:rFonts w:hint="eastAsia"/>
                      <w:color w:val="000000" w:themeColor="text1"/>
                      <w:szCs w:val="21"/>
                    </w:rPr>
                    <w:t>“3”</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Merge w:val="continue"/>
                  <w:vAlign w:val="center"/>
                </w:tcPr>
                <w:p>
                  <w:pPr>
                    <w:pStyle w:val="30"/>
                    <w:spacing w:line="360" w:lineRule="exact"/>
                    <w:rPr>
                      <w:color w:val="000000" w:themeColor="text1"/>
                      <w:szCs w:val="21"/>
                    </w:rPr>
                  </w:pPr>
                </w:p>
              </w:tc>
              <w:tc>
                <w:tcPr>
                  <w:tcW w:w="782" w:type="pct"/>
                  <w:vAlign w:val="center"/>
                </w:tcPr>
                <w:p>
                  <w:pPr>
                    <w:pStyle w:val="30"/>
                    <w:spacing w:line="360" w:lineRule="exact"/>
                    <w:rPr>
                      <w:color w:val="000000" w:themeColor="text1"/>
                      <w:szCs w:val="21"/>
                    </w:rPr>
                  </w:pPr>
                  <w:r>
                    <w:rPr>
                      <w:rFonts w:hint="eastAsia" w:eastAsiaTheme="minorEastAsia"/>
                      <w:color w:val="000000" w:themeColor="text1"/>
                      <w:szCs w:val="21"/>
                    </w:rPr>
                    <w:t>一体化污水处理设施</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1套处理能力为</w:t>
                  </w:r>
                  <w:r>
                    <w:rPr>
                      <w:rFonts w:hint="eastAsia"/>
                      <w:color w:val="000000" w:themeColor="text1"/>
                      <w:szCs w:val="21"/>
                    </w:rPr>
                    <w:t>30</w:t>
                  </w:r>
                  <w:r>
                    <w:rPr>
                      <w:color w:val="000000" w:themeColor="text1"/>
                      <w:szCs w:val="21"/>
                    </w:rPr>
                    <w:t>m³/d</w:t>
                  </w:r>
                </w:p>
              </w:tc>
              <w:tc>
                <w:tcPr>
                  <w:tcW w:w="470" w:type="pct"/>
                  <w:vAlign w:val="center"/>
                </w:tcPr>
                <w:p>
                  <w:pPr>
                    <w:pStyle w:val="30"/>
                    <w:spacing w:line="360" w:lineRule="exact"/>
                    <w:rPr>
                      <w:color w:val="000000" w:themeColor="text1"/>
                      <w:szCs w:val="21"/>
                    </w:rPr>
                  </w:pPr>
                  <w:r>
                    <w:rPr>
                      <w:rFonts w:hint="eastAsia"/>
                      <w:color w:val="000000" w:themeColor="text1"/>
                      <w:szCs w:val="21"/>
                    </w:rPr>
                    <w:t>30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rFonts w:hint="eastAsia"/>
                      <w:color w:val="000000" w:themeColor="text1"/>
                      <w:szCs w:val="21"/>
                    </w:rPr>
                    <w:t>2</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Merge w:val="continue"/>
                  <w:vAlign w:val="center"/>
                </w:tcPr>
                <w:p>
                  <w:pPr>
                    <w:pStyle w:val="30"/>
                    <w:spacing w:line="360" w:lineRule="exact"/>
                    <w:rPr>
                      <w:color w:val="000000" w:themeColor="text1"/>
                      <w:szCs w:val="21"/>
                    </w:rPr>
                  </w:pPr>
                </w:p>
              </w:tc>
              <w:tc>
                <w:tcPr>
                  <w:tcW w:w="782" w:type="pct"/>
                  <w:vAlign w:val="center"/>
                </w:tcPr>
                <w:p>
                  <w:pPr>
                    <w:pStyle w:val="30"/>
                    <w:spacing w:line="360" w:lineRule="exact"/>
                    <w:rPr>
                      <w:color w:val="000000" w:themeColor="text1"/>
                      <w:szCs w:val="21"/>
                    </w:rPr>
                  </w:pPr>
                  <w:r>
                    <w:rPr>
                      <w:rFonts w:hint="eastAsia" w:eastAsiaTheme="minorEastAsia"/>
                      <w:color w:val="000000" w:themeColor="text1"/>
                      <w:szCs w:val="21"/>
                    </w:rPr>
                    <w:t>清水池</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1个有效容积为</w:t>
                  </w:r>
                  <w:r>
                    <w:rPr>
                      <w:rFonts w:hint="eastAsia"/>
                      <w:color w:val="000000" w:themeColor="text1"/>
                      <w:szCs w:val="21"/>
                    </w:rPr>
                    <w:t>30</w:t>
                  </w:r>
                  <w:r>
                    <w:rPr>
                      <w:color w:val="000000" w:themeColor="text1"/>
                      <w:szCs w:val="21"/>
                    </w:rPr>
                    <w:t>m³</w:t>
                  </w:r>
                </w:p>
              </w:tc>
              <w:tc>
                <w:tcPr>
                  <w:tcW w:w="470" w:type="pct"/>
                  <w:vAlign w:val="center"/>
                </w:tcPr>
                <w:p>
                  <w:pPr>
                    <w:pStyle w:val="30"/>
                    <w:spacing w:line="360" w:lineRule="exact"/>
                    <w:rPr>
                      <w:color w:val="000000" w:themeColor="text1"/>
                      <w:szCs w:val="21"/>
                    </w:rPr>
                  </w:pPr>
                  <w:r>
                    <w:rPr>
                      <w:rFonts w:hint="eastAsia"/>
                      <w:color w:val="000000" w:themeColor="text1"/>
                      <w:szCs w:val="21"/>
                    </w:rPr>
                    <w:t>10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718" w:type="pct"/>
                  <w:gridSpan w:val="2"/>
                  <w:vMerge w:val="restart"/>
                  <w:vAlign w:val="center"/>
                </w:tcPr>
                <w:p>
                  <w:pPr>
                    <w:pStyle w:val="30"/>
                    <w:spacing w:line="360" w:lineRule="exact"/>
                    <w:rPr>
                      <w:color w:val="000000" w:themeColor="text1"/>
                      <w:szCs w:val="21"/>
                    </w:rPr>
                  </w:pPr>
                  <w:r>
                    <w:rPr>
                      <w:color w:val="000000" w:themeColor="text1"/>
                      <w:szCs w:val="21"/>
                    </w:rPr>
                    <w:t>地下水防渗</w:t>
                  </w:r>
                </w:p>
              </w:tc>
              <w:tc>
                <w:tcPr>
                  <w:tcW w:w="782" w:type="pct"/>
                  <w:vAlign w:val="center"/>
                </w:tcPr>
                <w:p>
                  <w:pPr>
                    <w:pStyle w:val="30"/>
                    <w:spacing w:line="360" w:lineRule="exact"/>
                    <w:rPr>
                      <w:color w:val="000000" w:themeColor="text1"/>
                      <w:szCs w:val="21"/>
                    </w:rPr>
                  </w:pPr>
                  <w:r>
                    <w:rPr>
                      <w:color w:val="000000" w:themeColor="text1"/>
                      <w:szCs w:val="21"/>
                    </w:rPr>
                    <w:t>重点防渗区</w:t>
                  </w:r>
                </w:p>
              </w:tc>
              <w:tc>
                <w:tcPr>
                  <w:tcW w:w="1474" w:type="pct"/>
                  <w:vAlign w:val="center"/>
                </w:tcPr>
                <w:p>
                  <w:pPr>
                    <w:pStyle w:val="30"/>
                    <w:spacing w:line="360" w:lineRule="exact"/>
                    <w:ind w:firstLine="210" w:firstLineChars="100"/>
                    <w:jc w:val="left"/>
                    <w:rPr>
                      <w:color w:val="000000" w:themeColor="text1"/>
                      <w:szCs w:val="21"/>
                      <w:lang w:val="en-US"/>
                    </w:rPr>
                  </w:pPr>
                  <w:r>
                    <w:rPr>
                      <w:color w:val="000000" w:themeColor="text1"/>
                      <w:szCs w:val="21"/>
                    </w:rPr>
                    <w:t>重点防渗区为</w:t>
                  </w:r>
                  <w:r>
                    <w:rPr>
                      <w:rFonts w:hint="eastAsia"/>
                      <w:color w:val="000000" w:themeColor="text1"/>
                      <w:szCs w:val="21"/>
                    </w:rPr>
                    <w:t>废电路板暂存区、4个危险废物贮存间；其地面和裙墙均已采用环氧树脂等防渗漆进行防渗</w:t>
                  </w:r>
                  <w:r>
                    <w:rPr>
                      <w:color w:val="000000" w:themeColor="text1"/>
                      <w:szCs w:val="21"/>
                    </w:rPr>
                    <w:t>其渗透系数≤10</w:t>
                  </w:r>
                  <w:r>
                    <w:rPr>
                      <w:color w:val="000000" w:themeColor="text1"/>
                      <w:szCs w:val="21"/>
                      <w:vertAlign w:val="superscript"/>
                    </w:rPr>
                    <w:t>-10</w:t>
                  </w:r>
                  <w:r>
                    <w:rPr>
                      <w:color w:val="000000" w:themeColor="text1"/>
                      <w:szCs w:val="21"/>
                    </w:rPr>
                    <w:t>cm/s</w:t>
                  </w:r>
                </w:p>
              </w:tc>
              <w:tc>
                <w:tcPr>
                  <w:tcW w:w="470" w:type="pct"/>
                  <w:vAlign w:val="center"/>
                </w:tcPr>
                <w:p>
                  <w:pPr>
                    <w:pStyle w:val="30"/>
                    <w:spacing w:line="360" w:lineRule="exact"/>
                    <w:rPr>
                      <w:color w:val="000000" w:themeColor="text1"/>
                      <w:szCs w:val="21"/>
                    </w:rPr>
                  </w:pPr>
                  <w:r>
                    <w:rPr>
                      <w:rFonts w:hint="eastAsia"/>
                      <w:color w:val="000000" w:themeColor="text1"/>
                      <w:szCs w:val="21"/>
                    </w:rPr>
                    <w:t>“36”</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718" w:type="pct"/>
                  <w:gridSpan w:val="2"/>
                  <w:vMerge w:val="continue"/>
                  <w:vAlign w:val="center"/>
                </w:tcPr>
                <w:p>
                  <w:pPr>
                    <w:pStyle w:val="30"/>
                    <w:spacing w:line="360" w:lineRule="exact"/>
                    <w:rPr>
                      <w:color w:val="000000" w:themeColor="text1"/>
                      <w:szCs w:val="21"/>
                    </w:rPr>
                  </w:pPr>
                </w:p>
              </w:tc>
              <w:tc>
                <w:tcPr>
                  <w:tcW w:w="782" w:type="pct"/>
                  <w:vAlign w:val="center"/>
                </w:tcPr>
                <w:p>
                  <w:pPr>
                    <w:pStyle w:val="30"/>
                    <w:spacing w:line="360" w:lineRule="exact"/>
                    <w:rPr>
                      <w:color w:val="000000" w:themeColor="text1"/>
                      <w:szCs w:val="21"/>
                    </w:rPr>
                  </w:pPr>
                  <w:r>
                    <w:rPr>
                      <w:color w:val="000000" w:themeColor="text1"/>
                      <w:szCs w:val="21"/>
                    </w:rPr>
                    <w:t>一般防渗区</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一般防渗区措施地面采取粘土铺底，并在上层铺30cm的混凝土进行硬化。</w:t>
                  </w:r>
                  <w:r>
                    <w:rPr>
                      <w:rFonts w:hint="eastAsia"/>
                      <w:color w:val="000000" w:themeColor="text1"/>
                      <w:szCs w:val="21"/>
                    </w:rPr>
                    <w:t>其渗透系数</w:t>
                  </w:r>
                  <w:r>
                    <w:rPr>
                      <w:color w:val="000000" w:themeColor="text1"/>
                      <w:szCs w:val="21"/>
                    </w:rPr>
                    <w:t>≤1.0×10</w:t>
                  </w:r>
                  <w:r>
                    <w:rPr>
                      <w:color w:val="000000" w:themeColor="text1"/>
                      <w:szCs w:val="21"/>
                      <w:vertAlign w:val="superscript"/>
                    </w:rPr>
                    <w:t>-</w:t>
                  </w:r>
                  <w:r>
                    <w:rPr>
                      <w:rFonts w:hint="eastAsia"/>
                      <w:color w:val="000000" w:themeColor="text1"/>
                      <w:szCs w:val="21"/>
                      <w:vertAlign w:val="superscript"/>
                    </w:rPr>
                    <w:t>7</w:t>
                  </w:r>
                  <w:r>
                    <w:rPr>
                      <w:color w:val="000000" w:themeColor="text1"/>
                      <w:szCs w:val="21"/>
                    </w:rPr>
                    <w:t>cm/s</w:t>
                  </w:r>
                </w:p>
              </w:tc>
              <w:tc>
                <w:tcPr>
                  <w:tcW w:w="470" w:type="pct"/>
                  <w:vAlign w:val="center"/>
                </w:tcPr>
                <w:p>
                  <w:pPr>
                    <w:pStyle w:val="30"/>
                    <w:spacing w:line="360" w:lineRule="exact"/>
                    <w:rPr>
                      <w:color w:val="000000" w:themeColor="text1"/>
                      <w:szCs w:val="21"/>
                    </w:rPr>
                  </w:pPr>
                  <w:r>
                    <w:rPr>
                      <w:rFonts w:hint="eastAsia"/>
                      <w:color w:val="000000" w:themeColor="text1"/>
                      <w:szCs w:val="21"/>
                    </w:rPr>
                    <w:t>“160”</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Align w:val="center"/>
                </w:tcPr>
                <w:p>
                  <w:pPr>
                    <w:pStyle w:val="30"/>
                    <w:spacing w:line="360" w:lineRule="exact"/>
                    <w:rPr>
                      <w:color w:val="000000" w:themeColor="text1"/>
                      <w:szCs w:val="21"/>
                    </w:rPr>
                  </w:pPr>
                  <w:r>
                    <w:rPr>
                      <w:color w:val="000000" w:themeColor="text1"/>
                      <w:szCs w:val="21"/>
                    </w:rPr>
                    <w:t>噪声</w:t>
                  </w:r>
                </w:p>
              </w:tc>
              <w:tc>
                <w:tcPr>
                  <w:tcW w:w="389" w:type="pct"/>
                  <w:vAlign w:val="center"/>
                </w:tcPr>
                <w:p>
                  <w:pPr>
                    <w:pStyle w:val="30"/>
                    <w:spacing w:line="360" w:lineRule="exact"/>
                    <w:rPr>
                      <w:color w:val="000000" w:themeColor="text1"/>
                      <w:szCs w:val="21"/>
                    </w:rPr>
                  </w:pPr>
                  <w:r>
                    <w:rPr>
                      <w:color w:val="000000" w:themeColor="text1"/>
                      <w:szCs w:val="21"/>
                    </w:rPr>
                    <w:t>设备噪声</w:t>
                  </w:r>
                </w:p>
              </w:tc>
              <w:tc>
                <w:tcPr>
                  <w:tcW w:w="782" w:type="pct"/>
                  <w:vAlign w:val="center"/>
                </w:tcPr>
                <w:p>
                  <w:pPr>
                    <w:pStyle w:val="30"/>
                    <w:spacing w:line="360" w:lineRule="exact"/>
                    <w:rPr>
                      <w:color w:val="000000" w:themeColor="text1"/>
                      <w:szCs w:val="21"/>
                    </w:rPr>
                  </w:pPr>
                  <w:r>
                    <w:rPr>
                      <w:color w:val="000000" w:themeColor="text1"/>
                      <w:szCs w:val="21"/>
                    </w:rPr>
                    <w:t>减震垫、消声器等</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设备基础加装减震垫、消声器等</w:t>
                  </w:r>
                </w:p>
              </w:tc>
              <w:tc>
                <w:tcPr>
                  <w:tcW w:w="470" w:type="pct"/>
                  <w:vAlign w:val="center"/>
                </w:tcPr>
                <w:p>
                  <w:pPr>
                    <w:pStyle w:val="30"/>
                    <w:spacing w:line="360" w:lineRule="exact"/>
                    <w:rPr>
                      <w:color w:val="000000" w:themeColor="text1"/>
                      <w:szCs w:val="21"/>
                    </w:rPr>
                  </w:pPr>
                  <w:r>
                    <w:rPr>
                      <w:color w:val="000000" w:themeColor="text1"/>
                      <w:szCs w:val="21"/>
                    </w:rPr>
                    <w:t>2</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restart"/>
                  <w:vAlign w:val="center"/>
                </w:tcPr>
                <w:p>
                  <w:pPr>
                    <w:pStyle w:val="30"/>
                    <w:spacing w:line="360" w:lineRule="exact"/>
                    <w:rPr>
                      <w:color w:val="000000" w:themeColor="text1"/>
                      <w:szCs w:val="21"/>
                    </w:rPr>
                  </w:pPr>
                  <w:r>
                    <w:rPr>
                      <w:color w:val="000000" w:themeColor="text1"/>
                      <w:szCs w:val="21"/>
                    </w:rPr>
                    <w:t>固废</w:t>
                  </w:r>
                </w:p>
              </w:tc>
              <w:tc>
                <w:tcPr>
                  <w:tcW w:w="389" w:type="pct"/>
                  <w:vAlign w:val="center"/>
                </w:tcPr>
                <w:p>
                  <w:pPr>
                    <w:pStyle w:val="30"/>
                    <w:spacing w:line="360" w:lineRule="exact"/>
                    <w:rPr>
                      <w:color w:val="000000" w:themeColor="text1"/>
                      <w:szCs w:val="21"/>
                    </w:rPr>
                  </w:pPr>
                  <w:r>
                    <w:rPr>
                      <w:color w:val="000000" w:themeColor="text1"/>
                      <w:szCs w:val="21"/>
                    </w:rPr>
                    <w:t>危险废物</w:t>
                  </w:r>
                </w:p>
              </w:tc>
              <w:tc>
                <w:tcPr>
                  <w:tcW w:w="782" w:type="pct"/>
                  <w:vAlign w:val="center"/>
                </w:tcPr>
                <w:p>
                  <w:pPr>
                    <w:pStyle w:val="30"/>
                    <w:spacing w:line="360" w:lineRule="exact"/>
                    <w:rPr>
                      <w:color w:val="000000" w:themeColor="text1"/>
                      <w:szCs w:val="21"/>
                    </w:rPr>
                  </w:pPr>
                  <w:r>
                    <w:rPr>
                      <w:color w:val="000000" w:themeColor="text1"/>
                      <w:szCs w:val="21"/>
                    </w:rPr>
                    <w:t>危险废物贮存间</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200</w:t>
                  </w:r>
                  <w:r>
                    <w:rPr>
                      <w:color w:val="000000" w:themeColor="text1"/>
                      <w:szCs w:val="21"/>
                    </w:rPr>
                    <w:t>m²</w:t>
                  </w:r>
                  <w:r>
                    <w:rPr>
                      <w:rFonts w:hint="eastAsia"/>
                      <w:color w:val="000000" w:themeColor="text1"/>
                      <w:szCs w:val="21"/>
                    </w:rPr>
                    <w:t>的废电路板暂存区、100</w:t>
                  </w:r>
                  <w:r>
                    <w:rPr>
                      <w:color w:val="000000" w:themeColor="text1"/>
                      <w:szCs w:val="21"/>
                    </w:rPr>
                    <w:t>m²</w:t>
                  </w:r>
                  <w:r>
                    <w:rPr>
                      <w:rFonts w:hint="eastAsia"/>
                      <w:color w:val="000000" w:themeColor="text1"/>
                      <w:szCs w:val="21"/>
                    </w:rPr>
                    <w:t>的阴极射线管（锥玻璃）含铅贮存区、</w:t>
                  </w:r>
                  <w:r>
                    <w:rPr>
                      <w:color w:val="000000" w:themeColor="text1"/>
                      <w:szCs w:val="21"/>
                    </w:rPr>
                    <w:t>4个面积分别约为30m²危险废物贮存间</w:t>
                  </w:r>
                </w:p>
              </w:tc>
              <w:tc>
                <w:tcPr>
                  <w:tcW w:w="470" w:type="pct"/>
                  <w:vAlign w:val="center"/>
                </w:tcPr>
                <w:p>
                  <w:pPr>
                    <w:pStyle w:val="30"/>
                    <w:spacing w:line="360" w:lineRule="exact"/>
                    <w:rPr>
                      <w:color w:val="000000" w:themeColor="text1"/>
                      <w:szCs w:val="21"/>
                    </w:rPr>
                  </w:pPr>
                  <w:r>
                    <w:rPr>
                      <w:rFonts w:hint="eastAsia"/>
                      <w:color w:val="000000" w:themeColor="text1"/>
                      <w:szCs w:val="21"/>
                    </w:rPr>
                    <w:t>“26”</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6</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Merge w:val="continue"/>
                  <w:vAlign w:val="center"/>
                </w:tcPr>
                <w:p>
                  <w:pPr>
                    <w:pStyle w:val="30"/>
                    <w:spacing w:line="360" w:lineRule="exact"/>
                    <w:rPr>
                      <w:color w:val="000000" w:themeColor="text1"/>
                      <w:szCs w:val="21"/>
                    </w:rPr>
                  </w:pPr>
                </w:p>
              </w:tc>
              <w:tc>
                <w:tcPr>
                  <w:tcW w:w="389" w:type="pct"/>
                  <w:vAlign w:val="center"/>
                </w:tcPr>
                <w:p>
                  <w:pPr>
                    <w:pStyle w:val="30"/>
                    <w:spacing w:line="360" w:lineRule="exact"/>
                    <w:rPr>
                      <w:color w:val="000000" w:themeColor="text1"/>
                      <w:szCs w:val="21"/>
                    </w:rPr>
                  </w:pPr>
                  <w:r>
                    <w:rPr>
                      <w:rFonts w:hint="eastAsia"/>
                      <w:color w:val="000000" w:themeColor="text1"/>
                      <w:szCs w:val="21"/>
                    </w:rPr>
                    <w:t>生活垃圾</w:t>
                  </w:r>
                </w:p>
              </w:tc>
              <w:tc>
                <w:tcPr>
                  <w:tcW w:w="782" w:type="pct"/>
                  <w:vAlign w:val="center"/>
                </w:tcPr>
                <w:p>
                  <w:pPr>
                    <w:pStyle w:val="30"/>
                    <w:spacing w:line="360" w:lineRule="exact"/>
                    <w:rPr>
                      <w:color w:val="000000" w:themeColor="text1"/>
                      <w:szCs w:val="21"/>
                    </w:rPr>
                  </w:pPr>
                  <w:r>
                    <w:rPr>
                      <w:rFonts w:hint="eastAsia"/>
                      <w:color w:val="000000" w:themeColor="text1"/>
                      <w:szCs w:val="21"/>
                    </w:rPr>
                    <w:t>生活垃圾桶</w:t>
                  </w:r>
                </w:p>
              </w:tc>
              <w:tc>
                <w:tcPr>
                  <w:tcW w:w="1474" w:type="pct"/>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w:t>
                  </w:r>
                </w:p>
              </w:tc>
              <w:tc>
                <w:tcPr>
                  <w:tcW w:w="470" w:type="pct"/>
                  <w:vAlign w:val="center"/>
                </w:tcPr>
                <w:p>
                  <w:pPr>
                    <w:pStyle w:val="30"/>
                    <w:spacing w:line="360" w:lineRule="exact"/>
                    <w:rPr>
                      <w:color w:val="000000" w:themeColor="text1"/>
                      <w:szCs w:val="21"/>
                    </w:rPr>
                  </w:pPr>
                  <w:r>
                    <w:rPr>
                      <w:rFonts w:hint="eastAsia"/>
                      <w:color w:val="000000" w:themeColor="text1"/>
                      <w:szCs w:val="21"/>
                    </w:rPr>
                    <w:t>0.01</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2</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vAlign w:val="center"/>
                </w:tcPr>
                <w:p>
                  <w:pPr>
                    <w:pStyle w:val="30"/>
                    <w:spacing w:line="360" w:lineRule="exact"/>
                    <w:rPr>
                      <w:color w:val="000000" w:themeColor="text1"/>
                      <w:szCs w:val="21"/>
                    </w:rPr>
                  </w:pPr>
                </w:p>
              </w:tc>
              <w:tc>
                <w:tcPr>
                  <w:tcW w:w="329" w:type="pct"/>
                  <w:vAlign w:val="center"/>
                </w:tcPr>
                <w:p>
                  <w:pPr>
                    <w:pStyle w:val="30"/>
                    <w:spacing w:line="360" w:lineRule="exact"/>
                    <w:rPr>
                      <w:color w:val="000000" w:themeColor="text1"/>
                      <w:szCs w:val="21"/>
                    </w:rPr>
                  </w:pPr>
                  <w:r>
                    <w:rPr>
                      <w:color w:val="000000" w:themeColor="text1"/>
                      <w:szCs w:val="21"/>
                    </w:rPr>
                    <w:t>其他</w:t>
                  </w:r>
                </w:p>
              </w:tc>
              <w:tc>
                <w:tcPr>
                  <w:tcW w:w="1171" w:type="pct"/>
                  <w:gridSpan w:val="2"/>
                  <w:vAlign w:val="center"/>
                </w:tcPr>
                <w:p>
                  <w:pPr>
                    <w:pStyle w:val="30"/>
                    <w:spacing w:line="360" w:lineRule="exact"/>
                    <w:rPr>
                      <w:color w:val="000000" w:themeColor="text1"/>
                      <w:szCs w:val="21"/>
                    </w:rPr>
                  </w:pPr>
                  <w:r>
                    <w:rPr>
                      <w:color w:val="000000" w:themeColor="text1"/>
                      <w:szCs w:val="21"/>
                    </w:rPr>
                    <w:t>标识牌</w:t>
                  </w:r>
                </w:p>
              </w:tc>
              <w:tc>
                <w:tcPr>
                  <w:tcW w:w="1474" w:type="pct"/>
                  <w:vAlign w:val="center"/>
                </w:tcPr>
                <w:p>
                  <w:pPr>
                    <w:pStyle w:val="30"/>
                    <w:spacing w:line="360" w:lineRule="exact"/>
                    <w:ind w:firstLine="210" w:firstLineChars="100"/>
                    <w:jc w:val="left"/>
                    <w:rPr>
                      <w:color w:val="000000" w:themeColor="text1"/>
                      <w:szCs w:val="21"/>
                    </w:rPr>
                  </w:pPr>
                  <w:r>
                    <w:rPr>
                      <w:color w:val="000000" w:themeColor="text1"/>
                      <w:szCs w:val="21"/>
                    </w:rPr>
                    <w:t>--</w:t>
                  </w:r>
                </w:p>
              </w:tc>
              <w:tc>
                <w:tcPr>
                  <w:tcW w:w="470" w:type="pct"/>
                  <w:vAlign w:val="center"/>
                </w:tcPr>
                <w:p>
                  <w:pPr>
                    <w:pStyle w:val="30"/>
                    <w:spacing w:line="360" w:lineRule="exact"/>
                    <w:rPr>
                      <w:color w:val="000000" w:themeColor="text1"/>
                      <w:szCs w:val="21"/>
                    </w:rPr>
                  </w:pPr>
                  <w:r>
                    <w:rPr>
                      <w:color w:val="000000" w:themeColor="text1"/>
                      <w:szCs w:val="21"/>
                    </w:rPr>
                    <w:t>0.1</w:t>
                  </w:r>
                </w:p>
              </w:tc>
              <w:tc>
                <w:tcPr>
                  <w:tcW w:w="404" w:type="pct"/>
                  <w:gridSpan w:val="2"/>
                  <w:vMerge w:val="continue"/>
                  <w:vAlign w:val="center"/>
                </w:tcPr>
                <w:p>
                  <w:pPr>
                    <w:pStyle w:val="30"/>
                    <w:spacing w:line="360" w:lineRule="exact"/>
                    <w:rPr>
                      <w:color w:val="000000" w:themeColor="text1"/>
                      <w:szCs w:val="21"/>
                    </w:rPr>
                  </w:pPr>
                </w:p>
              </w:tc>
              <w:tc>
                <w:tcPr>
                  <w:tcW w:w="454" w:type="pct"/>
                  <w:vAlign w:val="center"/>
                </w:tcPr>
                <w:p>
                  <w:pPr>
                    <w:pStyle w:val="30"/>
                    <w:spacing w:line="360" w:lineRule="exact"/>
                    <w:rPr>
                      <w:color w:val="000000" w:themeColor="text1"/>
                      <w:szCs w:val="21"/>
                    </w:rPr>
                  </w:pPr>
                  <w:r>
                    <w:rPr>
                      <w:color w:val="000000" w:themeColor="text1"/>
                      <w:szCs w:val="21"/>
                    </w:rPr>
                    <w:t>0</w:t>
                  </w:r>
                </w:p>
              </w:tc>
              <w:tc>
                <w:tcPr>
                  <w:tcW w:w="413" w:type="pct"/>
                  <w:vMerge w:val="continue"/>
                  <w:vAlign w:val="center"/>
                </w:tcPr>
                <w:p>
                  <w:pPr>
                    <w:pStyle w:val="30"/>
                    <w:spacing w:line="360" w:lineRule="exact"/>
                    <w:rPr>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pct"/>
                  <w:gridSpan w:val="5"/>
                  <w:vAlign w:val="center"/>
                </w:tcPr>
                <w:p>
                  <w:pPr>
                    <w:pStyle w:val="30"/>
                    <w:spacing w:line="360" w:lineRule="exact"/>
                    <w:rPr>
                      <w:color w:val="000000" w:themeColor="text1"/>
                      <w:szCs w:val="21"/>
                    </w:rPr>
                  </w:pPr>
                  <w:r>
                    <w:rPr>
                      <w:color w:val="000000" w:themeColor="text1"/>
                      <w:szCs w:val="21"/>
                    </w:rPr>
                    <w:t>管理相关费用</w:t>
                  </w:r>
                </w:p>
              </w:tc>
              <w:tc>
                <w:tcPr>
                  <w:tcW w:w="1741" w:type="pct"/>
                  <w:gridSpan w:val="5"/>
                  <w:vAlign w:val="center"/>
                </w:tcPr>
                <w:p>
                  <w:pPr>
                    <w:pStyle w:val="30"/>
                    <w:spacing w:line="360" w:lineRule="exact"/>
                    <w:rPr>
                      <w:color w:val="000000" w:themeColor="text1"/>
                      <w:szCs w:val="21"/>
                    </w:rPr>
                  </w:pPr>
                  <w:r>
                    <w:rPr>
                      <w:rFonts w:hint="eastAsia"/>
                      <w:color w:val="000000" w:themeColor="text1"/>
                      <w:szCs w:val="21"/>
                    </w:rPr>
                    <w:t>20</w:t>
                  </w:r>
                  <w:r>
                    <w:rPr>
                      <w:color w:val="000000" w:themeColor="text1"/>
                      <w:szCs w:val="21"/>
                    </w:rPr>
                    <w:t xml:space="preserve">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9" w:type="pct"/>
                  <w:gridSpan w:val="5"/>
                  <w:vAlign w:val="center"/>
                </w:tcPr>
                <w:p>
                  <w:pPr>
                    <w:pStyle w:val="30"/>
                    <w:spacing w:line="360" w:lineRule="exact"/>
                    <w:rPr>
                      <w:color w:val="000000" w:themeColor="text1"/>
                      <w:szCs w:val="21"/>
                    </w:rPr>
                  </w:pPr>
                  <w:r>
                    <w:rPr>
                      <w:color w:val="000000" w:themeColor="text1"/>
                      <w:szCs w:val="21"/>
                    </w:rPr>
                    <w:t>合计</w:t>
                  </w:r>
                </w:p>
              </w:tc>
              <w:tc>
                <w:tcPr>
                  <w:tcW w:w="545" w:type="pct"/>
                  <w:gridSpan w:val="2"/>
                  <w:vAlign w:val="center"/>
                </w:tcPr>
                <w:p>
                  <w:pPr>
                    <w:pStyle w:val="30"/>
                    <w:spacing w:line="360" w:lineRule="exact"/>
                    <w:rPr>
                      <w:color w:val="000000" w:themeColor="text1"/>
                      <w:szCs w:val="21"/>
                    </w:rPr>
                  </w:pPr>
                  <w:r>
                    <w:rPr>
                      <w:color w:val="000000" w:themeColor="text1"/>
                      <w:szCs w:val="21"/>
                    </w:rPr>
                    <w:t>47.11</w:t>
                  </w:r>
                </w:p>
              </w:tc>
              <w:tc>
                <w:tcPr>
                  <w:tcW w:w="329" w:type="pct"/>
                  <w:vAlign w:val="center"/>
                </w:tcPr>
                <w:p>
                  <w:pPr>
                    <w:pStyle w:val="30"/>
                    <w:spacing w:line="360" w:lineRule="exact"/>
                    <w:rPr>
                      <w:color w:val="000000" w:themeColor="text1"/>
                      <w:szCs w:val="21"/>
                    </w:rPr>
                  </w:pPr>
                  <w:r>
                    <w:rPr>
                      <w:color w:val="000000" w:themeColor="text1"/>
                      <w:szCs w:val="21"/>
                    </w:rPr>
                    <w:t>--</w:t>
                  </w:r>
                </w:p>
              </w:tc>
              <w:tc>
                <w:tcPr>
                  <w:tcW w:w="454" w:type="pct"/>
                  <w:vAlign w:val="center"/>
                </w:tcPr>
                <w:p>
                  <w:pPr>
                    <w:pStyle w:val="30"/>
                    <w:spacing w:line="360" w:lineRule="exact"/>
                    <w:rPr>
                      <w:color w:val="000000" w:themeColor="text1"/>
                      <w:szCs w:val="21"/>
                    </w:rPr>
                  </w:pPr>
                  <w:r>
                    <w:rPr>
                      <w:rFonts w:hint="eastAsia"/>
                      <w:color w:val="000000" w:themeColor="text1"/>
                      <w:szCs w:val="21"/>
                    </w:rPr>
                    <w:t>31.2</w:t>
                  </w:r>
                </w:p>
              </w:tc>
              <w:tc>
                <w:tcPr>
                  <w:tcW w:w="413" w:type="pct"/>
                  <w:vAlign w:val="center"/>
                </w:tcPr>
                <w:p>
                  <w:pPr>
                    <w:pStyle w:val="30"/>
                    <w:spacing w:line="360" w:lineRule="exact"/>
                    <w:rPr>
                      <w:color w:val="000000" w:themeColor="text1"/>
                      <w:szCs w:val="21"/>
                    </w:rPr>
                  </w:pPr>
                  <w:r>
                    <w:rPr>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pPr>
                    <w:pStyle w:val="30"/>
                    <w:spacing w:line="360" w:lineRule="exact"/>
                    <w:jc w:val="left"/>
                    <w:rPr>
                      <w:color w:val="000000" w:themeColor="text1"/>
                      <w:szCs w:val="21"/>
                    </w:rPr>
                  </w:pPr>
                  <w:r>
                    <w:rPr>
                      <w:rFonts w:hint="eastAsia"/>
                      <w:color w:val="000000" w:themeColor="text1"/>
                      <w:szCs w:val="21"/>
                    </w:rPr>
                    <w:t xml:space="preserve">  备注：“”表示已投资，不计入本次投资内。</w:t>
                  </w:r>
                </w:p>
              </w:tc>
            </w:tr>
          </w:tbl>
          <w:p>
            <w:pPr>
              <w:pStyle w:val="38"/>
              <w:ind w:firstLine="480"/>
              <w:rPr>
                <w:rFonts w:eastAsiaTheme="minorEastAsia"/>
                <w:color w:val="000000" w:themeColor="text1"/>
                <w:szCs w:val="24"/>
              </w:rPr>
            </w:pPr>
          </w:p>
          <w:p>
            <w:pPr>
              <w:pStyle w:val="38"/>
              <w:ind w:firstLine="480"/>
              <w:rPr>
                <w:rFonts w:eastAsiaTheme="minorEastAsia"/>
                <w:color w:val="000000" w:themeColor="text1"/>
                <w:szCs w:val="24"/>
              </w:rPr>
            </w:pPr>
          </w:p>
          <w:p>
            <w:pPr>
              <w:pStyle w:val="38"/>
              <w:ind w:firstLine="480"/>
              <w:rPr>
                <w:rFonts w:eastAsiaTheme="minorEastAsia"/>
                <w:color w:val="000000" w:themeColor="text1"/>
                <w:szCs w:val="24"/>
              </w:rPr>
            </w:pPr>
          </w:p>
          <w:p>
            <w:pPr>
              <w:pStyle w:val="38"/>
              <w:ind w:firstLine="480"/>
              <w:rPr>
                <w:rFonts w:eastAsiaTheme="minorEastAsia"/>
                <w:color w:val="000000" w:themeColor="text1"/>
                <w:szCs w:val="24"/>
              </w:rPr>
            </w:pPr>
          </w:p>
          <w:p>
            <w:pPr>
              <w:pStyle w:val="38"/>
              <w:ind w:firstLine="480"/>
              <w:rPr>
                <w:rFonts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hint="eastAsia" w:eastAsiaTheme="minorEastAsia"/>
                <w:color w:val="000000" w:themeColor="text1"/>
                <w:szCs w:val="24"/>
              </w:rPr>
            </w:pPr>
          </w:p>
          <w:p>
            <w:pPr>
              <w:pStyle w:val="38"/>
              <w:ind w:firstLine="480"/>
              <w:rPr>
                <w:rFonts w:eastAsiaTheme="minorEastAsia"/>
                <w:color w:val="000000" w:themeColor="text1"/>
                <w:szCs w:val="24"/>
              </w:rPr>
            </w:pPr>
          </w:p>
          <w:p>
            <w:pPr>
              <w:pStyle w:val="38"/>
              <w:ind w:firstLine="480"/>
              <w:rPr>
                <w:rFonts w:eastAsiaTheme="minorEastAsia"/>
                <w:color w:val="000000" w:themeColor="text1"/>
                <w:szCs w:val="24"/>
              </w:rPr>
            </w:pPr>
          </w:p>
          <w:p>
            <w:pPr>
              <w:pStyle w:val="38"/>
              <w:ind w:firstLine="480"/>
              <w:rPr>
                <w:rFonts w:eastAsiaTheme="minorEastAsia"/>
                <w:color w:val="000000" w:themeColor="text1"/>
                <w:szCs w:val="24"/>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五、环境保护措施监督检查清单</w:t>
      </w:r>
    </w:p>
    <w:tbl>
      <w:tblPr>
        <w:tblStyle w:val="20"/>
        <w:tblW w:w="92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42"/>
        <w:gridCol w:w="847"/>
        <w:gridCol w:w="845"/>
        <w:gridCol w:w="852"/>
        <w:gridCol w:w="1125"/>
        <w:gridCol w:w="2956"/>
        <w:gridCol w:w="170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tcBorders>
              <w:tl2br w:val="single" w:color="auto" w:sz="4" w:space="0"/>
            </w:tcBorders>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 xml:space="preserve">  内容</w:t>
            </w:r>
          </w:p>
          <w:p>
            <w:pPr>
              <w:spacing w:line="360" w:lineRule="exact"/>
              <w:jc w:val="left"/>
              <w:rPr>
                <w:rFonts w:ascii="Times New Roman" w:hAnsi="Times New Roman" w:cs="Times New Roman"/>
                <w:color w:val="000000" w:themeColor="text1"/>
              </w:rPr>
            </w:pPr>
            <w:r>
              <w:rPr>
                <w:rFonts w:ascii="Times New Roman" w:hAnsi="Times New Roman" w:cs="Times New Roman"/>
                <w:color w:val="000000" w:themeColor="text1"/>
              </w:rPr>
              <w:t>要素</w:t>
            </w:r>
          </w:p>
        </w:tc>
        <w:tc>
          <w:tcPr>
            <w:tcW w:w="2544" w:type="dxa"/>
            <w:gridSpan w:val="3"/>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排放口（编号、名称）/污染源</w:t>
            </w:r>
          </w:p>
        </w:tc>
        <w:tc>
          <w:tcPr>
            <w:tcW w:w="1125"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污染物项目</w:t>
            </w:r>
          </w:p>
        </w:tc>
        <w:tc>
          <w:tcPr>
            <w:tcW w:w="2956"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环境保护措施</w:t>
            </w:r>
          </w:p>
        </w:tc>
        <w:tc>
          <w:tcPr>
            <w:tcW w:w="1703"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执行标准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大气环境</w:t>
            </w:r>
          </w:p>
        </w:tc>
        <w:tc>
          <w:tcPr>
            <w:tcW w:w="847" w:type="dxa"/>
            <w:vAlign w:val="center"/>
          </w:tcPr>
          <w:p>
            <w:pPr>
              <w:pStyle w:val="30"/>
              <w:spacing w:line="360" w:lineRule="exact"/>
              <w:rPr>
                <w:color w:val="000000" w:themeColor="text1"/>
                <w:szCs w:val="21"/>
              </w:rPr>
            </w:pPr>
            <w:r>
              <w:rPr>
                <w:rFonts w:hint="eastAsia"/>
                <w:color w:val="000000" w:themeColor="text1"/>
                <w:szCs w:val="21"/>
              </w:rPr>
              <w:t>空调/小家电/废手机及其视听设备消费电子产品处理线</w:t>
            </w:r>
          </w:p>
        </w:tc>
        <w:tc>
          <w:tcPr>
            <w:tcW w:w="845" w:type="dxa"/>
            <w:vAlign w:val="center"/>
          </w:tcPr>
          <w:p>
            <w:pPr>
              <w:pStyle w:val="30"/>
              <w:spacing w:line="360" w:lineRule="exact"/>
              <w:rPr>
                <w:color w:val="000000" w:themeColor="text1"/>
                <w:szCs w:val="21"/>
              </w:rPr>
            </w:pPr>
            <w:r>
              <w:rPr>
                <w:rFonts w:hint="eastAsia"/>
                <w:color w:val="000000" w:themeColor="text1"/>
                <w:szCs w:val="21"/>
              </w:rPr>
              <w:t>拆解</w:t>
            </w:r>
          </w:p>
        </w:tc>
        <w:tc>
          <w:tcPr>
            <w:tcW w:w="852" w:type="dxa"/>
            <w:vAlign w:val="center"/>
          </w:tcPr>
          <w:p>
            <w:pPr>
              <w:pStyle w:val="30"/>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有组织</w:t>
            </w:r>
          </w:p>
        </w:tc>
        <w:tc>
          <w:tcPr>
            <w:tcW w:w="1125" w:type="dxa"/>
            <w:vAlign w:val="center"/>
          </w:tcPr>
          <w:p>
            <w:pPr>
              <w:pStyle w:val="30"/>
              <w:rPr>
                <w:rFonts w:eastAsiaTheme="minorEastAsia"/>
                <w:color w:val="000000" w:themeColor="text1"/>
                <w:szCs w:val="21"/>
              </w:rPr>
            </w:pPr>
            <w:r>
              <w:rPr>
                <w:rFonts w:hint="eastAsia"/>
                <w:color w:val="000000" w:themeColor="text1"/>
                <w:szCs w:val="21"/>
              </w:rPr>
              <w:t>粉尘</w:t>
            </w:r>
          </w:p>
        </w:tc>
        <w:tc>
          <w:tcPr>
            <w:tcW w:w="2956" w:type="dxa"/>
            <w:vMerge w:val="restart"/>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①针对空调/小家电/废手机及其视听设备消费电子产品处理线拆解粉尘，项目已对喷吹室进行密闭，并设置1个集气效率不低于90%的集气罩对其进行收集；</w:t>
            </w:r>
          </w:p>
          <w:p>
            <w:pPr>
              <w:pStyle w:val="30"/>
              <w:spacing w:line="360" w:lineRule="exact"/>
              <w:ind w:firstLine="210" w:firstLineChars="100"/>
              <w:jc w:val="both"/>
              <w:rPr>
                <w:color w:val="000000" w:themeColor="text1"/>
                <w:szCs w:val="21"/>
              </w:rPr>
            </w:pPr>
            <w:r>
              <w:rPr>
                <w:rFonts w:hint="eastAsia"/>
                <w:color w:val="000000" w:themeColor="text1"/>
                <w:szCs w:val="21"/>
              </w:rPr>
              <w:t>②针对2号废旧电视机（液晶电视）处理线拆解粉尘，项目对每个拆解工位设置集气效率不低于90%的集气罩进行收集；</w:t>
            </w:r>
          </w:p>
          <w:p>
            <w:pPr>
              <w:pStyle w:val="30"/>
              <w:spacing w:line="360" w:lineRule="exact"/>
              <w:ind w:firstLine="210" w:firstLineChars="100"/>
              <w:jc w:val="both"/>
              <w:rPr>
                <w:color w:val="000000" w:themeColor="text1"/>
                <w:szCs w:val="21"/>
              </w:rPr>
            </w:pPr>
            <w:r>
              <w:rPr>
                <w:rFonts w:hint="eastAsia"/>
                <w:color w:val="000000" w:themeColor="text1"/>
                <w:szCs w:val="21"/>
              </w:rPr>
              <w:t>③汞及其化合物经负压系统全部收集后，通过</w:t>
            </w:r>
            <w:r>
              <w:rPr>
                <w:color w:val="000000" w:themeColor="text1"/>
                <w:szCs w:val="21"/>
              </w:rPr>
              <w:t>1套</w:t>
            </w:r>
            <w:r>
              <w:rPr>
                <w:rFonts w:hint="eastAsia"/>
                <w:color w:val="000000" w:themeColor="text1"/>
                <w:szCs w:val="21"/>
              </w:rPr>
              <w:t>去除效率不低于80%的汞及其化合物处理装置（</w:t>
            </w:r>
            <w:r>
              <w:rPr>
                <w:color w:val="000000" w:themeColor="text1"/>
                <w:szCs w:val="21"/>
              </w:rPr>
              <w:t>采用UV光氧裂解+</w:t>
            </w:r>
            <w:r>
              <w:rPr>
                <w:rFonts w:hint="eastAsia"/>
                <w:color w:val="000000" w:themeColor="text1"/>
                <w:szCs w:val="21"/>
              </w:rPr>
              <w:t>载硫</w:t>
            </w:r>
            <w:r>
              <w:rPr>
                <w:color w:val="000000" w:themeColor="text1"/>
                <w:szCs w:val="21"/>
              </w:rPr>
              <w:t>活性炭吸附</w:t>
            </w:r>
            <w:r>
              <w:rPr>
                <w:rFonts w:hint="eastAsia"/>
                <w:color w:val="000000" w:themeColor="text1"/>
                <w:szCs w:val="21"/>
              </w:rPr>
              <w:t>）对其进行处理；</w:t>
            </w:r>
          </w:p>
          <w:p>
            <w:pPr>
              <w:pStyle w:val="30"/>
              <w:spacing w:line="360" w:lineRule="exact"/>
              <w:ind w:firstLine="210" w:firstLineChars="100"/>
              <w:jc w:val="both"/>
              <w:rPr>
                <w:color w:val="000000" w:themeColor="text1"/>
                <w:szCs w:val="21"/>
              </w:rPr>
            </w:pPr>
            <w:r>
              <w:rPr>
                <w:rFonts w:hint="eastAsia"/>
                <w:color w:val="000000" w:themeColor="text1"/>
                <w:szCs w:val="21"/>
              </w:rPr>
              <w:t>④针对1号废旧电视机（CRT）处理线拆解普通粉尘，项目已分别在1个破碎区、2个人工喷吹室、1条人工拆解线工作台分别设置了集气效率不低于90%的集气罩进行收集；</w:t>
            </w:r>
          </w:p>
          <w:p>
            <w:pPr>
              <w:pStyle w:val="30"/>
              <w:spacing w:line="360" w:lineRule="exact"/>
              <w:ind w:firstLine="210" w:firstLineChars="100"/>
              <w:jc w:val="both"/>
              <w:rPr>
                <w:color w:val="000000" w:themeColor="text1"/>
                <w:szCs w:val="21"/>
              </w:rPr>
            </w:pPr>
            <w:r>
              <w:rPr>
                <w:rFonts w:hint="eastAsia"/>
                <w:color w:val="000000" w:themeColor="text1"/>
                <w:szCs w:val="21"/>
              </w:rPr>
              <w:t>⑤收集后上述粉尘统一进入1个处理效率不低于95%的1#脉冲除尘器对其进行处理后通过1根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（DA001）外排。</w:t>
            </w:r>
          </w:p>
        </w:tc>
        <w:tc>
          <w:tcPr>
            <w:tcW w:w="1703" w:type="dxa"/>
            <w:vMerge w:val="restart"/>
            <w:vAlign w:val="center"/>
          </w:tcPr>
          <w:p>
            <w:pPr>
              <w:pStyle w:val="30"/>
              <w:spacing w:line="360" w:lineRule="exact"/>
              <w:ind w:firstLine="210" w:firstLineChars="100"/>
              <w:jc w:val="both"/>
              <w:rPr>
                <w:rFonts w:eastAsiaTheme="minorEastAsia"/>
                <w:color w:val="000000" w:themeColor="text1"/>
                <w:szCs w:val="21"/>
              </w:rPr>
            </w:pPr>
            <w:r>
              <w:rPr>
                <w:color w:val="000000" w:themeColor="text1"/>
                <w:szCs w:val="24"/>
              </w:rPr>
              <w:t>《大气污染物综合排放标准》（GB16297-1996）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847" w:type="dxa"/>
            <w:vAlign w:val="center"/>
          </w:tcPr>
          <w:p>
            <w:pPr>
              <w:pStyle w:val="30"/>
              <w:spacing w:line="360" w:lineRule="exact"/>
              <w:rPr>
                <w:color w:val="000000" w:themeColor="text1"/>
                <w:szCs w:val="21"/>
              </w:rPr>
            </w:pPr>
            <w:r>
              <w:rPr>
                <w:rFonts w:hint="eastAsia"/>
                <w:color w:val="000000" w:themeColor="text1"/>
                <w:szCs w:val="21"/>
              </w:rPr>
              <w:t>2号废旧电视机（液晶电视）处理线</w:t>
            </w:r>
          </w:p>
        </w:tc>
        <w:tc>
          <w:tcPr>
            <w:tcW w:w="845" w:type="dxa"/>
            <w:vAlign w:val="center"/>
          </w:tcPr>
          <w:p>
            <w:pPr>
              <w:pStyle w:val="30"/>
              <w:spacing w:line="360" w:lineRule="exact"/>
              <w:rPr>
                <w:color w:val="000000" w:themeColor="text1"/>
                <w:szCs w:val="21"/>
              </w:rPr>
            </w:pPr>
            <w:r>
              <w:rPr>
                <w:rFonts w:hint="eastAsia"/>
                <w:color w:val="000000" w:themeColor="text1"/>
                <w:szCs w:val="21"/>
              </w:rPr>
              <w:t>拆解</w:t>
            </w:r>
          </w:p>
        </w:tc>
        <w:tc>
          <w:tcPr>
            <w:tcW w:w="852" w:type="dxa"/>
            <w:vAlign w:val="center"/>
          </w:tcPr>
          <w:p>
            <w:pPr>
              <w:pStyle w:val="30"/>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有组织</w:t>
            </w:r>
          </w:p>
        </w:tc>
        <w:tc>
          <w:tcPr>
            <w:tcW w:w="1125" w:type="dxa"/>
            <w:vAlign w:val="center"/>
          </w:tcPr>
          <w:p>
            <w:pPr>
              <w:pStyle w:val="30"/>
              <w:rPr>
                <w:color w:val="000000" w:themeColor="text1"/>
                <w:szCs w:val="21"/>
              </w:rPr>
            </w:pPr>
            <w:r>
              <w:rPr>
                <w:rFonts w:hint="eastAsia"/>
                <w:color w:val="000000" w:themeColor="text1"/>
                <w:szCs w:val="21"/>
              </w:rPr>
              <w:t>粉尘、汞及其化合物</w:t>
            </w:r>
          </w:p>
        </w:tc>
        <w:tc>
          <w:tcPr>
            <w:tcW w:w="2956" w:type="dxa"/>
            <w:vMerge w:val="continue"/>
            <w:vAlign w:val="center"/>
          </w:tcPr>
          <w:p>
            <w:pPr>
              <w:pStyle w:val="30"/>
              <w:spacing w:line="360" w:lineRule="exact"/>
              <w:ind w:firstLine="210" w:firstLineChars="100"/>
              <w:jc w:val="both"/>
              <w:rPr>
                <w:color w:val="000000" w:themeColor="text1"/>
                <w:szCs w:val="21"/>
              </w:rPr>
            </w:pPr>
          </w:p>
        </w:tc>
        <w:tc>
          <w:tcPr>
            <w:tcW w:w="1703" w:type="dxa"/>
            <w:vMerge w:val="continue"/>
            <w:vAlign w:val="center"/>
          </w:tcPr>
          <w:p>
            <w:pPr>
              <w:pStyle w:val="30"/>
              <w:spacing w:line="360" w:lineRule="exact"/>
              <w:ind w:firstLine="210" w:firstLineChars="100"/>
              <w:jc w:val="both"/>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847" w:type="dxa"/>
            <w:vMerge w:val="restart"/>
            <w:vAlign w:val="center"/>
          </w:tcPr>
          <w:p>
            <w:pPr>
              <w:pStyle w:val="30"/>
              <w:spacing w:line="360" w:lineRule="exact"/>
              <w:rPr>
                <w:color w:val="000000" w:themeColor="text1"/>
                <w:szCs w:val="21"/>
              </w:rPr>
            </w:pPr>
            <w:r>
              <w:rPr>
                <w:rFonts w:hint="eastAsia"/>
                <w:color w:val="000000" w:themeColor="text1"/>
                <w:szCs w:val="21"/>
              </w:rPr>
              <w:t>1号废旧电视机（CRT）处理线</w:t>
            </w:r>
          </w:p>
        </w:tc>
        <w:tc>
          <w:tcPr>
            <w:tcW w:w="845" w:type="dxa"/>
            <w:vMerge w:val="restart"/>
            <w:vAlign w:val="center"/>
          </w:tcPr>
          <w:p>
            <w:pPr>
              <w:pStyle w:val="30"/>
              <w:spacing w:line="360" w:lineRule="exact"/>
              <w:rPr>
                <w:color w:val="000000" w:themeColor="text1"/>
                <w:szCs w:val="21"/>
              </w:rPr>
            </w:pPr>
            <w:r>
              <w:rPr>
                <w:rFonts w:hint="eastAsia"/>
                <w:color w:val="000000" w:themeColor="text1"/>
                <w:szCs w:val="21"/>
              </w:rPr>
              <w:t>拆解</w:t>
            </w:r>
          </w:p>
        </w:tc>
        <w:tc>
          <w:tcPr>
            <w:tcW w:w="852" w:type="dxa"/>
            <w:vAlign w:val="center"/>
          </w:tcPr>
          <w:p>
            <w:pPr>
              <w:pStyle w:val="30"/>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有组织</w:t>
            </w:r>
          </w:p>
        </w:tc>
        <w:tc>
          <w:tcPr>
            <w:tcW w:w="1125" w:type="dxa"/>
            <w:vAlign w:val="center"/>
          </w:tcPr>
          <w:p>
            <w:pPr>
              <w:pStyle w:val="30"/>
              <w:rPr>
                <w:color w:val="000000" w:themeColor="text1"/>
                <w:szCs w:val="21"/>
              </w:rPr>
            </w:pPr>
            <w:r>
              <w:rPr>
                <w:rFonts w:hint="eastAsia"/>
                <w:color w:val="000000" w:themeColor="text1"/>
                <w:szCs w:val="21"/>
              </w:rPr>
              <w:t>粉尘</w:t>
            </w:r>
          </w:p>
        </w:tc>
        <w:tc>
          <w:tcPr>
            <w:tcW w:w="2956" w:type="dxa"/>
            <w:vMerge w:val="continue"/>
            <w:vAlign w:val="center"/>
          </w:tcPr>
          <w:p>
            <w:pPr>
              <w:pStyle w:val="30"/>
              <w:spacing w:line="360" w:lineRule="exact"/>
              <w:ind w:firstLine="210" w:firstLineChars="100"/>
              <w:jc w:val="both"/>
              <w:rPr>
                <w:color w:val="000000" w:themeColor="text1"/>
                <w:szCs w:val="21"/>
              </w:rPr>
            </w:pPr>
          </w:p>
        </w:tc>
        <w:tc>
          <w:tcPr>
            <w:tcW w:w="1703" w:type="dxa"/>
            <w:vMerge w:val="continue"/>
            <w:vAlign w:val="center"/>
          </w:tcPr>
          <w:p>
            <w:pPr>
              <w:pStyle w:val="30"/>
              <w:spacing w:line="360" w:lineRule="exact"/>
              <w:ind w:firstLine="210" w:firstLineChars="100"/>
              <w:jc w:val="both"/>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847" w:type="dxa"/>
            <w:vMerge w:val="continue"/>
            <w:vAlign w:val="center"/>
          </w:tcPr>
          <w:p>
            <w:pPr>
              <w:pStyle w:val="30"/>
              <w:spacing w:line="360" w:lineRule="exact"/>
              <w:rPr>
                <w:color w:val="000000" w:themeColor="text1"/>
                <w:szCs w:val="21"/>
              </w:rPr>
            </w:pPr>
          </w:p>
        </w:tc>
        <w:tc>
          <w:tcPr>
            <w:tcW w:w="845" w:type="dxa"/>
            <w:vMerge w:val="continue"/>
            <w:vAlign w:val="center"/>
          </w:tcPr>
          <w:p>
            <w:pPr>
              <w:pStyle w:val="30"/>
              <w:spacing w:line="360" w:lineRule="exact"/>
              <w:rPr>
                <w:color w:val="000000" w:themeColor="text1"/>
                <w:szCs w:val="21"/>
              </w:rPr>
            </w:pPr>
          </w:p>
        </w:tc>
        <w:tc>
          <w:tcPr>
            <w:tcW w:w="852" w:type="dxa"/>
            <w:vAlign w:val="center"/>
          </w:tcPr>
          <w:p>
            <w:pPr>
              <w:pStyle w:val="30"/>
              <w:spacing w:line="360" w:lineRule="exact"/>
              <w:rPr>
                <w:rFonts w:eastAsiaTheme="minorEastAsia"/>
                <w:bCs w:val="0"/>
                <w:snapToGrid/>
                <w:color w:val="000000" w:themeColor="text1"/>
                <w:kern w:val="0"/>
                <w:szCs w:val="21"/>
                <w:lang w:val="en-US"/>
              </w:rPr>
            </w:pPr>
            <w:r>
              <w:rPr>
                <w:rFonts w:hint="eastAsia" w:eastAsiaTheme="minorEastAsia"/>
                <w:bCs w:val="0"/>
                <w:snapToGrid/>
                <w:color w:val="000000" w:themeColor="text1"/>
                <w:kern w:val="0"/>
                <w:szCs w:val="21"/>
                <w:lang w:val="en-US"/>
              </w:rPr>
              <w:t>有组织</w:t>
            </w:r>
          </w:p>
        </w:tc>
        <w:tc>
          <w:tcPr>
            <w:tcW w:w="1125" w:type="dxa"/>
            <w:vAlign w:val="center"/>
          </w:tcPr>
          <w:p>
            <w:pPr>
              <w:pStyle w:val="30"/>
              <w:rPr>
                <w:color w:val="000000" w:themeColor="text1"/>
                <w:szCs w:val="21"/>
              </w:rPr>
            </w:pPr>
            <w:r>
              <w:rPr>
                <w:rFonts w:hint="eastAsia"/>
                <w:color w:val="000000" w:themeColor="text1"/>
                <w:szCs w:val="21"/>
              </w:rPr>
              <w:t>粉尘、铅及其化合物</w:t>
            </w:r>
          </w:p>
        </w:tc>
        <w:tc>
          <w:tcPr>
            <w:tcW w:w="2956"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1号废旧电视机（CRT）处理线拆解含铅粉尘，阴极射线管（CRT）拆解区为密闭式拆解区设置7个阴极射线管（CRT）拆解工作台，项目分别对7个阴极射线管（CRT）拆解工作台设置集气效率不低于95%的集气罩对其进行收集；收集后统一进入1个处理效率不低于95%的2#脉冲除尘器对其进行处理，处理后通过1根Φ0.5m、高15m的排气筒（DA002）外排。</w:t>
            </w:r>
          </w:p>
        </w:tc>
        <w:tc>
          <w:tcPr>
            <w:tcW w:w="1703" w:type="dxa"/>
            <w:vMerge w:val="continue"/>
            <w:vAlign w:val="center"/>
          </w:tcPr>
          <w:p>
            <w:pPr>
              <w:pStyle w:val="30"/>
              <w:spacing w:line="360" w:lineRule="exact"/>
              <w:ind w:firstLine="210" w:firstLineChars="100"/>
              <w:jc w:val="both"/>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847" w:type="dxa"/>
            <w:vAlign w:val="center"/>
          </w:tcPr>
          <w:p>
            <w:pPr>
              <w:pStyle w:val="30"/>
              <w:spacing w:line="360" w:lineRule="exact"/>
              <w:rPr>
                <w:color w:val="000000" w:themeColor="text1"/>
                <w:szCs w:val="21"/>
              </w:rPr>
            </w:pPr>
            <w:r>
              <w:rPr>
                <w:rFonts w:hint="eastAsia"/>
                <w:color w:val="000000" w:themeColor="text1"/>
                <w:szCs w:val="21"/>
              </w:rPr>
              <w:t>废旧冰箱处理线</w:t>
            </w:r>
          </w:p>
        </w:tc>
        <w:tc>
          <w:tcPr>
            <w:tcW w:w="845" w:type="dxa"/>
            <w:vAlign w:val="center"/>
          </w:tcPr>
          <w:p>
            <w:pPr>
              <w:pStyle w:val="30"/>
              <w:spacing w:line="360" w:lineRule="exact"/>
              <w:rPr>
                <w:color w:val="000000" w:themeColor="text1"/>
                <w:szCs w:val="21"/>
              </w:rPr>
            </w:pPr>
            <w:r>
              <w:rPr>
                <w:rFonts w:hint="eastAsia"/>
                <w:color w:val="000000" w:themeColor="text1"/>
                <w:szCs w:val="21"/>
              </w:rPr>
              <w:t>冷媒抽取+拆解+破碎</w:t>
            </w:r>
          </w:p>
        </w:tc>
        <w:tc>
          <w:tcPr>
            <w:tcW w:w="852" w:type="dxa"/>
            <w:vAlign w:val="center"/>
          </w:tcPr>
          <w:p>
            <w:pPr>
              <w:pStyle w:val="30"/>
              <w:spacing w:line="360" w:lineRule="exact"/>
              <w:rPr>
                <w:rFonts w:eastAsiaTheme="minorEastAsia"/>
                <w:bCs w:val="0"/>
                <w:snapToGrid/>
                <w:color w:val="000000" w:themeColor="text1"/>
                <w:kern w:val="0"/>
                <w:szCs w:val="21"/>
                <w:lang w:val="en-US"/>
              </w:rPr>
            </w:pPr>
            <w:r>
              <w:rPr>
                <w:color w:val="000000" w:themeColor="text1"/>
                <w:szCs w:val="21"/>
              </w:rPr>
              <w:t>有组织</w:t>
            </w:r>
          </w:p>
        </w:tc>
        <w:tc>
          <w:tcPr>
            <w:tcW w:w="1125" w:type="dxa"/>
            <w:vAlign w:val="center"/>
          </w:tcPr>
          <w:p>
            <w:pPr>
              <w:pStyle w:val="30"/>
              <w:spacing w:line="360" w:lineRule="exact"/>
              <w:rPr>
                <w:color w:val="000000" w:themeColor="text1"/>
                <w:szCs w:val="21"/>
              </w:rPr>
            </w:pPr>
            <w:r>
              <w:rPr>
                <w:rFonts w:hint="eastAsia"/>
                <w:color w:val="000000" w:themeColor="text1"/>
                <w:szCs w:val="21"/>
              </w:rPr>
              <w:t>粉尘、非甲烷总烃</w:t>
            </w:r>
          </w:p>
        </w:tc>
        <w:tc>
          <w:tcPr>
            <w:tcW w:w="2956"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针对废旧冰箱处理线废气，项目已设置集气效率不低于90%的集气罩、</w:t>
            </w:r>
            <w:r>
              <w:rPr>
                <w:color w:val="000000" w:themeColor="text1"/>
                <w:szCs w:val="21"/>
              </w:rPr>
              <w:t>1套</w:t>
            </w:r>
            <w:r>
              <w:rPr>
                <w:rFonts w:hint="eastAsia"/>
                <w:color w:val="000000" w:themeColor="text1"/>
                <w:szCs w:val="21"/>
              </w:rPr>
              <w:t>去除效率不低于70%的</w:t>
            </w:r>
            <w:r>
              <w:rPr>
                <w:color w:val="000000" w:themeColor="text1"/>
                <w:szCs w:val="21"/>
              </w:rPr>
              <w:t>旋风除尘器</w:t>
            </w:r>
            <w:r>
              <w:rPr>
                <w:rFonts w:hint="eastAsia"/>
                <w:color w:val="000000" w:themeColor="text1"/>
                <w:szCs w:val="21"/>
              </w:rPr>
              <w:t>、</w:t>
            </w:r>
            <w:r>
              <w:rPr>
                <w:color w:val="000000" w:themeColor="text1"/>
                <w:szCs w:val="21"/>
              </w:rPr>
              <w:t>1套</w:t>
            </w:r>
            <w:r>
              <w:rPr>
                <w:rFonts w:hint="eastAsia"/>
                <w:color w:val="000000" w:themeColor="text1"/>
                <w:szCs w:val="21"/>
              </w:rPr>
              <w:t>去除效率不低于95%的</w:t>
            </w:r>
            <w:r>
              <w:rPr>
                <w:color w:val="000000" w:themeColor="text1"/>
                <w:szCs w:val="21"/>
              </w:rPr>
              <w:t>脉冲除尘器</w:t>
            </w:r>
            <w:r>
              <w:rPr>
                <w:rFonts w:hint="eastAsia"/>
                <w:color w:val="000000" w:themeColor="text1"/>
                <w:szCs w:val="21"/>
              </w:rPr>
              <w:t>（3#）、</w:t>
            </w:r>
            <w:r>
              <w:rPr>
                <w:color w:val="000000" w:themeColor="text1"/>
                <w:szCs w:val="21"/>
              </w:rPr>
              <w:t>1套</w:t>
            </w:r>
            <w:r>
              <w:rPr>
                <w:rFonts w:hint="eastAsia"/>
                <w:color w:val="000000" w:themeColor="text1"/>
                <w:szCs w:val="21"/>
              </w:rPr>
              <w:t>去除效率不低于80%的</w:t>
            </w:r>
            <w:r>
              <w:rPr>
                <w:color w:val="000000" w:themeColor="text1"/>
                <w:szCs w:val="21"/>
              </w:rPr>
              <w:t>有机废气处理装置</w:t>
            </w:r>
            <w:r>
              <w:rPr>
                <w:rFonts w:hint="eastAsia"/>
                <w:color w:val="000000" w:themeColor="text1"/>
                <w:szCs w:val="21"/>
              </w:rPr>
              <w:t>（</w:t>
            </w:r>
            <w:r>
              <w:rPr>
                <w:color w:val="000000" w:themeColor="text1"/>
                <w:szCs w:val="21"/>
              </w:rPr>
              <w:t>采用UV光氧裂解+活性炭吸附</w:t>
            </w:r>
            <w:r>
              <w:rPr>
                <w:rFonts w:hint="eastAsia"/>
                <w:color w:val="000000" w:themeColor="text1"/>
                <w:szCs w:val="21"/>
              </w:rPr>
              <w:t>）对其进行处理，处理后通过和1</w:t>
            </w:r>
            <w:r>
              <w:rPr>
                <w:color w:val="000000" w:themeColor="text1"/>
                <w:szCs w:val="21"/>
              </w:rPr>
              <w:t>根Φ0.5m、高15m的排气筒</w:t>
            </w:r>
            <w:r>
              <w:rPr>
                <w:rFonts w:hint="eastAsia"/>
                <w:color w:val="000000" w:themeColor="text1"/>
                <w:szCs w:val="21"/>
              </w:rPr>
              <w:t>（DA003）外排。</w:t>
            </w:r>
          </w:p>
        </w:tc>
        <w:tc>
          <w:tcPr>
            <w:tcW w:w="1703" w:type="dxa"/>
            <w:vMerge w:val="continue"/>
            <w:vAlign w:val="center"/>
          </w:tcPr>
          <w:p>
            <w:pPr>
              <w:pStyle w:val="30"/>
              <w:spacing w:line="360" w:lineRule="exact"/>
              <w:ind w:firstLine="210" w:firstLineChars="100"/>
              <w:jc w:val="both"/>
              <w:rPr>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847" w:type="dxa"/>
            <w:vAlign w:val="center"/>
          </w:tcPr>
          <w:p>
            <w:pPr>
              <w:pStyle w:val="30"/>
              <w:spacing w:line="360" w:lineRule="exact"/>
              <w:rPr>
                <w:color w:val="000000" w:themeColor="text1"/>
                <w:szCs w:val="21"/>
              </w:rPr>
            </w:pPr>
            <w:r>
              <w:rPr>
                <w:rFonts w:hint="eastAsia"/>
                <w:color w:val="000000" w:themeColor="text1"/>
                <w:szCs w:val="21"/>
              </w:rPr>
              <w:t>废旧洗衣机处理线</w:t>
            </w:r>
          </w:p>
        </w:tc>
        <w:tc>
          <w:tcPr>
            <w:tcW w:w="845" w:type="dxa"/>
            <w:vAlign w:val="center"/>
          </w:tcPr>
          <w:p>
            <w:pPr>
              <w:pStyle w:val="30"/>
              <w:spacing w:line="360" w:lineRule="exact"/>
              <w:rPr>
                <w:color w:val="000000" w:themeColor="text1"/>
                <w:szCs w:val="21"/>
              </w:rPr>
            </w:pPr>
            <w:r>
              <w:rPr>
                <w:rFonts w:hint="eastAsia"/>
                <w:color w:val="000000" w:themeColor="text1"/>
                <w:szCs w:val="21"/>
              </w:rPr>
              <w:t>拆解+塑料破碎</w:t>
            </w:r>
          </w:p>
        </w:tc>
        <w:tc>
          <w:tcPr>
            <w:tcW w:w="852" w:type="dxa"/>
            <w:vAlign w:val="center"/>
          </w:tcPr>
          <w:p>
            <w:pPr>
              <w:pStyle w:val="30"/>
              <w:spacing w:line="360" w:lineRule="exact"/>
              <w:rPr>
                <w:rFonts w:eastAsiaTheme="minorEastAsia"/>
                <w:bCs w:val="0"/>
                <w:snapToGrid/>
                <w:color w:val="000000" w:themeColor="text1"/>
                <w:kern w:val="0"/>
                <w:szCs w:val="21"/>
                <w:lang w:val="en-US"/>
              </w:rPr>
            </w:pPr>
            <w:r>
              <w:rPr>
                <w:color w:val="000000" w:themeColor="text1"/>
                <w:szCs w:val="21"/>
              </w:rPr>
              <w:t>有组织</w:t>
            </w:r>
          </w:p>
        </w:tc>
        <w:tc>
          <w:tcPr>
            <w:tcW w:w="1125" w:type="dxa"/>
            <w:vAlign w:val="center"/>
          </w:tcPr>
          <w:p>
            <w:pPr>
              <w:pStyle w:val="30"/>
              <w:rPr>
                <w:rFonts w:eastAsiaTheme="minorEastAsia"/>
                <w:color w:val="000000" w:themeColor="text1"/>
                <w:szCs w:val="21"/>
              </w:rPr>
            </w:pPr>
            <w:r>
              <w:rPr>
                <w:rFonts w:hint="eastAsia"/>
                <w:color w:val="000000" w:themeColor="text1"/>
                <w:szCs w:val="21"/>
              </w:rPr>
              <w:t>粉尘</w:t>
            </w:r>
          </w:p>
        </w:tc>
        <w:tc>
          <w:tcPr>
            <w:tcW w:w="2956"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废旧洗衣机拆解粉尘，项目拟对每个拆解工位设置集气效率不低于90%的集气罩进行收集，针对废旧洗衣机塑料破碎粉尘，项目拟分别对两台破碎机设置集气效率不低于90%的集气罩进行收集；收集后的粉尘通过1个处理效率不低于95%的4#脉冲除尘器处理，处理后通过1根</w:t>
            </w:r>
            <w:r>
              <w:rPr>
                <w:color w:val="000000" w:themeColor="text1"/>
                <w:szCs w:val="21"/>
              </w:rPr>
              <w:t>Φ</w:t>
            </w:r>
            <w:r>
              <w:rPr>
                <w:rFonts w:hint="eastAsia"/>
                <w:color w:val="000000" w:themeColor="text1"/>
                <w:szCs w:val="21"/>
              </w:rPr>
              <w:t>0.5</w:t>
            </w:r>
            <w:r>
              <w:rPr>
                <w:color w:val="000000" w:themeColor="text1"/>
                <w:szCs w:val="21"/>
              </w:rPr>
              <w:t>m、高15m的排气筒</w:t>
            </w:r>
            <w:r>
              <w:rPr>
                <w:rFonts w:hint="eastAsia"/>
                <w:color w:val="000000" w:themeColor="text1"/>
                <w:szCs w:val="21"/>
              </w:rPr>
              <w:t>（DA005）外排。</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847" w:type="dxa"/>
            <w:vAlign w:val="center"/>
          </w:tcPr>
          <w:p>
            <w:pPr>
              <w:pStyle w:val="30"/>
              <w:spacing w:line="360" w:lineRule="exact"/>
              <w:rPr>
                <w:color w:val="000000" w:themeColor="text1"/>
                <w:szCs w:val="21"/>
              </w:rPr>
            </w:pPr>
            <w:r>
              <w:rPr>
                <w:rFonts w:hint="eastAsia"/>
                <w:color w:val="000000" w:themeColor="text1"/>
                <w:szCs w:val="21"/>
              </w:rPr>
              <w:t>厨房</w:t>
            </w:r>
          </w:p>
        </w:tc>
        <w:tc>
          <w:tcPr>
            <w:tcW w:w="845" w:type="dxa"/>
            <w:vAlign w:val="center"/>
          </w:tcPr>
          <w:p>
            <w:pPr>
              <w:pStyle w:val="30"/>
              <w:spacing w:line="360" w:lineRule="exact"/>
              <w:rPr>
                <w:color w:val="000000" w:themeColor="text1"/>
                <w:szCs w:val="21"/>
              </w:rPr>
            </w:pPr>
            <w:r>
              <w:rPr>
                <w:rFonts w:hint="eastAsia"/>
                <w:color w:val="000000" w:themeColor="text1"/>
                <w:szCs w:val="21"/>
              </w:rPr>
              <w:t>--</w:t>
            </w:r>
          </w:p>
        </w:tc>
        <w:tc>
          <w:tcPr>
            <w:tcW w:w="852" w:type="dxa"/>
            <w:vAlign w:val="center"/>
          </w:tcPr>
          <w:p>
            <w:pPr>
              <w:pStyle w:val="30"/>
              <w:spacing w:line="360" w:lineRule="exact"/>
              <w:rPr>
                <w:color w:val="000000" w:themeColor="text1"/>
                <w:szCs w:val="21"/>
              </w:rPr>
            </w:pPr>
            <w:r>
              <w:rPr>
                <w:rFonts w:hint="eastAsia"/>
                <w:color w:val="000000" w:themeColor="text1"/>
                <w:szCs w:val="21"/>
              </w:rPr>
              <w:t>--</w:t>
            </w:r>
          </w:p>
        </w:tc>
        <w:tc>
          <w:tcPr>
            <w:tcW w:w="1125" w:type="dxa"/>
            <w:vAlign w:val="center"/>
          </w:tcPr>
          <w:p>
            <w:pPr>
              <w:pStyle w:val="30"/>
              <w:rPr>
                <w:rFonts w:eastAsiaTheme="minorEastAsia"/>
                <w:color w:val="000000" w:themeColor="text1"/>
                <w:szCs w:val="21"/>
              </w:rPr>
            </w:pPr>
            <w:r>
              <w:rPr>
                <w:rFonts w:hint="eastAsia"/>
                <w:color w:val="000000" w:themeColor="text1"/>
                <w:szCs w:val="21"/>
              </w:rPr>
              <w:t>厨房油烟</w:t>
            </w:r>
          </w:p>
        </w:tc>
        <w:tc>
          <w:tcPr>
            <w:tcW w:w="2956" w:type="dxa"/>
            <w:vAlign w:val="center"/>
          </w:tcPr>
          <w:p>
            <w:pPr>
              <w:pStyle w:val="30"/>
              <w:spacing w:line="360" w:lineRule="exact"/>
              <w:ind w:firstLine="210" w:firstLineChars="100"/>
              <w:jc w:val="both"/>
              <w:rPr>
                <w:color w:val="000000" w:themeColor="text1"/>
                <w:szCs w:val="21"/>
              </w:rPr>
            </w:pPr>
            <w:r>
              <w:rPr>
                <w:color w:val="000000" w:themeColor="text1"/>
                <w:szCs w:val="21"/>
              </w:rPr>
              <w:t>项目区厨房安装一个最低去除率60%的油烟净化器</w:t>
            </w:r>
            <w:r>
              <w:rPr>
                <w:rFonts w:hint="eastAsia"/>
                <w:color w:val="000000" w:themeColor="text1"/>
                <w:szCs w:val="21"/>
              </w:rPr>
              <w:t>，</w:t>
            </w:r>
            <w:r>
              <w:rPr>
                <w:color w:val="000000" w:themeColor="text1"/>
                <w:szCs w:val="21"/>
              </w:rPr>
              <w:t>高于房顶1.5m的烟道外排</w:t>
            </w:r>
            <w:r>
              <w:rPr>
                <w:rFonts w:hint="eastAsia"/>
                <w:color w:val="000000" w:themeColor="text1"/>
                <w:szCs w:val="21"/>
              </w:rPr>
              <w:t>。</w:t>
            </w:r>
          </w:p>
        </w:tc>
        <w:tc>
          <w:tcPr>
            <w:tcW w:w="1703" w:type="dxa"/>
            <w:vAlign w:val="center"/>
          </w:tcPr>
          <w:p>
            <w:pPr>
              <w:pStyle w:val="30"/>
              <w:spacing w:line="360" w:lineRule="exact"/>
              <w:ind w:firstLine="210" w:firstLineChars="100"/>
              <w:jc w:val="both"/>
              <w:rPr>
                <w:rFonts w:eastAsiaTheme="minorEastAsia"/>
                <w:color w:val="000000" w:themeColor="text1"/>
                <w:szCs w:val="21"/>
              </w:rPr>
            </w:pPr>
            <w:r>
              <w:rPr>
                <w:rFonts w:hint="eastAsia"/>
                <w:color w:val="000000" w:themeColor="text1"/>
                <w:szCs w:val="21"/>
              </w:rPr>
              <w:t>《昆明市地方标准 餐饮业油烟污染物排放要求》（DB5301/T50-2021）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地表水环境</w:t>
            </w:r>
          </w:p>
        </w:tc>
        <w:tc>
          <w:tcPr>
            <w:tcW w:w="1692" w:type="dxa"/>
            <w:gridSpan w:val="2"/>
            <w:vAlign w:val="center"/>
          </w:tcPr>
          <w:p>
            <w:pPr>
              <w:pStyle w:val="30"/>
              <w:spacing w:line="360" w:lineRule="exact"/>
              <w:rPr>
                <w:color w:val="000000" w:themeColor="text1"/>
                <w:szCs w:val="21"/>
              </w:rPr>
            </w:pPr>
            <w:r>
              <w:rPr>
                <w:rFonts w:eastAsiaTheme="minorEastAsia"/>
                <w:color w:val="000000" w:themeColor="text1"/>
                <w:szCs w:val="21"/>
              </w:rPr>
              <w:t>废旧洗衣机处理线</w:t>
            </w:r>
          </w:p>
        </w:tc>
        <w:tc>
          <w:tcPr>
            <w:tcW w:w="852" w:type="dxa"/>
            <w:vAlign w:val="center"/>
          </w:tcPr>
          <w:p>
            <w:pPr>
              <w:pStyle w:val="30"/>
              <w:spacing w:line="360" w:lineRule="exact"/>
              <w:rPr>
                <w:color w:val="000000" w:themeColor="text1"/>
                <w:szCs w:val="21"/>
              </w:rPr>
            </w:pPr>
            <w:r>
              <w:rPr>
                <w:rFonts w:hint="eastAsia"/>
                <w:color w:val="000000" w:themeColor="text1"/>
                <w:szCs w:val="21"/>
              </w:rPr>
              <w:t>不外排</w:t>
            </w:r>
          </w:p>
        </w:tc>
        <w:tc>
          <w:tcPr>
            <w:tcW w:w="1125" w:type="dxa"/>
            <w:vAlign w:val="center"/>
          </w:tcPr>
          <w:p>
            <w:pPr>
              <w:pStyle w:val="30"/>
              <w:spacing w:line="360" w:lineRule="exact"/>
              <w:rPr>
                <w:color w:val="000000" w:themeColor="text1"/>
                <w:szCs w:val="21"/>
              </w:rPr>
            </w:pPr>
            <w:r>
              <w:rPr>
                <w:rFonts w:hint="eastAsia" w:eastAsiaTheme="minorEastAsia"/>
                <w:color w:val="000000" w:themeColor="text1"/>
                <w:szCs w:val="21"/>
              </w:rPr>
              <w:t>平衡盐水</w:t>
            </w:r>
          </w:p>
        </w:tc>
        <w:tc>
          <w:tcPr>
            <w:tcW w:w="2956"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针对平衡盐水，已设置了1个2m³的盐水缸对其进行收集，按1：8的比例稀释后回用于绿化，不外排。</w:t>
            </w:r>
          </w:p>
        </w:tc>
        <w:tc>
          <w:tcPr>
            <w:tcW w:w="1703" w:type="dxa"/>
            <w:tcBorders>
              <w:bottom w:val="single" w:color="auto" w:sz="4" w:space="0"/>
            </w:tcBorders>
            <w:vAlign w:val="center"/>
          </w:tcPr>
          <w:p>
            <w:pPr>
              <w:pStyle w:val="30"/>
              <w:spacing w:line="360" w:lineRule="exact"/>
              <w:ind w:firstLine="210" w:firstLineChars="100"/>
              <w:jc w:val="both"/>
              <w:rPr>
                <w:rFonts w:eastAsiaTheme="minorEastAsia"/>
                <w:color w:val="000000" w:themeColor="text1"/>
              </w:rPr>
            </w:pPr>
            <w:r>
              <w:rPr>
                <w:rFonts w:hint="eastAsia" w:eastAsiaTheme="minor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1692" w:type="dxa"/>
            <w:gridSpan w:val="2"/>
            <w:vMerge w:val="restart"/>
            <w:vAlign w:val="center"/>
          </w:tcPr>
          <w:p>
            <w:pPr>
              <w:pStyle w:val="30"/>
              <w:spacing w:line="360" w:lineRule="exact"/>
              <w:rPr>
                <w:color w:val="000000" w:themeColor="text1"/>
                <w:szCs w:val="21"/>
              </w:rPr>
            </w:pPr>
            <w:r>
              <w:rPr>
                <w:rFonts w:eastAsiaTheme="minorEastAsia"/>
                <w:color w:val="000000" w:themeColor="text1"/>
                <w:szCs w:val="21"/>
              </w:rPr>
              <w:t>厂区范围</w:t>
            </w:r>
          </w:p>
        </w:tc>
        <w:tc>
          <w:tcPr>
            <w:tcW w:w="852" w:type="dxa"/>
            <w:vAlign w:val="center"/>
          </w:tcPr>
          <w:p>
            <w:pPr>
              <w:pStyle w:val="30"/>
              <w:spacing w:line="360" w:lineRule="exact"/>
              <w:rPr>
                <w:color w:val="000000" w:themeColor="text1"/>
                <w:szCs w:val="21"/>
              </w:rPr>
            </w:pPr>
            <w:r>
              <w:rPr>
                <w:rFonts w:hint="eastAsia"/>
                <w:color w:val="000000" w:themeColor="text1"/>
                <w:szCs w:val="21"/>
              </w:rPr>
              <w:t>不外排</w:t>
            </w:r>
          </w:p>
        </w:tc>
        <w:tc>
          <w:tcPr>
            <w:tcW w:w="1125" w:type="dxa"/>
            <w:vAlign w:val="center"/>
          </w:tcPr>
          <w:p>
            <w:pPr>
              <w:pStyle w:val="30"/>
              <w:spacing w:line="360" w:lineRule="exact"/>
              <w:rPr>
                <w:color w:val="000000" w:themeColor="text1"/>
                <w:szCs w:val="21"/>
              </w:rPr>
            </w:pPr>
            <w:r>
              <w:rPr>
                <w:rFonts w:hint="eastAsia"/>
                <w:color w:val="000000" w:themeColor="text1"/>
                <w:szCs w:val="21"/>
              </w:rPr>
              <w:t>初期雨水</w:t>
            </w:r>
          </w:p>
        </w:tc>
        <w:tc>
          <w:tcPr>
            <w:tcW w:w="2956"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项目</w:t>
            </w:r>
            <w:r>
              <w:rPr>
                <w:color w:val="000000" w:themeColor="text1"/>
                <w:szCs w:val="21"/>
              </w:rPr>
              <w:t>拟建设1个30m³的初期雨水收集池，对厂区的初期雨水进行收集；收集沉淀处理后回用于项目区绿化，不外排。</w:t>
            </w:r>
          </w:p>
        </w:tc>
        <w:tc>
          <w:tcPr>
            <w:tcW w:w="1703" w:type="dxa"/>
            <w:tcBorders>
              <w:top w:val="single" w:color="auto" w:sz="4" w:space="0"/>
            </w:tcBorders>
            <w:vAlign w:val="center"/>
          </w:tcPr>
          <w:p>
            <w:pPr>
              <w:pStyle w:val="30"/>
              <w:spacing w:line="360" w:lineRule="exact"/>
              <w:ind w:firstLine="210" w:firstLineChars="100"/>
              <w:jc w:val="both"/>
              <w:rPr>
                <w:rFonts w:eastAsiaTheme="minorEastAsia"/>
                <w:color w:val="000000" w:themeColor="text1"/>
              </w:rPr>
            </w:pPr>
            <w:r>
              <w:rPr>
                <w:rFonts w:hint="eastAsia" w:eastAsiaTheme="minorEastAsia"/>
                <w:color w:val="000000" w:themeColor="text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1692" w:type="dxa"/>
            <w:gridSpan w:val="2"/>
            <w:vMerge w:val="continue"/>
            <w:vAlign w:val="center"/>
          </w:tcPr>
          <w:p>
            <w:pPr>
              <w:pStyle w:val="30"/>
              <w:spacing w:line="360" w:lineRule="exact"/>
              <w:rPr>
                <w:color w:val="000000" w:themeColor="text1"/>
                <w:szCs w:val="21"/>
              </w:rPr>
            </w:pPr>
          </w:p>
        </w:tc>
        <w:tc>
          <w:tcPr>
            <w:tcW w:w="852" w:type="dxa"/>
            <w:vAlign w:val="center"/>
          </w:tcPr>
          <w:p>
            <w:pPr>
              <w:pStyle w:val="30"/>
              <w:spacing w:line="360" w:lineRule="exact"/>
              <w:rPr>
                <w:color w:val="000000" w:themeColor="text1"/>
                <w:szCs w:val="21"/>
              </w:rPr>
            </w:pPr>
            <w:r>
              <w:rPr>
                <w:color w:val="000000" w:themeColor="text1"/>
                <w:szCs w:val="21"/>
              </w:rPr>
              <w:t>雨水口</w:t>
            </w:r>
          </w:p>
        </w:tc>
        <w:tc>
          <w:tcPr>
            <w:tcW w:w="1125" w:type="dxa"/>
            <w:vAlign w:val="center"/>
          </w:tcPr>
          <w:p>
            <w:pPr>
              <w:pStyle w:val="30"/>
              <w:spacing w:line="360" w:lineRule="exact"/>
              <w:rPr>
                <w:color w:val="000000" w:themeColor="text1"/>
                <w:szCs w:val="21"/>
              </w:rPr>
            </w:pPr>
            <w:r>
              <w:rPr>
                <w:color w:val="000000" w:themeColor="text1"/>
                <w:szCs w:val="21"/>
              </w:rPr>
              <w:t>雨水</w:t>
            </w:r>
          </w:p>
        </w:tc>
        <w:tc>
          <w:tcPr>
            <w:tcW w:w="2956" w:type="dxa"/>
            <w:vAlign w:val="center"/>
          </w:tcPr>
          <w:p>
            <w:pPr>
              <w:pStyle w:val="30"/>
              <w:spacing w:line="360" w:lineRule="exact"/>
              <w:ind w:firstLine="210" w:firstLineChars="100"/>
              <w:jc w:val="both"/>
              <w:rPr>
                <w:color w:val="000000" w:themeColor="text1"/>
                <w:szCs w:val="21"/>
              </w:rPr>
            </w:pPr>
            <w:r>
              <w:rPr>
                <w:color w:val="000000" w:themeColor="text1"/>
                <w:szCs w:val="21"/>
              </w:rPr>
              <w:t>雨水外排。</w:t>
            </w:r>
          </w:p>
        </w:tc>
        <w:tc>
          <w:tcPr>
            <w:tcW w:w="1703" w:type="dxa"/>
            <w:vAlign w:val="center"/>
          </w:tcPr>
          <w:p>
            <w:pPr>
              <w:pStyle w:val="30"/>
              <w:spacing w:line="360" w:lineRule="exact"/>
              <w:ind w:firstLine="210" w:firstLineChars="100"/>
              <w:jc w:val="both"/>
              <w:rPr>
                <w:rFonts w:eastAsiaTheme="minorEastAsia"/>
                <w:color w:val="000000" w:themeColor="text1"/>
              </w:rPr>
            </w:pPr>
            <w:r>
              <w:rPr>
                <w:rFonts w:hint="eastAsia"/>
                <w:color w:val="000000" w:themeColor="text1"/>
                <w:szCs w:val="21"/>
              </w:rPr>
              <w:t>《污水综合排放标准》（GB8978-1996）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1692" w:type="dxa"/>
            <w:gridSpan w:val="2"/>
            <w:vAlign w:val="center"/>
          </w:tcPr>
          <w:p>
            <w:pPr>
              <w:pStyle w:val="30"/>
              <w:spacing w:line="360" w:lineRule="exact"/>
              <w:rPr>
                <w:color w:val="000000" w:themeColor="text1"/>
                <w:szCs w:val="21"/>
              </w:rPr>
            </w:pPr>
            <w:r>
              <w:rPr>
                <w:color w:val="000000" w:themeColor="text1"/>
                <w:szCs w:val="21"/>
              </w:rPr>
              <w:t>员工生活</w:t>
            </w:r>
          </w:p>
        </w:tc>
        <w:tc>
          <w:tcPr>
            <w:tcW w:w="852" w:type="dxa"/>
            <w:vAlign w:val="center"/>
          </w:tcPr>
          <w:p>
            <w:pPr>
              <w:pStyle w:val="30"/>
              <w:spacing w:line="360" w:lineRule="exact"/>
              <w:rPr>
                <w:color w:val="000000" w:themeColor="text1"/>
                <w:szCs w:val="21"/>
              </w:rPr>
            </w:pPr>
            <w:r>
              <w:rPr>
                <w:rFonts w:hint="eastAsia"/>
                <w:color w:val="000000" w:themeColor="text1"/>
                <w:szCs w:val="21"/>
              </w:rPr>
              <w:t>不外排</w:t>
            </w:r>
          </w:p>
        </w:tc>
        <w:tc>
          <w:tcPr>
            <w:tcW w:w="1125" w:type="dxa"/>
            <w:vAlign w:val="center"/>
          </w:tcPr>
          <w:p>
            <w:pPr>
              <w:pStyle w:val="30"/>
              <w:spacing w:line="360" w:lineRule="exact"/>
              <w:rPr>
                <w:color w:val="000000" w:themeColor="text1"/>
                <w:szCs w:val="21"/>
              </w:rPr>
            </w:pPr>
            <w:r>
              <w:rPr>
                <w:color w:val="000000" w:themeColor="text1"/>
                <w:szCs w:val="21"/>
              </w:rPr>
              <w:t>生活污水</w:t>
            </w:r>
          </w:p>
        </w:tc>
        <w:tc>
          <w:tcPr>
            <w:tcW w:w="2956" w:type="dxa"/>
            <w:vAlign w:val="center"/>
          </w:tcPr>
          <w:p>
            <w:pPr>
              <w:pStyle w:val="30"/>
              <w:spacing w:line="360" w:lineRule="exact"/>
              <w:ind w:firstLine="210" w:firstLineChars="100"/>
              <w:jc w:val="both"/>
              <w:rPr>
                <w:color w:val="000000" w:themeColor="text1"/>
                <w:szCs w:val="21"/>
              </w:rPr>
            </w:pPr>
            <w:r>
              <w:rPr>
                <w:rFonts w:hint="eastAsia"/>
                <w:color w:val="000000" w:themeColor="text1"/>
                <w:szCs w:val="21"/>
              </w:rPr>
              <w:t>根据调查，</w:t>
            </w:r>
            <w:r>
              <w:rPr>
                <w:color w:val="000000" w:themeColor="text1"/>
                <w:szCs w:val="21"/>
              </w:rPr>
              <w:t>厂区内针对</w:t>
            </w:r>
            <w:r>
              <w:rPr>
                <w:rFonts w:hint="eastAsia"/>
                <w:color w:val="000000" w:themeColor="text1"/>
                <w:szCs w:val="21"/>
              </w:rPr>
              <w:t>厨房废水</w:t>
            </w:r>
            <w:r>
              <w:rPr>
                <w:color w:val="000000" w:themeColor="text1"/>
                <w:szCs w:val="21"/>
              </w:rPr>
              <w:t>，已配套设置了1个2m³的隔油池对厨房废水进行预处理</w:t>
            </w:r>
            <w:r>
              <w:rPr>
                <w:rFonts w:hint="eastAsia"/>
                <w:color w:val="000000" w:themeColor="text1"/>
                <w:szCs w:val="21"/>
              </w:rPr>
              <w:t>；</w:t>
            </w:r>
            <w:r>
              <w:rPr>
                <w:color w:val="000000" w:themeColor="text1"/>
                <w:szCs w:val="21"/>
              </w:rPr>
              <w:t>针对办公生活区，已配套设置了3个5m³的化粪池</w:t>
            </w:r>
            <w:r>
              <w:rPr>
                <w:rFonts w:hint="eastAsia"/>
                <w:color w:val="000000" w:themeColor="text1"/>
                <w:szCs w:val="21"/>
              </w:rPr>
              <w:t>对生活污水进行处理；整改后拟建设1套处理能力为30m³/d的一体化污水处理设施对生活污水进行处理；并拟设置1个有效容积为30m³的清水池对处理后的生活污水进行暂存。</w:t>
            </w:r>
          </w:p>
          <w:p>
            <w:pPr>
              <w:pStyle w:val="30"/>
              <w:spacing w:line="360" w:lineRule="exact"/>
              <w:ind w:firstLine="210" w:firstLineChars="100"/>
              <w:jc w:val="both"/>
              <w:rPr>
                <w:color w:val="000000" w:themeColor="text1"/>
                <w:szCs w:val="21"/>
              </w:rPr>
            </w:pPr>
            <w:r>
              <w:rPr>
                <w:color w:val="000000" w:themeColor="text1"/>
                <w:szCs w:val="21"/>
              </w:rPr>
              <w:t>近期（园区污水处理厂建成前），项目产生的生活污水通过隔油池、化粪池和一体化污水处理设施处理后，回用于绿化不外排；远期（园区污水处理厂建成后），项目产生的生活污水通过隔油池、化粪池预处理后，进入东川再就业特区天生桥特色产业园污水处理厂集中处理。</w:t>
            </w:r>
          </w:p>
        </w:tc>
        <w:tc>
          <w:tcPr>
            <w:tcW w:w="1703" w:type="dxa"/>
            <w:vAlign w:val="center"/>
          </w:tcPr>
          <w:p>
            <w:pPr>
              <w:pStyle w:val="30"/>
              <w:spacing w:line="360" w:lineRule="exact"/>
              <w:ind w:firstLine="210" w:firstLineChars="100"/>
              <w:jc w:val="both"/>
              <w:rPr>
                <w:rFonts w:eastAsiaTheme="minorEastAsia"/>
                <w:color w:val="000000" w:themeColor="text1"/>
              </w:rPr>
            </w:pPr>
            <w:r>
              <w:rPr>
                <w:color w:val="000000" w:themeColor="text1"/>
                <w:szCs w:val="21"/>
              </w:rPr>
              <w:t>近期（园区污水处理厂建成前）</w:t>
            </w:r>
            <w:r>
              <w:rPr>
                <w:rFonts w:hint="eastAsia"/>
                <w:color w:val="000000" w:themeColor="text1"/>
                <w:szCs w:val="21"/>
              </w:rPr>
              <w:t>：《</w:t>
            </w:r>
            <w:r>
              <w:rPr>
                <w:rFonts w:eastAsiaTheme="minorEastAsia"/>
                <w:color w:val="000000" w:themeColor="text1"/>
              </w:rPr>
              <w:t>城市污水再生利用城市杂用水水质》（GB/T18920-2020）城市绿化标准</w:t>
            </w:r>
            <w:r>
              <w:rPr>
                <w:rFonts w:hint="eastAsia" w:eastAsiaTheme="minorEastAsia"/>
                <w:color w:val="000000" w:themeColor="text1"/>
              </w:rPr>
              <w:t>；</w:t>
            </w:r>
          </w:p>
          <w:p>
            <w:pPr>
              <w:pStyle w:val="30"/>
              <w:spacing w:line="360" w:lineRule="exact"/>
              <w:ind w:firstLine="210" w:firstLineChars="100"/>
              <w:jc w:val="both"/>
              <w:rPr>
                <w:rFonts w:eastAsiaTheme="minorEastAsia"/>
                <w:color w:val="000000" w:themeColor="text1"/>
              </w:rPr>
            </w:pPr>
            <w:r>
              <w:rPr>
                <w:color w:val="000000" w:themeColor="text1"/>
                <w:szCs w:val="21"/>
              </w:rPr>
              <w:t>远期（园区污水处理厂建成后）</w:t>
            </w:r>
            <w:r>
              <w:rPr>
                <w:rFonts w:hint="eastAsia"/>
                <w:color w:val="000000" w:themeColor="text1"/>
                <w:szCs w:val="21"/>
              </w:rPr>
              <w:t>：</w:t>
            </w:r>
            <w:r>
              <w:rPr>
                <w:color w:val="000000" w:themeColor="text1"/>
                <w:szCs w:val="21"/>
              </w:rPr>
              <w:t>《污水排入城镇下水道水质标准》（GB/T31962-2015）中B级标准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42"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声环境</w:t>
            </w:r>
          </w:p>
        </w:tc>
        <w:tc>
          <w:tcPr>
            <w:tcW w:w="2544" w:type="dxa"/>
            <w:gridSpan w:val="3"/>
            <w:vAlign w:val="center"/>
          </w:tcPr>
          <w:p>
            <w:pPr>
              <w:spacing w:line="360" w:lineRule="exact"/>
              <w:jc w:val="center"/>
              <w:rPr>
                <w:color w:val="000000" w:themeColor="text1"/>
              </w:rPr>
            </w:pPr>
            <w:r>
              <w:rPr>
                <w:rFonts w:hint="eastAsia"/>
                <w:color w:val="000000" w:themeColor="text1"/>
              </w:rPr>
              <w:t>废旧冰箱处理线设备</w:t>
            </w:r>
          </w:p>
        </w:tc>
        <w:tc>
          <w:tcPr>
            <w:tcW w:w="1125" w:type="dxa"/>
            <w:vMerge w:val="restart"/>
            <w:vAlign w:val="center"/>
          </w:tcPr>
          <w:p>
            <w:pPr>
              <w:spacing w:line="360" w:lineRule="exact"/>
              <w:jc w:val="center"/>
              <w:rPr>
                <w:rFonts w:ascii="Times New Roman" w:hAnsi="Times New Roman" w:cs="Times New Roman"/>
                <w:color w:val="000000" w:themeColor="text1"/>
                <w:kern w:val="0"/>
              </w:rPr>
            </w:pPr>
            <w:r>
              <w:rPr>
                <w:rFonts w:ascii="Times New Roman" w:hAnsi="Times New Roman" w:cs="Times New Roman"/>
                <w:color w:val="000000" w:themeColor="text1"/>
                <w:kern w:val="0"/>
              </w:rPr>
              <w:t>LeqdB（A）</w:t>
            </w:r>
          </w:p>
        </w:tc>
        <w:tc>
          <w:tcPr>
            <w:tcW w:w="2956" w:type="dxa"/>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设备安装减震垫、消声器、墙体阻隔等。</w:t>
            </w:r>
          </w:p>
        </w:tc>
        <w:tc>
          <w:tcPr>
            <w:tcW w:w="1703" w:type="dxa"/>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达到《工业企业厂界环境噪声排放标准》（GB12348-2008）</w:t>
            </w:r>
            <w:r>
              <w:rPr>
                <w:rFonts w:hint="eastAsia" w:eastAsiaTheme="minorEastAsia"/>
                <w:color w:val="000000" w:themeColor="text1"/>
                <w:szCs w:val="21"/>
              </w:rPr>
              <w:t>3</w:t>
            </w:r>
            <w:r>
              <w:rPr>
                <w:rFonts w:eastAsiaTheme="minorEastAsia"/>
                <w:color w:val="000000" w:themeColor="text1"/>
                <w:szCs w:val="21"/>
              </w:rPr>
              <w:t>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Align w:val="center"/>
          </w:tcPr>
          <w:p>
            <w:pPr>
              <w:spacing w:line="360" w:lineRule="exact"/>
              <w:jc w:val="center"/>
              <w:rPr>
                <w:color w:val="000000" w:themeColor="text1"/>
              </w:rPr>
            </w:pPr>
            <w:r>
              <w:rPr>
                <w:rFonts w:hint="eastAsia"/>
                <w:color w:val="000000" w:themeColor="text1"/>
              </w:rPr>
              <w:t>废旧洗衣机处理线设备</w:t>
            </w:r>
          </w:p>
        </w:tc>
        <w:tc>
          <w:tcPr>
            <w:tcW w:w="1125" w:type="dxa"/>
            <w:vMerge w:val="continue"/>
            <w:vAlign w:val="center"/>
          </w:tcPr>
          <w:p>
            <w:pPr>
              <w:spacing w:line="360" w:lineRule="exact"/>
              <w:jc w:val="center"/>
              <w:rPr>
                <w:rFonts w:ascii="Times New Roman" w:hAnsi="Times New Roman" w:cs="Times New Roman"/>
                <w:color w:val="000000" w:themeColor="text1"/>
                <w:kern w:val="0"/>
              </w:rPr>
            </w:pPr>
          </w:p>
        </w:tc>
        <w:tc>
          <w:tcPr>
            <w:tcW w:w="2956" w:type="dxa"/>
            <w:vMerge w:val="continue"/>
            <w:vAlign w:val="center"/>
          </w:tcPr>
          <w:p>
            <w:pPr>
              <w:pStyle w:val="30"/>
              <w:spacing w:line="360" w:lineRule="exact"/>
              <w:ind w:firstLine="210" w:firstLineChars="100"/>
              <w:jc w:val="both"/>
              <w:rPr>
                <w:rFonts w:eastAsiaTheme="minorEastAsia"/>
                <w:color w:val="000000" w:themeColor="text1"/>
                <w:szCs w:val="21"/>
              </w:rPr>
            </w:pP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Align w:val="center"/>
          </w:tcPr>
          <w:p>
            <w:pPr>
              <w:spacing w:line="360" w:lineRule="exact"/>
              <w:jc w:val="center"/>
              <w:rPr>
                <w:color w:val="000000" w:themeColor="text1"/>
              </w:rPr>
            </w:pPr>
            <w:r>
              <w:rPr>
                <w:rFonts w:hint="eastAsia"/>
                <w:color w:val="000000" w:themeColor="text1"/>
              </w:rPr>
              <w:t>空调/小家电/废手机及其视听设备消费电子产品处理线设备</w:t>
            </w:r>
          </w:p>
        </w:tc>
        <w:tc>
          <w:tcPr>
            <w:tcW w:w="1125" w:type="dxa"/>
            <w:vMerge w:val="continue"/>
            <w:vAlign w:val="center"/>
          </w:tcPr>
          <w:p>
            <w:pPr>
              <w:spacing w:line="360" w:lineRule="exact"/>
              <w:jc w:val="center"/>
              <w:rPr>
                <w:rFonts w:ascii="Times New Roman" w:hAnsi="Times New Roman" w:cs="Times New Roman"/>
                <w:color w:val="000000" w:themeColor="text1"/>
                <w:kern w:val="0"/>
              </w:rPr>
            </w:pPr>
          </w:p>
        </w:tc>
        <w:tc>
          <w:tcPr>
            <w:tcW w:w="2956" w:type="dxa"/>
            <w:vMerge w:val="continue"/>
            <w:vAlign w:val="center"/>
          </w:tcPr>
          <w:p>
            <w:pPr>
              <w:pStyle w:val="30"/>
              <w:spacing w:line="360" w:lineRule="exact"/>
              <w:ind w:firstLine="210" w:firstLineChars="100"/>
              <w:jc w:val="both"/>
              <w:rPr>
                <w:rFonts w:eastAsiaTheme="minorEastAsia"/>
                <w:color w:val="000000" w:themeColor="text1"/>
                <w:szCs w:val="21"/>
              </w:rPr>
            </w:pP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Align w:val="center"/>
          </w:tcPr>
          <w:p>
            <w:pPr>
              <w:spacing w:line="360" w:lineRule="exact"/>
              <w:jc w:val="center"/>
              <w:rPr>
                <w:color w:val="000000" w:themeColor="text1"/>
              </w:rPr>
            </w:pPr>
            <w:r>
              <w:rPr>
                <w:rFonts w:hint="eastAsia"/>
                <w:color w:val="000000" w:themeColor="text1"/>
              </w:rPr>
              <w:t>1号废旧电视机（CRT）处理线设备</w:t>
            </w:r>
          </w:p>
        </w:tc>
        <w:tc>
          <w:tcPr>
            <w:tcW w:w="1125" w:type="dxa"/>
            <w:vMerge w:val="continue"/>
            <w:vAlign w:val="center"/>
          </w:tcPr>
          <w:p>
            <w:pPr>
              <w:spacing w:line="360" w:lineRule="exact"/>
              <w:jc w:val="center"/>
              <w:rPr>
                <w:rFonts w:ascii="Times New Roman" w:hAnsi="Times New Roman" w:cs="Times New Roman"/>
                <w:color w:val="000000" w:themeColor="text1"/>
                <w:kern w:val="0"/>
              </w:rPr>
            </w:pPr>
          </w:p>
        </w:tc>
        <w:tc>
          <w:tcPr>
            <w:tcW w:w="2956" w:type="dxa"/>
            <w:vMerge w:val="continue"/>
            <w:vAlign w:val="center"/>
          </w:tcPr>
          <w:p>
            <w:pPr>
              <w:pStyle w:val="30"/>
              <w:spacing w:line="360" w:lineRule="exact"/>
              <w:ind w:firstLine="210" w:firstLineChars="100"/>
              <w:jc w:val="both"/>
              <w:rPr>
                <w:rFonts w:eastAsiaTheme="minorEastAsia"/>
                <w:color w:val="000000" w:themeColor="text1"/>
                <w:szCs w:val="21"/>
              </w:rPr>
            </w:pP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Align w:val="center"/>
          </w:tcPr>
          <w:p>
            <w:pPr>
              <w:spacing w:line="360" w:lineRule="exact"/>
              <w:jc w:val="center"/>
              <w:rPr>
                <w:color w:val="000000" w:themeColor="text1"/>
              </w:rPr>
            </w:pPr>
            <w:r>
              <w:rPr>
                <w:rFonts w:hint="eastAsia"/>
                <w:color w:val="000000" w:themeColor="text1"/>
              </w:rPr>
              <w:t>2号废旧电视机（液晶电视）处理线设备</w:t>
            </w:r>
          </w:p>
        </w:tc>
        <w:tc>
          <w:tcPr>
            <w:tcW w:w="1125" w:type="dxa"/>
            <w:vMerge w:val="continue"/>
            <w:vAlign w:val="center"/>
          </w:tcPr>
          <w:p>
            <w:pPr>
              <w:spacing w:line="360" w:lineRule="exact"/>
              <w:jc w:val="center"/>
              <w:rPr>
                <w:rFonts w:ascii="Times New Roman" w:hAnsi="Times New Roman" w:cs="Times New Roman"/>
                <w:color w:val="000000" w:themeColor="text1"/>
                <w:kern w:val="0"/>
              </w:rPr>
            </w:pPr>
          </w:p>
        </w:tc>
        <w:tc>
          <w:tcPr>
            <w:tcW w:w="2956" w:type="dxa"/>
            <w:vMerge w:val="continue"/>
            <w:vAlign w:val="center"/>
          </w:tcPr>
          <w:p>
            <w:pPr>
              <w:pStyle w:val="30"/>
              <w:spacing w:line="360" w:lineRule="exact"/>
              <w:ind w:firstLine="210" w:firstLineChars="100"/>
              <w:jc w:val="both"/>
              <w:rPr>
                <w:rFonts w:eastAsiaTheme="minorEastAsia"/>
                <w:color w:val="000000" w:themeColor="text1"/>
                <w:szCs w:val="21"/>
              </w:rPr>
            </w:pP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 w:hRule="atLeast"/>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Align w:val="center"/>
          </w:tcPr>
          <w:p>
            <w:pPr>
              <w:spacing w:line="360" w:lineRule="exact"/>
              <w:jc w:val="center"/>
              <w:rPr>
                <w:color w:val="000000" w:themeColor="text1"/>
              </w:rPr>
            </w:pPr>
            <w:r>
              <w:rPr>
                <w:rFonts w:hint="eastAsia"/>
                <w:color w:val="000000" w:themeColor="text1"/>
              </w:rPr>
              <w:t>叉车等运输设备</w:t>
            </w:r>
          </w:p>
        </w:tc>
        <w:tc>
          <w:tcPr>
            <w:tcW w:w="1125" w:type="dxa"/>
            <w:vMerge w:val="continue"/>
            <w:vAlign w:val="center"/>
          </w:tcPr>
          <w:p>
            <w:pPr>
              <w:spacing w:line="360" w:lineRule="exact"/>
              <w:jc w:val="center"/>
              <w:rPr>
                <w:rFonts w:ascii="Times New Roman" w:hAnsi="Times New Roman" w:cs="Times New Roman"/>
                <w:color w:val="000000" w:themeColor="text1"/>
                <w:kern w:val="0"/>
              </w:rPr>
            </w:pPr>
          </w:p>
        </w:tc>
        <w:tc>
          <w:tcPr>
            <w:tcW w:w="2956" w:type="dxa"/>
            <w:vMerge w:val="continue"/>
            <w:vAlign w:val="center"/>
          </w:tcPr>
          <w:p>
            <w:pPr>
              <w:pStyle w:val="30"/>
              <w:spacing w:line="360" w:lineRule="exact"/>
              <w:ind w:firstLine="210" w:firstLineChars="100"/>
              <w:jc w:val="both"/>
              <w:rPr>
                <w:rFonts w:eastAsiaTheme="minorEastAsia"/>
                <w:color w:val="000000" w:themeColor="text1"/>
                <w:szCs w:val="21"/>
              </w:rPr>
            </w:pP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固体废物</w:t>
            </w:r>
          </w:p>
        </w:tc>
        <w:tc>
          <w:tcPr>
            <w:tcW w:w="2544" w:type="dxa"/>
            <w:gridSpan w:val="3"/>
            <w:vMerge w:val="restart"/>
            <w:vAlign w:val="center"/>
          </w:tcPr>
          <w:p>
            <w:pPr>
              <w:spacing w:line="360" w:lineRule="exact"/>
              <w:jc w:val="center"/>
              <w:rPr>
                <w:color w:val="000000" w:themeColor="text1"/>
              </w:rPr>
            </w:pPr>
            <w:r>
              <w:rPr>
                <w:rFonts w:hint="eastAsia"/>
                <w:color w:val="000000" w:themeColor="text1"/>
              </w:rPr>
              <w:t>废旧冰箱处理线、废旧洗衣机处理线、空调/小家电/废手机及其视听设备消费电子产品处理线、1号废旧电视机（CRT）处理线、2号废旧电视机（液晶电视）处理线</w:t>
            </w: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废塑料</w:t>
            </w:r>
          </w:p>
        </w:tc>
        <w:tc>
          <w:tcPr>
            <w:tcW w:w="2956" w:type="dxa"/>
            <w:tcBorders>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已和清远市联和再生资源有限公司</w:t>
            </w:r>
            <w:r>
              <w:rPr>
                <w:rFonts w:hint="eastAsia"/>
                <w:color w:val="000000" w:themeColor="text1"/>
              </w:rPr>
              <w:t>、</w:t>
            </w:r>
            <w:r>
              <w:rPr>
                <w:rFonts w:hint="eastAsia" w:ascii="Calibri" w:hAnsi="Calibri"/>
                <w:color w:val="000000" w:themeColor="text1"/>
              </w:rPr>
              <w:t>云南昆船环保技术有限公司等21家公司签订合同，通过招投标情况决定委托处置单位。</w:t>
            </w:r>
          </w:p>
        </w:tc>
        <w:tc>
          <w:tcPr>
            <w:tcW w:w="1703" w:type="dxa"/>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处置率为100%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color w:val="000000" w:themeColor="text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废旧有色金属（铜/铝等）</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已和天津通宜顺金属制品有限公司</w:t>
            </w:r>
            <w:r>
              <w:rPr>
                <w:rFonts w:hint="eastAsia"/>
                <w:color w:val="000000" w:themeColor="text1"/>
              </w:rPr>
              <w:t>、</w:t>
            </w:r>
            <w:r>
              <w:rPr>
                <w:rFonts w:hint="eastAsia" w:ascii="Calibri" w:hAnsi="Calibri"/>
                <w:color w:val="000000" w:themeColor="text1"/>
              </w:rPr>
              <w:t>曲靖市马龙区巨龙机电制造有限公司等16家公司签订合同，通过招投标情况决定委托处置单位。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color w:val="000000" w:themeColor="text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废钢/铁</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已和玉溪保家再生资源有限公司</w:t>
            </w:r>
            <w:r>
              <w:rPr>
                <w:rFonts w:hint="eastAsia"/>
                <w:color w:val="000000" w:themeColor="text1"/>
              </w:rPr>
              <w:t>、</w:t>
            </w:r>
            <w:r>
              <w:rPr>
                <w:rFonts w:hint="eastAsia" w:ascii="Calibri" w:hAnsi="Calibri"/>
                <w:color w:val="000000" w:themeColor="text1"/>
              </w:rPr>
              <w:t>天津凯成发金属制品有限公司</w:t>
            </w:r>
            <w:r>
              <w:rPr>
                <w:rFonts w:hint="eastAsia"/>
                <w:color w:val="000000" w:themeColor="text1"/>
              </w:rPr>
              <w:t>、</w:t>
            </w:r>
            <w:r>
              <w:rPr>
                <w:rFonts w:hint="eastAsia" w:ascii="Calibri" w:hAnsi="Calibri"/>
                <w:color w:val="000000" w:themeColor="text1"/>
              </w:rPr>
              <w:t>安宁市伟中铸造有限公司签订合同，通过招投标情况决定委托处置单位。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rFonts w:eastAsiaTheme="minorEastAsia"/>
                <w:color w:val="000000" w:themeColor="text1"/>
                <w:szCs w:val="2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废玻璃</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已和泸州永恒玻璃有限公司</w:t>
            </w:r>
            <w:r>
              <w:rPr>
                <w:rFonts w:hint="eastAsia"/>
                <w:color w:val="000000" w:themeColor="text1"/>
              </w:rPr>
              <w:t>、</w:t>
            </w:r>
            <w:r>
              <w:rPr>
                <w:rFonts w:hint="eastAsia" w:ascii="Calibri" w:hAnsi="Calibri"/>
                <w:color w:val="000000" w:themeColor="text1"/>
              </w:rPr>
              <w:t>四川省泸州市海纳环保科技有限公司</w:t>
            </w:r>
            <w:r>
              <w:rPr>
                <w:rFonts w:hint="eastAsia"/>
                <w:color w:val="000000" w:themeColor="text1"/>
              </w:rPr>
              <w:t>、</w:t>
            </w:r>
            <w:r>
              <w:rPr>
                <w:rFonts w:hint="eastAsia" w:ascii="Calibri" w:hAnsi="Calibri"/>
                <w:color w:val="000000" w:themeColor="text1"/>
              </w:rPr>
              <w:t>四川吉晶安新材料科技有限公司签订合同，通过招投标情况决定委托处置单位。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rFonts w:eastAsiaTheme="minorEastAsia"/>
                <w:color w:val="000000" w:themeColor="text1"/>
                <w:szCs w:val="2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泡棉</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rFonts w:eastAsiaTheme="minorEastAsia"/>
                <w:color w:val="000000" w:themeColor="text1"/>
                <w:szCs w:val="2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废电子配件（开关、电容、电源线等）</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ascii="Calibri" w:hAnsi="Calibri"/>
                <w:color w:val="000000" w:themeColor="text1"/>
              </w:rPr>
              <w:t>已和北京国浩贸易有限公司</w:t>
            </w:r>
            <w:r>
              <w:rPr>
                <w:rFonts w:hint="eastAsia"/>
                <w:color w:val="000000" w:themeColor="text1"/>
              </w:rPr>
              <w:t>、</w:t>
            </w:r>
            <w:r>
              <w:rPr>
                <w:rFonts w:hint="eastAsia" w:ascii="Calibri" w:hAnsi="Calibri"/>
                <w:color w:val="000000" w:themeColor="text1"/>
              </w:rPr>
              <w:t>河南京飞再生资源有限公司签订合同，通过招投标情况决定委托处置单位。</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rFonts w:eastAsiaTheme="minorEastAsia"/>
                <w:color w:val="000000" w:themeColor="text1"/>
                <w:szCs w:val="2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制冷剂</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暂存于4危险废物贮存间，委托天津澳宏环保材料有限公司处置。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rFonts w:eastAsiaTheme="minorEastAsia"/>
                <w:color w:val="000000" w:themeColor="text1"/>
                <w:szCs w:val="2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废弃细碎料</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rFonts w:eastAsiaTheme="minorEastAsia"/>
                <w:color w:val="000000" w:themeColor="text1"/>
                <w:szCs w:val="21"/>
              </w:rPr>
            </w:pPr>
          </w:p>
        </w:tc>
        <w:tc>
          <w:tcPr>
            <w:tcW w:w="1125" w:type="dxa"/>
            <w:tcBorders>
              <w:bottom w:val="single" w:color="auto" w:sz="4" w:space="0"/>
            </w:tcBorders>
            <w:vAlign w:val="center"/>
          </w:tcPr>
          <w:p>
            <w:pPr>
              <w:pStyle w:val="30"/>
              <w:spacing w:line="360" w:lineRule="exact"/>
              <w:rPr>
                <w:color w:val="000000" w:themeColor="text1"/>
                <w:szCs w:val="21"/>
              </w:rPr>
            </w:pPr>
            <w:r>
              <w:rPr>
                <w:rFonts w:hint="eastAsia"/>
                <w:color w:val="000000" w:themeColor="text1"/>
                <w:szCs w:val="21"/>
              </w:rPr>
              <w:t>收集粉尘</w:t>
            </w:r>
          </w:p>
        </w:tc>
        <w:tc>
          <w:tcPr>
            <w:tcW w:w="2956" w:type="dxa"/>
            <w:tcBorders>
              <w:top w:val="single" w:color="auto" w:sz="4" w:space="0"/>
              <w:bottom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委托昆明涌诺保洁服务有限公司处置。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废矿物油</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暂存于2#危险废物贮存间，委托</w:t>
            </w:r>
            <w:r>
              <w:rPr>
                <w:rFonts w:hint="eastAsia" w:ascii="Calibri" w:hAnsi="Calibri"/>
                <w:color w:val="000000" w:themeColor="text1"/>
              </w:rPr>
              <w:t>云南圣邦科技有限公司</w:t>
            </w:r>
            <w:r>
              <w:rPr>
                <w:rFonts w:hint="eastAsia"/>
                <w:color w:val="000000" w:themeColor="text1"/>
                <w:szCs w:val="21"/>
              </w:rPr>
              <w:t>处置。</w:t>
            </w:r>
          </w:p>
        </w:tc>
        <w:tc>
          <w:tcPr>
            <w:tcW w:w="1703" w:type="dxa"/>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满足《危险废物贮存污染控制标准》（GB18597-2001）及修改单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废电路板</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暂存于废电路板贮存区，委托</w:t>
            </w:r>
            <w:r>
              <w:rPr>
                <w:rFonts w:hint="eastAsia" w:ascii="Calibri" w:hAnsi="Calibri"/>
                <w:color w:val="000000" w:themeColor="text1"/>
              </w:rPr>
              <w:t>贵州鸿鹄环保实业有限公司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含汞灯管</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暂存于1#危险废物贮存间，委托</w:t>
            </w:r>
            <w:r>
              <w:rPr>
                <w:rFonts w:hint="eastAsia" w:ascii="Calibri" w:hAnsi="Calibri"/>
                <w:color w:val="000000" w:themeColor="text1"/>
              </w:rPr>
              <w:t>云南沙甸铅业股份有限公司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背光模组</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暂存于1#危险废物贮存间，委托</w:t>
            </w:r>
            <w:r>
              <w:rPr>
                <w:rFonts w:hint="eastAsia" w:ascii="Calibri" w:hAnsi="Calibri"/>
                <w:color w:val="000000" w:themeColor="text1"/>
              </w:rPr>
              <w:t>云南沙甸铅业股份有限公司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废弃的阴极射线管（锥玻璃）</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暂存于废弃的阴极射线管（锥玻璃）含铅贮存区，委托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荧光粉</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废活性炭（吸附有机废气）</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暂存于3#危险废物贮存间，委托</w:t>
            </w:r>
            <w:r>
              <w:rPr>
                <w:rFonts w:hint="eastAsia" w:ascii="Calibri" w:hAnsi="Calibri"/>
                <w:color w:val="000000" w:themeColor="text1"/>
              </w:rPr>
              <w:t>云南沙甸铅业股份有限公司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color w:val="000000" w:themeColor="text1"/>
                <w:szCs w:val="21"/>
              </w:rPr>
            </w:pPr>
            <w:r>
              <w:rPr>
                <w:rFonts w:hint="eastAsia"/>
                <w:color w:val="000000" w:themeColor="text1"/>
                <w:szCs w:val="21"/>
              </w:rPr>
              <w:t>废活性炭（吸附汞及其化合物）</w:t>
            </w:r>
          </w:p>
        </w:tc>
        <w:tc>
          <w:tcPr>
            <w:tcW w:w="2956" w:type="dxa"/>
            <w:tcBorders>
              <w:top w:val="single" w:color="auto" w:sz="4" w:space="0"/>
            </w:tcBorders>
            <w:vAlign w:val="center"/>
          </w:tcPr>
          <w:p>
            <w:pPr>
              <w:pStyle w:val="30"/>
              <w:spacing w:line="360" w:lineRule="exact"/>
              <w:ind w:firstLine="210" w:firstLineChars="100"/>
              <w:jc w:val="left"/>
              <w:rPr>
                <w:color w:val="000000" w:themeColor="text1"/>
                <w:szCs w:val="21"/>
              </w:rPr>
            </w:pPr>
            <w:r>
              <w:rPr>
                <w:rFonts w:hint="eastAsia"/>
                <w:color w:val="000000" w:themeColor="text1"/>
                <w:szCs w:val="21"/>
              </w:rPr>
              <w:t>暂存于1#危险废物贮存间，委托</w:t>
            </w:r>
            <w:r>
              <w:rPr>
                <w:rFonts w:hint="eastAsia" w:ascii="Calibri" w:hAnsi="Calibri"/>
                <w:color w:val="000000" w:themeColor="text1"/>
              </w:rPr>
              <w:t>云南沙甸铅业股份有限公司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spacing w:line="360" w:lineRule="exact"/>
              <w:jc w:val="center"/>
              <w:rPr>
                <w:rFonts w:ascii="Times New Roman" w:hAnsi="Times New Roman" w:cs="Times New Roman"/>
                <w:color w:val="000000" w:themeColor="text1"/>
                <w:kern w:val="0"/>
              </w:rPr>
            </w:pPr>
          </w:p>
        </w:tc>
        <w:tc>
          <w:tcPr>
            <w:tcW w:w="1125" w:type="dxa"/>
            <w:vAlign w:val="center"/>
          </w:tcPr>
          <w:p>
            <w:pPr>
              <w:pStyle w:val="30"/>
              <w:spacing w:line="360" w:lineRule="exact"/>
              <w:rPr>
                <w:rFonts w:eastAsiaTheme="minorEastAsia"/>
                <w:color w:val="000000" w:themeColor="text1"/>
                <w:szCs w:val="21"/>
              </w:rPr>
            </w:pPr>
            <w:r>
              <w:rPr>
                <w:rFonts w:hint="eastAsia"/>
                <w:color w:val="000000" w:themeColor="text1"/>
                <w:szCs w:val="21"/>
              </w:rPr>
              <w:t>收集含铅粉尘</w:t>
            </w:r>
          </w:p>
        </w:tc>
        <w:tc>
          <w:tcPr>
            <w:tcW w:w="2956" w:type="dxa"/>
            <w:tcBorders>
              <w:top w:val="single" w:color="auto" w:sz="4" w:space="0"/>
            </w:tcBorders>
            <w:vAlign w:val="center"/>
          </w:tcPr>
          <w:p>
            <w:pPr>
              <w:pStyle w:val="30"/>
              <w:spacing w:line="360" w:lineRule="exact"/>
              <w:ind w:firstLine="210" w:firstLineChars="100"/>
              <w:jc w:val="both"/>
              <w:rPr>
                <w:rFonts w:eastAsiaTheme="minorEastAsia"/>
                <w:color w:val="000000" w:themeColor="text1"/>
                <w:szCs w:val="24"/>
              </w:rPr>
            </w:pPr>
            <w:r>
              <w:rPr>
                <w:rFonts w:hint="eastAsia"/>
                <w:color w:val="000000" w:themeColor="text1"/>
                <w:szCs w:val="21"/>
              </w:rPr>
              <w:t>暂存于1#危险废物贮存间，委托</w:t>
            </w:r>
            <w:r>
              <w:rPr>
                <w:rFonts w:hint="eastAsia" w:ascii="Calibri" w:hAnsi="Calibri"/>
                <w:color w:val="000000" w:themeColor="text1"/>
              </w:rPr>
              <w:t>云南沙甸铅业股份有限公司</w:t>
            </w:r>
            <w:r>
              <w:rPr>
                <w:rFonts w:hint="eastAsia"/>
                <w:color w:val="000000" w:themeColor="text1"/>
              </w:rPr>
              <w:t>、</w:t>
            </w:r>
            <w:r>
              <w:rPr>
                <w:rFonts w:hint="eastAsia" w:ascii="Calibri" w:hAnsi="Calibri"/>
                <w:color w:val="000000" w:themeColor="text1"/>
              </w:rPr>
              <w:t>贵州鸿鹄环保实业有限公司</w:t>
            </w:r>
            <w:r>
              <w:rPr>
                <w:rFonts w:hint="eastAsia"/>
                <w:color w:val="000000" w:themeColor="text1"/>
                <w:szCs w:val="21"/>
              </w:rPr>
              <w:t>处置。</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restart"/>
            <w:vAlign w:val="center"/>
          </w:tcPr>
          <w:p>
            <w:pPr>
              <w:pStyle w:val="30"/>
              <w:spacing w:line="360" w:lineRule="exact"/>
              <w:rPr>
                <w:color w:val="000000" w:themeColor="text1"/>
                <w:szCs w:val="21"/>
              </w:rPr>
            </w:pPr>
            <w:r>
              <w:rPr>
                <w:color w:val="000000" w:themeColor="text1"/>
                <w:szCs w:val="21"/>
              </w:rPr>
              <w:t>员工生活</w:t>
            </w:r>
          </w:p>
        </w:tc>
        <w:tc>
          <w:tcPr>
            <w:tcW w:w="112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生活垃圾</w:t>
            </w:r>
          </w:p>
        </w:tc>
        <w:tc>
          <w:tcPr>
            <w:tcW w:w="2956" w:type="dxa"/>
            <w:vAlign w:val="center"/>
          </w:tcPr>
          <w:p>
            <w:pPr>
              <w:pStyle w:val="30"/>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委托环卫部门定期清运处置</w:t>
            </w:r>
            <w:r>
              <w:rPr>
                <w:rFonts w:hint="eastAsia" w:eastAsiaTheme="minorEastAsia"/>
                <w:color w:val="000000" w:themeColor="text1"/>
                <w:szCs w:val="24"/>
              </w:rPr>
              <w:t>。</w:t>
            </w:r>
          </w:p>
        </w:tc>
        <w:tc>
          <w:tcPr>
            <w:tcW w:w="1703" w:type="dxa"/>
            <w:vMerge w:val="restart"/>
            <w:vAlign w:val="center"/>
          </w:tcPr>
          <w:p>
            <w:pPr>
              <w:pStyle w:val="30"/>
              <w:spacing w:line="360" w:lineRule="exact"/>
              <w:ind w:firstLine="210" w:firstLineChars="100"/>
              <w:jc w:val="both"/>
              <w:rPr>
                <w:rFonts w:eastAsiaTheme="minorEastAsia"/>
                <w:color w:val="000000" w:themeColor="text1"/>
                <w:szCs w:val="21"/>
              </w:rPr>
            </w:pPr>
            <w:r>
              <w:rPr>
                <w:rFonts w:eastAsiaTheme="minorEastAsia"/>
                <w:color w:val="000000" w:themeColor="text1"/>
                <w:szCs w:val="21"/>
              </w:rPr>
              <w:t>处置率为100%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color w:val="000000" w:themeColor="text1"/>
                <w:szCs w:val="21"/>
              </w:rPr>
            </w:pPr>
          </w:p>
        </w:tc>
        <w:tc>
          <w:tcPr>
            <w:tcW w:w="112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餐厨废物</w:t>
            </w:r>
          </w:p>
        </w:tc>
        <w:tc>
          <w:tcPr>
            <w:tcW w:w="2956" w:type="dxa"/>
            <w:vAlign w:val="center"/>
          </w:tcPr>
          <w:p>
            <w:pPr>
              <w:pStyle w:val="30"/>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委托环卫部门定期清运处置</w:t>
            </w:r>
            <w:r>
              <w:rPr>
                <w:rFonts w:hint="eastAsia" w:eastAsiaTheme="minorEastAsia"/>
                <w:color w:val="000000" w:themeColor="text1"/>
                <w:szCs w:val="24"/>
              </w:rPr>
              <w:t>。</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color w:val="000000" w:themeColor="text1"/>
                <w:szCs w:val="21"/>
              </w:rPr>
            </w:pPr>
          </w:p>
        </w:tc>
        <w:tc>
          <w:tcPr>
            <w:tcW w:w="112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隔油池浮油</w:t>
            </w:r>
          </w:p>
        </w:tc>
        <w:tc>
          <w:tcPr>
            <w:tcW w:w="2956" w:type="dxa"/>
            <w:vAlign w:val="center"/>
          </w:tcPr>
          <w:p>
            <w:pPr>
              <w:pStyle w:val="30"/>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委托环卫部门定期清运处置</w:t>
            </w:r>
            <w:r>
              <w:rPr>
                <w:rFonts w:hint="eastAsia" w:eastAsiaTheme="minorEastAsia"/>
                <w:color w:val="000000" w:themeColor="text1"/>
                <w:szCs w:val="24"/>
              </w:rPr>
              <w:t>。</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Merge w:val="continue"/>
            <w:vAlign w:val="center"/>
          </w:tcPr>
          <w:p>
            <w:pPr>
              <w:spacing w:line="360" w:lineRule="exact"/>
              <w:jc w:val="center"/>
              <w:rPr>
                <w:rFonts w:ascii="Times New Roman" w:hAnsi="Times New Roman" w:cs="Times New Roman"/>
                <w:color w:val="000000" w:themeColor="text1"/>
              </w:rPr>
            </w:pPr>
          </w:p>
        </w:tc>
        <w:tc>
          <w:tcPr>
            <w:tcW w:w="2544" w:type="dxa"/>
            <w:gridSpan w:val="3"/>
            <w:vMerge w:val="continue"/>
            <w:vAlign w:val="center"/>
          </w:tcPr>
          <w:p>
            <w:pPr>
              <w:pStyle w:val="30"/>
              <w:spacing w:line="360" w:lineRule="exact"/>
              <w:rPr>
                <w:color w:val="000000" w:themeColor="text1"/>
                <w:szCs w:val="21"/>
              </w:rPr>
            </w:pPr>
          </w:p>
        </w:tc>
        <w:tc>
          <w:tcPr>
            <w:tcW w:w="112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污水处理设施污泥</w:t>
            </w:r>
          </w:p>
        </w:tc>
        <w:tc>
          <w:tcPr>
            <w:tcW w:w="2956" w:type="dxa"/>
            <w:vAlign w:val="center"/>
          </w:tcPr>
          <w:p>
            <w:pPr>
              <w:pStyle w:val="30"/>
              <w:spacing w:line="360" w:lineRule="exact"/>
              <w:ind w:firstLine="210" w:firstLineChars="100"/>
              <w:jc w:val="both"/>
              <w:rPr>
                <w:rFonts w:eastAsiaTheme="minorEastAsia"/>
                <w:color w:val="000000" w:themeColor="text1"/>
                <w:szCs w:val="24"/>
              </w:rPr>
            </w:pPr>
            <w:r>
              <w:rPr>
                <w:rFonts w:eastAsiaTheme="minorEastAsia"/>
                <w:color w:val="000000" w:themeColor="text1"/>
                <w:szCs w:val="24"/>
              </w:rPr>
              <w:t>委托环卫部门清运处理</w:t>
            </w:r>
            <w:r>
              <w:rPr>
                <w:rFonts w:hint="eastAsia" w:eastAsiaTheme="minorEastAsia"/>
                <w:color w:val="000000" w:themeColor="text1"/>
                <w:szCs w:val="24"/>
              </w:rPr>
              <w:t>。</w:t>
            </w:r>
          </w:p>
        </w:tc>
        <w:tc>
          <w:tcPr>
            <w:tcW w:w="1703" w:type="dxa"/>
            <w:vMerge w:val="continue"/>
            <w:vAlign w:val="center"/>
          </w:tcPr>
          <w:p>
            <w:pPr>
              <w:pStyle w:val="30"/>
              <w:spacing w:line="360" w:lineRule="exact"/>
              <w:ind w:firstLine="210" w:firstLineChars="100"/>
              <w:jc w:val="both"/>
              <w:rPr>
                <w:rFonts w:eastAsiaTheme="minorEastAsia"/>
                <w:color w:val="000000" w:themeColor="text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土壤及地下水污染防治措施</w:t>
            </w:r>
          </w:p>
        </w:tc>
        <w:tc>
          <w:tcPr>
            <w:tcW w:w="8328" w:type="dxa"/>
            <w:gridSpan w:val="6"/>
            <w:vAlign w:val="center"/>
          </w:tcPr>
          <w:p>
            <w:pPr>
              <w:pStyle w:val="30"/>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fldChar w:fldCharType="begin"/>
            </w:r>
            <w:r>
              <w:rPr>
                <w:rFonts w:eastAsiaTheme="minorEastAsia"/>
                <w:color w:val="000000" w:themeColor="text1"/>
                <w:sz w:val="24"/>
                <w:szCs w:val="21"/>
              </w:rPr>
              <w:instrText xml:space="preserve"> = 1 \* GB2 </w:instrText>
            </w:r>
            <w:r>
              <w:rPr>
                <w:rFonts w:eastAsiaTheme="minorEastAsia"/>
                <w:color w:val="000000" w:themeColor="text1"/>
                <w:sz w:val="24"/>
                <w:szCs w:val="21"/>
              </w:rPr>
              <w:fldChar w:fldCharType="separate"/>
            </w:r>
            <w:r>
              <w:rPr>
                <w:rFonts w:hint="eastAsia" w:eastAsiaTheme="minorEastAsia"/>
                <w:color w:val="000000" w:themeColor="text1"/>
                <w:sz w:val="24"/>
                <w:szCs w:val="21"/>
              </w:rPr>
              <w:t>⑴</w:t>
            </w:r>
            <w:r>
              <w:rPr>
                <w:rFonts w:eastAsiaTheme="minorEastAsia"/>
                <w:color w:val="000000" w:themeColor="text1"/>
                <w:sz w:val="24"/>
                <w:szCs w:val="21"/>
              </w:rPr>
              <w:fldChar w:fldCharType="end"/>
            </w:r>
            <w:r>
              <w:rPr>
                <w:rFonts w:eastAsiaTheme="minorEastAsia"/>
                <w:color w:val="000000" w:themeColor="text1"/>
                <w:sz w:val="24"/>
                <w:szCs w:val="21"/>
              </w:rPr>
              <w:t>重点防渗区</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根据调查，项目</w:t>
            </w:r>
            <w:r>
              <w:rPr>
                <w:rFonts w:eastAsiaTheme="minorEastAsia"/>
                <w:color w:val="000000" w:themeColor="text1"/>
                <w:sz w:val="24"/>
                <w:szCs w:val="21"/>
              </w:rPr>
              <w:t>重点防渗区为</w:t>
            </w:r>
            <w:r>
              <w:rPr>
                <w:rFonts w:hint="eastAsia" w:eastAsiaTheme="minorEastAsia"/>
                <w:color w:val="000000" w:themeColor="text1"/>
                <w:sz w:val="24"/>
                <w:szCs w:val="21"/>
              </w:rPr>
              <w:t>废电路板暂存区、4个危险废物贮存间；其地面和裙墙均已采用环氧树脂等防渗漆进行防渗</w:t>
            </w:r>
            <w:r>
              <w:rPr>
                <w:rFonts w:eastAsiaTheme="minorEastAsia"/>
                <w:color w:val="000000" w:themeColor="text1"/>
                <w:sz w:val="24"/>
                <w:szCs w:val="21"/>
              </w:rPr>
              <w:t>其渗透系数≤10</w:t>
            </w:r>
            <w:r>
              <w:rPr>
                <w:rFonts w:eastAsiaTheme="minorEastAsia"/>
                <w:color w:val="000000" w:themeColor="text1"/>
                <w:sz w:val="24"/>
                <w:szCs w:val="21"/>
                <w:vertAlign w:val="superscript"/>
              </w:rPr>
              <w:t>-10</w:t>
            </w:r>
            <w:r>
              <w:rPr>
                <w:rFonts w:eastAsiaTheme="minorEastAsia"/>
                <w:color w:val="000000" w:themeColor="text1"/>
                <w:sz w:val="24"/>
                <w:szCs w:val="21"/>
              </w:rPr>
              <w:t>cm/s；</w:t>
            </w:r>
          </w:p>
          <w:p>
            <w:pPr>
              <w:pStyle w:val="30"/>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fldChar w:fldCharType="begin"/>
            </w:r>
            <w:r>
              <w:rPr>
                <w:rFonts w:eastAsiaTheme="minorEastAsia"/>
                <w:color w:val="000000" w:themeColor="text1"/>
                <w:sz w:val="24"/>
                <w:szCs w:val="21"/>
              </w:rPr>
              <w:instrText xml:space="preserve"> = 2 \* GB2 </w:instrText>
            </w:r>
            <w:r>
              <w:rPr>
                <w:rFonts w:eastAsiaTheme="minorEastAsia"/>
                <w:color w:val="000000" w:themeColor="text1"/>
                <w:sz w:val="24"/>
                <w:szCs w:val="21"/>
              </w:rPr>
              <w:fldChar w:fldCharType="separate"/>
            </w:r>
            <w:r>
              <w:rPr>
                <w:rFonts w:hint="eastAsia" w:eastAsiaTheme="minorEastAsia"/>
                <w:color w:val="000000" w:themeColor="text1"/>
                <w:sz w:val="24"/>
                <w:szCs w:val="21"/>
              </w:rPr>
              <w:t>⑵</w:t>
            </w:r>
            <w:r>
              <w:rPr>
                <w:rFonts w:eastAsiaTheme="minorEastAsia"/>
                <w:color w:val="000000" w:themeColor="text1"/>
                <w:sz w:val="24"/>
                <w:szCs w:val="21"/>
              </w:rPr>
              <w:fldChar w:fldCharType="end"/>
            </w:r>
            <w:r>
              <w:rPr>
                <w:rFonts w:eastAsiaTheme="minorEastAsia"/>
                <w:color w:val="000000" w:themeColor="text1"/>
                <w:sz w:val="24"/>
                <w:szCs w:val="21"/>
              </w:rPr>
              <w:t>一般防渗区</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根据调查，项目生产车间和仓库均属于一般防渗区</w:t>
            </w:r>
            <w:r>
              <w:rPr>
                <w:rFonts w:eastAsiaTheme="minorEastAsia"/>
                <w:color w:val="000000" w:themeColor="text1"/>
                <w:sz w:val="24"/>
                <w:szCs w:val="21"/>
              </w:rPr>
              <w:t>，一般防渗区措施地面采取粘土铺底，并在上层铺30cm的混凝土进行硬化。</w:t>
            </w:r>
            <w:r>
              <w:rPr>
                <w:rFonts w:hint="eastAsia" w:eastAsiaTheme="minorEastAsia"/>
                <w:color w:val="000000" w:themeColor="text1"/>
                <w:sz w:val="24"/>
                <w:szCs w:val="21"/>
              </w:rPr>
              <w:t>其渗透系数</w:t>
            </w:r>
            <w:r>
              <w:rPr>
                <w:rFonts w:eastAsiaTheme="minorEastAsia"/>
                <w:color w:val="000000" w:themeColor="text1"/>
                <w:sz w:val="24"/>
                <w:szCs w:val="21"/>
              </w:rPr>
              <w:t>≤1.0×10</w:t>
            </w:r>
            <w:r>
              <w:rPr>
                <w:rFonts w:eastAsiaTheme="minorEastAsia"/>
                <w:color w:val="000000" w:themeColor="text1"/>
                <w:sz w:val="24"/>
                <w:szCs w:val="21"/>
                <w:vertAlign w:val="superscript"/>
              </w:rPr>
              <w:t>-</w:t>
            </w:r>
            <w:r>
              <w:rPr>
                <w:rFonts w:hint="eastAsia" w:eastAsiaTheme="minorEastAsia"/>
                <w:color w:val="000000" w:themeColor="text1"/>
                <w:sz w:val="24"/>
                <w:szCs w:val="21"/>
                <w:vertAlign w:val="superscript"/>
              </w:rPr>
              <w:t>7</w:t>
            </w:r>
            <w:r>
              <w:rPr>
                <w:rFonts w:eastAsiaTheme="minorEastAsia"/>
                <w:color w:val="000000" w:themeColor="text1"/>
                <w:sz w:val="24"/>
                <w:szCs w:val="21"/>
              </w:rPr>
              <w:t>cm/s</w:t>
            </w:r>
            <w:r>
              <w:rPr>
                <w:rFonts w:hint="eastAsia" w:eastAsiaTheme="minorEastAsia"/>
                <w:color w:val="000000" w:themeColor="text1"/>
                <w:sz w:val="24"/>
                <w:szCs w:val="21"/>
              </w:rPr>
              <w:t>。</w:t>
            </w:r>
          </w:p>
          <w:p>
            <w:pPr>
              <w:pStyle w:val="30"/>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fldChar w:fldCharType="begin"/>
            </w:r>
            <w:r>
              <w:rPr>
                <w:rFonts w:eastAsiaTheme="minorEastAsia"/>
                <w:color w:val="000000" w:themeColor="text1"/>
                <w:sz w:val="24"/>
                <w:szCs w:val="21"/>
              </w:rPr>
              <w:instrText xml:space="preserve"> = 3 \* GB2 </w:instrText>
            </w:r>
            <w:r>
              <w:rPr>
                <w:rFonts w:eastAsiaTheme="minorEastAsia"/>
                <w:color w:val="000000" w:themeColor="text1"/>
                <w:sz w:val="24"/>
                <w:szCs w:val="21"/>
              </w:rPr>
              <w:fldChar w:fldCharType="separate"/>
            </w:r>
            <w:r>
              <w:rPr>
                <w:rFonts w:hint="eastAsia" w:ascii="宋体" w:hAnsi="宋体" w:cs="宋体"/>
                <w:color w:val="000000" w:themeColor="text1"/>
                <w:sz w:val="24"/>
                <w:szCs w:val="21"/>
              </w:rPr>
              <w:t>⑶</w:t>
            </w:r>
            <w:r>
              <w:rPr>
                <w:rFonts w:eastAsiaTheme="minorEastAsia"/>
                <w:color w:val="000000" w:themeColor="text1"/>
                <w:sz w:val="24"/>
                <w:szCs w:val="21"/>
              </w:rPr>
              <w:fldChar w:fldCharType="end"/>
            </w:r>
            <w:r>
              <w:rPr>
                <w:rFonts w:eastAsiaTheme="minorEastAsia"/>
                <w:color w:val="000000" w:themeColor="text1"/>
                <w:sz w:val="24"/>
                <w:szCs w:val="21"/>
              </w:rPr>
              <w:t>简单防渗区</w:t>
            </w:r>
          </w:p>
          <w:p>
            <w:pPr>
              <w:pStyle w:val="30"/>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对于基本上不产生污染物的简单防渗区，不采取专门针对地下水污染的防治措施。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生态保护措施</w:t>
            </w:r>
          </w:p>
        </w:tc>
        <w:tc>
          <w:tcPr>
            <w:tcW w:w="8328" w:type="dxa"/>
            <w:gridSpan w:val="6"/>
            <w:vAlign w:val="center"/>
          </w:tcPr>
          <w:p>
            <w:pPr>
              <w:pStyle w:val="30"/>
              <w:spacing w:line="360" w:lineRule="auto"/>
              <w:ind w:firstLine="240" w:firstLineChars="100"/>
              <w:jc w:val="both"/>
              <w:rPr>
                <w:rFonts w:eastAsiaTheme="minorEastAsia"/>
                <w:color w:val="000000" w:themeColor="text1"/>
                <w:szCs w:val="21"/>
              </w:rPr>
            </w:pPr>
            <w:r>
              <w:rPr>
                <w:rFonts w:eastAsiaTheme="minorEastAsia"/>
                <w:color w:val="000000" w:themeColor="text1"/>
                <w:sz w:val="24"/>
                <w:szCs w:val="21"/>
              </w:rPr>
              <w:t>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环境风险防范措施</w:t>
            </w:r>
          </w:p>
        </w:tc>
        <w:tc>
          <w:tcPr>
            <w:tcW w:w="8328" w:type="dxa"/>
            <w:gridSpan w:val="6"/>
            <w:vAlign w:val="center"/>
          </w:tcPr>
          <w:p>
            <w:pPr>
              <w:pStyle w:val="30"/>
              <w:spacing w:line="360" w:lineRule="auto"/>
              <w:ind w:firstLine="240" w:firstLineChars="100"/>
              <w:jc w:val="both"/>
              <w:rPr>
                <w:rFonts w:eastAsiaTheme="minorEastAsia"/>
                <w:color w:val="000000" w:themeColor="text1"/>
                <w:sz w:val="24"/>
                <w:szCs w:val="21"/>
              </w:rPr>
            </w:pPr>
            <w:r>
              <w:rPr>
                <w:rFonts w:eastAsiaTheme="minorEastAsia"/>
                <w:color w:val="000000" w:themeColor="text1"/>
                <w:sz w:val="24"/>
                <w:szCs w:val="21"/>
              </w:rPr>
              <w:t>根据本项目环境影响途经，提出以下风险防范措施：</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①R134A和R600A制冷剂均在密闭压力钢瓶中储存</w:t>
            </w:r>
            <w:r>
              <w:rPr>
                <w:rFonts w:eastAsiaTheme="minorEastAsia"/>
                <w:color w:val="000000" w:themeColor="text1"/>
                <w:sz w:val="24"/>
                <w:szCs w:val="21"/>
              </w:rPr>
              <w:t>。R600a是一种性能优异的新型碳氢制冷剂</w:t>
            </w:r>
            <w:r>
              <w:rPr>
                <w:rFonts w:hint="eastAsia" w:eastAsiaTheme="minorEastAsia"/>
                <w:color w:val="000000" w:themeColor="text1"/>
                <w:sz w:val="24"/>
                <w:szCs w:val="21"/>
              </w:rPr>
              <w:t>，压力钢瓶采取防爆措施</w:t>
            </w:r>
            <w:r>
              <w:rPr>
                <w:rFonts w:eastAsiaTheme="minorEastAsia"/>
                <w:color w:val="000000" w:themeColor="text1"/>
                <w:sz w:val="24"/>
                <w:szCs w:val="21"/>
              </w:rPr>
              <w:t>。</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②</w:t>
            </w:r>
            <w:r>
              <w:rPr>
                <w:rFonts w:eastAsiaTheme="minorEastAsia"/>
                <w:color w:val="000000" w:themeColor="text1"/>
                <w:sz w:val="24"/>
                <w:szCs w:val="21"/>
              </w:rPr>
              <w:t>严禁将各类废物转移给没有相应处理资质及能力的单位。</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③</w:t>
            </w:r>
            <w:r>
              <w:rPr>
                <w:rFonts w:eastAsiaTheme="minorEastAsia"/>
                <w:color w:val="000000" w:themeColor="text1"/>
                <w:sz w:val="24"/>
                <w:szCs w:val="21"/>
              </w:rPr>
              <w:t>强化安全生产管理，必须制订岗位责任制，将责任落实到部门和个人，严格遵守操作规程，严格遵守《危险品化学安全管理条例》及国家、地方关于易燃、易爆、有毒有害物料的储运使用安全规定。</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④</w:t>
            </w:r>
            <w:r>
              <w:rPr>
                <w:rFonts w:eastAsiaTheme="minorEastAsia"/>
                <w:color w:val="000000" w:themeColor="text1"/>
                <w:sz w:val="24"/>
                <w:szCs w:val="21"/>
              </w:rPr>
              <w:t>强化安全生产及环境保护意识的教育，提高职工的素质。</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⑤</w:t>
            </w:r>
            <w:r>
              <w:rPr>
                <w:rFonts w:eastAsiaTheme="minorEastAsia"/>
                <w:color w:val="000000" w:themeColor="text1"/>
                <w:sz w:val="24"/>
                <w:szCs w:val="21"/>
              </w:rPr>
              <w:t>加强个人劳动保护，进入生产区必须穿载防护服及防护手套。</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⑥</w:t>
            </w:r>
            <w:r>
              <w:rPr>
                <w:rFonts w:eastAsiaTheme="minorEastAsia"/>
                <w:color w:val="000000" w:themeColor="text1"/>
                <w:sz w:val="24"/>
                <w:szCs w:val="21"/>
              </w:rPr>
              <w:t>厂房区要加强通风，电气设备须选用防腐、防爆型，电源绝缘良好，防止产生电火花，接地牢靠，防止产生静电。</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⑦</w:t>
            </w:r>
            <w:r>
              <w:rPr>
                <w:rFonts w:eastAsiaTheme="minorEastAsia"/>
                <w:color w:val="000000" w:themeColor="text1"/>
                <w:sz w:val="24"/>
                <w:szCs w:val="21"/>
              </w:rPr>
              <w:t>严格遵守国家有关防火防爆的安全规定，各生产区域装置及建筑物间考虑足够的安全防火距离，并布置相应的消防通道、消防水池以及足够的消防器材等装置，并要有专人负责管理。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42"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其他环境管理要求</w:t>
            </w:r>
          </w:p>
        </w:tc>
        <w:tc>
          <w:tcPr>
            <w:tcW w:w="8328" w:type="dxa"/>
            <w:gridSpan w:val="6"/>
            <w:vAlign w:val="center"/>
          </w:tcPr>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①</w:t>
            </w:r>
            <w:r>
              <w:rPr>
                <w:rFonts w:eastAsiaTheme="minorEastAsia"/>
                <w:color w:val="000000" w:themeColor="text1"/>
                <w:sz w:val="24"/>
                <w:szCs w:val="21"/>
              </w:rPr>
              <w:t>建设单位按照危险废物管理的规范要求，设置危险废物识别标志、环境保护图形标志。</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②</w:t>
            </w:r>
            <w:r>
              <w:rPr>
                <w:rFonts w:eastAsiaTheme="minorEastAsia"/>
                <w:color w:val="000000" w:themeColor="text1"/>
                <w:sz w:val="24"/>
                <w:szCs w:val="21"/>
              </w:rPr>
              <w:t>要求建设单位制定突发环境事件应急预案，报所在地县级以上环境保护行政主管部门备案并按照预案要求每年组织演练。</w:t>
            </w:r>
          </w:p>
          <w:p>
            <w:pPr>
              <w:pStyle w:val="30"/>
              <w:spacing w:line="360" w:lineRule="auto"/>
              <w:ind w:firstLine="240" w:firstLineChars="100"/>
              <w:jc w:val="both"/>
              <w:rPr>
                <w:rFonts w:eastAsiaTheme="minorEastAsia"/>
                <w:color w:val="000000" w:themeColor="text1"/>
                <w:sz w:val="24"/>
                <w:szCs w:val="21"/>
              </w:rPr>
            </w:pPr>
            <w:r>
              <w:rPr>
                <w:rFonts w:hint="eastAsia" w:eastAsiaTheme="minorEastAsia"/>
                <w:color w:val="000000" w:themeColor="text1"/>
                <w:sz w:val="24"/>
                <w:szCs w:val="21"/>
              </w:rPr>
              <w:t>③变更排污许可证。</w:t>
            </w: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ind w:firstLine="240" w:firstLineChars="100"/>
              <w:jc w:val="both"/>
              <w:rPr>
                <w:rFonts w:eastAsiaTheme="minorEastAsia"/>
                <w:color w:val="000000" w:themeColor="text1"/>
                <w:sz w:val="24"/>
                <w:szCs w:val="21"/>
              </w:rPr>
            </w:pPr>
          </w:p>
          <w:p>
            <w:pPr>
              <w:pStyle w:val="30"/>
              <w:spacing w:line="360" w:lineRule="auto"/>
              <w:jc w:val="both"/>
              <w:rPr>
                <w:rFonts w:eastAsiaTheme="minorEastAsia"/>
                <w:color w:val="000000" w:themeColor="text1"/>
                <w:szCs w:val="21"/>
              </w:rPr>
            </w:pPr>
          </w:p>
        </w:tc>
      </w:tr>
    </w:tbl>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六、结论</w:t>
      </w:r>
    </w:p>
    <w:tbl>
      <w:tblPr>
        <w:tblStyle w:val="20"/>
        <w:tblW w:w="927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56" w:type="dxa"/>
          </w:tcPr>
          <w:p>
            <w:pPr>
              <w:spacing w:beforeLines="50" w:line="360" w:lineRule="auto"/>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云南华再新源环保产业发展有限公司拟建设的洗衣机、电视机线物理拆解、分类收集改扩建项目的建设符合国家产业政策，符合相关规划，选址合理，项目建设满足“三线一单”的管理要求，项目选址区域环境空气、地表水环境和声环境质量现状均可达到相应的质量标准要求，本项目产生的污染物均可得到合理处置，建设单位在项目运行过程中严格执行环境管理和监测计划，项目对外环境影响较小，环境风险可控；从环境影响的角度分析，项目建设可行。</w:t>
            </w: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p>
            <w:pPr>
              <w:spacing w:line="360" w:lineRule="auto"/>
              <w:ind w:firstLine="480" w:firstLineChars="200"/>
              <w:rPr>
                <w:rFonts w:ascii="Times New Roman" w:hAnsi="Times New Roman" w:cs="Times New Roman"/>
                <w:color w:val="000000" w:themeColor="text1"/>
                <w:sz w:val="24"/>
                <w:szCs w:val="24"/>
              </w:rPr>
            </w:pPr>
          </w:p>
        </w:tc>
      </w:tr>
    </w:tbl>
    <w:p>
      <w:pPr>
        <w:spacing w:line="360" w:lineRule="auto"/>
        <w:rPr>
          <w:rFonts w:ascii="Times New Roman" w:hAnsi="Times New Roman" w:cs="Times New Roman"/>
          <w:color w:val="000000" w:themeColor="text1"/>
          <w:sz w:val="24"/>
          <w:szCs w:val="24"/>
        </w:rPr>
        <w:sectPr>
          <w:footerReference r:id="rId3" w:type="default"/>
          <w:pgSz w:w="11906" w:h="16838"/>
          <w:pgMar w:top="1440" w:right="1797" w:bottom="1440" w:left="1797" w:header="851" w:footer="992" w:gutter="0"/>
          <w:cols w:space="425" w:num="1"/>
          <w:docGrid w:type="lines" w:linePitch="312" w:charSpace="0"/>
        </w:sectPr>
      </w:pPr>
    </w:p>
    <w:p>
      <w:pPr>
        <w:spacing w:line="360" w:lineRule="auto"/>
        <w:jc w:val="left"/>
        <w:outlineLvl w:val="0"/>
        <w:rPr>
          <w:rFonts w:ascii="Times New Roman" w:hAnsi="Times New Roman" w:cs="Times New Roman"/>
          <w:b/>
          <w:color w:val="000000" w:themeColor="text1"/>
          <w:sz w:val="28"/>
          <w:szCs w:val="20"/>
        </w:rPr>
      </w:pPr>
      <w:r>
        <w:rPr>
          <w:rFonts w:ascii="Times New Roman" w:hAnsi="Times New Roman" w:cs="Times New Roman"/>
          <w:b/>
          <w:color w:val="000000" w:themeColor="text1"/>
          <w:sz w:val="28"/>
          <w:szCs w:val="20"/>
        </w:rPr>
        <w:t>附表</w:t>
      </w:r>
    </w:p>
    <w:p>
      <w:pPr>
        <w:jc w:val="center"/>
        <w:rPr>
          <w:rFonts w:ascii="Times New Roman" w:hAnsi="Times New Roman" w:cs="Times New Roman"/>
          <w:b/>
          <w:color w:val="000000" w:themeColor="text1"/>
        </w:rPr>
      </w:pPr>
      <w:r>
        <w:rPr>
          <w:rFonts w:ascii="Times New Roman" w:hAnsi="Times New Roman" w:cs="Times New Roman"/>
          <w:b/>
          <w:color w:val="000000" w:themeColor="text1"/>
        </w:rPr>
        <w:t>建设项目污染物排放量汇总表</w:t>
      </w:r>
    </w:p>
    <w:tbl>
      <w:tblPr>
        <w:tblStyle w:val="20"/>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1984"/>
        <w:gridCol w:w="1560"/>
        <w:gridCol w:w="1417"/>
        <w:gridCol w:w="1701"/>
        <w:gridCol w:w="1828"/>
        <w:gridCol w:w="1575"/>
        <w:gridCol w:w="1842"/>
        <w:gridCol w:w="130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tcBorders>
              <w:tl2br w:val="single" w:color="auto" w:sz="4" w:space="0"/>
            </w:tcBorders>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项目</w:t>
            </w:r>
          </w:p>
          <w:p>
            <w:pPr>
              <w:spacing w:line="360" w:lineRule="exact"/>
              <w:jc w:val="left"/>
              <w:rPr>
                <w:rFonts w:ascii="Times New Roman" w:hAnsi="Times New Roman" w:cs="Times New Roman"/>
                <w:color w:val="000000" w:themeColor="text1"/>
              </w:rPr>
            </w:pPr>
            <w:r>
              <w:rPr>
                <w:rFonts w:ascii="Times New Roman" w:hAnsi="Times New Roman" w:cs="Times New Roman"/>
                <w:color w:val="000000" w:themeColor="text1"/>
              </w:rPr>
              <w:t>分类</w:t>
            </w:r>
          </w:p>
        </w:tc>
        <w:tc>
          <w:tcPr>
            <w:tcW w:w="1984"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污染物名称</w:t>
            </w:r>
          </w:p>
        </w:tc>
        <w:tc>
          <w:tcPr>
            <w:tcW w:w="1560"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现有工程排放量（固体废物产生量）</w:t>
            </w:r>
            <w:r>
              <w:rPr>
                <w:rFonts w:hint="eastAsia" w:ascii="宋体" w:hAnsi="宋体" w:eastAsia="宋体" w:cs="宋体"/>
                <w:color w:val="000000" w:themeColor="text1"/>
              </w:rPr>
              <w:t>①</w:t>
            </w:r>
          </w:p>
        </w:tc>
        <w:tc>
          <w:tcPr>
            <w:tcW w:w="1417"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现有工程许可排放量</w:t>
            </w:r>
            <w:r>
              <w:rPr>
                <w:rFonts w:hint="eastAsia" w:ascii="宋体" w:hAnsi="宋体" w:eastAsia="宋体" w:cs="宋体"/>
                <w:color w:val="000000" w:themeColor="text1"/>
              </w:rPr>
              <w:t>②</w:t>
            </w:r>
          </w:p>
        </w:tc>
        <w:tc>
          <w:tcPr>
            <w:tcW w:w="1701"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在建工程排放量（固体废物产生量）</w:t>
            </w:r>
            <w:r>
              <w:rPr>
                <w:rFonts w:hint="eastAsia" w:ascii="宋体" w:hAnsi="宋体" w:eastAsia="宋体" w:cs="宋体"/>
                <w:color w:val="000000" w:themeColor="text1"/>
              </w:rPr>
              <w:t>③</w:t>
            </w:r>
          </w:p>
        </w:tc>
        <w:tc>
          <w:tcPr>
            <w:tcW w:w="1828"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本项目排放量（固体废物产生量）</w:t>
            </w:r>
            <w:r>
              <w:rPr>
                <w:rFonts w:hint="eastAsia" w:ascii="宋体" w:hAnsi="宋体" w:eastAsia="宋体" w:cs="宋体"/>
                <w:color w:val="000000" w:themeColor="text1"/>
              </w:rPr>
              <w:t>④</w:t>
            </w:r>
          </w:p>
        </w:tc>
        <w:tc>
          <w:tcPr>
            <w:tcW w:w="1575"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以新带老削减量（新建项目不填）</w:t>
            </w:r>
            <w:r>
              <w:rPr>
                <w:rFonts w:hint="eastAsia" w:ascii="宋体" w:hAnsi="宋体" w:eastAsia="宋体" w:cs="宋体"/>
                <w:color w:val="000000" w:themeColor="text1"/>
              </w:rPr>
              <w:t>⑤</w:t>
            </w:r>
          </w:p>
        </w:tc>
        <w:tc>
          <w:tcPr>
            <w:tcW w:w="1842"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本项目建成后全厂排放量（固体废物产生量）</w:t>
            </w:r>
            <w:r>
              <w:rPr>
                <w:rFonts w:hint="eastAsia" w:ascii="宋体" w:hAnsi="宋体" w:eastAsia="宋体" w:cs="宋体"/>
                <w:color w:val="000000" w:themeColor="text1"/>
              </w:rPr>
              <w:t>⑥</w:t>
            </w:r>
          </w:p>
        </w:tc>
        <w:tc>
          <w:tcPr>
            <w:tcW w:w="1308" w:type="dxa"/>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变化量</w:t>
            </w:r>
            <w:r>
              <w:rPr>
                <w:rFonts w:hint="eastAsia" w:ascii="宋体" w:hAnsi="宋体" w:eastAsia="宋体" w:cs="宋体"/>
                <w:color w:val="000000" w:themeColor="text1"/>
              </w:rPr>
              <w:t>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 w:hRule="atLeast"/>
        </w:trPr>
        <w:tc>
          <w:tcPr>
            <w:tcW w:w="959"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废气</w:t>
            </w: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粉尘（有组织）</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1.989t/a</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1.989t/a</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2.104t/a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2.104t/a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0.115</w:t>
            </w:r>
            <w:r>
              <w:rPr>
                <w:rFonts w:hint="eastAsia" w:eastAsiaTheme="minorEastAsia"/>
                <w:color w:val="000000" w:themeColor="text1"/>
                <w:szCs w:val="21"/>
              </w:rPr>
              <w:t>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粉尘（无组织）</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5.403t/a</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5.403t/a</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5.655</w:t>
            </w:r>
            <w:r>
              <w:rPr>
                <w:rFonts w:hint="eastAsia" w:eastAsiaTheme="minorEastAsia"/>
                <w:color w:val="000000" w:themeColor="text1"/>
                <w:szCs w:val="21"/>
              </w:rPr>
              <w:t>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5.655</w:t>
            </w:r>
            <w:r>
              <w:rPr>
                <w:rFonts w:hint="eastAsia" w:eastAsiaTheme="minorEastAsia"/>
                <w:color w:val="000000" w:themeColor="text1"/>
                <w:szCs w:val="21"/>
              </w:rPr>
              <w:t>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0.252</w:t>
            </w:r>
            <w:r>
              <w:rPr>
                <w:rFonts w:hint="eastAsia" w:eastAsiaTheme="minorEastAsia"/>
                <w:color w:val="000000" w:themeColor="text1"/>
                <w:szCs w:val="21"/>
              </w:rPr>
              <w:t>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非甲烷总烃（有组织）</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r>
              <w:rPr>
                <w:rFonts w:hint="eastAsia" w:eastAsiaTheme="minorEastAsia"/>
                <w:color w:val="000000" w:themeColor="text1"/>
                <w:szCs w:val="21"/>
              </w:rPr>
              <w:t>t/a</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r>
              <w:rPr>
                <w:rFonts w:hint="eastAsia" w:eastAsiaTheme="minorEastAsia"/>
                <w:color w:val="000000" w:themeColor="text1"/>
                <w:szCs w:val="21"/>
              </w:rPr>
              <w:t>t/a</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r>
              <w:rPr>
                <w:rFonts w:hint="eastAsia" w:eastAsiaTheme="minorEastAsia"/>
                <w:color w:val="000000" w:themeColor="text1"/>
                <w:szCs w:val="21"/>
              </w:rPr>
              <w:t>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r>
              <w:rPr>
                <w:rFonts w:hint="eastAsia" w:eastAsiaTheme="minorEastAsia"/>
                <w:color w:val="000000" w:themeColor="text1"/>
                <w:szCs w:val="21"/>
              </w:rPr>
              <w:t>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非甲烷总烃（无组织）</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0.03</w:t>
            </w:r>
            <w:r>
              <w:rPr>
                <w:rFonts w:hint="eastAsia" w:eastAsiaTheme="minorEastAsia"/>
                <w:color w:val="000000" w:themeColor="text1"/>
                <w:szCs w:val="21"/>
              </w:rPr>
              <w:t>t/a</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0.03</w:t>
            </w:r>
            <w:r>
              <w:rPr>
                <w:rFonts w:hint="eastAsia" w:eastAsiaTheme="minorEastAsia"/>
                <w:color w:val="000000" w:themeColor="text1"/>
                <w:szCs w:val="21"/>
              </w:rPr>
              <w:t>t/a</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0.03</w:t>
            </w:r>
            <w:r>
              <w:rPr>
                <w:rFonts w:hint="eastAsia" w:eastAsiaTheme="minorEastAsia"/>
                <w:color w:val="000000" w:themeColor="text1"/>
                <w:szCs w:val="21"/>
              </w:rPr>
              <w:t>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0.03</w:t>
            </w:r>
            <w:r>
              <w:rPr>
                <w:rFonts w:hint="eastAsia" w:eastAsiaTheme="minorEastAsia"/>
                <w:color w:val="000000" w:themeColor="text1"/>
                <w:szCs w:val="21"/>
              </w:rPr>
              <w:t>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铅及其化合物（有组织）</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0.0009t/a</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0.0009t/a</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0.0009</w:t>
            </w:r>
            <w:r>
              <w:rPr>
                <w:rFonts w:hint="eastAsia" w:eastAsiaTheme="minorEastAsia"/>
                <w:color w:val="000000" w:themeColor="text1"/>
                <w:szCs w:val="21"/>
              </w:rPr>
              <w:t>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0.0009</w:t>
            </w:r>
            <w:r>
              <w:rPr>
                <w:rFonts w:hint="eastAsia" w:eastAsiaTheme="minorEastAsia"/>
                <w:color w:val="000000" w:themeColor="text1"/>
                <w:szCs w:val="21"/>
              </w:rPr>
              <w:t>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铅及其化合物（无组织）</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0.0019t/a</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0.0019t/a</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0.0019</w:t>
            </w:r>
            <w:r>
              <w:rPr>
                <w:rFonts w:hint="eastAsia" w:eastAsiaTheme="minorEastAsia"/>
                <w:color w:val="000000" w:themeColor="text1"/>
                <w:szCs w:val="21"/>
              </w:rPr>
              <w:t>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0.0019</w:t>
            </w:r>
            <w:r>
              <w:rPr>
                <w:rFonts w:hint="eastAsia" w:eastAsiaTheme="minorEastAsia"/>
                <w:color w:val="000000" w:themeColor="text1"/>
                <w:szCs w:val="21"/>
              </w:rPr>
              <w:t>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汞及其化合物</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0.00004</w:t>
            </w:r>
            <w:r>
              <w:rPr>
                <w:rFonts w:hint="eastAsia" w:eastAsiaTheme="minorEastAsia"/>
                <w:color w:val="000000" w:themeColor="text1"/>
                <w:szCs w:val="21"/>
              </w:rPr>
              <w:t>t/a</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0.00004</w:t>
            </w:r>
            <w:r>
              <w:rPr>
                <w:rFonts w:hint="eastAsia" w:eastAsiaTheme="minorEastAsia"/>
                <w:color w:val="000000" w:themeColor="text1"/>
                <w:szCs w:val="21"/>
              </w:rPr>
              <w:t>t/a</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0.00004</w:t>
            </w:r>
            <w:r>
              <w:rPr>
                <w:rFonts w:hint="eastAsia" w:eastAsiaTheme="minorEastAsia"/>
                <w:color w:val="000000" w:themeColor="text1"/>
                <w:szCs w:val="21"/>
              </w:rPr>
              <w:t>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spacing w:line="360" w:lineRule="exact"/>
              <w:jc w:val="center"/>
              <w:rPr>
                <w:rFonts w:ascii="Times New Roman" w:hAnsi="Times New Roman" w:cs="Times New Roman"/>
                <w:color w:val="000000" w:themeColor="text1"/>
              </w:rPr>
            </w:pPr>
            <w:r>
              <w:rPr>
                <w:rFonts w:ascii="Times New Roman" w:hAnsi="Times New Roman" w:cs="Times New Roman"/>
                <w:color w:val="000000" w:themeColor="text1"/>
              </w:rPr>
              <w:t>废水</w:t>
            </w: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废水量</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pH</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CODcr</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BOD</w:t>
            </w:r>
            <w:r>
              <w:rPr>
                <w:rFonts w:eastAsiaTheme="minorEastAsia"/>
                <w:color w:val="000000" w:themeColor="text1"/>
                <w:szCs w:val="21"/>
                <w:vertAlign w:val="subscript"/>
              </w:rPr>
              <w:t>5</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NH</w:t>
            </w:r>
            <w:r>
              <w:rPr>
                <w:rFonts w:eastAsiaTheme="minorEastAsia"/>
                <w:color w:val="000000" w:themeColor="text1"/>
                <w:szCs w:val="21"/>
                <w:vertAlign w:val="subscript"/>
              </w:rPr>
              <w:t>3</w:t>
            </w:r>
            <w:r>
              <w:rPr>
                <w:rFonts w:eastAsiaTheme="minorEastAsia"/>
                <w:color w:val="000000" w:themeColor="text1"/>
                <w:szCs w:val="21"/>
              </w:rPr>
              <w:t>-N</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SS</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总磷</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总氮</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动植物油</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阴离子表面活性剂</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spacing w:line="360" w:lineRule="exact"/>
              <w:jc w:val="center"/>
              <w:rPr>
                <w:rFonts w:ascii="Times New Roman" w:hAnsi="Times New Roman" w:cs="Times New Roman"/>
                <w:color w:val="000000" w:themeColor="text1"/>
              </w:rPr>
            </w:pPr>
          </w:p>
        </w:tc>
        <w:tc>
          <w:tcPr>
            <w:tcW w:w="1984"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粪大肠菌群数（MPN/L）</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一般工业固废</w:t>
            </w:r>
          </w:p>
        </w:tc>
        <w:tc>
          <w:tcPr>
            <w:tcW w:w="1984" w:type="dxa"/>
            <w:vAlign w:val="center"/>
          </w:tcPr>
          <w:p>
            <w:pPr>
              <w:pStyle w:val="30"/>
              <w:spacing w:line="360" w:lineRule="exact"/>
              <w:rPr>
                <w:color w:val="000000" w:themeColor="text1"/>
                <w:szCs w:val="21"/>
              </w:rPr>
            </w:pPr>
            <w:r>
              <w:rPr>
                <w:rFonts w:hint="eastAsia"/>
                <w:color w:val="000000" w:themeColor="text1"/>
                <w:szCs w:val="21"/>
              </w:rPr>
              <w:t>废塑料</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9013.84</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2566.67</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11580.51</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2566.67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废旧有色金属（铜/铝等）</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5041.7</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349.33</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5391.03</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349.33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废钢/铁</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24859.77</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5280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30139.77</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5280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废玻璃</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4281.98</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4281.98</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泡棉</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2625.92</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2625.92</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废电子配件（开关、电容、电源线等）</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658.39</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22.26</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680.65</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制冷剂</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2.49</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2.49</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废弃细碎料</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1057.2</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312</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1369.20</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312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废活性炭（吸附有机废气）</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0.06</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收集粉尘</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25.12</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25.12</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restart"/>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危险废物</w:t>
            </w:r>
          </w:p>
        </w:tc>
        <w:tc>
          <w:tcPr>
            <w:tcW w:w="1984" w:type="dxa"/>
            <w:vAlign w:val="center"/>
          </w:tcPr>
          <w:p>
            <w:pPr>
              <w:pStyle w:val="30"/>
              <w:spacing w:line="360" w:lineRule="exact"/>
              <w:rPr>
                <w:color w:val="000000" w:themeColor="text1"/>
                <w:szCs w:val="21"/>
              </w:rPr>
            </w:pPr>
            <w:r>
              <w:rPr>
                <w:rFonts w:hint="eastAsia"/>
                <w:color w:val="000000" w:themeColor="text1"/>
                <w:szCs w:val="21"/>
              </w:rPr>
              <w:t>废矿物油</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27.41</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27.41</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废电路板</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394.72</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192</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586.72</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含汞灯管</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11.77</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11.77</w:t>
            </w:r>
          </w:p>
        </w:tc>
        <w:tc>
          <w:tcPr>
            <w:tcW w:w="1308"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背光模组</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15.52</w:t>
            </w:r>
          </w:p>
        </w:tc>
        <w:tc>
          <w:tcPr>
            <w:tcW w:w="1417"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c>
          <w:tcPr>
            <w:tcW w:w="1575"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842"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15.52</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废弃的阴极射线管（锥玻璃）</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2475</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2475</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荧光粉</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225</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225</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废活性炭（吸附汞及其化合物）</w:t>
            </w:r>
          </w:p>
        </w:tc>
        <w:tc>
          <w:tcPr>
            <w:tcW w:w="1560" w:type="dxa"/>
            <w:vAlign w:val="center"/>
          </w:tcPr>
          <w:p>
            <w:pPr>
              <w:pStyle w:val="30"/>
              <w:spacing w:line="360" w:lineRule="exact"/>
              <w:rPr>
                <w:rFonts w:eastAsiaTheme="minorEastAsia"/>
                <w:color w:val="000000" w:themeColor="text1"/>
                <w:szCs w:val="21"/>
              </w:rPr>
            </w:pPr>
            <w:r>
              <w:rPr>
                <w:rFonts w:hint="eastAsia" w:eastAsiaTheme="minorEastAsia"/>
                <w:color w:val="000000" w:themeColor="text1"/>
                <w:szCs w:val="21"/>
              </w:rPr>
              <w:t>0</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0.002</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widowControl/>
              <w:jc w:val="center"/>
              <w:rPr>
                <w:rFonts w:ascii="Times New Roman" w:hAnsi="Times New Roman" w:cs="Times New Roman"/>
                <w:bCs/>
                <w:snapToGrid w:val="0"/>
                <w:color w:val="000000" w:themeColor="text1"/>
                <w:kern w:val="32"/>
                <w:lang w:val="zh-CN"/>
              </w:rPr>
            </w:pPr>
            <w:r>
              <w:rPr>
                <w:rFonts w:hint="eastAsia" w:ascii="Times New Roman" w:hAnsi="Times New Roman" w:cs="Times New Roman"/>
                <w:bCs/>
                <w:snapToGrid w:val="0"/>
                <w:color w:val="000000" w:themeColor="text1"/>
                <w:kern w:val="32"/>
                <w:lang w:val="zh-CN"/>
              </w:rPr>
              <w:t>0.002</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59" w:type="dxa"/>
            <w:vMerge w:val="continue"/>
            <w:vAlign w:val="center"/>
          </w:tcPr>
          <w:p>
            <w:pPr>
              <w:pStyle w:val="30"/>
              <w:spacing w:line="360" w:lineRule="exact"/>
              <w:rPr>
                <w:rFonts w:eastAsiaTheme="minorEastAsia"/>
                <w:color w:val="000000" w:themeColor="text1"/>
                <w:szCs w:val="21"/>
              </w:rPr>
            </w:pPr>
          </w:p>
        </w:tc>
        <w:tc>
          <w:tcPr>
            <w:tcW w:w="1984" w:type="dxa"/>
            <w:vAlign w:val="center"/>
          </w:tcPr>
          <w:p>
            <w:pPr>
              <w:pStyle w:val="30"/>
              <w:spacing w:line="360" w:lineRule="exact"/>
              <w:rPr>
                <w:color w:val="000000" w:themeColor="text1"/>
                <w:szCs w:val="21"/>
              </w:rPr>
            </w:pPr>
            <w:r>
              <w:rPr>
                <w:rFonts w:hint="eastAsia"/>
                <w:color w:val="000000" w:themeColor="text1"/>
                <w:szCs w:val="21"/>
              </w:rPr>
              <w:t>收集含铅粉尘</w:t>
            </w:r>
          </w:p>
        </w:tc>
        <w:tc>
          <w:tcPr>
            <w:tcW w:w="1560"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0.65</w:t>
            </w:r>
          </w:p>
        </w:tc>
        <w:tc>
          <w:tcPr>
            <w:tcW w:w="1417"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701"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2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c>
          <w:tcPr>
            <w:tcW w:w="1575"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w:t>
            </w:r>
          </w:p>
        </w:tc>
        <w:tc>
          <w:tcPr>
            <w:tcW w:w="1842" w:type="dxa"/>
            <w:vAlign w:val="center"/>
          </w:tcPr>
          <w:p>
            <w:pPr>
              <w:pStyle w:val="30"/>
              <w:spacing w:line="360" w:lineRule="exact"/>
              <w:rPr>
                <w:rFonts w:eastAsiaTheme="minorEastAsia"/>
                <w:color w:val="000000" w:themeColor="text1"/>
                <w:szCs w:val="21"/>
              </w:rPr>
            </w:pPr>
            <w:r>
              <w:rPr>
                <w:rFonts w:eastAsiaTheme="minorEastAsia"/>
                <w:color w:val="000000" w:themeColor="text1"/>
                <w:szCs w:val="21"/>
              </w:rPr>
              <w:t>0.65</w:t>
            </w:r>
          </w:p>
        </w:tc>
        <w:tc>
          <w:tcPr>
            <w:tcW w:w="1308" w:type="dxa"/>
            <w:vAlign w:val="center"/>
          </w:tcPr>
          <w:p>
            <w:pPr>
              <w:widowControl/>
              <w:jc w:val="center"/>
              <w:rPr>
                <w:rFonts w:ascii="Times New Roman" w:hAnsi="Times New Roman" w:cs="Times New Roman"/>
                <w:bCs/>
                <w:snapToGrid w:val="0"/>
                <w:color w:val="000000" w:themeColor="text1"/>
                <w:kern w:val="32"/>
                <w:lang w:val="zh-CN"/>
              </w:rPr>
            </w:pPr>
            <w:r>
              <w:rPr>
                <w:rFonts w:ascii="Times New Roman" w:hAnsi="Times New Roman" w:cs="Times New Roman"/>
                <w:bCs/>
                <w:snapToGrid w:val="0"/>
                <w:color w:val="000000" w:themeColor="text1"/>
                <w:kern w:val="32"/>
                <w:lang w:val="zh-CN"/>
              </w:rPr>
              <w:t>0</w:t>
            </w:r>
          </w:p>
        </w:tc>
      </w:tr>
    </w:tbl>
    <w:p>
      <w:pPr>
        <w:ind w:firstLine="420" w:firstLineChars="200"/>
        <w:jc w:val="left"/>
        <w:rPr>
          <w:rFonts w:ascii="Times New Roman" w:hAnsi="Times New Roman" w:cs="Times New Roman"/>
          <w:b/>
          <w:color w:val="000000" w:themeColor="text1"/>
        </w:rPr>
      </w:pPr>
      <w:r>
        <w:rPr>
          <w:rFonts w:ascii="Times New Roman" w:hAnsi="Times New Roman" w:cs="Times New Roman"/>
          <w:b/>
          <w:color w:val="000000" w:themeColor="text1"/>
        </w:rPr>
        <w:t>注：⑥=①+③+④-⑤；⑦=⑥-①</w:t>
      </w: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60101010101"/>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Pr>
        <w:rFonts w:ascii="Times New Roman" w:hAnsi="Times New Roman" w:cs="Times New Roman"/>
        <w:sz w:val="20"/>
        <w:lang w:val="zh-CN"/>
      </w:rPr>
      <w:t>112</w:t>
    </w:r>
    <w:r>
      <w:rPr>
        <w:rFonts w:ascii="Times New Roman" w:hAnsi="Times New Roman" w:cs="Times New Roman"/>
        <w:sz w:val="20"/>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dit="forms" w:enforcement="1" w:cryptProviderType="rsaFull" w:cryptAlgorithmClass="hash" w:cryptAlgorithmType="typeAny" w:cryptAlgorithmSid="4" w:cryptSpinCount="0" w:hash="Q3HLKzNwK8UTVOzs3lxEKQIJYpU=" w:salt="922qbbdbqNi7H2enx1LOSA=="/>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2045F"/>
    <w:rsid w:val="0000037C"/>
    <w:rsid w:val="00001460"/>
    <w:rsid w:val="00001990"/>
    <w:rsid w:val="00001C9A"/>
    <w:rsid w:val="00005EFA"/>
    <w:rsid w:val="00007788"/>
    <w:rsid w:val="0001072D"/>
    <w:rsid w:val="00010A49"/>
    <w:rsid w:val="00010CB7"/>
    <w:rsid w:val="00010E27"/>
    <w:rsid w:val="000110F1"/>
    <w:rsid w:val="00011FCA"/>
    <w:rsid w:val="00012C80"/>
    <w:rsid w:val="00013833"/>
    <w:rsid w:val="00013F70"/>
    <w:rsid w:val="000163E1"/>
    <w:rsid w:val="00020BF9"/>
    <w:rsid w:val="00021721"/>
    <w:rsid w:val="0002285A"/>
    <w:rsid w:val="00031A59"/>
    <w:rsid w:val="0003285B"/>
    <w:rsid w:val="00032B08"/>
    <w:rsid w:val="000344EF"/>
    <w:rsid w:val="00034809"/>
    <w:rsid w:val="00034BCB"/>
    <w:rsid w:val="00035576"/>
    <w:rsid w:val="00035CCD"/>
    <w:rsid w:val="00035E53"/>
    <w:rsid w:val="00040A28"/>
    <w:rsid w:val="00040D99"/>
    <w:rsid w:val="00041162"/>
    <w:rsid w:val="00041527"/>
    <w:rsid w:val="000438F4"/>
    <w:rsid w:val="00046D9B"/>
    <w:rsid w:val="00050973"/>
    <w:rsid w:val="00050E55"/>
    <w:rsid w:val="00053C3A"/>
    <w:rsid w:val="00054F28"/>
    <w:rsid w:val="000556FC"/>
    <w:rsid w:val="00055DB8"/>
    <w:rsid w:val="0005744F"/>
    <w:rsid w:val="00062FAD"/>
    <w:rsid w:val="0006692B"/>
    <w:rsid w:val="00067BF4"/>
    <w:rsid w:val="00070F66"/>
    <w:rsid w:val="00075FFD"/>
    <w:rsid w:val="000760FE"/>
    <w:rsid w:val="00077A07"/>
    <w:rsid w:val="00082602"/>
    <w:rsid w:val="000954A9"/>
    <w:rsid w:val="000B04E4"/>
    <w:rsid w:val="000B0A67"/>
    <w:rsid w:val="000B35C4"/>
    <w:rsid w:val="000B48E6"/>
    <w:rsid w:val="000B5F10"/>
    <w:rsid w:val="000B6EE8"/>
    <w:rsid w:val="000B7547"/>
    <w:rsid w:val="000C1A95"/>
    <w:rsid w:val="000D1B94"/>
    <w:rsid w:val="000D1F31"/>
    <w:rsid w:val="000D2C84"/>
    <w:rsid w:val="000D4915"/>
    <w:rsid w:val="000D4A13"/>
    <w:rsid w:val="000D4A25"/>
    <w:rsid w:val="000D4B48"/>
    <w:rsid w:val="000D4D91"/>
    <w:rsid w:val="000D6CBC"/>
    <w:rsid w:val="000E2BC7"/>
    <w:rsid w:val="000E500A"/>
    <w:rsid w:val="000E6F05"/>
    <w:rsid w:val="000F2BCA"/>
    <w:rsid w:val="000F5656"/>
    <w:rsid w:val="000F5DE9"/>
    <w:rsid w:val="000F6FB2"/>
    <w:rsid w:val="0010241D"/>
    <w:rsid w:val="00106BF5"/>
    <w:rsid w:val="00111F14"/>
    <w:rsid w:val="00113083"/>
    <w:rsid w:val="0011528D"/>
    <w:rsid w:val="00116200"/>
    <w:rsid w:val="00121AAE"/>
    <w:rsid w:val="00122036"/>
    <w:rsid w:val="00123E5A"/>
    <w:rsid w:val="001250CA"/>
    <w:rsid w:val="00125B5D"/>
    <w:rsid w:val="00126836"/>
    <w:rsid w:val="001307E7"/>
    <w:rsid w:val="00133378"/>
    <w:rsid w:val="00135ABF"/>
    <w:rsid w:val="00147DBB"/>
    <w:rsid w:val="00152F2A"/>
    <w:rsid w:val="0015464F"/>
    <w:rsid w:val="001634F6"/>
    <w:rsid w:val="00164D60"/>
    <w:rsid w:val="00170AF6"/>
    <w:rsid w:val="00170B42"/>
    <w:rsid w:val="0017180C"/>
    <w:rsid w:val="001719D1"/>
    <w:rsid w:val="00171AF4"/>
    <w:rsid w:val="00172750"/>
    <w:rsid w:val="00172D3E"/>
    <w:rsid w:val="001731F9"/>
    <w:rsid w:val="001741B2"/>
    <w:rsid w:val="001750E1"/>
    <w:rsid w:val="0017574F"/>
    <w:rsid w:val="00177B07"/>
    <w:rsid w:val="0018006A"/>
    <w:rsid w:val="001801DD"/>
    <w:rsid w:val="0018089D"/>
    <w:rsid w:val="00182D5B"/>
    <w:rsid w:val="00182E34"/>
    <w:rsid w:val="00183565"/>
    <w:rsid w:val="00183AD8"/>
    <w:rsid w:val="001864CE"/>
    <w:rsid w:val="00187B44"/>
    <w:rsid w:val="00187D74"/>
    <w:rsid w:val="001964EF"/>
    <w:rsid w:val="00197070"/>
    <w:rsid w:val="001977B7"/>
    <w:rsid w:val="00197C78"/>
    <w:rsid w:val="001A1BFB"/>
    <w:rsid w:val="001A6330"/>
    <w:rsid w:val="001A683F"/>
    <w:rsid w:val="001A6A4D"/>
    <w:rsid w:val="001A70EF"/>
    <w:rsid w:val="001B0D8D"/>
    <w:rsid w:val="001B18C0"/>
    <w:rsid w:val="001B4D27"/>
    <w:rsid w:val="001B5944"/>
    <w:rsid w:val="001B5984"/>
    <w:rsid w:val="001C0A81"/>
    <w:rsid w:val="001C3FC6"/>
    <w:rsid w:val="001D1DBF"/>
    <w:rsid w:val="001D29FB"/>
    <w:rsid w:val="001D36CB"/>
    <w:rsid w:val="001D3CCB"/>
    <w:rsid w:val="001D510D"/>
    <w:rsid w:val="001E1D94"/>
    <w:rsid w:val="001E2D40"/>
    <w:rsid w:val="001E68D7"/>
    <w:rsid w:val="001E6DE2"/>
    <w:rsid w:val="001F03FE"/>
    <w:rsid w:val="001F0A05"/>
    <w:rsid w:val="001F2DED"/>
    <w:rsid w:val="001F348B"/>
    <w:rsid w:val="001F522D"/>
    <w:rsid w:val="001F6029"/>
    <w:rsid w:val="00201F73"/>
    <w:rsid w:val="00203A93"/>
    <w:rsid w:val="00203E7C"/>
    <w:rsid w:val="002044A2"/>
    <w:rsid w:val="00204DBF"/>
    <w:rsid w:val="0021020E"/>
    <w:rsid w:val="002126D9"/>
    <w:rsid w:val="002210A0"/>
    <w:rsid w:val="00236AA9"/>
    <w:rsid w:val="0024363B"/>
    <w:rsid w:val="002449EE"/>
    <w:rsid w:val="00245CA3"/>
    <w:rsid w:val="00252D41"/>
    <w:rsid w:val="00262823"/>
    <w:rsid w:val="00264DB3"/>
    <w:rsid w:val="00265CAF"/>
    <w:rsid w:val="002666BE"/>
    <w:rsid w:val="00271EF2"/>
    <w:rsid w:val="002735A4"/>
    <w:rsid w:val="00275CD2"/>
    <w:rsid w:val="00277862"/>
    <w:rsid w:val="00283568"/>
    <w:rsid w:val="00283E7B"/>
    <w:rsid w:val="002931E6"/>
    <w:rsid w:val="002963A7"/>
    <w:rsid w:val="00296512"/>
    <w:rsid w:val="002A1028"/>
    <w:rsid w:val="002A17DA"/>
    <w:rsid w:val="002A1BFA"/>
    <w:rsid w:val="002A1DB1"/>
    <w:rsid w:val="002B11FA"/>
    <w:rsid w:val="002B2BE4"/>
    <w:rsid w:val="002B40E5"/>
    <w:rsid w:val="002B4C32"/>
    <w:rsid w:val="002B5B05"/>
    <w:rsid w:val="002C07C0"/>
    <w:rsid w:val="002C2FBC"/>
    <w:rsid w:val="002C3853"/>
    <w:rsid w:val="002D2352"/>
    <w:rsid w:val="002D3D94"/>
    <w:rsid w:val="002D4D58"/>
    <w:rsid w:val="002D6140"/>
    <w:rsid w:val="002E25DE"/>
    <w:rsid w:val="002E3C02"/>
    <w:rsid w:val="002E3E71"/>
    <w:rsid w:val="002E3F5D"/>
    <w:rsid w:val="002E4EE2"/>
    <w:rsid w:val="002E5628"/>
    <w:rsid w:val="002F0AC4"/>
    <w:rsid w:val="002F37F6"/>
    <w:rsid w:val="002F5F7A"/>
    <w:rsid w:val="003012BB"/>
    <w:rsid w:val="003015F8"/>
    <w:rsid w:val="0030385F"/>
    <w:rsid w:val="0031189D"/>
    <w:rsid w:val="003159B0"/>
    <w:rsid w:val="00317F26"/>
    <w:rsid w:val="00322DCE"/>
    <w:rsid w:val="00322E15"/>
    <w:rsid w:val="00323170"/>
    <w:rsid w:val="00324622"/>
    <w:rsid w:val="003251CD"/>
    <w:rsid w:val="00332BCA"/>
    <w:rsid w:val="00332E06"/>
    <w:rsid w:val="00340DCE"/>
    <w:rsid w:val="0034317D"/>
    <w:rsid w:val="00344B4D"/>
    <w:rsid w:val="00354B52"/>
    <w:rsid w:val="00361CF9"/>
    <w:rsid w:val="0036211A"/>
    <w:rsid w:val="00362378"/>
    <w:rsid w:val="00371986"/>
    <w:rsid w:val="00371B13"/>
    <w:rsid w:val="00372641"/>
    <w:rsid w:val="0038061C"/>
    <w:rsid w:val="003852E6"/>
    <w:rsid w:val="00385DE6"/>
    <w:rsid w:val="00387588"/>
    <w:rsid w:val="003879AF"/>
    <w:rsid w:val="00390401"/>
    <w:rsid w:val="003915D2"/>
    <w:rsid w:val="00394E91"/>
    <w:rsid w:val="003A1A97"/>
    <w:rsid w:val="003A2C94"/>
    <w:rsid w:val="003A4F39"/>
    <w:rsid w:val="003A593B"/>
    <w:rsid w:val="003A5BB4"/>
    <w:rsid w:val="003B01B4"/>
    <w:rsid w:val="003B149E"/>
    <w:rsid w:val="003B69D3"/>
    <w:rsid w:val="003B6B9D"/>
    <w:rsid w:val="003C01B9"/>
    <w:rsid w:val="003C0762"/>
    <w:rsid w:val="003C4D0F"/>
    <w:rsid w:val="003D03A2"/>
    <w:rsid w:val="003D15BD"/>
    <w:rsid w:val="003D25E7"/>
    <w:rsid w:val="003D4831"/>
    <w:rsid w:val="003D7D56"/>
    <w:rsid w:val="003E0E2B"/>
    <w:rsid w:val="003E1314"/>
    <w:rsid w:val="003E1A39"/>
    <w:rsid w:val="003E24A1"/>
    <w:rsid w:val="003E2878"/>
    <w:rsid w:val="003E4647"/>
    <w:rsid w:val="003F03B7"/>
    <w:rsid w:val="003F0CB4"/>
    <w:rsid w:val="003F17D6"/>
    <w:rsid w:val="003F463A"/>
    <w:rsid w:val="003F4B40"/>
    <w:rsid w:val="003F4FBB"/>
    <w:rsid w:val="003F5310"/>
    <w:rsid w:val="00401868"/>
    <w:rsid w:val="00403659"/>
    <w:rsid w:val="00405722"/>
    <w:rsid w:val="00405DB9"/>
    <w:rsid w:val="00407D01"/>
    <w:rsid w:val="00412056"/>
    <w:rsid w:val="0041575C"/>
    <w:rsid w:val="00416467"/>
    <w:rsid w:val="00417616"/>
    <w:rsid w:val="0042165D"/>
    <w:rsid w:val="0042483F"/>
    <w:rsid w:val="00427546"/>
    <w:rsid w:val="00431BC8"/>
    <w:rsid w:val="004329BC"/>
    <w:rsid w:val="004369B4"/>
    <w:rsid w:val="004431BA"/>
    <w:rsid w:val="004459AB"/>
    <w:rsid w:val="00445CD5"/>
    <w:rsid w:val="004521CF"/>
    <w:rsid w:val="00452F00"/>
    <w:rsid w:val="00465080"/>
    <w:rsid w:val="004670AB"/>
    <w:rsid w:val="0047050F"/>
    <w:rsid w:val="00476210"/>
    <w:rsid w:val="00477A89"/>
    <w:rsid w:val="004808ED"/>
    <w:rsid w:val="004840C4"/>
    <w:rsid w:val="00484777"/>
    <w:rsid w:val="00490ECA"/>
    <w:rsid w:val="004A0E4C"/>
    <w:rsid w:val="004A1EEA"/>
    <w:rsid w:val="004A2FFF"/>
    <w:rsid w:val="004A37C5"/>
    <w:rsid w:val="004A4E36"/>
    <w:rsid w:val="004A5C36"/>
    <w:rsid w:val="004A7486"/>
    <w:rsid w:val="004B47E3"/>
    <w:rsid w:val="004B5370"/>
    <w:rsid w:val="004B58F5"/>
    <w:rsid w:val="004C1654"/>
    <w:rsid w:val="004C7D2E"/>
    <w:rsid w:val="004D004C"/>
    <w:rsid w:val="004D164D"/>
    <w:rsid w:val="004D1AA7"/>
    <w:rsid w:val="004D2751"/>
    <w:rsid w:val="004D3DA8"/>
    <w:rsid w:val="004D5133"/>
    <w:rsid w:val="004E0B6A"/>
    <w:rsid w:val="004F046C"/>
    <w:rsid w:val="004F243F"/>
    <w:rsid w:val="004F5E7C"/>
    <w:rsid w:val="004F79F0"/>
    <w:rsid w:val="004F7D4D"/>
    <w:rsid w:val="004F7ED7"/>
    <w:rsid w:val="00505002"/>
    <w:rsid w:val="00511B6E"/>
    <w:rsid w:val="005123D3"/>
    <w:rsid w:val="005164B3"/>
    <w:rsid w:val="00516F69"/>
    <w:rsid w:val="00531AD8"/>
    <w:rsid w:val="00531E5D"/>
    <w:rsid w:val="00533467"/>
    <w:rsid w:val="005340F1"/>
    <w:rsid w:val="005344D8"/>
    <w:rsid w:val="005356B8"/>
    <w:rsid w:val="00535FDC"/>
    <w:rsid w:val="00536A82"/>
    <w:rsid w:val="00540530"/>
    <w:rsid w:val="00540A5A"/>
    <w:rsid w:val="00542078"/>
    <w:rsid w:val="00543C10"/>
    <w:rsid w:val="00544F28"/>
    <w:rsid w:val="00547946"/>
    <w:rsid w:val="00551B30"/>
    <w:rsid w:val="00551E76"/>
    <w:rsid w:val="005528F5"/>
    <w:rsid w:val="0055331A"/>
    <w:rsid w:val="0055687A"/>
    <w:rsid w:val="005568AC"/>
    <w:rsid w:val="005571AA"/>
    <w:rsid w:val="00561BEF"/>
    <w:rsid w:val="00570AC5"/>
    <w:rsid w:val="00570B7C"/>
    <w:rsid w:val="00570F48"/>
    <w:rsid w:val="005719DF"/>
    <w:rsid w:val="00572A09"/>
    <w:rsid w:val="0057365C"/>
    <w:rsid w:val="00586942"/>
    <w:rsid w:val="00595DFB"/>
    <w:rsid w:val="00595DFF"/>
    <w:rsid w:val="005A040B"/>
    <w:rsid w:val="005A0FC0"/>
    <w:rsid w:val="005A390C"/>
    <w:rsid w:val="005A468F"/>
    <w:rsid w:val="005A7C25"/>
    <w:rsid w:val="005B0477"/>
    <w:rsid w:val="005B19F5"/>
    <w:rsid w:val="005B318B"/>
    <w:rsid w:val="005B5075"/>
    <w:rsid w:val="005B573D"/>
    <w:rsid w:val="005B60E2"/>
    <w:rsid w:val="005C270F"/>
    <w:rsid w:val="005C3240"/>
    <w:rsid w:val="005C358A"/>
    <w:rsid w:val="005C38F9"/>
    <w:rsid w:val="005C5209"/>
    <w:rsid w:val="005C6ECF"/>
    <w:rsid w:val="005C780A"/>
    <w:rsid w:val="005D1BB5"/>
    <w:rsid w:val="005D2878"/>
    <w:rsid w:val="005D2DAC"/>
    <w:rsid w:val="005D40A7"/>
    <w:rsid w:val="005D6D94"/>
    <w:rsid w:val="005E43DF"/>
    <w:rsid w:val="005E7578"/>
    <w:rsid w:val="005F1128"/>
    <w:rsid w:val="005F36DC"/>
    <w:rsid w:val="006002DA"/>
    <w:rsid w:val="00605149"/>
    <w:rsid w:val="00605326"/>
    <w:rsid w:val="006053F7"/>
    <w:rsid w:val="00607B6F"/>
    <w:rsid w:val="00611305"/>
    <w:rsid w:val="00613C50"/>
    <w:rsid w:val="00616F4F"/>
    <w:rsid w:val="006179D4"/>
    <w:rsid w:val="00617A01"/>
    <w:rsid w:val="0062045F"/>
    <w:rsid w:val="0062070A"/>
    <w:rsid w:val="00623A6B"/>
    <w:rsid w:val="00627AFC"/>
    <w:rsid w:val="00634AB7"/>
    <w:rsid w:val="0063583F"/>
    <w:rsid w:val="00636BF7"/>
    <w:rsid w:val="006379C6"/>
    <w:rsid w:val="00642BBC"/>
    <w:rsid w:val="00645F0B"/>
    <w:rsid w:val="0064649D"/>
    <w:rsid w:val="00651A51"/>
    <w:rsid w:val="0065576E"/>
    <w:rsid w:val="00660F6E"/>
    <w:rsid w:val="00663A36"/>
    <w:rsid w:val="00663F4D"/>
    <w:rsid w:val="006641F1"/>
    <w:rsid w:val="00667E93"/>
    <w:rsid w:val="00670600"/>
    <w:rsid w:val="006826DF"/>
    <w:rsid w:val="00685451"/>
    <w:rsid w:val="00686BD4"/>
    <w:rsid w:val="0068738A"/>
    <w:rsid w:val="00687D0A"/>
    <w:rsid w:val="006946BA"/>
    <w:rsid w:val="006952FD"/>
    <w:rsid w:val="006956DC"/>
    <w:rsid w:val="00695C42"/>
    <w:rsid w:val="006A0148"/>
    <w:rsid w:val="006A1718"/>
    <w:rsid w:val="006A2739"/>
    <w:rsid w:val="006A310F"/>
    <w:rsid w:val="006A5256"/>
    <w:rsid w:val="006A7586"/>
    <w:rsid w:val="006B04EF"/>
    <w:rsid w:val="006B30E2"/>
    <w:rsid w:val="006B6104"/>
    <w:rsid w:val="006C0272"/>
    <w:rsid w:val="006C0B93"/>
    <w:rsid w:val="006C1364"/>
    <w:rsid w:val="006C1666"/>
    <w:rsid w:val="006C1D02"/>
    <w:rsid w:val="006C1F44"/>
    <w:rsid w:val="006C2214"/>
    <w:rsid w:val="006C52A7"/>
    <w:rsid w:val="006C58DC"/>
    <w:rsid w:val="006C640B"/>
    <w:rsid w:val="006C6C7F"/>
    <w:rsid w:val="006D1F47"/>
    <w:rsid w:val="006D449A"/>
    <w:rsid w:val="006D469B"/>
    <w:rsid w:val="006D7038"/>
    <w:rsid w:val="006D705B"/>
    <w:rsid w:val="006E20AC"/>
    <w:rsid w:val="006E20DA"/>
    <w:rsid w:val="006E2C47"/>
    <w:rsid w:val="006E3BBE"/>
    <w:rsid w:val="006E4148"/>
    <w:rsid w:val="006E69D9"/>
    <w:rsid w:val="006F2742"/>
    <w:rsid w:val="006F31A9"/>
    <w:rsid w:val="006F404F"/>
    <w:rsid w:val="006F6817"/>
    <w:rsid w:val="006F76F0"/>
    <w:rsid w:val="00702658"/>
    <w:rsid w:val="00702A5D"/>
    <w:rsid w:val="00710575"/>
    <w:rsid w:val="00712452"/>
    <w:rsid w:val="00715081"/>
    <w:rsid w:val="007205B9"/>
    <w:rsid w:val="00720B5F"/>
    <w:rsid w:val="00734F3E"/>
    <w:rsid w:val="00740A4F"/>
    <w:rsid w:val="007431C8"/>
    <w:rsid w:val="00745C1E"/>
    <w:rsid w:val="00751732"/>
    <w:rsid w:val="00751969"/>
    <w:rsid w:val="0075551E"/>
    <w:rsid w:val="00756F3F"/>
    <w:rsid w:val="00760397"/>
    <w:rsid w:val="00760402"/>
    <w:rsid w:val="007620A6"/>
    <w:rsid w:val="00765AF1"/>
    <w:rsid w:val="00766AE0"/>
    <w:rsid w:val="00766D22"/>
    <w:rsid w:val="0077006B"/>
    <w:rsid w:val="00772EBC"/>
    <w:rsid w:val="007752A9"/>
    <w:rsid w:val="00775FC8"/>
    <w:rsid w:val="00776D92"/>
    <w:rsid w:val="007809B0"/>
    <w:rsid w:val="00785FBC"/>
    <w:rsid w:val="00786705"/>
    <w:rsid w:val="0079096A"/>
    <w:rsid w:val="007923CD"/>
    <w:rsid w:val="00793033"/>
    <w:rsid w:val="00793C8B"/>
    <w:rsid w:val="00797D3A"/>
    <w:rsid w:val="007A17E9"/>
    <w:rsid w:val="007A1811"/>
    <w:rsid w:val="007A335A"/>
    <w:rsid w:val="007A4B48"/>
    <w:rsid w:val="007A6586"/>
    <w:rsid w:val="007B296B"/>
    <w:rsid w:val="007B3466"/>
    <w:rsid w:val="007B5DB7"/>
    <w:rsid w:val="007B741C"/>
    <w:rsid w:val="007C037E"/>
    <w:rsid w:val="007C0DE2"/>
    <w:rsid w:val="007C32DA"/>
    <w:rsid w:val="007C48B8"/>
    <w:rsid w:val="007D01C3"/>
    <w:rsid w:val="007D01EC"/>
    <w:rsid w:val="007D04D8"/>
    <w:rsid w:val="007D440B"/>
    <w:rsid w:val="007D5C90"/>
    <w:rsid w:val="007D66D8"/>
    <w:rsid w:val="007E0A1C"/>
    <w:rsid w:val="007E58CE"/>
    <w:rsid w:val="007E62B8"/>
    <w:rsid w:val="007E7373"/>
    <w:rsid w:val="007F4217"/>
    <w:rsid w:val="007F60A3"/>
    <w:rsid w:val="007F7111"/>
    <w:rsid w:val="00800713"/>
    <w:rsid w:val="0080313A"/>
    <w:rsid w:val="008037FF"/>
    <w:rsid w:val="00804005"/>
    <w:rsid w:val="008104AE"/>
    <w:rsid w:val="00811780"/>
    <w:rsid w:val="008122FD"/>
    <w:rsid w:val="00814387"/>
    <w:rsid w:val="00816977"/>
    <w:rsid w:val="00820EEF"/>
    <w:rsid w:val="00824EC0"/>
    <w:rsid w:val="00825A81"/>
    <w:rsid w:val="0082740D"/>
    <w:rsid w:val="008278FC"/>
    <w:rsid w:val="00827D2F"/>
    <w:rsid w:val="00844558"/>
    <w:rsid w:val="008468FB"/>
    <w:rsid w:val="00847A3B"/>
    <w:rsid w:val="00850DAA"/>
    <w:rsid w:val="00853681"/>
    <w:rsid w:val="00854B7E"/>
    <w:rsid w:val="00857DB7"/>
    <w:rsid w:val="00862116"/>
    <w:rsid w:val="00862A78"/>
    <w:rsid w:val="008700BC"/>
    <w:rsid w:val="00872FEB"/>
    <w:rsid w:val="00876278"/>
    <w:rsid w:val="0087758A"/>
    <w:rsid w:val="00877DC6"/>
    <w:rsid w:val="00884880"/>
    <w:rsid w:val="00884D83"/>
    <w:rsid w:val="008902AE"/>
    <w:rsid w:val="00892FB6"/>
    <w:rsid w:val="008948EB"/>
    <w:rsid w:val="00897E97"/>
    <w:rsid w:val="008A1159"/>
    <w:rsid w:val="008A6FD6"/>
    <w:rsid w:val="008A7883"/>
    <w:rsid w:val="008B21E0"/>
    <w:rsid w:val="008B702B"/>
    <w:rsid w:val="008C08AB"/>
    <w:rsid w:val="008C10CD"/>
    <w:rsid w:val="008C1FB7"/>
    <w:rsid w:val="008C50F0"/>
    <w:rsid w:val="008C6990"/>
    <w:rsid w:val="008C7652"/>
    <w:rsid w:val="008D15CE"/>
    <w:rsid w:val="008D164F"/>
    <w:rsid w:val="008D1CB6"/>
    <w:rsid w:val="008D35CB"/>
    <w:rsid w:val="008E150B"/>
    <w:rsid w:val="008E375A"/>
    <w:rsid w:val="008E56A4"/>
    <w:rsid w:val="008F4CE6"/>
    <w:rsid w:val="008F4FE9"/>
    <w:rsid w:val="008F553D"/>
    <w:rsid w:val="008F5F3E"/>
    <w:rsid w:val="008F74C5"/>
    <w:rsid w:val="008F7660"/>
    <w:rsid w:val="008F7AE0"/>
    <w:rsid w:val="009020D0"/>
    <w:rsid w:val="00903A8B"/>
    <w:rsid w:val="009050A1"/>
    <w:rsid w:val="00913BBF"/>
    <w:rsid w:val="00915356"/>
    <w:rsid w:val="009206AC"/>
    <w:rsid w:val="00923FC2"/>
    <w:rsid w:val="009252EF"/>
    <w:rsid w:val="00925E63"/>
    <w:rsid w:val="00927433"/>
    <w:rsid w:val="00927C70"/>
    <w:rsid w:val="00931F67"/>
    <w:rsid w:val="00935E07"/>
    <w:rsid w:val="00936AFA"/>
    <w:rsid w:val="009371D8"/>
    <w:rsid w:val="009539F7"/>
    <w:rsid w:val="00954268"/>
    <w:rsid w:val="009545F8"/>
    <w:rsid w:val="00955FBB"/>
    <w:rsid w:val="00966221"/>
    <w:rsid w:val="0096793E"/>
    <w:rsid w:val="0097199A"/>
    <w:rsid w:val="00973D1F"/>
    <w:rsid w:val="00973DC5"/>
    <w:rsid w:val="00974646"/>
    <w:rsid w:val="0097773D"/>
    <w:rsid w:val="009800F5"/>
    <w:rsid w:val="00987D4A"/>
    <w:rsid w:val="0099505A"/>
    <w:rsid w:val="00997EBB"/>
    <w:rsid w:val="009A28F3"/>
    <w:rsid w:val="009A570D"/>
    <w:rsid w:val="009A6B02"/>
    <w:rsid w:val="009A6B88"/>
    <w:rsid w:val="009A7332"/>
    <w:rsid w:val="009B4A69"/>
    <w:rsid w:val="009B4CB9"/>
    <w:rsid w:val="009B7740"/>
    <w:rsid w:val="009C091A"/>
    <w:rsid w:val="009C166B"/>
    <w:rsid w:val="009C5216"/>
    <w:rsid w:val="009C5653"/>
    <w:rsid w:val="009D27CC"/>
    <w:rsid w:val="009D368A"/>
    <w:rsid w:val="009D41A3"/>
    <w:rsid w:val="009D758D"/>
    <w:rsid w:val="009E0D00"/>
    <w:rsid w:val="009E20A5"/>
    <w:rsid w:val="009E33D7"/>
    <w:rsid w:val="009E461F"/>
    <w:rsid w:val="009E4666"/>
    <w:rsid w:val="009E5130"/>
    <w:rsid w:val="009E6F34"/>
    <w:rsid w:val="009F1793"/>
    <w:rsid w:val="009F2273"/>
    <w:rsid w:val="009F2D07"/>
    <w:rsid w:val="009F335E"/>
    <w:rsid w:val="00A0047A"/>
    <w:rsid w:val="00A05998"/>
    <w:rsid w:val="00A05F16"/>
    <w:rsid w:val="00A062D9"/>
    <w:rsid w:val="00A06B38"/>
    <w:rsid w:val="00A14CAB"/>
    <w:rsid w:val="00A158CC"/>
    <w:rsid w:val="00A15A1B"/>
    <w:rsid w:val="00A22965"/>
    <w:rsid w:val="00A23BE2"/>
    <w:rsid w:val="00A268CC"/>
    <w:rsid w:val="00A27475"/>
    <w:rsid w:val="00A3685D"/>
    <w:rsid w:val="00A378E7"/>
    <w:rsid w:val="00A37D8D"/>
    <w:rsid w:val="00A4202F"/>
    <w:rsid w:val="00A4354F"/>
    <w:rsid w:val="00A43AB3"/>
    <w:rsid w:val="00A457BA"/>
    <w:rsid w:val="00A4616E"/>
    <w:rsid w:val="00A46859"/>
    <w:rsid w:val="00A46F3A"/>
    <w:rsid w:val="00A475BE"/>
    <w:rsid w:val="00A52AFE"/>
    <w:rsid w:val="00A53A9D"/>
    <w:rsid w:val="00A53E67"/>
    <w:rsid w:val="00A707E4"/>
    <w:rsid w:val="00A719DE"/>
    <w:rsid w:val="00A74B4A"/>
    <w:rsid w:val="00A77714"/>
    <w:rsid w:val="00A80A3E"/>
    <w:rsid w:val="00A84AD9"/>
    <w:rsid w:val="00A853F5"/>
    <w:rsid w:val="00A923EE"/>
    <w:rsid w:val="00A92A75"/>
    <w:rsid w:val="00A92F34"/>
    <w:rsid w:val="00A96334"/>
    <w:rsid w:val="00A97D54"/>
    <w:rsid w:val="00AA1A99"/>
    <w:rsid w:val="00AA5A9C"/>
    <w:rsid w:val="00AA7709"/>
    <w:rsid w:val="00AB2C3D"/>
    <w:rsid w:val="00AB571D"/>
    <w:rsid w:val="00AB68A8"/>
    <w:rsid w:val="00AB6D1E"/>
    <w:rsid w:val="00AC07DE"/>
    <w:rsid w:val="00AC39CF"/>
    <w:rsid w:val="00AC5759"/>
    <w:rsid w:val="00AC6D60"/>
    <w:rsid w:val="00AD08C6"/>
    <w:rsid w:val="00AD1B30"/>
    <w:rsid w:val="00AD5A01"/>
    <w:rsid w:val="00AD70C8"/>
    <w:rsid w:val="00AD7371"/>
    <w:rsid w:val="00AD78C5"/>
    <w:rsid w:val="00AD7A54"/>
    <w:rsid w:val="00AE0565"/>
    <w:rsid w:val="00AE1FB4"/>
    <w:rsid w:val="00AE2950"/>
    <w:rsid w:val="00AE343D"/>
    <w:rsid w:val="00AE48A8"/>
    <w:rsid w:val="00AE6373"/>
    <w:rsid w:val="00AF0DF7"/>
    <w:rsid w:val="00AF12AA"/>
    <w:rsid w:val="00AF7020"/>
    <w:rsid w:val="00AF7529"/>
    <w:rsid w:val="00AF7CC5"/>
    <w:rsid w:val="00B007B5"/>
    <w:rsid w:val="00B01382"/>
    <w:rsid w:val="00B02F03"/>
    <w:rsid w:val="00B11487"/>
    <w:rsid w:val="00B12184"/>
    <w:rsid w:val="00B12430"/>
    <w:rsid w:val="00B13650"/>
    <w:rsid w:val="00B1473D"/>
    <w:rsid w:val="00B1487D"/>
    <w:rsid w:val="00B15497"/>
    <w:rsid w:val="00B1596E"/>
    <w:rsid w:val="00B20232"/>
    <w:rsid w:val="00B21DB0"/>
    <w:rsid w:val="00B26AB9"/>
    <w:rsid w:val="00B27BBD"/>
    <w:rsid w:val="00B3109F"/>
    <w:rsid w:val="00B31882"/>
    <w:rsid w:val="00B32EBF"/>
    <w:rsid w:val="00B33013"/>
    <w:rsid w:val="00B36D8A"/>
    <w:rsid w:val="00B4575C"/>
    <w:rsid w:val="00B45987"/>
    <w:rsid w:val="00B45CFC"/>
    <w:rsid w:val="00B46E0F"/>
    <w:rsid w:val="00B5125D"/>
    <w:rsid w:val="00B53D4D"/>
    <w:rsid w:val="00B54ACE"/>
    <w:rsid w:val="00B55689"/>
    <w:rsid w:val="00B56333"/>
    <w:rsid w:val="00B60665"/>
    <w:rsid w:val="00B620DD"/>
    <w:rsid w:val="00B62257"/>
    <w:rsid w:val="00B64B8F"/>
    <w:rsid w:val="00B658A9"/>
    <w:rsid w:val="00B72506"/>
    <w:rsid w:val="00B7307D"/>
    <w:rsid w:val="00B75040"/>
    <w:rsid w:val="00B77F51"/>
    <w:rsid w:val="00B80331"/>
    <w:rsid w:val="00B81153"/>
    <w:rsid w:val="00B8415E"/>
    <w:rsid w:val="00B8599C"/>
    <w:rsid w:val="00B863DF"/>
    <w:rsid w:val="00B87833"/>
    <w:rsid w:val="00B9657F"/>
    <w:rsid w:val="00BA0882"/>
    <w:rsid w:val="00BA39DB"/>
    <w:rsid w:val="00BA4DC1"/>
    <w:rsid w:val="00BA79D2"/>
    <w:rsid w:val="00BB5F36"/>
    <w:rsid w:val="00BC42B9"/>
    <w:rsid w:val="00BC4C15"/>
    <w:rsid w:val="00BC5093"/>
    <w:rsid w:val="00BC5C9B"/>
    <w:rsid w:val="00BD0523"/>
    <w:rsid w:val="00BD0FFC"/>
    <w:rsid w:val="00BD317E"/>
    <w:rsid w:val="00BE0032"/>
    <w:rsid w:val="00BE0418"/>
    <w:rsid w:val="00BE1AE9"/>
    <w:rsid w:val="00BE4393"/>
    <w:rsid w:val="00BE716A"/>
    <w:rsid w:val="00BE71C0"/>
    <w:rsid w:val="00BF0309"/>
    <w:rsid w:val="00BF0650"/>
    <w:rsid w:val="00BF117C"/>
    <w:rsid w:val="00BF1357"/>
    <w:rsid w:val="00BF5489"/>
    <w:rsid w:val="00BF592F"/>
    <w:rsid w:val="00BF739D"/>
    <w:rsid w:val="00BF7C1F"/>
    <w:rsid w:val="00C01A74"/>
    <w:rsid w:val="00C01BFD"/>
    <w:rsid w:val="00C023BF"/>
    <w:rsid w:val="00C110E0"/>
    <w:rsid w:val="00C11EC6"/>
    <w:rsid w:val="00C139B6"/>
    <w:rsid w:val="00C15E0E"/>
    <w:rsid w:val="00C21282"/>
    <w:rsid w:val="00C23DA0"/>
    <w:rsid w:val="00C2445F"/>
    <w:rsid w:val="00C31F22"/>
    <w:rsid w:val="00C337D6"/>
    <w:rsid w:val="00C36564"/>
    <w:rsid w:val="00C37163"/>
    <w:rsid w:val="00C37EB4"/>
    <w:rsid w:val="00C416AA"/>
    <w:rsid w:val="00C43DEB"/>
    <w:rsid w:val="00C458C4"/>
    <w:rsid w:val="00C466EA"/>
    <w:rsid w:val="00C46C54"/>
    <w:rsid w:val="00C557EE"/>
    <w:rsid w:val="00C5657F"/>
    <w:rsid w:val="00C56BD4"/>
    <w:rsid w:val="00C5703D"/>
    <w:rsid w:val="00C5732C"/>
    <w:rsid w:val="00C62458"/>
    <w:rsid w:val="00C6321B"/>
    <w:rsid w:val="00C63515"/>
    <w:rsid w:val="00C635BA"/>
    <w:rsid w:val="00C63642"/>
    <w:rsid w:val="00C6386B"/>
    <w:rsid w:val="00C63B71"/>
    <w:rsid w:val="00C64149"/>
    <w:rsid w:val="00C64ECB"/>
    <w:rsid w:val="00C65C2B"/>
    <w:rsid w:val="00C674C0"/>
    <w:rsid w:val="00C71B72"/>
    <w:rsid w:val="00C72737"/>
    <w:rsid w:val="00C72DAD"/>
    <w:rsid w:val="00C73ECB"/>
    <w:rsid w:val="00C74D7A"/>
    <w:rsid w:val="00C77C13"/>
    <w:rsid w:val="00C85CB3"/>
    <w:rsid w:val="00C87811"/>
    <w:rsid w:val="00C92CDF"/>
    <w:rsid w:val="00C9314B"/>
    <w:rsid w:val="00C9616A"/>
    <w:rsid w:val="00CA01A1"/>
    <w:rsid w:val="00CA1213"/>
    <w:rsid w:val="00CA1906"/>
    <w:rsid w:val="00CA2ECA"/>
    <w:rsid w:val="00CA4BB4"/>
    <w:rsid w:val="00CA4DD5"/>
    <w:rsid w:val="00CA6CE9"/>
    <w:rsid w:val="00CB20C7"/>
    <w:rsid w:val="00CB2F29"/>
    <w:rsid w:val="00CB526D"/>
    <w:rsid w:val="00CB7739"/>
    <w:rsid w:val="00CC2BD0"/>
    <w:rsid w:val="00CC3974"/>
    <w:rsid w:val="00CC5962"/>
    <w:rsid w:val="00CC600C"/>
    <w:rsid w:val="00CD04A4"/>
    <w:rsid w:val="00CD10E5"/>
    <w:rsid w:val="00CD42BA"/>
    <w:rsid w:val="00CD485D"/>
    <w:rsid w:val="00CD511C"/>
    <w:rsid w:val="00CE2306"/>
    <w:rsid w:val="00CE3245"/>
    <w:rsid w:val="00CE32C0"/>
    <w:rsid w:val="00CE4D56"/>
    <w:rsid w:val="00CF2AC6"/>
    <w:rsid w:val="00CF31B0"/>
    <w:rsid w:val="00CF3D6D"/>
    <w:rsid w:val="00CF64FE"/>
    <w:rsid w:val="00CF7FB1"/>
    <w:rsid w:val="00D02159"/>
    <w:rsid w:val="00D11CB4"/>
    <w:rsid w:val="00D13852"/>
    <w:rsid w:val="00D13EA8"/>
    <w:rsid w:val="00D1449F"/>
    <w:rsid w:val="00D2157C"/>
    <w:rsid w:val="00D21A6D"/>
    <w:rsid w:val="00D21E22"/>
    <w:rsid w:val="00D23738"/>
    <w:rsid w:val="00D2536F"/>
    <w:rsid w:val="00D2767B"/>
    <w:rsid w:val="00D27F81"/>
    <w:rsid w:val="00D33CC5"/>
    <w:rsid w:val="00D33F3C"/>
    <w:rsid w:val="00D426F0"/>
    <w:rsid w:val="00D47A01"/>
    <w:rsid w:val="00D51EA8"/>
    <w:rsid w:val="00D52226"/>
    <w:rsid w:val="00D54364"/>
    <w:rsid w:val="00D554CF"/>
    <w:rsid w:val="00D56234"/>
    <w:rsid w:val="00D62262"/>
    <w:rsid w:val="00D66938"/>
    <w:rsid w:val="00D66B7D"/>
    <w:rsid w:val="00D707F7"/>
    <w:rsid w:val="00D708CF"/>
    <w:rsid w:val="00D71E9C"/>
    <w:rsid w:val="00D72434"/>
    <w:rsid w:val="00D731D2"/>
    <w:rsid w:val="00D73B45"/>
    <w:rsid w:val="00D74B89"/>
    <w:rsid w:val="00D83485"/>
    <w:rsid w:val="00D84A5C"/>
    <w:rsid w:val="00D86B2B"/>
    <w:rsid w:val="00D87F06"/>
    <w:rsid w:val="00D911B2"/>
    <w:rsid w:val="00D965D5"/>
    <w:rsid w:val="00DA1769"/>
    <w:rsid w:val="00DA2FBA"/>
    <w:rsid w:val="00DA43F5"/>
    <w:rsid w:val="00DA4F63"/>
    <w:rsid w:val="00DA6C99"/>
    <w:rsid w:val="00DA707D"/>
    <w:rsid w:val="00DA765E"/>
    <w:rsid w:val="00DB378E"/>
    <w:rsid w:val="00DB4236"/>
    <w:rsid w:val="00DB6353"/>
    <w:rsid w:val="00DB680A"/>
    <w:rsid w:val="00DC06F8"/>
    <w:rsid w:val="00DC671C"/>
    <w:rsid w:val="00DC67B5"/>
    <w:rsid w:val="00DD0426"/>
    <w:rsid w:val="00DD3936"/>
    <w:rsid w:val="00DD7A9F"/>
    <w:rsid w:val="00DE4B23"/>
    <w:rsid w:val="00DF42B8"/>
    <w:rsid w:val="00DF5A36"/>
    <w:rsid w:val="00DF7764"/>
    <w:rsid w:val="00E01BE9"/>
    <w:rsid w:val="00E01CDE"/>
    <w:rsid w:val="00E049E5"/>
    <w:rsid w:val="00E1063F"/>
    <w:rsid w:val="00E1168B"/>
    <w:rsid w:val="00E16579"/>
    <w:rsid w:val="00E16C03"/>
    <w:rsid w:val="00E2185D"/>
    <w:rsid w:val="00E21F5B"/>
    <w:rsid w:val="00E241A2"/>
    <w:rsid w:val="00E25E37"/>
    <w:rsid w:val="00E27815"/>
    <w:rsid w:val="00E27886"/>
    <w:rsid w:val="00E303D4"/>
    <w:rsid w:val="00E30FB6"/>
    <w:rsid w:val="00E35AAF"/>
    <w:rsid w:val="00E41921"/>
    <w:rsid w:val="00E42EB9"/>
    <w:rsid w:val="00E42FBC"/>
    <w:rsid w:val="00E47DD5"/>
    <w:rsid w:val="00E519CE"/>
    <w:rsid w:val="00E51BFD"/>
    <w:rsid w:val="00E54922"/>
    <w:rsid w:val="00E6029D"/>
    <w:rsid w:val="00E60D48"/>
    <w:rsid w:val="00E60FDC"/>
    <w:rsid w:val="00E63B58"/>
    <w:rsid w:val="00E65710"/>
    <w:rsid w:val="00E66A27"/>
    <w:rsid w:val="00E66D1F"/>
    <w:rsid w:val="00E6708D"/>
    <w:rsid w:val="00E67620"/>
    <w:rsid w:val="00E7474A"/>
    <w:rsid w:val="00E75E2F"/>
    <w:rsid w:val="00E8453C"/>
    <w:rsid w:val="00E8778B"/>
    <w:rsid w:val="00E87BC1"/>
    <w:rsid w:val="00E914AF"/>
    <w:rsid w:val="00E9156B"/>
    <w:rsid w:val="00E91797"/>
    <w:rsid w:val="00E92C24"/>
    <w:rsid w:val="00E964EA"/>
    <w:rsid w:val="00E9735A"/>
    <w:rsid w:val="00EA0CF8"/>
    <w:rsid w:val="00EA1AD9"/>
    <w:rsid w:val="00EA3639"/>
    <w:rsid w:val="00EA3913"/>
    <w:rsid w:val="00EA5A64"/>
    <w:rsid w:val="00EA5BB4"/>
    <w:rsid w:val="00EA7D37"/>
    <w:rsid w:val="00EB0DD5"/>
    <w:rsid w:val="00EB0E32"/>
    <w:rsid w:val="00EB1CB2"/>
    <w:rsid w:val="00EB297D"/>
    <w:rsid w:val="00EB2C43"/>
    <w:rsid w:val="00EB3E82"/>
    <w:rsid w:val="00EB681D"/>
    <w:rsid w:val="00EB6CFB"/>
    <w:rsid w:val="00EC0172"/>
    <w:rsid w:val="00EC0446"/>
    <w:rsid w:val="00ED1DD8"/>
    <w:rsid w:val="00ED2EC4"/>
    <w:rsid w:val="00ED3599"/>
    <w:rsid w:val="00ED35F4"/>
    <w:rsid w:val="00ED3A56"/>
    <w:rsid w:val="00ED4185"/>
    <w:rsid w:val="00ED63B7"/>
    <w:rsid w:val="00ED71D0"/>
    <w:rsid w:val="00EE14D0"/>
    <w:rsid w:val="00EE44A3"/>
    <w:rsid w:val="00EE66D1"/>
    <w:rsid w:val="00EF36F5"/>
    <w:rsid w:val="00EF3C0E"/>
    <w:rsid w:val="00EF4749"/>
    <w:rsid w:val="00EF62C3"/>
    <w:rsid w:val="00F001DE"/>
    <w:rsid w:val="00F003D2"/>
    <w:rsid w:val="00F02D22"/>
    <w:rsid w:val="00F05B9B"/>
    <w:rsid w:val="00F05E66"/>
    <w:rsid w:val="00F07E2C"/>
    <w:rsid w:val="00F115EF"/>
    <w:rsid w:val="00F12E9C"/>
    <w:rsid w:val="00F1433A"/>
    <w:rsid w:val="00F153FF"/>
    <w:rsid w:val="00F234D9"/>
    <w:rsid w:val="00F249CA"/>
    <w:rsid w:val="00F2526D"/>
    <w:rsid w:val="00F32629"/>
    <w:rsid w:val="00F33608"/>
    <w:rsid w:val="00F344C5"/>
    <w:rsid w:val="00F41DD1"/>
    <w:rsid w:val="00F41EA4"/>
    <w:rsid w:val="00F500E4"/>
    <w:rsid w:val="00F53A6F"/>
    <w:rsid w:val="00F55261"/>
    <w:rsid w:val="00F600C0"/>
    <w:rsid w:val="00F60F88"/>
    <w:rsid w:val="00F6192B"/>
    <w:rsid w:val="00F624A7"/>
    <w:rsid w:val="00F63B25"/>
    <w:rsid w:val="00F66265"/>
    <w:rsid w:val="00F66966"/>
    <w:rsid w:val="00F7341A"/>
    <w:rsid w:val="00F772AB"/>
    <w:rsid w:val="00F80C21"/>
    <w:rsid w:val="00F81460"/>
    <w:rsid w:val="00F82262"/>
    <w:rsid w:val="00F827AD"/>
    <w:rsid w:val="00F82C79"/>
    <w:rsid w:val="00F83B32"/>
    <w:rsid w:val="00F83F93"/>
    <w:rsid w:val="00F91ABB"/>
    <w:rsid w:val="00F91AD7"/>
    <w:rsid w:val="00F924C3"/>
    <w:rsid w:val="00F93088"/>
    <w:rsid w:val="00FA043F"/>
    <w:rsid w:val="00FA0B2F"/>
    <w:rsid w:val="00FA1481"/>
    <w:rsid w:val="00FA4D76"/>
    <w:rsid w:val="00FA5145"/>
    <w:rsid w:val="00FB01E5"/>
    <w:rsid w:val="00FB1246"/>
    <w:rsid w:val="00FB3858"/>
    <w:rsid w:val="00FB484A"/>
    <w:rsid w:val="00FB5B45"/>
    <w:rsid w:val="00FC09F8"/>
    <w:rsid w:val="00FC5C61"/>
    <w:rsid w:val="00FD2BFA"/>
    <w:rsid w:val="00FD3EDF"/>
    <w:rsid w:val="00FD65C1"/>
    <w:rsid w:val="00FD675C"/>
    <w:rsid w:val="00FD7052"/>
    <w:rsid w:val="00FE1A1E"/>
    <w:rsid w:val="00FE27FD"/>
    <w:rsid w:val="00FE4015"/>
    <w:rsid w:val="00FE596E"/>
    <w:rsid w:val="00FE75B5"/>
    <w:rsid w:val="00FF3D00"/>
    <w:rsid w:val="00FF727E"/>
    <w:rsid w:val="134B28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5"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2"/>
    <w:basedOn w:val="1"/>
    <w:next w:val="1"/>
    <w:link w:val="44"/>
    <w:qFormat/>
    <w:uiPriority w:val="0"/>
    <w:pPr>
      <w:keepNext/>
      <w:keepLines/>
      <w:tabs>
        <w:tab w:val="left" w:pos="2223"/>
        <w:tab w:val="left" w:pos="2558"/>
      </w:tabs>
      <w:spacing w:before="120" w:after="120" w:line="360" w:lineRule="auto"/>
      <w:outlineLvl w:val="1"/>
    </w:pPr>
    <w:rPr>
      <w:rFonts w:ascii="Times New Roman" w:hAnsi="Times New Roman" w:eastAsia="黑体" w:cs="Times New Roman"/>
      <w:color w:val="000000" w:themeColor="text1"/>
      <w:sz w:val="30"/>
      <w:szCs w:val="24"/>
    </w:rPr>
  </w:style>
  <w:style w:type="paragraph" w:styleId="3">
    <w:name w:val="heading 3"/>
    <w:basedOn w:val="1"/>
    <w:next w:val="1"/>
    <w:link w:val="46"/>
    <w:semiHidden/>
    <w:unhideWhenUsed/>
    <w:qFormat/>
    <w:uiPriority w:val="9"/>
    <w:pPr>
      <w:keepNext/>
      <w:keepLines/>
      <w:spacing w:before="260" w:after="260" w:line="416" w:lineRule="auto"/>
      <w:outlineLvl w:val="2"/>
    </w:pPr>
    <w:rPr>
      <w:b/>
      <w:bCs/>
      <w:sz w:val="32"/>
      <w:szCs w:val="32"/>
    </w:rPr>
  </w:style>
  <w:style w:type="paragraph" w:styleId="4">
    <w:name w:val="heading 8"/>
    <w:basedOn w:val="1"/>
    <w:next w:val="1"/>
    <w:link w:val="48"/>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0"/>
    <w:qFormat/>
    <w:uiPriority w:val="99"/>
    <w:pPr>
      <w:widowControl/>
      <w:ind w:firstLine="420" w:firstLineChars="200"/>
      <w:jc w:val="left"/>
    </w:pPr>
    <w:rPr>
      <w:rFonts w:ascii="Calibri" w:hAnsi="Calibri" w:eastAsia="宋体" w:cs="Times New Roman"/>
      <w:sz w:val="28"/>
      <w:szCs w:val="20"/>
    </w:rPr>
  </w:style>
  <w:style w:type="paragraph" w:styleId="6">
    <w:name w:val="Document Map"/>
    <w:basedOn w:val="1"/>
    <w:link w:val="27"/>
    <w:semiHidden/>
    <w:unhideWhenUsed/>
    <w:qFormat/>
    <w:uiPriority w:val="99"/>
    <w:rPr>
      <w:rFonts w:ascii="宋体" w:eastAsia="宋体"/>
      <w:sz w:val="20"/>
      <w:szCs w:val="18"/>
    </w:rPr>
  </w:style>
  <w:style w:type="paragraph" w:styleId="7">
    <w:name w:val="annotation text"/>
    <w:basedOn w:val="1"/>
    <w:link w:val="34"/>
    <w:semiHidden/>
    <w:unhideWhenUsed/>
    <w:qFormat/>
    <w:uiPriority w:val="99"/>
    <w:pPr>
      <w:jc w:val="left"/>
    </w:pPr>
  </w:style>
  <w:style w:type="paragraph" w:styleId="8">
    <w:name w:val="Salutation"/>
    <w:basedOn w:val="1"/>
    <w:next w:val="1"/>
    <w:link w:val="56"/>
    <w:semiHidden/>
    <w:unhideWhenUsed/>
    <w:qFormat/>
    <w:uiPriority w:val="99"/>
  </w:style>
  <w:style w:type="paragraph" w:styleId="9">
    <w:name w:val="Body Text"/>
    <w:basedOn w:val="1"/>
    <w:link w:val="43"/>
    <w:semiHidden/>
    <w:unhideWhenUsed/>
    <w:qFormat/>
    <w:uiPriority w:val="99"/>
    <w:pPr>
      <w:spacing w:after="120"/>
    </w:pPr>
  </w:style>
  <w:style w:type="paragraph" w:styleId="10">
    <w:name w:val="Body Text Indent"/>
    <w:basedOn w:val="1"/>
    <w:link w:val="65"/>
    <w:semiHidden/>
    <w:unhideWhenUsed/>
    <w:qFormat/>
    <w:uiPriority w:val="99"/>
    <w:pPr>
      <w:spacing w:after="120"/>
      <w:ind w:left="420" w:leftChars="200"/>
    </w:pPr>
  </w:style>
  <w:style w:type="paragraph" w:styleId="11">
    <w:name w:val="Plain Text"/>
    <w:basedOn w:val="1"/>
    <w:next w:val="8"/>
    <w:link w:val="54"/>
    <w:qFormat/>
    <w:uiPriority w:val="5"/>
    <w:pPr>
      <w:spacing w:line="360" w:lineRule="exact"/>
    </w:pPr>
    <w:rPr>
      <w:rFonts w:ascii="宋体" w:hAnsi="Courier New" w:eastAsia="宋体" w:cs="Times New Roman"/>
      <w:szCs w:val="20"/>
    </w:rPr>
  </w:style>
  <w:style w:type="paragraph" w:styleId="12">
    <w:name w:val="Balloon Text"/>
    <w:basedOn w:val="1"/>
    <w:link w:val="26"/>
    <w:unhideWhenUsed/>
    <w:qFormat/>
    <w:uiPriority w:val="99"/>
    <w:rPr>
      <w:sz w:val="18"/>
      <w:szCs w:val="18"/>
    </w:rPr>
  </w:style>
  <w:style w:type="paragraph" w:styleId="13">
    <w:name w:val="footer"/>
    <w:basedOn w:val="1"/>
    <w:link w:val="29"/>
    <w:semiHidden/>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Indent 3"/>
    <w:basedOn w:val="1"/>
    <w:link w:val="31"/>
    <w:qFormat/>
    <w:uiPriority w:val="0"/>
    <w:pPr>
      <w:spacing w:after="120"/>
      <w:ind w:left="420" w:leftChars="200"/>
    </w:pPr>
    <w:rPr>
      <w:rFonts w:ascii="Times New Roman" w:hAnsi="Times New Roman" w:eastAsia="宋体" w:cs="Times New Roman"/>
      <w:sz w:val="16"/>
      <w:szCs w:val="16"/>
    </w:r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index 1"/>
    <w:basedOn w:val="1"/>
    <w:next w:val="1"/>
    <w:qFormat/>
    <w:uiPriority w:val="0"/>
    <w:pPr>
      <w:ind w:left="560" w:hanging="560"/>
    </w:pPr>
    <w:rPr>
      <w:rFonts w:ascii="Times New Roman" w:hAnsi="宋体" w:eastAsia="宋体" w:cs="Times New Roman"/>
      <w:spacing w:val="10"/>
      <w:szCs w:val="24"/>
    </w:rPr>
  </w:style>
  <w:style w:type="paragraph" w:styleId="18">
    <w:name w:val="annotation subject"/>
    <w:basedOn w:val="7"/>
    <w:next w:val="7"/>
    <w:link w:val="35"/>
    <w:semiHidden/>
    <w:unhideWhenUsed/>
    <w:qFormat/>
    <w:uiPriority w:val="99"/>
    <w:rPr>
      <w:b/>
      <w:bCs/>
    </w:rPr>
  </w:style>
  <w:style w:type="table" w:styleId="20">
    <w:name w:val="Table Grid"/>
    <w:basedOn w:val="19"/>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semiHidden/>
    <w:unhideWhenUsed/>
    <w:qFormat/>
    <w:uiPriority w:val="99"/>
    <w:rPr>
      <w:color w:val="0000FF"/>
      <w:u w:val="single"/>
    </w:rPr>
  </w:style>
  <w:style w:type="character" w:styleId="25">
    <w:name w:val="annotation reference"/>
    <w:basedOn w:val="21"/>
    <w:semiHidden/>
    <w:unhideWhenUsed/>
    <w:qFormat/>
    <w:uiPriority w:val="99"/>
    <w:rPr>
      <w:sz w:val="21"/>
      <w:szCs w:val="21"/>
    </w:rPr>
  </w:style>
  <w:style w:type="character" w:customStyle="1" w:styleId="26">
    <w:name w:val="批注框文本 Char"/>
    <w:basedOn w:val="21"/>
    <w:link w:val="12"/>
    <w:qFormat/>
    <w:uiPriority w:val="99"/>
    <w:rPr>
      <w:sz w:val="18"/>
      <w:szCs w:val="18"/>
    </w:rPr>
  </w:style>
  <w:style w:type="character" w:customStyle="1" w:styleId="27">
    <w:name w:val="文档结构图 Char"/>
    <w:basedOn w:val="21"/>
    <w:link w:val="6"/>
    <w:semiHidden/>
    <w:qFormat/>
    <w:uiPriority w:val="99"/>
    <w:rPr>
      <w:rFonts w:ascii="宋体" w:eastAsia="宋体"/>
      <w:sz w:val="20"/>
      <w:szCs w:val="18"/>
    </w:rPr>
  </w:style>
  <w:style w:type="character" w:customStyle="1" w:styleId="28">
    <w:name w:val="页眉 Char"/>
    <w:basedOn w:val="21"/>
    <w:link w:val="14"/>
    <w:qFormat/>
    <w:uiPriority w:val="0"/>
    <w:rPr>
      <w:sz w:val="18"/>
      <w:szCs w:val="18"/>
    </w:rPr>
  </w:style>
  <w:style w:type="character" w:customStyle="1" w:styleId="29">
    <w:name w:val="页脚 Char"/>
    <w:basedOn w:val="21"/>
    <w:link w:val="13"/>
    <w:semiHidden/>
    <w:qFormat/>
    <w:uiPriority w:val="99"/>
    <w:rPr>
      <w:sz w:val="18"/>
      <w:szCs w:val="18"/>
    </w:rPr>
  </w:style>
  <w:style w:type="paragraph" w:customStyle="1" w:styleId="30">
    <w:name w:val="表体"/>
    <w:basedOn w:val="1"/>
    <w:link w:val="42"/>
    <w:qFormat/>
    <w:uiPriority w:val="0"/>
    <w:pPr>
      <w:widowControl/>
      <w:tabs>
        <w:tab w:val="left" w:pos="540"/>
        <w:tab w:val="left" w:pos="851"/>
        <w:tab w:val="left" w:pos="994"/>
        <w:tab w:val="left" w:pos="1260"/>
        <w:tab w:val="left" w:pos="3108"/>
        <w:tab w:val="left" w:pos="3150"/>
      </w:tabs>
      <w:overflowPunct w:val="0"/>
      <w:adjustRightInd w:val="0"/>
      <w:spacing w:line="340" w:lineRule="exact"/>
      <w:jc w:val="center"/>
      <w:textAlignment w:val="baseline"/>
    </w:pPr>
    <w:rPr>
      <w:rFonts w:ascii="Times New Roman" w:hAnsi="Times New Roman" w:eastAsia="宋体" w:cs="Times New Roman"/>
      <w:bCs/>
      <w:snapToGrid w:val="0"/>
      <w:color w:val="000000"/>
      <w:kern w:val="32"/>
      <w:szCs w:val="20"/>
      <w:lang w:val="zh-CN"/>
    </w:rPr>
  </w:style>
  <w:style w:type="character" w:customStyle="1" w:styleId="31">
    <w:name w:val="正文文本缩进 3 Char"/>
    <w:basedOn w:val="21"/>
    <w:link w:val="15"/>
    <w:qFormat/>
    <w:uiPriority w:val="0"/>
    <w:rPr>
      <w:rFonts w:ascii="Times New Roman" w:hAnsi="Times New Roman" w:eastAsia="宋体" w:cs="Times New Roman"/>
      <w:sz w:val="16"/>
      <w:szCs w:val="16"/>
    </w:rPr>
  </w:style>
  <w:style w:type="paragraph" w:customStyle="1" w:styleId="32">
    <w:name w:val="表头"/>
    <w:basedOn w:val="1"/>
    <w:link w:val="33"/>
    <w:qFormat/>
    <w:uiPriority w:val="0"/>
    <w:pPr>
      <w:adjustRightInd w:val="0"/>
      <w:snapToGrid w:val="0"/>
      <w:spacing w:beforeLines="25"/>
      <w:jc w:val="center"/>
      <w:textAlignment w:val="baseline"/>
    </w:pPr>
    <w:rPr>
      <w:rFonts w:ascii="Times New Roman" w:hAnsi="宋体" w:eastAsia="FangSong_GB2312" w:cs="Times New Roman"/>
      <w:b/>
      <w:kern w:val="0"/>
      <w:sz w:val="28"/>
      <w:szCs w:val="28"/>
    </w:rPr>
  </w:style>
  <w:style w:type="character" w:customStyle="1" w:styleId="33">
    <w:name w:val="表头 Char Char"/>
    <w:link w:val="32"/>
    <w:qFormat/>
    <w:uiPriority w:val="0"/>
    <w:rPr>
      <w:rFonts w:ascii="Times New Roman" w:hAnsi="宋体" w:eastAsia="FangSong_GB2312" w:cs="Times New Roman"/>
      <w:b/>
      <w:kern w:val="0"/>
      <w:sz w:val="28"/>
      <w:szCs w:val="28"/>
    </w:rPr>
  </w:style>
  <w:style w:type="character" w:customStyle="1" w:styleId="34">
    <w:name w:val="批注文字 Char"/>
    <w:basedOn w:val="21"/>
    <w:link w:val="7"/>
    <w:semiHidden/>
    <w:qFormat/>
    <w:uiPriority w:val="99"/>
  </w:style>
  <w:style w:type="character" w:customStyle="1" w:styleId="35">
    <w:name w:val="批注主题 Char"/>
    <w:basedOn w:val="34"/>
    <w:link w:val="18"/>
    <w:semiHidden/>
    <w:qFormat/>
    <w:uiPriority w:val="99"/>
    <w:rPr>
      <w:b/>
      <w:bCs/>
    </w:rPr>
  </w:style>
  <w:style w:type="character" w:customStyle="1" w:styleId="36">
    <w:name w:val="题注1 Char"/>
    <w:link w:val="37"/>
    <w:qFormat/>
    <w:uiPriority w:val="0"/>
    <w:rPr>
      <w:rFonts w:cs="宋体"/>
      <w:b/>
      <w:bCs/>
      <w:spacing w:val="10"/>
      <w:szCs w:val="24"/>
    </w:rPr>
  </w:style>
  <w:style w:type="paragraph" w:customStyle="1" w:styleId="37">
    <w:name w:val="题注1"/>
    <w:basedOn w:val="1"/>
    <w:link w:val="36"/>
    <w:qFormat/>
    <w:uiPriority w:val="0"/>
    <w:pPr>
      <w:spacing w:beforeLines="20" w:afterLines="20"/>
      <w:jc w:val="center"/>
    </w:pPr>
    <w:rPr>
      <w:rFonts w:cs="宋体"/>
      <w:b/>
      <w:bCs/>
      <w:spacing w:val="10"/>
      <w:szCs w:val="24"/>
    </w:rPr>
  </w:style>
  <w:style w:type="paragraph" w:customStyle="1" w:styleId="38">
    <w:name w:val="赵"/>
    <w:basedOn w:val="1"/>
    <w:link w:val="39"/>
    <w:qFormat/>
    <w:uiPriority w:val="0"/>
    <w:pPr>
      <w:spacing w:line="360" w:lineRule="auto"/>
      <w:ind w:firstLine="200" w:firstLineChars="200"/>
    </w:pPr>
    <w:rPr>
      <w:rFonts w:ascii="Times New Roman" w:hAnsi="Times New Roman" w:eastAsia="宋体" w:cs="Times New Roman"/>
      <w:sz w:val="24"/>
      <w:szCs w:val="30"/>
    </w:rPr>
  </w:style>
  <w:style w:type="character" w:customStyle="1" w:styleId="39">
    <w:name w:val="赵 Char"/>
    <w:basedOn w:val="21"/>
    <w:link w:val="38"/>
    <w:qFormat/>
    <w:uiPriority w:val="0"/>
    <w:rPr>
      <w:rFonts w:ascii="Times New Roman" w:hAnsi="Times New Roman" w:eastAsia="宋体" w:cs="Times New Roman"/>
      <w:sz w:val="24"/>
      <w:szCs w:val="30"/>
    </w:rPr>
  </w:style>
  <w:style w:type="paragraph" w:customStyle="1" w:styleId="40">
    <w:name w:val="【表头】"/>
    <w:basedOn w:val="1"/>
    <w:link w:val="41"/>
    <w:qFormat/>
    <w:uiPriority w:val="0"/>
    <w:pPr>
      <w:jc w:val="center"/>
    </w:pPr>
    <w:rPr>
      <w:rFonts w:ascii="Times New Roman" w:hAnsi="Times New Roman" w:eastAsia="宋体" w:cs="Times New Roman"/>
      <w:b/>
      <w:szCs w:val="24"/>
    </w:rPr>
  </w:style>
  <w:style w:type="character" w:customStyle="1" w:styleId="41">
    <w:name w:val="【表头】 Char"/>
    <w:link w:val="40"/>
    <w:qFormat/>
    <w:uiPriority w:val="0"/>
    <w:rPr>
      <w:rFonts w:ascii="Times New Roman" w:hAnsi="Times New Roman" w:eastAsia="宋体" w:cs="Times New Roman"/>
      <w:b/>
      <w:szCs w:val="24"/>
    </w:rPr>
  </w:style>
  <w:style w:type="character" w:customStyle="1" w:styleId="42">
    <w:name w:val="表体 Char Char"/>
    <w:link w:val="30"/>
    <w:qFormat/>
    <w:locked/>
    <w:uiPriority w:val="0"/>
    <w:rPr>
      <w:rFonts w:ascii="Times New Roman" w:hAnsi="Times New Roman" w:eastAsia="宋体" w:cs="Times New Roman"/>
      <w:bCs/>
      <w:snapToGrid w:val="0"/>
      <w:color w:val="000000"/>
      <w:kern w:val="32"/>
      <w:szCs w:val="20"/>
      <w:lang w:val="zh-CN"/>
    </w:rPr>
  </w:style>
  <w:style w:type="character" w:customStyle="1" w:styleId="43">
    <w:name w:val="正文文本 Char"/>
    <w:basedOn w:val="21"/>
    <w:link w:val="9"/>
    <w:semiHidden/>
    <w:qFormat/>
    <w:uiPriority w:val="99"/>
  </w:style>
  <w:style w:type="character" w:customStyle="1" w:styleId="44">
    <w:name w:val="标题 2 Char"/>
    <w:basedOn w:val="21"/>
    <w:link w:val="2"/>
    <w:qFormat/>
    <w:uiPriority w:val="0"/>
    <w:rPr>
      <w:rFonts w:ascii="Times New Roman" w:hAnsi="Times New Roman" w:eastAsia="黑体" w:cs="Times New Roman"/>
      <w:color w:val="000000" w:themeColor="text1"/>
      <w:sz w:val="30"/>
      <w:szCs w:val="24"/>
    </w:rPr>
  </w:style>
  <w:style w:type="character" w:customStyle="1" w:styleId="45">
    <w:name w:val="表头 Char1"/>
    <w:basedOn w:val="21"/>
    <w:qFormat/>
    <w:uiPriority w:val="0"/>
    <w:rPr>
      <w:rFonts w:ascii="Times New Roman" w:hAnsi="Times New Roman" w:eastAsia="宋体" w:cs="Times New Roman"/>
      <w:b/>
      <w:bCs/>
      <w:kern w:val="0"/>
      <w:szCs w:val="28"/>
    </w:rPr>
  </w:style>
  <w:style w:type="character" w:customStyle="1" w:styleId="46">
    <w:name w:val="标题 3 Char"/>
    <w:basedOn w:val="21"/>
    <w:link w:val="3"/>
    <w:semiHidden/>
    <w:qFormat/>
    <w:uiPriority w:val="9"/>
    <w:rPr>
      <w:b/>
      <w:bCs/>
      <w:sz w:val="32"/>
      <w:szCs w:val="32"/>
    </w:rPr>
  </w:style>
  <w:style w:type="table" w:customStyle="1" w:styleId="47">
    <w:name w:val="Table Normal"/>
    <w:semiHidden/>
    <w:unhideWhenUsed/>
    <w:qFormat/>
    <w:uiPriority w:val="2"/>
    <w:pPr>
      <w:widowControl w:val="0"/>
    </w:pPr>
    <w:rPr>
      <w:kern w:val="0"/>
      <w:sz w:val="22"/>
      <w:szCs w:val="20"/>
      <w:lang w:eastAsia="en-US"/>
    </w:rPr>
    <w:tblPr>
      <w:tblCellMar>
        <w:top w:w="0" w:type="dxa"/>
        <w:left w:w="0" w:type="dxa"/>
        <w:bottom w:w="0" w:type="dxa"/>
        <w:right w:w="0" w:type="dxa"/>
      </w:tblCellMar>
    </w:tblPr>
  </w:style>
  <w:style w:type="character" w:customStyle="1" w:styleId="48">
    <w:name w:val="标题 8 Char"/>
    <w:basedOn w:val="21"/>
    <w:link w:val="4"/>
    <w:qFormat/>
    <w:uiPriority w:val="99"/>
    <w:rPr>
      <w:rFonts w:asciiTheme="majorHAnsi" w:hAnsiTheme="majorHAnsi" w:eastAsiaTheme="majorEastAsia" w:cstheme="majorBidi"/>
      <w:sz w:val="24"/>
      <w:szCs w:val="24"/>
    </w:rPr>
  </w:style>
  <w:style w:type="paragraph" w:customStyle="1" w:styleId="49">
    <w:name w:val="表格正文"/>
    <w:basedOn w:val="1"/>
    <w:qFormat/>
    <w:uiPriority w:val="0"/>
    <w:pPr>
      <w:adjustRightInd w:val="0"/>
      <w:spacing w:line="0" w:lineRule="atLeast"/>
      <w:textAlignment w:val="baseline"/>
    </w:pPr>
    <w:rPr>
      <w:rFonts w:ascii="Times New Roman" w:hAnsi="Times New Roman" w:eastAsia="宋体" w:cs="Times New Roman"/>
      <w:szCs w:val="20"/>
    </w:rPr>
  </w:style>
  <w:style w:type="character" w:customStyle="1" w:styleId="50">
    <w:name w:val="正文缩进 Char1"/>
    <w:link w:val="5"/>
    <w:qFormat/>
    <w:uiPriority w:val="99"/>
    <w:rPr>
      <w:rFonts w:ascii="Calibri" w:hAnsi="Calibri" w:eastAsia="宋体" w:cs="Times New Roman"/>
      <w:sz w:val="28"/>
      <w:szCs w:val="20"/>
    </w:rPr>
  </w:style>
  <w:style w:type="paragraph" w:customStyle="1" w:styleId="51">
    <w:name w:val="样式1"/>
    <w:basedOn w:val="1"/>
    <w:link w:val="52"/>
    <w:qFormat/>
    <w:uiPriority w:val="0"/>
    <w:pPr>
      <w:spacing w:line="360" w:lineRule="auto"/>
      <w:ind w:firstLine="510"/>
    </w:pPr>
    <w:rPr>
      <w:rFonts w:ascii="Times New Roman" w:hAnsi="Times New Roman" w:eastAsia="宋体" w:cs="Times New Roman"/>
      <w:sz w:val="24"/>
      <w:szCs w:val="20"/>
    </w:rPr>
  </w:style>
  <w:style w:type="character" w:customStyle="1" w:styleId="52">
    <w:name w:val="样式1 Char"/>
    <w:link w:val="51"/>
    <w:qFormat/>
    <w:locked/>
    <w:uiPriority w:val="0"/>
    <w:rPr>
      <w:rFonts w:ascii="Times New Roman" w:hAnsi="Times New Roman" w:eastAsia="宋体" w:cs="Times New Roman"/>
      <w:sz w:val="24"/>
      <w:szCs w:val="20"/>
    </w:rPr>
  </w:style>
  <w:style w:type="paragraph" w:customStyle="1" w:styleId="53">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character" w:customStyle="1" w:styleId="54">
    <w:name w:val="纯文本 Char"/>
    <w:basedOn w:val="21"/>
    <w:link w:val="11"/>
    <w:qFormat/>
    <w:uiPriority w:val="5"/>
    <w:rPr>
      <w:rFonts w:ascii="宋体" w:hAnsi="Courier New" w:eastAsia="宋体" w:cs="Times New Roman"/>
      <w:szCs w:val="20"/>
    </w:rPr>
  </w:style>
  <w:style w:type="character" w:customStyle="1" w:styleId="55">
    <w:name w:val="15"/>
    <w:qFormat/>
    <w:uiPriority w:val="0"/>
    <w:rPr>
      <w:rFonts w:hint="default" w:ascii="Calibri" w:hAnsi="Calibri"/>
      <w:sz w:val="21"/>
      <w:szCs w:val="21"/>
    </w:rPr>
  </w:style>
  <w:style w:type="character" w:customStyle="1" w:styleId="56">
    <w:name w:val="称呼 Char"/>
    <w:basedOn w:val="21"/>
    <w:link w:val="8"/>
    <w:semiHidden/>
    <w:qFormat/>
    <w:uiPriority w:val="99"/>
  </w:style>
  <w:style w:type="paragraph" w:customStyle="1" w:styleId="57">
    <w:name w:val="Default"/>
    <w:qFormat/>
    <w:uiPriority w:val="0"/>
    <w:pPr>
      <w:widowControl w:val="0"/>
      <w:autoSpaceDE w:val="0"/>
      <w:autoSpaceDN w:val="0"/>
      <w:adjustRightInd w:val="0"/>
    </w:pPr>
    <w:rPr>
      <w:rFonts w:ascii="Arial Unicode MS" w:eastAsia="Arial Unicode MS" w:cs="Arial Unicode MS" w:hAnsiTheme="minorHAnsi"/>
      <w:color w:val="000000"/>
      <w:kern w:val="0"/>
      <w:sz w:val="24"/>
      <w:szCs w:val="24"/>
      <w:lang w:val="en-US" w:eastAsia="zh-CN" w:bidi="ar-SA"/>
    </w:rPr>
  </w:style>
  <w:style w:type="paragraph" w:customStyle="1" w:styleId="58">
    <w:name w:val="正文1"/>
    <w:basedOn w:val="1"/>
    <w:qFormat/>
    <w:uiPriority w:val="0"/>
    <w:pPr>
      <w:widowControl/>
    </w:pPr>
    <w:rPr>
      <w:rFonts w:ascii="Calibri" w:hAnsi="Calibri" w:eastAsia="宋体" w:cs="宋体"/>
    </w:rPr>
  </w:style>
  <w:style w:type="paragraph" w:customStyle="1" w:styleId="59">
    <w:name w:val="表格内容"/>
    <w:basedOn w:val="5"/>
    <w:qFormat/>
    <w:uiPriority w:val="0"/>
    <w:pPr>
      <w:widowControl w:val="0"/>
      <w:ind w:firstLine="0" w:firstLineChars="0"/>
      <w:jc w:val="center"/>
    </w:pPr>
    <w:rPr>
      <w:rFonts w:ascii="Times New Roman" w:hAnsi="Times New Roman"/>
      <w:sz w:val="21"/>
      <w:szCs w:val="18"/>
    </w:rPr>
  </w:style>
  <w:style w:type="character" w:customStyle="1" w:styleId="60">
    <w:name w:val="表格文字 Char"/>
    <w:basedOn w:val="21"/>
    <w:link w:val="61"/>
    <w:qFormat/>
    <w:uiPriority w:val="0"/>
    <w:rPr>
      <w:rFonts w:eastAsia="宋体"/>
      <w:kern w:val="24"/>
      <w:sz w:val="24"/>
    </w:rPr>
  </w:style>
  <w:style w:type="paragraph" w:customStyle="1" w:styleId="61">
    <w:name w:val="表格文字"/>
    <w:basedOn w:val="1"/>
    <w:link w:val="60"/>
    <w:qFormat/>
    <w:uiPriority w:val="0"/>
    <w:pPr>
      <w:adjustRightInd w:val="0"/>
      <w:spacing w:line="400" w:lineRule="atLeast"/>
      <w:jc w:val="center"/>
    </w:pPr>
    <w:rPr>
      <w:rFonts w:eastAsia="宋体"/>
      <w:kern w:val="24"/>
      <w:sz w:val="24"/>
    </w:rPr>
  </w:style>
  <w:style w:type="character" w:customStyle="1" w:styleId="62">
    <w:name w:val="表格 Char Char"/>
    <w:basedOn w:val="21"/>
    <w:qFormat/>
    <w:uiPriority w:val="0"/>
    <w:rPr>
      <w:sz w:val="21"/>
      <w:szCs w:val="21"/>
      <w:lang w:bidi="ar-SA"/>
    </w:rPr>
  </w:style>
  <w:style w:type="character" w:customStyle="1" w:styleId="63">
    <w:name w:val="cucd-0 Char Char"/>
    <w:link w:val="64"/>
    <w:qFormat/>
    <w:uiPriority w:val="0"/>
    <w:rPr>
      <w:sz w:val="24"/>
      <w:szCs w:val="24"/>
    </w:rPr>
  </w:style>
  <w:style w:type="paragraph" w:customStyle="1" w:styleId="64">
    <w:name w:val="cucd-0"/>
    <w:link w:val="63"/>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65">
    <w:name w:val="正文文本缩进 Char"/>
    <w:basedOn w:val="21"/>
    <w:link w:val="10"/>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29.wmf"/><Relationship Id="rId43" Type="http://schemas.openxmlformats.org/officeDocument/2006/relationships/oleObject" Target="embeddings/oleObject11.bin"/><Relationship Id="rId42" Type="http://schemas.openxmlformats.org/officeDocument/2006/relationships/image" Target="media/image28.wmf"/><Relationship Id="rId41" Type="http://schemas.openxmlformats.org/officeDocument/2006/relationships/oleObject" Target="embeddings/oleObject10.bin"/><Relationship Id="rId40" Type="http://schemas.openxmlformats.org/officeDocument/2006/relationships/image" Target="media/image27.wmf"/><Relationship Id="rId4" Type="http://schemas.openxmlformats.org/officeDocument/2006/relationships/theme" Target="theme/theme1.xml"/><Relationship Id="rId39" Type="http://schemas.openxmlformats.org/officeDocument/2006/relationships/oleObject" Target="embeddings/oleObject9.bin"/><Relationship Id="rId38" Type="http://schemas.openxmlformats.org/officeDocument/2006/relationships/image" Target="media/image26.emf"/><Relationship Id="rId37" Type="http://schemas.openxmlformats.org/officeDocument/2006/relationships/oleObject" Target="embeddings/oleObject8.bin"/><Relationship Id="rId36" Type="http://schemas.openxmlformats.org/officeDocument/2006/relationships/image" Target="media/image25.emf"/><Relationship Id="rId35" Type="http://schemas.openxmlformats.org/officeDocument/2006/relationships/oleObject" Target="embeddings/oleObject7.bin"/><Relationship Id="rId34" Type="http://schemas.openxmlformats.org/officeDocument/2006/relationships/image" Target="media/image24.emf"/><Relationship Id="rId33" Type="http://schemas.openxmlformats.org/officeDocument/2006/relationships/oleObject" Target="embeddings/oleObject6.bin"/><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FC1BA-DA7C-4F33-9ADB-81A87407AE6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112</Pages>
  <Words>12792</Words>
  <Characters>72920</Characters>
  <Lines>607</Lines>
  <Paragraphs>171</Paragraphs>
  <TotalTime>14087</TotalTime>
  <ScaleCrop>false</ScaleCrop>
  <LinksUpToDate>false</LinksUpToDate>
  <CharactersWithSpaces>85541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2021-01-08T02:43:00Z</dcterms:created>
  <dc:creator>微软用户</dc:creator>
  <cp:lastModifiedBy>曹恩耒</cp:lastModifiedBy>
  <cp:lastPrinted>2021-08-10T03:45:00Z</cp:lastPrinted>
  <dcterms:modified xsi:type="dcterms:W3CDTF">2021-12-15T08:04:25Z</dcterms:modified>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195B6E869E474210B563113A3162F299</vt:lpwstr>
  </property>
</Properties>
</file>