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pacing w:before="0" w:beforeAutospacing="0" w:after="0" w:afterAutospacing="0"/>
        <w:ind w:firstLine="0" w:firstLineChars="0"/>
        <w:rPr>
          <w:rFonts w:ascii="Times New Roman" w:hAnsi="宋体" w:eastAsia="宋体" w:cs="Times New Roman"/>
          <w:color w:val="auto"/>
        </w:rPr>
      </w:pPr>
      <w:r>
        <w:rPr>
          <w:rFonts w:hint="eastAsia" w:ascii="Times New Roman" w:hAnsi="宋体" w:eastAsia="宋体" w:cs="Times New Roman"/>
          <w:color w:val="auto"/>
          <w:lang w:eastAsia="zh-CN"/>
        </w:rPr>
        <w:t>云南省</w:t>
      </w:r>
      <w:r>
        <w:rPr>
          <w:rFonts w:ascii="Times New Roman" w:hAnsi="宋体" w:eastAsia="宋体" w:cs="Times New Roman"/>
          <w:color w:val="auto"/>
        </w:rPr>
        <w:t>政府一般债</w:t>
      </w:r>
      <w:r>
        <w:rPr>
          <w:rFonts w:hint="eastAsia" w:ascii="Times New Roman" w:hAnsi="宋体" w:eastAsia="宋体" w:cs="Times New Roman"/>
          <w:color w:val="auto"/>
        </w:rPr>
        <w:t>务</w:t>
      </w:r>
      <w:r>
        <w:rPr>
          <w:rFonts w:ascii="Times New Roman" w:hAnsi="宋体" w:eastAsia="宋体" w:cs="Times New Roman"/>
          <w:color w:val="auto"/>
        </w:rPr>
        <w:t>预算管理办法</w:t>
      </w:r>
    </w:p>
    <w:p>
      <w:pPr>
        <w:ind w:left="0" w:leftChars="0" w:firstLine="0" w:firstLineChars="0"/>
        <w:jc w:val="both"/>
        <w:rPr>
          <w:color w:val="auto"/>
        </w:rPr>
      </w:pPr>
      <w:bookmarkStart w:id="0" w:name="_GoBack"/>
      <w:bookmarkEnd w:id="0"/>
    </w:p>
    <w:p>
      <w:pPr>
        <w:pStyle w:val="3"/>
        <w:numPr>
          <w:ilvl w:val="0"/>
          <w:numId w:val="1"/>
        </w:numPr>
        <w:spacing w:beforeLines="0" w:afterLines="0"/>
        <w:ind w:left="0" w:firstLine="0"/>
        <w:rPr>
          <w:rFonts w:ascii="Times New Roman" w:hAnsi="Times New Roman" w:cs="Times New Roman"/>
          <w:b w:val="0"/>
          <w:color w:val="auto"/>
          <w:szCs w:val="30"/>
        </w:rPr>
      </w:pPr>
      <w:r>
        <w:rPr>
          <w:rFonts w:ascii="Times New Roman" w:hAnsi="Times New Roman" w:cs="Times New Roman"/>
          <w:b w:val="0"/>
          <w:color w:val="auto"/>
          <w:szCs w:val="30"/>
        </w:rPr>
        <w:t>总则</w:t>
      </w:r>
    </w:p>
    <w:p>
      <w:pPr>
        <w:pStyle w:val="4"/>
        <w:snapToGrid/>
        <w:spacing w:line="600" w:lineRule="exact"/>
        <w:rPr>
          <w:rFonts w:ascii="Times New Roman" w:hAnsi="Times New Roman" w:cs="Times New Roman"/>
          <w:bCs w:val="0"/>
          <w:color w:val="auto"/>
          <w:szCs w:val="21"/>
        </w:rPr>
      </w:pPr>
    </w:p>
    <w:p>
      <w:pPr>
        <w:pStyle w:val="4"/>
        <w:numPr>
          <w:ilvl w:val="0"/>
          <w:numId w:val="2"/>
        </w:numPr>
        <w:snapToGrid/>
        <w:spacing w:line="600" w:lineRule="exact"/>
        <w:ind w:left="0" w:firstLine="600" w:firstLineChars="200"/>
        <w:rPr>
          <w:rFonts w:ascii="仿宋_GB2312" w:hAnsi="Times New Roman" w:cs="Times New Roman"/>
          <w:color w:val="auto"/>
        </w:rPr>
      </w:pPr>
      <w:r>
        <w:rPr>
          <w:rFonts w:hint="eastAsia" w:ascii="仿宋_GB2312" w:hAnsi="Times New Roman" w:cs="Times New Roman"/>
          <w:color w:val="auto"/>
        </w:rPr>
        <w:t>为规范</w:t>
      </w:r>
      <w:r>
        <w:rPr>
          <w:rFonts w:hint="eastAsia" w:ascii="仿宋_GB2312" w:hAnsi="Times New Roman" w:cs="Times New Roman"/>
          <w:color w:val="auto"/>
          <w:lang w:eastAsia="zh-CN"/>
        </w:rPr>
        <w:t>我省</w:t>
      </w:r>
      <w:r>
        <w:rPr>
          <w:rFonts w:hint="eastAsia" w:ascii="仿宋_GB2312" w:hAnsi="Times New Roman" w:cs="Times New Roman"/>
          <w:color w:val="auto"/>
        </w:rPr>
        <w:t>政府一般债务预算管理，根据《中华人民共和国预算法》、《国务院关于加强地方政府性债务管理的意见》（国发〔2014〕43</w:t>
      </w:r>
      <w:r>
        <w:rPr>
          <w:rFonts w:hint="eastAsia" w:ascii="仿宋_GB2312" w:hAnsi="仿宋_GB2312" w:eastAsia="仿宋_GB2312" w:cs="仿宋_GB2312"/>
          <w:color w:val="auto"/>
          <w:sz w:val="30"/>
          <w:szCs w:val="30"/>
          <w:highlight w:val="none"/>
        </w:rPr>
        <w:t>号）</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《财政部关于印发〈2015年地方政府一般债券预算管理办法〉的通知》（财预〔2015〕47号）、</w:t>
      </w:r>
      <w:r>
        <w:rPr>
          <w:rFonts w:hint="eastAsia" w:ascii="仿宋_GB2312" w:hAnsi="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财政部关于印发</w:t>
      </w:r>
      <w:r>
        <w:rPr>
          <w:rFonts w:hint="eastAsia" w:ascii="仿宋_GB2312" w:hAnsi="仿宋_GB2312" w:cs="仿宋_GB2312"/>
          <w:color w:val="auto"/>
          <w:sz w:val="30"/>
          <w:szCs w:val="30"/>
          <w:highlight w:val="none"/>
          <w:lang w:val="en-US" w:eastAsia="zh-CN"/>
        </w:rPr>
        <w:t>&lt;</w:t>
      </w:r>
      <w:r>
        <w:rPr>
          <w:rFonts w:hint="eastAsia" w:ascii="仿宋_GB2312" w:hAnsi="仿宋_GB2312" w:eastAsia="仿宋_GB2312" w:cs="仿宋_GB2312"/>
          <w:color w:val="auto"/>
          <w:sz w:val="30"/>
          <w:szCs w:val="30"/>
          <w:highlight w:val="none"/>
        </w:rPr>
        <w:t>地方政府一般债务预算管理办法</w:t>
      </w:r>
      <w:r>
        <w:rPr>
          <w:rFonts w:hint="eastAsia" w:ascii="仿宋_GB2312" w:hAnsi="仿宋_GB2312" w:cs="仿宋_GB2312"/>
          <w:color w:val="auto"/>
          <w:sz w:val="30"/>
          <w:szCs w:val="30"/>
          <w:highlight w:val="none"/>
          <w:lang w:val="en-US" w:eastAsia="zh-CN"/>
        </w:rPr>
        <w:t>&gt;</w:t>
      </w:r>
      <w:r>
        <w:rPr>
          <w:rFonts w:hint="eastAsia" w:ascii="仿宋_GB2312" w:hAnsi="仿宋_GB2312" w:eastAsia="仿宋_GB2312" w:cs="仿宋_GB2312"/>
          <w:color w:val="auto"/>
          <w:sz w:val="30"/>
          <w:szCs w:val="30"/>
          <w:highlight w:val="none"/>
        </w:rPr>
        <w:t>的通知</w:t>
      </w:r>
      <w:r>
        <w:rPr>
          <w:rFonts w:hint="eastAsia" w:ascii="仿宋_GB2312" w:hAnsi="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（财预〔2016〕</w:t>
      </w:r>
      <w:r>
        <w:rPr>
          <w:rFonts w:hint="eastAsia" w:ascii="仿宋" w:hAnsi="仿宋" w:eastAsia="仿宋" w:cs="仿宋"/>
          <w:bCs/>
          <w:color w:val="auto"/>
          <w:sz w:val="30"/>
          <w:szCs w:val="30"/>
          <w:highlight w:val="none"/>
        </w:rPr>
        <w:t>154号）</w:t>
      </w:r>
      <w:r>
        <w:rPr>
          <w:rFonts w:hint="eastAsia" w:ascii="仿宋_GB2312" w:hAnsi="Times New Roman" w:cs="Times New Roman"/>
          <w:color w:val="auto"/>
        </w:rPr>
        <w:t>等有关规定，制定本办法。</w:t>
      </w:r>
    </w:p>
    <w:p>
      <w:pPr>
        <w:pStyle w:val="4"/>
        <w:numPr>
          <w:ilvl w:val="0"/>
          <w:numId w:val="2"/>
        </w:numPr>
        <w:snapToGrid/>
        <w:spacing w:line="600" w:lineRule="exact"/>
        <w:ind w:left="0" w:firstLine="600" w:firstLineChars="200"/>
        <w:rPr>
          <w:rFonts w:ascii="仿宋_GB2312" w:hAnsi="Times New Roman" w:cs="Times New Roman"/>
          <w:color w:val="auto"/>
        </w:rPr>
      </w:pPr>
      <w:r>
        <w:rPr>
          <w:rFonts w:hint="eastAsia" w:ascii="仿宋_GB2312" w:hAnsi="Times New Roman" w:cs="Times New Roman"/>
          <w:color w:val="auto"/>
        </w:rPr>
        <w:t>本办法所称政府一般债务（以下简称一般债务），包括政府一般债券（以下简称一般债券）、政府负有偿还责任的国际金融组织和外国政府贷款转贷债务（以下简称外债转贷）、清理甄别认定的截至2014年12月31日非政府债券形式的存量一般债务（以下简称非债券形式一般债务）。</w:t>
      </w:r>
    </w:p>
    <w:p>
      <w:pPr>
        <w:pStyle w:val="4"/>
        <w:numPr>
          <w:ilvl w:val="0"/>
          <w:numId w:val="2"/>
        </w:numPr>
        <w:snapToGrid/>
        <w:spacing w:line="600" w:lineRule="exact"/>
        <w:ind w:left="0" w:firstLine="600" w:firstLineChars="200"/>
        <w:rPr>
          <w:rFonts w:hint="eastAsia" w:ascii="仿宋_GB2312" w:hAnsi="Times New Roman" w:cs="Times New Roman"/>
          <w:color w:val="auto"/>
        </w:rPr>
      </w:pPr>
      <w:r>
        <w:rPr>
          <w:rFonts w:hint="eastAsia" w:ascii="仿宋_GB2312" w:hAnsi="Times New Roman" w:cs="Times New Roman"/>
          <w:color w:val="auto"/>
        </w:rPr>
        <w:t>一般债务</w:t>
      </w:r>
      <w:r>
        <w:rPr>
          <w:rFonts w:hint="eastAsia" w:ascii="仿宋_GB2312" w:hAnsi="Times New Roman" w:cs="Times New Roman"/>
          <w:color w:val="auto"/>
          <w:szCs w:val="30"/>
        </w:rPr>
        <w:t>收入、安排的支出</w:t>
      </w:r>
      <w:r>
        <w:rPr>
          <w:rFonts w:hint="eastAsia" w:ascii="仿宋_GB2312" w:hAnsi="Times New Roman" w:cs="Times New Roman"/>
          <w:color w:val="auto"/>
        </w:rPr>
        <w:t>、还本付息、发行费用</w:t>
      </w:r>
      <w:r>
        <w:rPr>
          <w:rFonts w:hint="eastAsia" w:ascii="仿宋_GB2312" w:hAnsi="Times New Roman" w:cs="Times New Roman"/>
          <w:color w:val="auto"/>
          <w:szCs w:val="30"/>
        </w:rPr>
        <w:t>纳入一般公共预算管理</w:t>
      </w:r>
      <w:r>
        <w:rPr>
          <w:rFonts w:hint="eastAsia" w:ascii="仿宋_GB2312" w:hAnsi="Times New Roman" w:cs="Times New Roman"/>
          <w:color w:val="auto"/>
        </w:rPr>
        <w:t>。</w:t>
      </w:r>
    </w:p>
    <w:p>
      <w:pPr>
        <w:pStyle w:val="4"/>
        <w:numPr>
          <w:ilvl w:val="0"/>
          <w:numId w:val="2"/>
        </w:numPr>
        <w:snapToGrid/>
        <w:spacing w:line="600" w:lineRule="exact"/>
        <w:ind w:left="0" w:firstLine="600" w:firstLineChars="200"/>
        <w:rPr>
          <w:rFonts w:hint="eastAsia" w:ascii="仿宋_GB2312" w:hAnsi="Times New Roman" w:cs="Times New Roman"/>
          <w:color w:val="auto"/>
          <w:u w:val="none" w:color="auto"/>
        </w:rPr>
      </w:pPr>
      <w:r>
        <w:rPr>
          <w:rFonts w:hint="eastAsia" w:ascii="仿宋_GB2312" w:hAnsi="Times New Roman" w:cs="Times New Roman"/>
          <w:color w:val="auto"/>
          <w:u w:val="none" w:color="auto"/>
          <w:lang w:eastAsia="zh-CN"/>
        </w:rPr>
        <w:t>一般</w:t>
      </w:r>
      <w:r>
        <w:rPr>
          <w:rFonts w:hint="eastAsia" w:ascii="仿宋_GB2312" w:hAnsi="Times New Roman" w:cs="Times New Roman"/>
          <w:color w:val="auto"/>
          <w:u w:val="none" w:color="auto"/>
        </w:rPr>
        <w:t>债务预算管理应当遵循“依法合规、真实完整，严格监督、公开透明，限定用途、强化绩效”的原则</w:t>
      </w:r>
      <w:r>
        <w:rPr>
          <w:rFonts w:hint="eastAsia" w:ascii="仿宋_GB2312" w:hAnsi="Times New Roman" w:cs="Times New Roman"/>
          <w:color w:val="auto"/>
          <w:u w:val="none" w:color="auto"/>
          <w:lang w:eastAsia="zh-CN"/>
        </w:rPr>
        <w:t>。</w:t>
      </w:r>
    </w:p>
    <w:p>
      <w:pPr>
        <w:pStyle w:val="4"/>
        <w:numPr>
          <w:ilvl w:val="0"/>
          <w:numId w:val="2"/>
        </w:numPr>
        <w:snapToGrid/>
        <w:spacing w:line="600" w:lineRule="exact"/>
        <w:ind w:left="0" w:firstLine="600" w:firstLineChars="200"/>
        <w:rPr>
          <w:bCs w:val="0"/>
          <w:color w:val="auto"/>
        </w:rPr>
      </w:pPr>
      <w:r>
        <w:rPr>
          <w:rFonts w:hint="eastAsia" w:ascii="仿宋_GB2312" w:hAnsi="Times New Roman" w:cs="Times New Roman"/>
          <w:bCs w:val="0"/>
          <w:color w:val="auto"/>
          <w:szCs w:val="30"/>
        </w:rPr>
        <w:t>除外债转贷外，一般债务收入通过发行一般债券方式筹措。</w:t>
      </w:r>
    </w:p>
    <w:p>
      <w:pPr>
        <w:pStyle w:val="4"/>
        <w:snapToGrid/>
        <w:spacing w:line="600" w:lineRule="exact"/>
        <w:ind w:firstLine="600" w:firstLineChars="200"/>
        <w:rPr>
          <w:rFonts w:ascii="仿宋_GB2312" w:hAnsi="Times New Roman" w:cs="Times New Roman"/>
          <w:color w:val="auto"/>
          <w:szCs w:val="30"/>
        </w:rPr>
      </w:pPr>
      <w:r>
        <w:rPr>
          <w:rFonts w:hint="eastAsia" w:ascii="仿宋_GB2312" w:hAnsi="Times New Roman" w:cs="Times New Roman"/>
          <w:bCs w:val="0"/>
          <w:color w:val="auto"/>
          <w:szCs w:val="30"/>
        </w:rPr>
        <w:t>省政府</w:t>
      </w:r>
      <w:r>
        <w:rPr>
          <w:rFonts w:hint="eastAsia" w:ascii="仿宋_GB2312" w:hAnsi="Times New Roman" w:cs="Times New Roman"/>
          <w:color w:val="auto"/>
          <w:szCs w:val="30"/>
        </w:rPr>
        <w:t>为一般债券的发行主体，具体发行工作由省</w:t>
      </w:r>
      <w:r>
        <w:rPr>
          <w:rFonts w:hint="eastAsia" w:ascii="仿宋_GB2312" w:hAnsi="Times New Roman" w:cs="Times New Roman"/>
          <w:color w:val="auto"/>
          <w:szCs w:val="30"/>
          <w:lang w:eastAsia="zh-CN"/>
        </w:rPr>
        <w:t>财政厅</w:t>
      </w:r>
      <w:r>
        <w:rPr>
          <w:rFonts w:hint="eastAsia" w:ascii="仿宋_GB2312" w:hAnsi="Times New Roman" w:cs="Times New Roman"/>
          <w:color w:val="auto"/>
          <w:szCs w:val="30"/>
        </w:rPr>
        <w:t>负责。</w:t>
      </w:r>
      <w:r>
        <w:rPr>
          <w:rFonts w:hint="eastAsia" w:ascii="仿宋_GB2312" w:hAnsi="Times New Roman" w:cs="Times New Roman"/>
          <w:color w:val="auto"/>
          <w:szCs w:val="30"/>
          <w:lang w:eastAsia="zh-CN"/>
        </w:rPr>
        <w:t>各州（市）</w:t>
      </w:r>
      <w:r>
        <w:rPr>
          <w:rFonts w:hint="eastAsia" w:ascii="仿宋_GB2312" w:hAnsi="Times New Roman" w:cs="Times New Roman"/>
          <w:color w:val="auto"/>
          <w:szCs w:val="30"/>
        </w:rPr>
        <w:t>县</w:t>
      </w:r>
      <w:r>
        <w:rPr>
          <w:rFonts w:hint="eastAsia" w:ascii="仿宋_GB2312" w:hAnsi="Times New Roman" w:cs="Times New Roman"/>
          <w:bCs w:val="0"/>
          <w:color w:val="auto"/>
          <w:szCs w:val="30"/>
        </w:rPr>
        <w:t>政府确需发行一般债券的，</w:t>
      </w:r>
      <w:r>
        <w:rPr>
          <w:rFonts w:hint="eastAsia" w:ascii="仿宋_GB2312" w:hAnsi="Times New Roman" w:cs="Times New Roman"/>
          <w:color w:val="auto"/>
          <w:szCs w:val="30"/>
        </w:rPr>
        <w:t>应当纳入</w:t>
      </w:r>
      <w:r>
        <w:rPr>
          <w:rFonts w:hint="eastAsia" w:ascii="仿宋_GB2312" w:hAnsi="Times New Roman" w:cs="Times New Roman"/>
          <w:color w:val="auto"/>
          <w:szCs w:val="30"/>
          <w:lang w:eastAsia="zh-CN"/>
        </w:rPr>
        <w:t>全</w:t>
      </w:r>
      <w:r>
        <w:rPr>
          <w:rFonts w:hint="eastAsia" w:ascii="仿宋_GB2312" w:hAnsi="Times New Roman" w:cs="Times New Roman"/>
          <w:color w:val="auto"/>
          <w:szCs w:val="30"/>
        </w:rPr>
        <w:t>省一般债务预算管理，</w:t>
      </w:r>
      <w:r>
        <w:rPr>
          <w:rFonts w:hint="eastAsia" w:ascii="仿宋_GB2312" w:hAnsi="Times New Roman" w:cs="Times New Roman"/>
          <w:bCs w:val="0"/>
          <w:color w:val="auto"/>
          <w:szCs w:val="30"/>
        </w:rPr>
        <w:t>由省政府统一发行并</w:t>
      </w:r>
      <w:r>
        <w:rPr>
          <w:rFonts w:hint="eastAsia" w:ascii="仿宋_GB2312" w:hAnsi="Times New Roman" w:cs="Times New Roman"/>
          <w:bCs w:val="0"/>
          <w:color w:val="auto"/>
          <w:szCs w:val="30"/>
          <w:lang w:eastAsia="zh-CN"/>
        </w:rPr>
        <w:t>按财政管理方式</w:t>
      </w:r>
      <w:r>
        <w:rPr>
          <w:rFonts w:hint="eastAsia" w:ascii="仿宋_GB2312" w:hAnsi="Times New Roman" w:cs="Times New Roman"/>
          <w:bCs w:val="0"/>
          <w:color w:val="auto"/>
          <w:szCs w:val="30"/>
        </w:rPr>
        <w:t>转贷给</w:t>
      </w:r>
      <w:r>
        <w:rPr>
          <w:rFonts w:hint="eastAsia" w:ascii="仿宋_GB2312" w:hAnsi="Times New Roman" w:cs="Times New Roman"/>
          <w:color w:val="auto"/>
          <w:szCs w:val="30"/>
          <w:lang w:eastAsia="zh-CN"/>
        </w:rPr>
        <w:t>州（市）</w:t>
      </w:r>
      <w:r>
        <w:rPr>
          <w:rFonts w:hint="eastAsia" w:ascii="仿宋_GB2312" w:hAnsi="Times New Roman" w:cs="Times New Roman"/>
          <w:color w:val="auto"/>
          <w:szCs w:val="30"/>
        </w:rPr>
        <w:t>县</w:t>
      </w:r>
      <w:r>
        <w:rPr>
          <w:rFonts w:hint="eastAsia" w:ascii="仿宋_GB2312" w:hAnsi="Times New Roman" w:cs="Times New Roman"/>
          <w:bCs w:val="0"/>
          <w:color w:val="auto"/>
          <w:szCs w:val="30"/>
        </w:rPr>
        <w:t>级政府。</w:t>
      </w:r>
    </w:p>
    <w:p>
      <w:pPr>
        <w:pStyle w:val="4"/>
        <w:numPr>
          <w:ilvl w:val="0"/>
          <w:numId w:val="2"/>
        </w:numPr>
        <w:snapToGrid/>
        <w:spacing w:line="600" w:lineRule="exact"/>
        <w:ind w:left="0" w:firstLine="600" w:firstLineChars="200"/>
        <w:rPr>
          <w:rFonts w:ascii="仿宋_GB2312" w:hAnsi="Times New Roman" w:cs="Times New Roman"/>
          <w:bCs w:val="0"/>
          <w:color w:val="auto"/>
          <w:szCs w:val="30"/>
        </w:rPr>
      </w:pPr>
      <w:r>
        <w:rPr>
          <w:rFonts w:hint="eastAsia" w:ascii="仿宋_GB2312" w:hAnsi="Times New Roman" w:cs="Times New Roman"/>
          <w:bCs w:val="0"/>
          <w:color w:val="auto"/>
          <w:szCs w:val="30"/>
        </w:rPr>
        <w:t>一般债务收入应当用于公益性资本支出，不得用于经常性支出</w:t>
      </w:r>
      <w:r>
        <w:rPr>
          <w:rFonts w:hint="eastAsia" w:ascii="仿宋_GB2312" w:hAnsi="Times New Roman" w:cs="Times New Roman"/>
          <w:bCs w:val="0"/>
          <w:color w:val="auto"/>
          <w:szCs w:val="30"/>
          <w:lang w:eastAsia="zh-CN"/>
        </w:rPr>
        <w:t>和债务利息支出</w:t>
      </w:r>
      <w:r>
        <w:rPr>
          <w:rFonts w:hint="eastAsia" w:ascii="仿宋_GB2312" w:hAnsi="Times New Roman" w:cs="Times New Roman"/>
          <w:bCs w:val="0"/>
          <w:color w:val="auto"/>
          <w:szCs w:val="30"/>
        </w:rPr>
        <w:t>。</w:t>
      </w:r>
    </w:p>
    <w:p>
      <w:pPr>
        <w:pStyle w:val="4"/>
        <w:numPr>
          <w:ilvl w:val="0"/>
          <w:numId w:val="2"/>
        </w:numPr>
        <w:snapToGrid/>
        <w:spacing w:line="600" w:lineRule="exact"/>
        <w:ind w:left="0" w:firstLine="600" w:firstLineChars="200"/>
        <w:rPr>
          <w:rFonts w:ascii="仿宋_GB2312" w:hAnsi="Times New Roman" w:cs="Times New Roman"/>
          <w:bCs w:val="0"/>
          <w:color w:val="auto"/>
          <w:szCs w:val="30"/>
        </w:rPr>
      </w:pPr>
      <w:r>
        <w:rPr>
          <w:rFonts w:hint="eastAsia" w:ascii="仿宋_GB2312" w:hAnsi="Times New Roman" w:cs="Times New Roman"/>
          <w:bCs w:val="0"/>
          <w:color w:val="auto"/>
          <w:szCs w:val="30"/>
        </w:rPr>
        <w:t>一般债务应当有偿还计划和稳定的偿还资金来源。</w:t>
      </w:r>
    </w:p>
    <w:p>
      <w:pPr>
        <w:pStyle w:val="4"/>
        <w:snapToGrid/>
        <w:spacing w:line="600" w:lineRule="exact"/>
        <w:ind w:firstLine="600" w:firstLineChars="200"/>
        <w:rPr>
          <w:rFonts w:ascii="仿宋_GB2312" w:hAnsi="Times New Roman" w:cs="Times New Roman"/>
          <w:bCs w:val="0"/>
          <w:color w:val="auto"/>
          <w:szCs w:val="30"/>
        </w:rPr>
      </w:pPr>
      <w:r>
        <w:rPr>
          <w:rFonts w:hint="eastAsia" w:ascii="仿宋_GB2312" w:hAnsi="Times New Roman" w:cs="Times New Roman"/>
          <w:bCs w:val="0"/>
          <w:color w:val="auto"/>
          <w:szCs w:val="30"/>
        </w:rPr>
        <w:t>一般债务本金通过一般公共预算收入（包含调入预算稳定调节基金和其他预算资金）、发行一般债券等偿还。</w:t>
      </w:r>
    </w:p>
    <w:p>
      <w:pPr>
        <w:pStyle w:val="4"/>
        <w:snapToGrid/>
        <w:spacing w:line="600" w:lineRule="exact"/>
        <w:ind w:firstLine="600" w:firstLineChars="200"/>
        <w:rPr>
          <w:rFonts w:ascii="仿宋_GB2312" w:hAnsi="Times New Roman" w:cs="Times New Roman"/>
          <w:bCs w:val="0"/>
          <w:color w:val="auto"/>
          <w:szCs w:val="30"/>
        </w:rPr>
      </w:pPr>
      <w:r>
        <w:rPr>
          <w:rFonts w:hint="eastAsia" w:ascii="仿宋_GB2312" w:hAnsi="Times New Roman" w:cs="Times New Roman"/>
          <w:bCs w:val="0"/>
          <w:color w:val="auto"/>
          <w:szCs w:val="30"/>
        </w:rPr>
        <w:t>一般债务利息通过一般公共预算收入（包含调入预算稳定调节基金和其他预算资金）等偿还，不得通过发行一般债券偿还。</w:t>
      </w:r>
    </w:p>
    <w:p>
      <w:pPr>
        <w:pStyle w:val="4"/>
        <w:numPr>
          <w:ilvl w:val="0"/>
          <w:numId w:val="2"/>
        </w:numPr>
        <w:snapToGrid/>
        <w:spacing w:line="600" w:lineRule="exact"/>
        <w:ind w:left="0" w:firstLine="600" w:firstLineChars="200"/>
        <w:rPr>
          <w:color w:val="auto"/>
        </w:rPr>
      </w:pPr>
      <w:r>
        <w:rPr>
          <w:rFonts w:hint="eastAsia" w:ascii="仿宋_GB2312" w:hAnsi="Times New Roman" w:cs="Times New Roman"/>
          <w:color w:val="auto"/>
        </w:rPr>
        <w:t>非债券形式一般债务</w:t>
      </w:r>
      <w:r>
        <w:rPr>
          <w:rFonts w:hint="eastAsia" w:ascii="仿宋_GB2312" w:hAnsi="Times New Roman" w:cs="Times New Roman"/>
          <w:bCs w:val="0"/>
          <w:color w:val="auto"/>
          <w:szCs w:val="30"/>
        </w:rPr>
        <w:t>应当在国务院规定的期限内置换成一般债券</w:t>
      </w:r>
      <w:r>
        <w:rPr>
          <w:rFonts w:hint="eastAsia" w:ascii="仿宋_GB2312" w:hAnsi="Times New Roman" w:cs="Times New Roman"/>
          <w:bCs w:val="0"/>
          <w:color w:val="auto"/>
          <w:szCs w:val="30"/>
          <w:lang w:eastAsia="zh-CN"/>
        </w:rPr>
        <w:t>。</w:t>
      </w:r>
    </w:p>
    <w:p>
      <w:pPr>
        <w:pStyle w:val="4"/>
        <w:numPr>
          <w:ilvl w:val="0"/>
          <w:numId w:val="2"/>
        </w:numPr>
        <w:snapToGrid/>
        <w:spacing w:line="600" w:lineRule="exact"/>
        <w:ind w:left="0" w:firstLine="600" w:firstLineChars="200"/>
        <w:rPr>
          <w:rFonts w:hint="eastAsia" w:ascii="仿宋_GB2312" w:hAnsi="Times New Roman" w:eastAsia="仿宋_GB2312" w:cs="Times New Roman"/>
          <w:bCs/>
          <w:color w:val="auto"/>
          <w:kern w:val="2"/>
          <w:sz w:val="30"/>
          <w:szCs w:val="32"/>
          <w:lang w:val="en-US" w:eastAsia="zh-CN" w:bidi="ar-SA"/>
        </w:rPr>
      </w:pPr>
      <w:r>
        <w:rPr>
          <w:rFonts w:hint="eastAsia" w:ascii="仿宋_GB2312" w:hAnsi="Times New Roman" w:cs="Times New Roman"/>
          <w:color w:val="auto"/>
          <w:szCs w:val="30"/>
          <w:lang w:eastAsia="zh-CN"/>
        </w:rPr>
        <w:t>州（市）</w:t>
      </w:r>
      <w:r>
        <w:rPr>
          <w:rFonts w:hint="eastAsia" w:ascii="仿宋_GB2312" w:hAnsi="Times New Roman" w:cs="Times New Roman"/>
          <w:color w:val="auto"/>
          <w:szCs w:val="30"/>
        </w:rPr>
        <w:t>县</w:t>
      </w:r>
      <w:r>
        <w:rPr>
          <w:rFonts w:hint="eastAsia" w:ascii="仿宋_GB2312" w:hAnsi="Times New Roman" w:cs="Times New Roman"/>
          <w:bCs w:val="0"/>
          <w:color w:val="auto"/>
          <w:szCs w:val="30"/>
        </w:rPr>
        <w:t>级政府</w:t>
      </w:r>
      <w:r>
        <w:rPr>
          <w:rFonts w:hint="eastAsia" w:ascii="仿宋_GB2312" w:hAnsi="Times New Roman" w:cs="Times New Roman"/>
          <w:color w:val="auto"/>
        </w:rPr>
        <w:t>作为政府债务管理的责任主体，将本级政府</w:t>
      </w:r>
      <w:r>
        <w:rPr>
          <w:rFonts w:hint="eastAsia" w:ascii="仿宋_GB2312" w:hAnsi="Times New Roman" w:cs="Times New Roman"/>
          <w:color w:val="auto"/>
          <w:lang w:eastAsia="zh-CN"/>
        </w:rPr>
        <w:t>一般</w:t>
      </w:r>
      <w:r>
        <w:rPr>
          <w:rFonts w:hint="eastAsia" w:ascii="仿宋_GB2312" w:hAnsi="Times New Roman" w:cs="Times New Roman"/>
          <w:color w:val="auto"/>
        </w:rPr>
        <w:t>债务收支纳入预算管理,编制本级</w:t>
      </w:r>
      <w:r>
        <w:rPr>
          <w:rFonts w:hint="eastAsia" w:ascii="仿宋_GB2312" w:hAnsi="Times New Roman" w:cs="Times New Roman"/>
          <w:color w:val="auto"/>
          <w:lang w:eastAsia="zh-CN"/>
        </w:rPr>
        <w:t>一般</w:t>
      </w:r>
      <w:r>
        <w:rPr>
          <w:rFonts w:hint="eastAsia" w:ascii="仿宋_GB2312" w:hAnsi="Times New Roman" w:cs="Times New Roman"/>
          <w:color w:val="auto"/>
        </w:rPr>
        <w:t>债务收支预算、决算草案和调整预算方案;将下一级政府报送备案的</w:t>
      </w:r>
      <w:r>
        <w:rPr>
          <w:rFonts w:hint="eastAsia" w:ascii="仿宋_GB2312" w:hAnsi="Times New Roman" w:cs="Times New Roman"/>
          <w:color w:val="auto"/>
          <w:lang w:eastAsia="zh-CN"/>
        </w:rPr>
        <w:t>一般</w:t>
      </w:r>
      <w:r>
        <w:rPr>
          <w:rFonts w:hint="eastAsia" w:ascii="仿宋_GB2312" w:hAnsi="Times New Roman" w:cs="Times New Roman"/>
          <w:color w:val="auto"/>
        </w:rPr>
        <w:t>债务收支预算、决算汇总后报本级人大常委会备案;组织本级</w:t>
      </w:r>
      <w:r>
        <w:rPr>
          <w:rFonts w:hint="eastAsia" w:ascii="仿宋_GB2312" w:hAnsi="Times New Roman" w:cs="Times New Roman"/>
          <w:color w:val="auto"/>
          <w:lang w:eastAsia="zh-CN"/>
        </w:rPr>
        <w:t>一般</w:t>
      </w:r>
      <w:r>
        <w:rPr>
          <w:rFonts w:hint="eastAsia" w:ascii="仿宋_GB2312" w:hAnsi="Times New Roman" w:cs="Times New Roman"/>
          <w:color w:val="auto"/>
        </w:rPr>
        <w:t>债务收支预算执行并向人大或其常委会报告执行情况，监督本级各部门（单位）和下级政府的</w:t>
      </w:r>
      <w:r>
        <w:rPr>
          <w:rFonts w:hint="eastAsia" w:ascii="仿宋_GB2312" w:hAnsi="Times New Roman" w:cs="Times New Roman"/>
          <w:color w:val="auto"/>
          <w:lang w:eastAsia="zh-CN"/>
        </w:rPr>
        <w:t>一般</w:t>
      </w:r>
      <w:r>
        <w:rPr>
          <w:rFonts w:hint="eastAsia" w:ascii="仿宋_GB2312" w:hAnsi="Times New Roman" w:cs="Times New Roman"/>
          <w:color w:val="auto"/>
        </w:rPr>
        <w:t>债务收支预算执行。</w:t>
      </w:r>
      <w:r>
        <w:rPr>
          <w:rFonts w:ascii="ˎ̥" w:hAnsi="ˎ̥" w:eastAsia="宋体" w:cs="宋体"/>
          <w:color w:val="auto"/>
          <w:kern w:val="0"/>
          <w:sz w:val="20"/>
          <w:szCs w:val="20"/>
        </w:rPr>
        <w:br/>
      </w:r>
      <w:r>
        <w:rPr>
          <w:rFonts w:ascii="ˎ̥" w:hAnsi="ˎ̥" w:eastAsia="宋体" w:cs="宋体"/>
          <w:color w:val="auto"/>
          <w:kern w:val="0"/>
          <w:sz w:val="20"/>
          <w:szCs w:val="20"/>
        </w:rPr>
        <w:t>　</w:t>
      </w:r>
      <w:r>
        <w:rPr>
          <w:rFonts w:hint="eastAsia" w:ascii="仿宋_GB2312" w:hAnsi="Times New Roman" w:cs="Times New Roman"/>
          <w:color w:val="auto"/>
        </w:rPr>
        <w:t>　（一）财政部门作为政府债务的归口管理部门，依法对</w:t>
      </w:r>
      <w:r>
        <w:rPr>
          <w:rFonts w:hint="eastAsia" w:ascii="仿宋_GB2312" w:hAnsi="Times New Roman" w:cs="Times New Roman"/>
          <w:color w:val="auto"/>
          <w:lang w:eastAsia="zh-CN"/>
        </w:rPr>
        <w:t>一般</w:t>
      </w:r>
      <w:r>
        <w:rPr>
          <w:rFonts w:hint="eastAsia" w:ascii="仿宋_GB2312" w:hAnsi="Times New Roman" w:cs="Times New Roman"/>
          <w:color w:val="auto"/>
        </w:rPr>
        <w:t>债务收支实施全过程管理。具体编制</w:t>
      </w:r>
      <w:r>
        <w:rPr>
          <w:rFonts w:hint="eastAsia" w:ascii="仿宋_GB2312" w:hAnsi="Times New Roman" w:cs="Times New Roman"/>
          <w:color w:val="auto"/>
          <w:lang w:eastAsia="zh-CN"/>
        </w:rPr>
        <w:t>一般</w:t>
      </w:r>
      <w:r>
        <w:rPr>
          <w:rFonts w:hint="eastAsia" w:ascii="仿宋_GB2312" w:hAnsi="Times New Roman" w:cs="Times New Roman"/>
          <w:color w:val="auto"/>
        </w:rPr>
        <w:t>债务收支预算、决算草案；</w:t>
      </w:r>
      <w:r>
        <w:rPr>
          <w:rFonts w:hint="eastAsia" w:ascii="仿宋_GB2312" w:hAnsi="Times New Roman" w:cs="Times New Roman"/>
          <w:color w:val="auto"/>
          <w:lang w:eastAsia="zh-CN"/>
        </w:rPr>
        <w:t>编制一般债务预算调整方案，经本级政府报本级人大常委会批准；</w:t>
      </w:r>
      <w:r>
        <w:rPr>
          <w:rFonts w:hint="eastAsia" w:ascii="仿宋_GB2312" w:hAnsi="Times New Roman" w:cs="Times New Roman"/>
          <w:color w:val="auto"/>
        </w:rPr>
        <w:t>组织本级</w:t>
      </w:r>
      <w:r>
        <w:rPr>
          <w:rFonts w:hint="eastAsia" w:ascii="仿宋_GB2312" w:hAnsi="Times New Roman" w:cs="Times New Roman"/>
          <w:color w:val="auto"/>
          <w:lang w:eastAsia="zh-CN"/>
        </w:rPr>
        <w:t>一般</w:t>
      </w:r>
      <w:r>
        <w:rPr>
          <w:rFonts w:hint="eastAsia" w:ascii="仿宋_GB2312" w:hAnsi="Times New Roman" w:cs="Times New Roman"/>
          <w:color w:val="auto"/>
        </w:rPr>
        <w:t>债务收支预算执行；定期向本级政府和上一级财政部门报告本级</w:t>
      </w:r>
      <w:r>
        <w:rPr>
          <w:rFonts w:hint="eastAsia" w:ascii="仿宋_GB2312" w:hAnsi="Times New Roman" w:cs="Times New Roman"/>
          <w:color w:val="auto"/>
          <w:lang w:eastAsia="zh-CN"/>
        </w:rPr>
        <w:t>一般</w:t>
      </w:r>
      <w:r>
        <w:rPr>
          <w:rFonts w:hint="eastAsia" w:ascii="仿宋_GB2312" w:hAnsi="Times New Roman" w:cs="Times New Roman"/>
          <w:color w:val="auto"/>
        </w:rPr>
        <w:t>债务收支预算的执行情况；按规定做好信息公开等相关工作。</w:t>
      </w:r>
      <w:r>
        <w:rPr>
          <w:rFonts w:hint="eastAsia" w:ascii="仿宋_GB2312" w:hAnsi="Times New Roman" w:cs="Times New Roman"/>
          <w:color w:val="auto"/>
        </w:rPr>
        <w:br/>
      </w:r>
      <w:r>
        <w:rPr>
          <w:rFonts w:hint="eastAsia" w:ascii="仿宋_GB2312" w:hAnsi="Times New Roman" w:cs="Times New Roman"/>
          <w:color w:val="auto"/>
        </w:rPr>
        <w:t>　　（二）部门（单位）编制本部门（单位）</w:t>
      </w:r>
      <w:r>
        <w:rPr>
          <w:rFonts w:hint="eastAsia" w:ascii="仿宋_GB2312" w:hAnsi="Times New Roman" w:cs="Times New Roman"/>
          <w:color w:val="auto"/>
          <w:lang w:eastAsia="zh-CN"/>
        </w:rPr>
        <w:t>一般</w:t>
      </w:r>
      <w:r>
        <w:rPr>
          <w:rFonts w:hint="eastAsia" w:ascii="仿宋_GB2312" w:hAnsi="Times New Roman" w:cs="Times New Roman"/>
          <w:color w:val="auto"/>
        </w:rPr>
        <w:t>债务收支预算、决算草案；组织本部门（单位）</w:t>
      </w:r>
      <w:r>
        <w:rPr>
          <w:rFonts w:hint="eastAsia" w:ascii="仿宋_GB2312" w:hAnsi="Times New Roman" w:cs="Times New Roman"/>
          <w:color w:val="auto"/>
          <w:lang w:eastAsia="zh-CN"/>
        </w:rPr>
        <w:t>一般</w:t>
      </w:r>
      <w:r>
        <w:rPr>
          <w:rFonts w:hint="eastAsia" w:ascii="仿宋_GB2312" w:hAnsi="Times New Roman" w:cs="Times New Roman"/>
          <w:color w:val="auto"/>
        </w:rPr>
        <w:t>债务收支预算执行；定期向本级财政部门报告</w:t>
      </w:r>
      <w:r>
        <w:rPr>
          <w:rFonts w:hint="eastAsia" w:ascii="仿宋_GB2312" w:hAnsi="Times New Roman" w:cs="Times New Roman"/>
          <w:color w:val="auto"/>
          <w:lang w:eastAsia="zh-CN"/>
        </w:rPr>
        <w:t>一般</w:t>
      </w:r>
      <w:r>
        <w:rPr>
          <w:rFonts w:hint="eastAsia" w:ascii="仿宋_GB2312" w:hAnsi="Times New Roman" w:cs="Times New Roman"/>
          <w:color w:val="auto"/>
        </w:rPr>
        <w:t>债务收支预算的执行情况。</w:t>
      </w:r>
    </w:p>
    <w:p>
      <w:pPr>
        <w:pStyle w:val="4"/>
        <w:numPr>
          <w:ilvl w:val="0"/>
          <w:numId w:val="2"/>
        </w:numPr>
        <w:snapToGrid/>
        <w:spacing w:line="600" w:lineRule="exact"/>
        <w:ind w:left="0" w:firstLine="600" w:firstLineChars="200"/>
        <w:rPr>
          <w:rFonts w:hint="eastAsia" w:ascii="仿宋_GB2312" w:hAnsi="Times New Roman" w:eastAsia="仿宋_GB2312" w:cs="Times New Roman"/>
          <w:bCs/>
          <w:color w:val="auto"/>
          <w:kern w:val="2"/>
          <w:sz w:val="30"/>
          <w:szCs w:val="32"/>
          <w:lang w:val="en-US" w:eastAsia="zh-CN" w:bidi="ar-SA"/>
        </w:rPr>
      </w:pPr>
      <w:r>
        <w:rPr>
          <w:rFonts w:hint="eastAsia" w:ascii="仿宋_GB2312" w:hAnsi="Times New Roman" w:eastAsia="仿宋_GB2312" w:cs="Times New Roman"/>
          <w:bCs/>
          <w:color w:val="auto"/>
          <w:kern w:val="2"/>
          <w:sz w:val="30"/>
          <w:szCs w:val="32"/>
          <w:lang w:val="en-US" w:eastAsia="zh-CN" w:bidi="ar-SA"/>
        </w:rPr>
        <w:t>存</w:t>
      </w:r>
      <w:r>
        <w:rPr>
          <w:rFonts w:hint="eastAsia" w:ascii="仿宋_GB2312" w:hAnsi="Times New Roman" w:cs="Times New Roman"/>
          <w:color w:val="auto"/>
        </w:rPr>
        <w:t>量政府性债务中或有债务</w:t>
      </w:r>
      <w:r>
        <w:rPr>
          <w:rFonts w:hint="eastAsia" w:ascii="仿宋_GB2312" w:hAnsi="Times New Roman" w:cs="Times New Roman"/>
          <w:color w:val="auto"/>
          <w:lang w:eastAsia="zh-CN"/>
        </w:rPr>
        <w:t>经省财政厅审核后报省政府同意批准，在不突破政府债务限额的前提下，可转化为一般债务，并纳入一般公共预算管理</w:t>
      </w:r>
      <w:r>
        <w:rPr>
          <w:rFonts w:hint="eastAsia" w:ascii="仿宋_GB2312" w:hAnsi="Times New Roman" w:eastAsia="仿宋_GB2312" w:cs="Times New Roman"/>
          <w:bCs/>
          <w:color w:val="auto"/>
          <w:kern w:val="2"/>
          <w:sz w:val="30"/>
          <w:szCs w:val="32"/>
          <w:lang w:val="en-US" w:eastAsia="zh-CN" w:bidi="ar-SA"/>
        </w:rPr>
        <w:t>。</w:t>
      </w:r>
    </w:p>
    <w:p>
      <w:pPr>
        <w:pStyle w:val="4"/>
        <w:numPr>
          <w:ilvl w:val="0"/>
          <w:numId w:val="2"/>
        </w:numPr>
        <w:snapToGrid/>
        <w:spacing w:line="600" w:lineRule="exact"/>
        <w:ind w:left="0" w:firstLine="600" w:firstLineChars="200"/>
        <w:rPr>
          <w:rFonts w:ascii="仿宋_GB2312" w:hAnsi="Times New Roman" w:cs="Times New Roman"/>
          <w:bCs w:val="0"/>
          <w:color w:val="auto"/>
          <w:szCs w:val="30"/>
        </w:rPr>
      </w:pPr>
      <w:r>
        <w:rPr>
          <w:rFonts w:hint="eastAsia" w:ascii="仿宋_GB2312" w:hAnsi="Times New Roman" w:cs="Times New Roman"/>
          <w:bCs w:val="0"/>
          <w:color w:val="auto"/>
          <w:szCs w:val="30"/>
        </w:rPr>
        <w:t>加强地方政府债务管理信息化建设，一般债务预算收支纳入本级财政预算管理信息系统，一般债务管理纳入全国统一的管理信息系统。</w:t>
      </w:r>
    </w:p>
    <w:p>
      <w:pPr>
        <w:pStyle w:val="4"/>
        <w:numPr>
          <w:ilvl w:val="0"/>
          <w:numId w:val="2"/>
        </w:numPr>
        <w:snapToGrid/>
        <w:spacing w:line="600" w:lineRule="exact"/>
        <w:ind w:left="0" w:firstLine="600" w:firstLineChars="200"/>
        <w:rPr>
          <w:rFonts w:ascii="仿宋_GB2312" w:hAnsi="Times New Roman" w:cs="Times New Roman"/>
          <w:bCs w:val="0"/>
          <w:color w:val="auto"/>
          <w:szCs w:val="30"/>
        </w:rPr>
      </w:pPr>
      <w:r>
        <w:rPr>
          <w:rFonts w:hint="eastAsia" w:ascii="仿宋_GB2312" w:hAnsi="Times New Roman" w:cs="Times New Roman"/>
          <w:bCs w:val="0"/>
          <w:color w:val="auto"/>
          <w:szCs w:val="30"/>
        </w:rPr>
        <w:t>外债转贷预算管理办法另行制定。</w:t>
      </w:r>
    </w:p>
    <w:p>
      <w:pPr>
        <w:ind w:firstLine="600"/>
        <w:rPr>
          <w:rFonts w:ascii="仿宋_GB2312"/>
          <w:color w:val="auto"/>
        </w:rPr>
      </w:pPr>
    </w:p>
    <w:p>
      <w:pPr>
        <w:pStyle w:val="3"/>
        <w:numPr>
          <w:ilvl w:val="0"/>
          <w:numId w:val="1"/>
        </w:numPr>
        <w:spacing w:beforeLines="0" w:afterLines="0"/>
        <w:ind w:left="0" w:firstLine="0"/>
        <w:contextualSpacing/>
        <w:rPr>
          <w:rFonts w:ascii="黑体" w:hAnsi="黑体" w:cs="Times New Roman"/>
          <w:b w:val="0"/>
          <w:color w:val="auto"/>
          <w:szCs w:val="30"/>
        </w:rPr>
      </w:pPr>
      <w:r>
        <w:rPr>
          <w:rFonts w:hint="eastAsia" w:ascii="黑体" w:hAnsi="黑体" w:cs="Times New Roman"/>
          <w:b w:val="0"/>
          <w:color w:val="auto"/>
          <w:szCs w:val="30"/>
        </w:rPr>
        <w:t>一般债务限额和余额</w:t>
      </w:r>
    </w:p>
    <w:p>
      <w:pPr>
        <w:spacing w:line="600" w:lineRule="exact"/>
        <w:ind w:firstLine="600"/>
        <w:rPr>
          <w:rFonts w:ascii="仿宋_GB2312" w:hAnsi="Times New Roman" w:cs="Times New Roman"/>
          <w:color w:val="auto"/>
        </w:rPr>
      </w:pPr>
    </w:p>
    <w:p>
      <w:pPr>
        <w:pStyle w:val="4"/>
        <w:numPr>
          <w:ilvl w:val="0"/>
          <w:numId w:val="2"/>
        </w:numPr>
        <w:snapToGrid/>
        <w:spacing w:line="600" w:lineRule="exact"/>
        <w:ind w:left="0" w:firstLine="600" w:firstLineChars="200"/>
        <w:rPr>
          <w:rFonts w:ascii="仿宋_GB2312" w:hAnsi="Times New Roman" w:cs="Times New Roman"/>
          <w:color w:val="auto"/>
          <w:szCs w:val="30"/>
        </w:rPr>
      </w:pPr>
      <w:r>
        <w:rPr>
          <w:rFonts w:hint="eastAsia" w:ascii="仿宋_GB2312" w:hAnsi="Times New Roman" w:cs="Times New Roman"/>
          <w:color w:val="auto"/>
          <w:szCs w:val="30"/>
        </w:rPr>
        <w:t>省</w:t>
      </w:r>
      <w:r>
        <w:rPr>
          <w:rFonts w:hint="eastAsia" w:ascii="仿宋_GB2312" w:hAnsi="Times New Roman" w:cs="Times New Roman"/>
          <w:color w:val="auto"/>
          <w:szCs w:val="30"/>
          <w:lang w:eastAsia="zh-CN"/>
        </w:rPr>
        <w:t>财政厅</w:t>
      </w:r>
      <w:r>
        <w:rPr>
          <w:rFonts w:hint="eastAsia" w:ascii="仿宋_GB2312" w:hAnsi="Times New Roman" w:cs="Times New Roman"/>
          <w:color w:val="auto"/>
          <w:szCs w:val="30"/>
        </w:rPr>
        <w:t>在财政部下达的</w:t>
      </w:r>
      <w:r>
        <w:rPr>
          <w:rFonts w:hint="eastAsia" w:ascii="仿宋_GB2312" w:hAnsi="Times New Roman" w:cs="Times New Roman"/>
          <w:color w:val="auto"/>
          <w:szCs w:val="30"/>
          <w:lang w:eastAsia="zh-CN"/>
        </w:rPr>
        <w:t>全省</w:t>
      </w:r>
      <w:r>
        <w:rPr>
          <w:rFonts w:hint="eastAsia" w:ascii="仿宋_GB2312" w:hAnsi="Times New Roman" w:cs="Times New Roman"/>
          <w:color w:val="auto"/>
          <w:szCs w:val="30"/>
        </w:rPr>
        <w:t>一般债务限额内，根据债务风险、财力状况等因素并统筹考虑本</w:t>
      </w:r>
      <w:r>
        <w:rPr>
          <w:rFonts w:hint="eastAsia" w:ascii="仿宋_GB2312" w:hAnsi="Times New Roman" w:cs="Times New Roman"/>
          <w:color w:val="auto"/>
          <w:szCs w:val="30"/>
          <w:lang w:eastAsia="zh-CN"/>
        </w:rPr>
        <w:t>省</w:t>
      </w:r>
      <w:r>
        <w:rPr>
          <w:rFonts w:hint="eastAsia" w:ascii="仿宋_GB2312" w:hAnsi="Times New Roman" w:cs="Times New Roman"/>
          <w:color w:val="auto"/>
          <w:szCs w:val="30"/>
        </w:rPr>
        <w:t>公益性项目建设需求等，提出</w:t>
      </w:r>
      <w:r>
        <w:rPr>
          <w:rFonts w:hint="eastAsia" w:ascii="仿宋_GB2312" w:hAnsi="Times New Roman" w:cs="Times New Roman"/>
          <w:bCs w:val="0"/>
          <w:color w:val="auto"/>
          <w:szCs w:val="30"/>
        </w:rPr>
        <w:t>省</w:t>
      </w:r>
      <w:r>
        <w:rPr>
          <w:rFonts w:hint="eastAsia" w:ascii="仿宋_GB2312" w:hAnsi="Times New Roman" w:cs="Times New Roman"/>
          <w:color w:val="auto"/>
          <w:szCs w:val="30"/>
        </w:rPr>
        <w:t>本级及</w:t>
      </w:r>
      <w:r>
        <w:rPr>
          <w:rFonts w:hint="eastAsia" w:ascii="仿宋_GB2312" w:hAnsi="Times New Roman" w:cs="Times New Roman"/>
          <w:color w:val="auto"/>
          <w:szCs w:val="30"/>
          <w:lang w:eastAsia="zh-CN"/>
        </w:rPr>
        <w:t>各州（市）</w:t>
      </w:r>
      <w:r>
        <w:rPr>
          <w:rFonts w:hint="eastAsia" w:ascii="仿宋_GB2312" w:hAnsi="Times New Roman" w:cs="Times New Roman"/>
          <w:color w:val="auto"/>
          <w:szCs w:val="30"/>
        </w:rPr>
        <w:t>当年一般债务限额方案，报</w:t>
      </w:r>
      <w:r>
        <w:rPr>
          <w:rFonts w:hint="eastAsia" w:ascii="仿宋_GB2312" w:hAnsi="Times New Roman" w:cs="Times New Roman"/>
          <w:bCs w:val="0"/>
          <w:color w:val="auto"/>
          <w:szCs w:val="30"/>
        </w:rPr>
        <w:t>省</w:t>
      </w:r>
      <w:r>
        <w:rPr>
          <w:rFonts w:hint="eastAsia" w:ascii="仿宋_GB2312" w:hAnsi="Times New Roman" w:cs="Times New Roman"/>
          <w:color w:val="auto"/>
          <w:szCs w:val="30"/>
        </w:rPr>
        <w:t>政府批准后下达</w:t>
      </w:r>
      <w:r>
        <w:rPr>
          <w:rFonts w:hint="eastAsia" w:ascii="仿宋_GB2312" w:hAnsi="Times New Roman" w:cs="Times New Roman"/>
          <w:color w:val="auto"/>
          <w:szCs w:val="30"/>
          <w:lang w:eastAsia="zh-CN"/>
        </w:rPr>
        <w:t>各州（市）</w:t>
      </w:r>
      <w:r>
        <w:rPr>
          <w:rFonts w:hint="eastAsia" w:ascii="仿宋_GB2312" w:hAnsi="Times New Roman" w:cs="Times New Roman"/>
          <w:color w:val="auto"/>
          <w:szCs w:val="30"/>
        </w:rPr>
        <w:t>财政部门。</w:t>
      </w:r>
    </w:p>
    <w:p>
      <w:pPr>
        <w:pStyle w:val="4"/>
        <w:snapToGrid/>
        <w:spacing w:line="600" w:lineRule="exact"/>
        <w:ind w:firstLine="600" w:firstLineChars="200"/>
        <w:contextualSpacing/>
        <w:rPr>
          <w:rFonts w:hint="eastAsia" w:ascii="仿宋_GB2312" w:hAnsi="Times New Roman" w:cs="Times New Roman"/>
          <w:bCs w:val="0"/>
          <w:color w:val="auto"/>
          <w:szCs w:val="30"/>
        </w:rPr>
      </w:pPr>
      <w:r>
        <w:rPr>
          <w:rFonts w:hint="eastAsia" w:ascii="仿宋_GB2312" w:hAnsi="Times New Roman" w:cs="Times New Roman"/>
          <w:color w:val="auto"/>
          <w:szCs w:val="30"/>
          <w:lang w:eastAsia="zh-CN"/>
        </w:rPr>
        <w:t>各州（市）</w:t>
      </w:r>
      <w:r>
        <w:rPr>
          <w:rFonts w:hint="eastAsia" w:ascii="仿宋_GB2312" w:hAnsi="Times New Roman" w:cs="Times New Roman"/>
          <w:bCs w:val="0"/>
          <w:color w:val="auto"/>
          <w:szCs w:val="30"/>
        </w:rPr>
        <w:t>财政部门应当</w:t>
      </w:r>
      <w:r>
        <w:rPr>
          <w:rFonts w:hint="eastAsia" w:ascii="仿宋_GB2312" w:hAnsi="Times New Roman" w:cs="Times New Roman"/>
          <w:bCs w:val="0"/>
          <w:color w:val="auto"/>
          <w:szCs w:val="30"/>
          <w:lang w:eastAsia="zh-CN"/>
        </w:rPr>
        <w:t>于每年</w:t>
      </w:r>
      <w:r>
        <w:rPr>
          <w:rFonts w:hint="eastAsia" w:ascii="仿宋_GB2312" w:hAnsi="Times New Roman" w:cs="Times New Roman"/>
          <w:bCs w:val="0"/>
          <w:color w:val="auto"/>
          <w:szCs w:val="30"/>
          <w:lang w:val="en-US" w:eastAsia="zh-CN"/>
        </w:rPr>
        <w:t>9月底前，</w:t>
      </w:r>
      <w:r>
        <w:rPr>
          <w:rFonts w:hint="eastAsia" w:ascii="仿宋_GB2312" w:hAnsi="Times New Roman" w:cs="Times New Roman"/>
          <w:bCs w:val="0"/>
          <w:color w:val="auto"/>
          <w:szCs w:val="30"/>
        </w:rPr>
        <w:t>提出</w:t>
      </w:r>
      <w:r>
        <w:rPr>
          <w:rFonts w:hint="eastAsia" w:ascii="仿宋_GB2312" w:hAnsi="Times New Roman" w:cs="Times New Roman"/>
          <w:bCs w:val="0"/>
          <w:color w:val="auto"/>
          <w:szCs w:val="30"/>
          <w:lang w:eastAsia="zh-CN"/>
        </w:rPr>
        <w:t>本地区下一年度</w:t>
      </w:r>
      <w:r>
        <w:rPr>
          <w:rFonts w:hint="eastAsia" w:ascii="仿宋_GB2312" w:hAnsi="Times New Roman" w:cs="Times New Roman"/>
          <w:bCs w:val="0"/>
          <w:color w:val="auto"/>
          <w:szCs w:val="30"/>
        </w:rPr>
        <w:t>省级代发一般债券和安排公益性资本支出项目的建议，经本级政府批准后按程序报省</w:t>
      </w:r>
      <w:r>
        <w:rPr>
          <w:rFonts w:hint="eastAsia" w:ascii="仿宋_GB2312" w:hAnsi="Times New Roman" w:cs="Times New Roman"/>
          <w:bCs w:val="0"/>
          <w:color w:val="auto"/>
          <w:szCs w:val="30"/>
          <w:lang w:eastAsia="zh-CN"/>
        </w:rPr>
        <w:t>财政厅</w:t>
      </w:r>
      <w:r>
        <w:rPr>
          <w:rFonts w:hint="eastAsia" w:ascii="仿宋_GB2312" w:hAnsi="Times New Roman" w:cs="Times New Roman"/>
          <w:bCs w:val="0"/>
          <w:color w:val="auto"/>
          <w:szCs w:val="30"/>
        </w:rPr>
        <w:t>。</w:t>
      </w:r>
    </w:p>
    <w:p>
      <w:pPr>
        <w:pStyle w:val="4"/>
        <w:numPr>
          <w:ilvl w:val="0"/>
          <w:numId w:val="2"/>
        </w:numPr>
        <w:snapToGrid/>
        <w:spacing w:line="600" w:lineRule="exact"/>
        <w:ind w:left="0" w:firstLine="600" w:firstLineChars="200"/>
        <w:rPr>
          <w:rFonts w:ascii="仿宋_GB2312" w:hAnsi="Times New Roman" w:cs="Times New Roman"/>
          <w:color w:val="auto"/>
          <w:szCs w:val="30"/>
        </w:rPr>
      </w:pPr>
      <w:r>
        <w:rPr>
          <w:rFonts w:hint="eastAsia" w:ascii="仿宋_GB2312" w:hAnsi="Times New Roman" w:cs="Times New Roman"/>
          <w:color w:val="auto"/>
          <w:szCs w:val="30"/>
          <w:u w:val="none" w:color="auto"/>
          <w:lang w:eastAsia="zh-CN"/>
        </w:rPr>
        <w:t>各州（市）</w:t>
      </w:r>
      <w:r>
        <w:rPr>
          <w:rFonts w:hint="eastAsia" w:ascii="仿宋_GB2312" w:hAnsi="Times New Roman" w:cs="Times New Roman"/>
          <w:bCs w:val="0"/>
          <w:color w:val="auto"/>
          <w:szCs w:val="30"/>
          <w:u w:val="none" w:color="auto"/>
        </w:rPr>
        <w:t>财政部门</w:t>
      </w:r>
      <w:r>
        <w:rPr>
          <w:rFonts w:hint="eastAsia" w:ascii="仿宋_GB2312" w:hAnsi="Times New Roman" w:cs="Times New Roman"/>
          <w:color w:val="auto"/>
          <w:szCs w:val="30"/>
        </w:rPr>
        <w:t>在</w:t>
      </w:r>
      <w:r>
        <w:rPr>
          <w:rFonts w:hint="eastAsia" w:ascii="仿宋_GB2312" w:hAnsi="Times New Roman" w:cs="Times New Roman"/>
          <w:color w:val="auto"/>
          <w:szCs w:val="30"/>
          <w:lang w:eastAsia="zh-CN"/>
        </w:rPr>
        <w:t>省财政厅</w:t>
      </w:r>
      <w:r>
        <w:rPr>
          <w:rFonts w:hint="eastAsia" w:ascii="仿宋_GB2312" w:hAnsi="Times New Roman" w:cs="Times New Roman"/>
          <w:color w:val="auto"/>
          <w:szCs w:val="30"/>
        </w:rPr>
        <w:t>下达的本地区一般债务限额内，根据债务风险、财力状况等因素并统筹考虑本地区公益性项目建设需求等，提出</w:t>
      </w:r>
      <w:r>
        <w:rPr>
          <w:rFonts w:hint="eastAsia" w:ascii="仿宋_GB2312" w:hAnsi="Times New Roman" w:cs="Times New Roman"/>
          <w:bCs w:val="0"/>
          <w:color w:val="auto"/>
          <w:szCs w:val="30"/>
          <w:lang w:eastAsia="zh-CN"/>
        </w:rPr>
        <w:t>州（市）</w:t>
      </w:r>
      <w:r>
        <w:rPr>
          <w:rFonts w:hint="eastAsia" w:ascii="仿宋_GB2312" w:hAnsi="Times New Roman" w:cs="Times New Roman"/>
          <w:color w:val="auto"/>
          <w:szCs w:val="30"/>
        </w:rPr>
        <w:t>本级及所辖各县</w:t>
      </w:r>
      <w:r>
        <w:rPr>
          <w:rFonts w:hint="eastAsia" w:ascii="仿宋_GB2312" w:hAnsi="Times New Roman" w:cs="Times New Roman"/>
          <w:color w:val="auto"/>
          <w:szCs w:val="30"/>
          <w:lang w:eastAsia="zh-CN"/>
        </w:rPr>
        <w:t>（市、区）</w:t>
      </w:r>
      <w:r>
        <w:rPr>
          <w:rFonts w:hint="eastAsia" w:ascii="仿宋_GB2312" w:hAnsi="Times New Roman" w:cs="Times New Roman"/>
          <w:color w:val="auto"/>
          <w:szCs w:val="30"/>
        </w:rPr>
        <w:t>当年一般债务限额方案，报</w:t>
      </w:r>
      <w:r>
        <w:rPr>
          <w:rFonts w:hint="eastAsia" w:ascii="仿宋_GB2312" w:hAnsi="Times New Roman" w:cs="Times New Roman"/>
          <w:bCs w:val="0"/>
          <w:color w:val="auto"/>
          <w:szCs w:val="30"/>
          <w:lang w:eastAsia="zh-CN"/>
        </w:rPr>
        <w:t>本级</w:t>
      </w:r>
      <w:r>
        <w:rPr>
          <w:rFonts w:hint="eastAsia" w:ascii="仿宋_GB2312" w:hAnsi="Times New Roman" w:cs="Times New Roman"/>
          <w:color w:val="auto"/>
          <w:szCs w:val="30"/>
        </w:rPr>
        <w:t>政府批准后下达县级财政部门</w:t>
      </w:r>
      <w:r>
        <w:rPr>
          <w:rFonts w:hint="eastAsia" w:ascii="仿宋_GB2312" w:hAnsi="Times New Roman" w:cs="Times New Roman"/>
          <w:color w:val="auto"/>
          <w:szCs w:val="30"/>
          <w:lang w:eastAsia="zh-CN"/>
        </w:rPr>
        <w:t>；高风险的州（市）本级不得将省级下达的新增一般债务限额全部安排在本级使用。</w:t>
      </w:r>
    </w:p>
    <w:p>
      <w:pPr>
        <w:pStyle w:val="4"/>
        <w:snapToGrid/>
        <w:spacing w:line="600" w:lineRule="exact"/>
        <w:ind w:firstLine="600" w:firstLineChars="200"/>
        <w:contextualSpacing/>
        <w:rPr>
          <w:rFonts w:hint="eastAsia" w:ascii="仿宋_GB2312" w:hAnsi="Times New Roman" w:cs="Times New Roman"/>
          <w:bCs w:val="0"/>
          <w:color w:val="auto"/>
          <w:szCs w:val="30"/>
        </w:rPr>
      </w:pPr>
      <w:r>
        <w:rPr>
          <w:rFonts w:hint="eastAsia" w:ascii="仿宋_GB2312" w:hAnsi="Times New Roman" w:cs="Times New Roman"/>
          <w:bCs w:val="0"/>
          <w:color w:val="auto"/>
          <w:szCs w:val="30"/>
        </w:rPr>
        <w:t>县级财政部门应当提前提出省级代发一般债券和安排公益性资本支出项目的建议，经本级政府批准后按程序报</w:t>
      </w:r>
      <w:r>
        <w:rPr>
          <w:rFonts w:hint="eastAsia" w:ascii="仿宋_GB2312" w:hAnsi="Times New Roman" w:cs="Times New Roman"/>
          <w:bCs w:val="0"/>
          <w:color w:val="auto"/>
          <w:szCs w:val="30"/>
          <w:lang w:eastAsia="zh-CN"/>
        </w:rPr>
        <w:t>上</w:t>
      </w:r>
      <w:r>
        <w:rPr>
          <w:rFonts w:hint="eastAsia" w:ascii="仿宋_GB2312" w:hAnsi="Times New Roman" w:cs="Times New Roman"/>
          <w:bCs w:val="0"/>
          <w:color w:val="auto"/>
          <w:szCs w:val="30"/>
        </w:rPr>
        <w:t>级财政部门。</w:t>
      </w:r>
    </w:p>
    <w:p>
      <w:pPr>
        <w:pStyle w:val="4"/>
        <w:snapToGrid/>
        <w:spacing w:line="600" w:lineRule="exact"/>
        <w:ind w:firstLine="600" w:firstLineChars="200"/>
        <w:contextualSpacing/>
        <w:rPr>
          <w:color w:val="auto"/>
        </w:rPr>
      </w:pPr>
      <w:r>
        <w:rPr>
          <w:rFonts w:hint="eastAsia" w:ascii="仿宋_GB2312" w:hAnsi="Times New Roman" w:cs="Times New Roman"/>
          <w:bCs w:val="0"/>
          <w:color w:val="auto"/>
          <w:szCs w:val="30"/>
          <w:lang w:eastAsia="zh-CN"/>
        </w:rPr>
        <w:t>各州（市）县</w:t>
      </w:r>
      <w:r>
        <w:rPr>
          <w:rFonts w:hint="eastAsia" w:ascii="仿宋_GB2312" w:hAnsi="Times New Roman" w:cs="Times New Roman"/>
          <w:color w:val="auto"/>
          <w:szCs w:val="30"/>
        </w:rPr>
        <w:t>应当在一般债务限额内举借一般债务，一般债务余额不得超过本地区一般债务限额。</w:t>
      </w:r>
    </w:p>
    <w:p>
      <w:pPr>
        <w:pStyle w:val="4"/>
        <w:numPr>
          <w:ilvl w:val="0"/>
          <w:numId w:val="2"/>
        </w:numPr>
        <w:snapToGrid/>
        <w:spacing w:line="600" w:lineRule="exact"/>
        <w:ind w:left="0" w:firstLine="600"/>
        <w:contextualSpacing/>
        <w:rPr>
          <w:rFonts w:ascii="仿宋_GB2312" w:hAnsi="Times New Roman" w:cs="Times New Roman"/>
          <w:color w:val="auto"/>
          <w:szCs w:val="30"/>
        </w:rPr>
      </w:pPr>
      <w:r>
        <w:rPr>
          <w:rFonts w:hint="eastAsia" w:ascii="仿宋_GB2312" w:hAnsi="Times New Roman" w:cs="Times New Roman"/>
          <w:bCs w:val="0"/>
          <w:color w:val="auto"/>
          <w:szCs w:val="30"/>
          <w:lang w:eastAsia="zh-CN"/>
        </w:rPr>
        <w:t>云南省</w:t>
      </w:r>
      <w:r>
        <w:rPr>
          <w:rFonts w:hint="eastAsia" w:ascii="仿宋_GB2312" w:hAnsi="Times New Roman" w:cs="Times New Roman"/>
          <w:color w:val="auto"/>
        </w:rPr>
        <w:t>发行一般债券偿还到期一般债务本金计划，由省</w:t>
      </w:r>
      <w:r>
        <w:rPr>
          <w:rFonts w:hint="eastAsia" w:ascii="仿宋_GB2312" w:hAnsi="Times New Roman" w:cs="Times New Roman"/>
          <w:color w:val="auto"/>
          <w:lang w:eastAsia="zh-CN"/>
        </w:rPr>
        <w:t>财政厅</w:t>
      </w:r>
      <w:r>
        <w:rPr>
          <w:rFonts w:hint="eastAsia" w:ascii="仿宋_GB2312" w:hAnsi="Times New Roman" w:cs="Times New Roman"/>
          <w:color w:val="auto"/>
        </w:rPr>
        <w:t>统筹考虑本级和各</w:t>
      </w:r>
      <w:r>
        <w:rPr>
          <w:rFonts w:hint="eastAsia" w:ascii="仿宋_GB2312" w:hAnsi="Times New Roman" w:cs="Times New Roman"/>
          <w:color w:val="auto"/>
          <w:szCs w:val="30"/>
          <w:lang w:eastAsia="zh-CN"/>
        </w:rPr>
        <w:t>州（市）</w:t>
      </w:r>
      <w:r>
        <w:rPr>
          <w:rFonts w:hint="eastAsia" w:ascii="仿宋_GB2312" w:hAnsi="Times New Roman" w:cs="Times New Roman"/>
          <w:color w:val="auto"/>
          <w:szCs w:val="30"/>
        </w:rPr>
        <w:t>县</w:t>
      </w:r>
      <w:r>
        <w:rPr>
          <w:rFonts w:hint="eastAsia" w:ascii="仿宋_GB2312" w:hAnsi="Times New Roman" w:cs="Times New Roman"/>
          <w:color w:val="auto"/>
        </w:rPr>
        <w:t>实际需求提出，报</w:t>
      </w:r>
      <w:r>
        <w:rPr>
          <w:rFonts w:hint="eastAsia" w:ascii="仿宋_GB2312" w:hAnsi="Times New Roman" w:cs="Times New Roman"/>
          <w:bCs w:val="0"/>
          <w:color w:val="auto"/>
          <w:szCs w:val="30"/>
        </w:rPr>
        <w:t>省</w:t>
      </w:r>
      <w:r>
        <w:rPr>
          <w:rFonts w:hint="eastAsia" w:ascii="仿宋_GB2312" w:hAnsi="Times New Roman" w:cs="Times New Roman"/>
          <w:color w:val="auto"/>
        </w:rPr>
        <w:t>政府批准后按规定组织实施。</w:t>
      </w:r>
    </w:p>
    <w:p>
      <w:pPr>
        <w:spacing w:line="600" w:lineRule="exact"/>
        <w:ind w:firstLine="600"/>
        <w:rPr>
          <w:rFonts w:ascii="仿宋_GB2312" w:hAnsi="Times New Roman" w:cs="Times New Roman"/>
          <w:color w:val="auto"/>
        </w:rPr>
      </w:pPr>
    </w:p>
    <w:p>
      <w:pPr>
        <w:pStyle w:val="3"/>
        <w:numPr>
          <w:ilvl w:val="0"/>
          <w:numId w:val="1"/>
        </w:numPr>
        <w:spacing w:beforeLines="0" w:afterLines="0"/>
        <w:ind w:left="0" w:firstLine="0"/>
        <w:rPr>
          <w:rFonts w:ascii="黑体" w:hAnsi="黑体" w:cs="Times New Roman"/>
          <w:b w:val="0"/>
          <w:color w:val="auto"/>
          <w:szCs w:val="30"/>
        </w:rPr>
      </w:pPr>
      <w:r>
        <w:rPr>
          <w:rFonts w:hint="eastAsia" w:ascii="黑体" w:hAnsi="黑体" w:cs="Times New Roman"/>
          <w:b w:val="0"/>
          <w:color w:val="auto"/>
          <w:szCs w:val="30"/>
        </w:rPr>
        <w:t>预算编制和批复</w:t>
      </w:r>
    </w:p>
    <w:p>
      <w:pPr>
        <w:spacing w:line="600" w:lineRule="exact"/>
        <w:ind w:firstLine="600"/>
        <w:rPr>
          <w:rFonts w:ascii="仿宋_GB2312"/>
          <w:color w:val="auto"/>
        </w:rPr>
      </w:pPr>
    </w:p>
    <w:p>
      <w:pPr>
        <w:pStyle w:val="4"/>
        <w:numPr>
          <w:ilvl w:val="0"/>
          <w:numId w:val="2"/>
        </w:numPr>
        <w:snapToGrid/>
        <w:spacing w:line="600" w:lineRule="exact"/>
        <w:ind w:left="0" w:firstLine="600"/>
        <w:contextualSpacing/>
        <w:rPr>
          <w:rFonts w:hint="eastAsia" w:ascii="仿宋_GB2312" w:hAnsi="Times New Roman" w:cs="Times New Roman"/>
          <w:color w:val="auto"/>
          <w:szCs w:val="30"/>
          <w:lang w:eastAsia="zh-CN"/>
        </w:rPr>
      </w:pPr>
      <w:r>
        <w:rPr>
          <w:rFonts w:hint="eastAsia" w:ascii="仿宋_GB2312" w:hAnsi="Times New Roman" w:cs="Times New Roman"/>
          <w:color w:val="auto"/>
          <w:szCs w:val="30"/>
          <w:lang w:eastAsia="zh-CN"/>
        </w:rPr>
        <w:t>一般</w:t>
      </w:r>
      <w:r>
        <w:rPr>
          <w:rFonts w:hint="eastAsia" w:ascii="仿宋_GB2312" w:hAnsi="Times New Roman" w:cs="Times New Roman"/>
          <w:color w:val="auto"/>
          <w:szCs w:val="30"/>
        </w:rPr>
        <w:t>债务纳入预算管理包括省级、</w:t>
      </w:r>
      <w:r>
        <w:rPr>
          <w:rFonts w:hint="eastAsia" w:ascii="仿宋_GB2312" w:hAnsi="Times New Roman" w:cs="Times New Roman"/>
          <w:color w:val="auto"/>
          <w:szCs w:val="30"/>
          <w:lang w:eastAsia="zh-CN"/>
        </w:rPr>
        <w:t>州（</w:t>
      </w:r>
      <w:r>
        <w:rPr>
          <w:rFonts w:hint="eastAsia" w:ascii="仿宋_GB2312" w:hAnsi="Times New Roman" w:cs="Times New Roman"/>
          <w:color w:val="auto"/>
          <w:szCs w:val="30"/>
        </w:rPr>
        <w:t>市</w:t>
      </w:r>
      <w:r>
        <w:rPr>
          <w:rFonts w:hint="eastAsia" w:ascii="仿宋_GB2312" w:hAnsi="Times New Roman" w:cs="Times New Roman"/>
          <w:color w:val="auto"/>
          <w:szCs w:val="30"/>
          <w:lang w:eastAsia="zh-CN"/>
        </w:rPr>
        <w:t>）</w:t>
      </w:r>
      <w:r>
        <w:rPr>
          <w:rFonts w:hint="eastAsia" w:ascii="仿宋_GB2312" w:hAnsi="Times New Roman" w:cs="Times New Roman"/>
          <w:color w:val="auto"/>
          <w:szCs w:val="30"/>
        </w:rPr>
        <w:t>级、县级、乡级四个层级。按照管理隶属关系分为单位</w:t>
      </w:r>
      <w:r>
        <w:rPr>
          <w:rFonts w:hint="eastAsia" w:ascii="仿宋_GB2312" w:hAnsi="Times New Roman" w:cs="Times New Roman"/>
          <w:color w:val="auto"/>
          <w:szCs w:val="30"/>
          <w:lang w:eastAsia="zh-CN"/>
        </w:rPr>
        <w:t>一般</w:t>
      </w:r>
      <w:r>
        <w:rPr>
          <w:rFonts w:hint="eastAsia" w:ascii="仿宋_GB2312" w:hAnsi="Times New Roman" w:cs="Times New Roman"/>
          <w:color w:val="auto"/>
          <w:szCs w:val="30"/>
        </w:rPr>
        <w:t>债务收支、部门</w:t>
      </w:r>
      <w:r>
        <w:rPr>
          <w:rFonts w:hint="eastAsia" w:ascii="仿宋_GB2312" w:hAnsi="Times New Roman" w:cs="Times New Roman"/>
          <w:color w:val="auto"/>
          <w:szCs w:val="30"/>
          <w:lang w:eastAsia="zh-CN"/>
        </w:rPr>
        <w:t>一般</w:t>
      </w:r>
      <w:r>
        <w:rPr>
          <w:rFonts w:hint="eastAsia" w:ascii="仿宋_GB2312" w:hAnsi="Times New Roman" w:cs="Times New Roman"/>
          <w:color w:val="auto"/>
          <w:szCs w:val="30"/>
        </w:rPr>
        <w:t>债务收支和政府</w:t>
      </w:r>
      <w:r>
        <w:rPr>
          <w:rFonts w:hint="eastAsia" w:ascii="仿宋_GB2312" w:hAnsi="Times New Roman" w:cs="Times New Roman"/>
          <w:color w:val="auto"/>
          <w:szCs w:val="30"/>
          <w:lang w:eastAsia="zh-CN"/>
        </w:rPr>
        <w:t>一般</w:t>
      </w:r>
      <w:r>
        <w:rPr>
          <w:rFonts w:hint="eastAsia" w:ascii="仿宋_GB2312" w:hAnsi="Times New Roman" w:cs="Times New Roman"/>
          <w:color w:val="auto"/>
          <w:szCs w:val="30"/>
        </w:rPr>
        <w:t>债务收支，分别编入单位预算、部门预算和政府预算</w:t>
      </w:r>
      <w:r>
        <w:rPr>
          <w:rFonts w:hint="eastAsia" w:ascii="仿宋_GB2312" w:hAnsi="Times New Roman" w:cs="Times New Roman"/>
          <w:color w:val="auto"/>
          <w:szCs w:val="30"/>
          <w:lang w:eastAsia="zh-CN"/>
        </w:rPr>
        <w:t>。</w:t>
      </w:r>
    </w:p>
    <w:p>
      <w:pPr>
        <w:pStyle w:val="4"/>
        <w:numPr>
          <w:ilvl w:val="0"/>
          <w:numId w:val="2"/>
        </w:numPr>
        <w:snapToGrid/>
        <w:spacing w:line="600" w:lineRule="exact"/>
        <w:ind w:left="0" w:firstLine="600"/>
        <w:contextualSpacing/>
        <w:rPr>
          <w:rFonts w:hint="eastAsia" w:ascii="仿宋_GB2312" w:hAnsi="Times New Roman" w:cs="Times New Roman"/>
          <w:color w:val="auto"/>
          <w:szCs w:val="30"/>
          <w:lang w:eastAsia="zh-CN"/>
        </w:rPr>
      </w:pPr>
      <w:r>
        <w:rPr>
          <w:rFonts w:hint="eastAsia" w:ascii="仿宋_GB2312" w:hAnsi="Times New Roman" w:cs="Times New Roman"/>
          <w:color w:val="auto"/>
          <w:szCs w:val="30"/>
          <w:lang w:eastAsia="zh-CN"/>
        </w:rPr>
        <w:t>州（市）县</w:t>
      </w:r>
      <w:r>
        <w:rPr>
          <w:rFonts w:hint="eastAsia" w:ascii="仿宋_GB2312" w:hAnsi="Times New Roman" w:cs="Times New Roman"/>
          <w:color w:val="auto"/>
          <w:szCs w:val="30"/>
        </w:rPr>
        <w:t>级财政部门应当根据上级财政部门下达的</w:t>
      </w:r>
      <w:r>
        <w:rPr>
          <w:rFonts w:hint="eastAsia" w:ascii="仿宋_GB2312" w:hAnsi="Times New Roman" w:cs="Times New Roman"/>
          <w:color w:val="auto"/>
          <w:szCs w:val="30"/>
          <w:lang w:eastAsia="zh-CN"/>
        </w:rPr>
        <w:t>一般</w:t>
      </w:r>
      <w:r>
        <w:rPr>
          <w:rFonts w:hint="eastAsia" w:ascii="仿宋_GB2312" w:hAnsi="Times New Roman" w:cs="Times New Roman"/>
          <w:color w:val="auto"/>
          <w:szCs w:val="30"/>
        </w:rPr>
        <w:t>债券额度和本级预算安排情况，编制年度</w:t>
      </w:r>
      <w:r>
        <w:rPr>
          <w:rFonts w:hint="eastAsia" w:ascii="仿宋_GB2312" w:hAnsi="Times New Roman" w:cs="Times New Roman"/>
          <w:color w:val="auto"/>
          <w:szCs w:val="30"/>
          <w:lang w:eastAsia="zh-CN"/>
        </w:rPr>
        <w:t>一般</w:t>
      </w:r>
      <w:r>
        <w:rPr>
          <w:rFonts w:hint="eastAsia" w:ascii="仿宋_GB2312" w:hAnsi="Times New Roman" w:cs="Times New Roman"/>
          <w:color w:val="auto"/>
          <w:szCs w:val="30"/>
        </w:rPr>
        <w:t>债务收支预算。保工资、保运转和必保民生以外的政府可调控财力原则上应当优先安排用于</w:t>
      </w:r>
      <w:r>
        <w:rPr>
          <w:rFonts w:hint="eastAsia" w:ascii="仿宋_GB2312" w:hAnsi="Times New Roman" w:cs="Times New Roman"/>
          <w:color w:val="auto"/>
          <w:szCs w:val="30"/>
          <w:lang w:eastAsia="zh-CN"/>
        </w:rPr>
        <w:t>一般</w:t>
      </w:r>
      <w:r>
        <w:rPr>
          <w:rFonts w:hint="eastAsia" w:ascii="仿宋_GB2312" w:hAnsi="Times New Roman" w:cs="Times New Roman"/>
          <w:color w:val="auto"/>
          <w:szCs w:val="30"/>
        </w:rPr>
        <w:t>债务还本付息支出。</w:t>
      </w:r>
    </w:p>
    <w:p>
      <w:pPr>
        <w:pStyle w:val="4"/>
        <w:numPr>
          <w:ilvl w:val="0"/>
          <w:numId w:val="2"/>
        </w:numPr>
        <w:snapToGrid/>
        <w:spacing w:line="600" w:lineRule="exact"/>
        <w:ind w:left="0" w:firstLine="600"/>
        <w:contextualSpacing/>
        <w:rPr>
          <w:rFonts w:hint="eastAsia"/>
          <w:b w:val="0"/>
          <w:bCs/>
          <w:color w:val="auto"/>
        </w:rPr>
      </w:pPr>
      <w:r>
        <w:rPr>
          <w:rFonts w:hint="eastAsia" w:ascii="仿宋_GB2312" w:hAnsi="Times New Roman" w:cs="Times New Roman"/>
          <w:b w:val="0"/>
          <w:bCs/>
          <w:color w:val="auto"/>
          <w:szCs w:val="30"/>
          <w:lang w:eastAsia="zh-CN"/>
        </w:rPr>
        <w:t>一</w:t>
      </w:r>
      <w:r>
        <w:rPr>
          <w:rFonts w:hint="eastAsia" w:ascii="仿宋_GB2312" w:hAnsi="Times New Roman" w:cs="Times New Roman"/>
          <w:b w:val="0"/>
          <w:bCs/>
          <w:color w:val="auto"/>
          <w:szCs w:val="30"/>
        </w:rPr>
        <w:t>般债务收入主要包括：一般债券（转贷）收入、国际金融组织贷款转贷收入、外国政府贷款转贷收入。</w:t>
      </w:r>
    </w:p>
    <w:p>
      <w:pPr>
        <w:pStyle w:val="4"/>
        <w:numPr>
          <w:ilvl w:val="0"/>
          <w:numId w:val="2"/>
        </w:numPr>
        <w:snapToGrid/>
        <w:spacing w:line="600" w:lineRule="exact"/>
        <w:ind w:left="0" w:firstLine="600"/>
        <w:contextualSpacing/>
        <w:rPr>
          <w:rFonts w:hint="eastAsia" w:ascii="仿宋_GB2312" w:hAnsi="Times New Roman" w:cs="Times New Roman"/>
          <w:color w:val="auto"/>
        </w:rPr>
      </w:pPr>
      <w:r>
        <w:rPr>
          <w:rFonts w:hint="eastAsia" w:ascii="仿宋_GB2312" w:hAnsi="Times New Roman" w:cs="Times New Roman"/>
          <w:color w:val="auto"/>
        </w:rPr>
        <w:t>一般债务收入应当在一般公共预算收入合计线下反映，省级列入“一般债务收入”下对应的预算科目，</w:t>
      </w:r>
      <w:r>
        <w:rPr>
          <w:rFonts w:hint="eastAsia" w:ascii="仿宋_GB2312" w:hAnsi="Times New Roman" w:cs="Times New Roman"/>
          <w:color w:val="auto"/>
          <w:szCs w:val="30"/>
          <w:lang w:eastAsia="zh-CN"/>
        </w:rPr>
        <w:t>州（市）</w:t>
      </w:r>
      <w:r>
        <w:rPr>
          <w:rFonts w:hint="eastAsia" w:ascii="仿宋_GB2312" w:hAnsi="Times New Roman" w:cs="Times New Roman"/>
          <w:color w:val="auto"/>
          <w:szCs w:val="30"/>
        </w:rPr>
        <w:t>县</w:t>
      </w:r>
      <w:r>
        <w:rPr>
          <w:rFonts w:hint="eastAsia" w:ascii="仿宋_GB2312" w:hAnsi="Times New Roman" w:cs="Times New Roman"/>
          <w:color w:val="auto"/>
        </w:rPr>
        <w:t>级列入“地方政府一般债务转贷收入”下对应的预算科目。</w:t>
      </w:r>
    </w:p>
    <w:p>
      <w:pPr>
        <w:pStyle w:val="4"/>
        <w:numPr>
          <w:ilvl w:val="0"/>
          <w:numId w:val="2"/>
        </w:numPr>
        <w:snapToGrid/>
        <w:spacing w:line="600" w:lineRule="exact"/>
        <w:ind w:left="0" w:firstLine="600"/>
        <w:contextualSpacing/>
        <w:rPr>
          <w:rFonts w:hint="eastAsia" w:ascii="仿宋_GB2312" w:hAnsi="Times New Roman" w:cs="Times New Roman"/>
          <w:color w:val="auto"/>
          <w:szCs w:val="30"/>
        </w:rPr>
      </w:pPr>
      <w:r>
        <w:rPr>
          <w:rFonts w:hint="eastAsia" w:ascii="仿宋_GB2312" w:hAnsi="Times New Roman" w:cs="Times New Roman"/>
          <w:color w:val="auto"/>
          <w:szCs w:val="30"/>
          <w:lang w:eastAsia="zh-CN"/>
        </w:rPr>
        <w:t>一般</w:t>
      </w:r>
      <w:r>
        <w:rPr>
          <w:rFonts w:hint="eastAsia" w:ascii="仿宋_GB2312" w:hAnsi="Times New Roman" w:cs="Times New Roman"/>
          <w:color w:val="auto"/>
          <w:szCs w:val="30"/>
        </w:rPr>
        <w:t>债务支出主要包括：一般债务转贷支出、一般债务收入安排的项目支出</w:t>
      </w:r>
      <w:r>
        <w:rPr>
          <w:rFonts w:hint="eastAsia" w:ascii="仿宋_GB2312" w:hAnsi="Times New Roman" w:cs="Times New Roman"/>
          <w:color w:val="auto"/>
          <w:szCs w:val="30"/>
          <w:lang w:eastAsia="zh-CN"/>
        </w:rPr>
        <w:t>，</w:t>
      </w:r>
      <w:r>
        <w:rPr>
          <w:rFonts w:hint="eastAsia" w:ascii="仿宋_GB2312" w:hAnsi="Times New Roman" w:cs="Times New Roman"/>
          <w:color w:val="auto"/>
          <w:szCs w:val="30"/>
        </w:rPr>
        <w:t>一般债务还本支出、一般债务付息支出、一般债务发行费用支出等。其中：一般债务转贷支出包括一般债券转贷支出、国际金融组织贷款转贷支出、外国政府贷款转贷支出；一般债务还本支出包括一般债券还本支出、国际金融组织贷款还本支出、外国政府贷款还本支出、其他一般债务还本支出</w:t>
      </w:r>
      <w:r>
        <w:rPr>
          <w:rFonts w:hint="eastAsia" w:ascii="仿宋_GB2312" w:hAnsi="Times New Roman" w:cs="Times New Roman"/>
          <w:color w:val="auto"/>
          <w:szCs w:val="30"/>
          <w:lang w:eastAsia="zh-CN"/>
        </w:rPr>
        <w:t>。</w:t>
      </w:r>
    </w:p>
    <w:p>
      <w:pPr>
        <w:pStyle w:val="4"/>
        <w:numPr>
          <w:ilvl w:val="0"/>
          <w:numId w:val="2"/>
        </w:numPr>
        <w:snapToGrid/>
        <w:spacing w:line="600" w:lineRule="exact"/>
        <w:ind w:left="0" w:firstLine="600"/>
        <w:contextualSpacing/>
        <w:rPr>
          <w:rFonts w:ascii="仿宋_GB2312" w:hAnsi="Times New Roman" w:cs="Times New Roman"/>
          <w:color w:val="auto"/>
          <w:szCs w:val="30"/>
        </w:rPr>
      </w:pPr>
      <w:r>
        <w:rPr>
          <w:rFonts w:hint="eastAsia" w:ascii="仿宋_GB2312" w:hAnsi="Times New Roman" w:cs="Times New Roman"/>
          <w:color w:val="auto"/>
          <w:szCs w:val="30"/>
        </w:rPr>
        <w:t>增加举借一般债务安排的支出应当列入预算调整方案，包括本级支出和转贷下级支出</w:t>
      </w:r>
      <w:r>
        <w:rPr>
          <w:rFonts w:hint="eastAsia" w:ascii="仿宋_GB2312" w:hAnsi="Times New Roman" w:cs="Times New Roman"/>
          <w:color w:val="auto"/>
          <w:szCs w:val="30"/>
          <w:lang w:eastAsia="zh-CN"/>
        </w:rPr>
        <w:t>，本级支出的</w:t>
      </w:r>
      <w:r>
        <w:rPr>
          <w:rFonts w:hint="eastAsia" w:ascii="仿宋_GB2312" w:hAnsi="Times New Roman" w:cs="Times New Roman"/>
          <w:color w:val="auto"/>
        </w:rPr>
        <w:t>应当明确到具体项目，</w:t>
      </w:r>
      <w:r>
        <w:rPr>
          <w:rFonts w:hint="eastAsia" w:ascii="仿宋_GB2312"/>
          <w:bCs w:val="0"/>
          <w:color w:val="auto"/>
        </w:rPr>
        <w:t>纳入财政支出预算项目库管理，并与中期财政规划相衔接。</w:t>
      </w:r>
    </w:p>
    <w:p>
      <w:pPr>
        <w:pStyle w:val="4"/>
        <w:snapToGrid/>
        <w:spacing w:line="600" w:lineRule="exact"/>
        <w:ind w:firstLine="600" w:firstLineChars="200"/>
        <w:rPr>
          <w:rFonts w:ascii="仿宋_GB2312" w:hAnsi="Times New Roman" w:cs="Times New Roman"/>
          <w:color w:val="auto"/>
        </w:rPr>
      </w:pPr>
      <w:r>
        <w:rPr>
          <w:rFonts w:hint="eastAsia" w:ascii="仿宋_GB2312" w:hAnsi="Times New Roman" w:cs="Times New Roman"/>
          <w:color w:val="auto"/>
          <w:szCs w:val="30"/>
        </w:rPr>
        <w:t>一般债务安排本级的支出，</w:t>
      </w:r>
      <w:r>
        <w:rPr>
          <w:rFonts w:hint="eastAsia" w:ascii="仿宋_GB2312" w:hAnsi="Times New Roman" w:cs="Times New Roman"/>
          <w:color w:val="auto"/>
        </w:rPr>
        <w:t>应当在一般公共预算支出合计线上反映，根据支出用途列入相关预算科目；转贷下级支出应当在一般公共预算支出合计线下反映，列入“债务转贷支出”下对应的预算科目。</w:t>
      </w:r>
    </w:p>
    <w:p>
      <w:pPr>
        <w:pStyle w:val="4"/>
        <w:numPr>
          <w:ilvl w:val="0"/>
          <w:numId w:val="2"/>
        </w:numPr>
        <w:snapToGrid/>
        <w:spacing w:line="600" w:lineRule="exact"/>
        <w:ind w:left="0" w:firstLine="600" w:firstLineChars="200"/>
        <w:contextualSpacing/>
        <w:rPr>
          <w:rFonts w:ascii="仿宋_GB2312" w:hAnsi="Times New Roman" w:cs="Times New Roman"/>
          <w:color w:val="auto"/>
          <w:szCs w:val="30"/>
        </w:rPr>
      </w:pPr>
      <w:r>
        <w:rPr>
          <w:rFonts w:hint="eastAsia" w:ascii="仿宋_GB2312" w:hAnsi="Times New Roman" w:cs="Times New Roman"/>
          <w:color w:val="auto"/>
          <w:szCs w:val="30"/>
        </w:rPr>
        <w:t>一般债务还本支出应当根据</w:t>
      </w:r>
      <w:r>
        <w:rPr>
          <w:rFonts w:hint="eastAsia" w:ascii="仿宋_GB2312" w:hAnsi="Times New Roman" w:cs="Times New Roman"/>
          <w:color w:val="auto"/>
        </w:rPr>
        <w:t>当年到期一般债务规模、一般公共预算财力等因素合理预计、妥善安排，并</w:t>
      </w:r>
      <w:r>
        <w:rPr>
          <w:rFonts w:hint="eastAsia" w:ascii="仿宋_GB2312" w:hAnsi="Times New Roman" w:cs="Times New Roman"/>
          <w:color w:val="auto"/>
          <w:szCs w:val="30"/>
        </w:rPr>
        <w:t>列入年度预算草案。</w:t>
      </w:r>
    </w:p>
    <w:p>
      <w:pPr>
        <w:pStyle w:val="4"/>
        <w:snapToGrid/>
        <w:spacing w:line="600" w:lineRule="exact"/>
        <w:ind w:firstLine="600" w:firstLineChars="200"/>
        <w:rPr>
          <w:rFonts w:ascii="仿宋_GB2312" w:hAnsi="Times New Roman" w:cs="Times New Roman"/>
          <w:color w:val="auto"/>
          <w:szCs w:val="30"/>
        </w:rPr>
      </w:pPr>
      <w:r>
        <w:rPr>
          <w:rFonts w:hint="eastAsia" w:ascii="仿宋_GB2312" w:hAnsi="Times New Roman" w:cs="Times New Roman"/>
          <w:color w:val="auto"/>
          <w:szCs w:val="30"/>
        </w:rPr>
        <w:t>一般债务还本支出应当在一般公共预算支出合计线下反映，列入“地方政府一般债务还本支出”</w:t>
      </w:r>
      <w:r>
        <w:rPr>
          <w:rFonts w:hint="eastAsia" w:ascii="仿宋_GB2312" w:hAnsi="Times New Roman" w:cs="Times New Roman"/>
          <w:color w:val="auto"/>
        </w:rPr>
        <w:t>下对应的</w:t>
      </w:r>
      <w:r>
        <w:rPr>
          <w:rFonts w:hint="eastAsia" w:ascii="仿宋_GB2312" w:hAnsi="Times New Roman" w:cs="Times New Roman"/>
          <w:color w:val="auto"/>
          <w:szCs w:val="30"/>
        </w:rPr>
        <w:t>预算科目。</w:t>
      </w:r>
    </w:p>
    <w:p>
      <w:pPr>
        <w:pStyle w:val="4"/>
        <w:numPr>
          <w:ilvl w:val="0"/>
          <w:numId w:val="2"/>
        </w:numPr>
        <w:snapToGrid/>
        <w:spacing w:line="600" w:lineRule="exact"/>
        <w:ind w:left="0" w:firstLine="600"/>
        <w:contextualSpacing/>
        <w:rPr>
          <w:rFonts w:ascii="仿宋_GB2312" w:hAnsi="Times New Roman" w:cs="Times New Roman"/>
          <w:color w:val="auto"/>
          <w:szCs w:val="30"/>
        </w:rPr>
      </w:pPr>
      <w:r>
        <w:rPr>
          <w:rFonts w:hint="eastAsia" w:ascii="仿宋_GB2312" w:hAnsi="Times New Roman" w:cs="Times New Roman"/>
          <w:color w:val="auto"/>
          <w:szCs w:val="30"/>
        </w:rPr>
        <w:t>一般债务利息和发行费用应当根据一般债务规模、利率、费率等情况合理预计，并列入一般公共预算支出统筹安排。</w:t>
      </w:r>
    </w:p>
    <w:p>
      <w:pPr>
        <w:pStyle w:val="4"/>
        <w:snapToGrid/>
        <w:spacing w:line="600" w:lineRule="exact"/>
        <w:ind w:firstLine="600" w:firstLineChars="200"/>
        <w:contextualSpacing/>
        <w:rPr>
          <w:rFonts w:hint="eastAsia" w:ascii="仿宋_GB2312" w:hAnsi="Times New Roman" w:cs="Times New Roman"/>
          <w:color w:val="auto"/>
          <w:szCs w:val="30"/>
        </w:rPr>
      </w:pPr>
      <w:r>
        <w:rPr>
          <w:rFonts w:hint="eastAsia" w:ascii="仿宋_GB2312" w:hAnsi="Times New Roman" w:cs="Times New Roman"/>
          <w:color w:val="auto"/>
          <w:szCs w:val="30"/>
        </w:rPr>
        <w:t>一般债务利息、发行费用支出应当在一般公共预算支出合计线上反映。一般债务利息支出列入“地方政府一般债务付息支出”</w:t>
      </w:r>
      <w:r>
        <w:rPr>
          <w:rFonts w:hint="eastAsia" w:ascii="仿宋_GB2312" w:hAnsi="Times New Roman" w:cs="Times New Roman"/>
          <w:color w:val="auto"/>
        </w:rPr>
        <w:t>下对应的</w:t>
      </w:r>
      <w:r>
        <w:rPr>
          <w:rFonts w:hint="eastAsia" w:ascii="仿宋_GB2312" w:hAnsi="Times New Roman" w:cs="Times New Roman"/>
          <w:color w:val="auto"/>
          <w:szCs w:val="30"/>
        </w:rPr>
        <w:t>预算科目，发行费用支出列入“地方政府一般债务发行费用支出”</w:t>
      </w:r>
      <w:r>
        <w:rPr>
          <w:rFonts w:hint="eastAsia" w:ascii="仿宋_GB2312" w:hAnsi="Times New Roman" w:cs="Times New Roman"/>
          <w:color w:val="auto"/>
        </w:rPr>
        <w:t>下对应的</w:t>
      </w:r>
      <w:r>
        <w:rPr>
          <w:rFonts w:hint="eastAsia" w:ascii="仿宋_GB2312" w:hAnsi="Times New Roman" w:cs="Times New Roman"/>
          <w:color w:val="auto"/>
          <w:szCs w:val="30"/>
        </w:rPr>
        <w:t>预算科目。</w:t>
      </w:r>
    </w:p>
    <w:p>
      <w:pPr>
        <w:pStyle w:val="4"/>
        <w:numPr>
          <w:ilvl w:val="0"/>
          <w:numId w:val="2"/>
        </w:numPr>
        <w:snapToGrid/>
        <w:spacing w:line="600" w:lineRule="exact"/>
        <w:ind w:left="0" w:firstLine="600"/>
        <w:contextualSpacing/>
        <w:rPr>
          <w:rFonts w:ascii="仿宋_GB2312" w:hAnsi="Times New Roman" w:cs="Times New Roman"/>
          <w:color w:val="auto"/>
          <w:szCs w:val="30"/>
          <w:highlight w:val="none"/>
        </w:rPr>
      </w:pPr>
      <w:r>
        <w:rPr>
          <w:rFonts w:hint="eastAsia" w:ascii="仿宋_GB2312" w:hAnsi="Times New Roman" w:cs="Times New Roman"/>
          <w:color w:val="auto"/>
          <w:szCs w:val="30"/>
        </w:rPr>
        <w:t>增加举借一般债务和相应安排的支出，财政部门负责具体编制一般公共预算</w:t>
      </w:r>
      <w:r>
        <w:rPr>
          <w:rFonts w:hint="eastAsia" w:ascii="仿宋_GB2312" w:hAnsi="Times New Roman" w:cs="Times New Roman"/>
          <w:color w:val="auto"/>
          <w:szCs w:val="30"/>
          <w:lang w:eastAsia="zh-CN"/>
        </w:rPr>
        <w:t>专项</w:t>
      </w:r>
      <w:r>
        <w:rPr>
          <w:rFonts w:hint="eastAsia" w:ascii="仿宋_GB2312" w:hAnsi="Times New Roman" w:cs="Times New Roman"/>
          <w:color w:val="auto"/>
          <w:szCs w:val="30"/>
        </w:rPr>
        <w:t>调整方案，由本级政府提请本级人民代表大会常务委员会批准。</w:t>
      </w:r>
    </w:p>
    <w:p>
      <w:pPr>
        <w:pStyle w:val="4"/>
        <w:numPr>
          <w:ilvl w:val="0"/>
          <w:numId w:val="2"/>
        </w:numPr>
        <w:snapToGrid/>
        <w:spacing w:line="600" w:lineRule="exact"/>
        <w:ind w:left="0" w:firstLine="600"/>
        <w:contextualSpacing/>
        <w:rPr>
          <w:rFonts w:ascii="仿宋_GB2312" w:hAnsi="Times New Roman" w:cs="Times New Roman"/>
          <w:color w:val="auto"/>
          <w:szCs w:val="30"/>
          <w:highlight w:val="none"/>
        </w:rPr>
      </w:pPr>
      <w:r>
        <w:rPr>
          <w:rFonts w:hint="eastAsia" w:ascii="仿宋_GB2312" w:hAnsi="Times New Roman" w:cs="Times New Roman"/>
          <w:color w:val="auto"/>
          <w:szCs w:val="30"/>
        </w:rPr>
        <w:t>一般债务转贷下级政府的，</w:t>
      </w:r>
      <w:r>
        <w:rPr>
          <w:rFonts w:hint="eastAsia" w:ascii="仿宋_GB2312" w:hAnsi="Times New Roman" w:cs="Times New Roman"/>
          <w:color w:val="auto"/>
          <w:szCs w:val="30"/>
          <w:lang w:eastAsia="zh-CN"/>
        </w:rPr>
        <w:t>省财政厅</w:t>
      </w:r>
      <w:r>
        <w:rPr>
          <w:rFonts w:hint="eastAsia" w:ascii="仿宋_GB2312" w:hAnsi="Times New Roman" w:cs="Times New Roman"/>
          <w:color w:val="auto"/>
          <w:szCs w:val="30"/>
        </w:rPr>
        <w:t>在</w:t>
      </w:r>
      <w:r>
        <w:rPr>
          <w:rFonts w:hint="eastAsia" w:ascii="仿宋_GB2312" w:hAnsi="Times New Roman" w:cs="Times New Roman"/>
          <w:color w:val="auto"/>
          <w:szCs w:val="30"/>
          <w:lang w:eastAsia="zh-CN"/>
        </w:rPr>
        <w:t>省</w:t>
      </w:r>
      <w:r>
        <w:rPr>
          <w:rFonts w:hint="eastAsia" w:ascii="仿宋_GB2312" w:hAnsi="Times New Roman" w:cs="Times New Roman"/>
          <w:color w:val="auto"/>
          <w:szCs w:val="30"/>
        </w:rPr>
        <w:t>人民代表大会常务委员会批准后，及时将一般债务转贷的预算下达有关</w:t>
      </w:r>
      <w:r>
        <w:rPr>
          <w:rFonts w:hint="eastAsia" w:ascii="仿宋_GB2312" w:hAnsi="Times New Roman" w:cs="Times New Roman"/>
          <w:color w:val="auto"/>
          <w:szCs w:val="30"/>
          <w:lang w:eastAsia="zh-CN"/>
        </w:rPr>
        <w:t>州（市）县</w:t>
      </w:r>
      <w:r>
        <w:rPr>
          <w:rFonts w:hint="eastAsia" w:ascii="仿宋_GB2312" w:hAnsi="Times New Roman" w:cs="Times New Roman"/>
          <w:color w:val="auto"/>
          <w:szCs w:val="30"/>
        </w:rPr>
        <w:t>财政部门。</w:t>
      </w:r>
      <w:r>
        <w:rPr>
          <w:rFonts w:hint="eastAsia" w:ascii="仿宋_GB2312" w:hAnsi="Times New Roman" w:cs="Times New Roman"/>
          <w:color w:val="auto"/>
          <w:szCs w:val="30"/>
          <w:highlight w:val="none"/>
          <w:lang w:eastAsia="zh-CN"/>
        </w:rPr>
        <w:t>州（市）级财政部门要及时将一般债务转贷预算分解下达相关县（市、区）财政部门。</w:t>
      </w:r>
    </w:p>
    <w:p>
      <w:pPr>
        <w:pStyle w:val="4"/>
        <w:snapToGrid/>
        <w:spacing w:line="600" w:lineRule="exact"/>
        <w:ind w:firstLine="600" w:firstLineChars="200"/>
        <w:contextualSpacing/>
        <w:rPr>
          <w:rFonts w:ascii="仿宋_GB2312" w:hAnsi="Times New Roman" w:cs="Times New Roman"/>
          <w:color w:val="auto"/>
          <w:szCs w:val="30"/>
        </w:rPr>
      </w:pPr>
      <w:r>
        <w:rPr>
          <w:rFonts w:hint="eastAsia" w:ascii="仿宋_GB2312" w:hAnsi="Times New Roman" w:cs="Times New Roman"/>
          <w:color w:val="auto"/>
          <w:szCs w:val="30"/>
        </w:rPr>
        <w:t>接受一般债务转贷的</w:t>
      </w:r>
      <w:r>
        <w:rPr>
          <w:rFonts w:hint="eastAsia" w:ascii="仿宋_GB2312" w:hAnsi="Times New Roman" w:cs="Times New Roman"/>
          <w:color w:val="auto"/>
          <w:szCs w:val="30"/>
          <w:lang w:eastAsia="zh-CN"/>
        </w:rPr>
        <w:t>州（市）</w:t>
      </w:r>
      <w:r>
        <w:rPr>
          <w:rFonts w:hint="eastAsia" w:ascii="仿宋_GB2312" w:hAnsi="Times New Roman" w:cs="Times New Roman"/>
          <w:color w:val="auto"/>
          <w:szCs w:val="30"/>
        </w:rPr>
        <w:t>县级政府在本级人民代表大会或其常务委员会批准后，应当及时与</w:t>
      </w:r>
      <w:r>
        <w:rPr>
          <w:rFonts w:hint="eastAsia" w:ascii="仿宋_GB2312" w:hAnsi="Times New Roman" w:cs="Times New Roman"/>
          <w:color w:val="auto"/>
          <w:szCs w:val="30"/>
          <w:lang w:eastAsia="zh-CN"/>
        </w:rPr>
        <w:t>省财政厅</w:t>
      </w:r>
      <w:r>
        <w:rPr>
          <w:rFonts w:hint="eastAsia" w:ascii="仿宋_GB2312" w:hAnsi="Times New Roman" w:cs="Times New Roman"/>
          <w:color w:val="auto"/>
          <w:szCs w:val="30"/>
        </w:rPr>
        <w:t>签订转贷协议。</w:t>
      </w:r>
    </w:p>
    <w:p>
      <w:pPr>
        <w:ind w:firstLine="600"/>
        <w:rPr>
          <w:color w:val="auto"/>
        </w:rPr>
      </w:pPr>
    </w:p>
    <w:p>
      <w:pPr>
        <w:pStyle w:val="3"/>
        <w:numPr>
          <w:ilvl w:val="0"/>
          <w:numId w:val="1"/>
        </w:numPr>
        <w:spacing w:beforeLines="0" w:afterLines="0"/>
        <w:ind w:left="0" w:firstLine="0"/>
        <w:rPr>
          <w:rFonts w:ascii="黑体" w:hAnsi="黑体" w:cs="Times New Roman"/>
          <w:b w:val="0"/>
          <w:color w:val="auto"/>
          <w:szCs w:val="30"/>
        </w:rPr>
      </w:pPr>
      <w:r>
        <w:rPr>
          <w:rFonts w:hint="eastAsia" w:ascii="黑体" w:hAnsi="黑体" w:cs="Times New Roman"/>
          <w:b w:val="0"/>
          <w:color w:val="auto"/>
          <w:szCs w:val="30"/>
        </w:rPr>
        <w:t>预算</w:t>
      </w:r>
      <w:r>
        <w:rPr>
          <w:rFonts w:hint="eastAsia" w:ascii="黑体" w:hAnsi="黑体" w:cs="Times New Roman"/>
          <w:b w:val="0"/>
          <w:color w:val="auto"/>
          <w:szCs w:val="30"/>
          <w:lang w:eastAsia="zh-CN"/>
        </w:rPr>
        <w:t>执行和决算</w:t>
      </w:r>
    </w:p>
    <w:p>
      <w:pPr>
        <w:rPr>
          <w:color w:val="auto"/>
        </w:rPr>
      </w:pPr>
    </w:p>
    <w:p>
      <w:pPr>
        <w:pStyle w:val="4"/>
        <w:numPr>
          <w:ilvl w:val="0"/>
          <w:numId w:val="2"/>
        </w:numPr>
        <w:snapToGrid/>
        <w:spacing w:line="600" w:lineRule="exact"/>
        <w:ind w:left="0" w:firstLine="600"/>
        <w:contextualSpacing/>
        <w:rPr>
          <w:rFonts w:hint="eastAsia" w:ascii="仿宋_GB2312" w:hAnsi="Times New Roman" w:cs="Times New Roman"/>
          <w:color w:val="auto"/>
          <w:szCs w:val="30"/>
          <w:u w:val="none" w:color="auto"/>
        </w:rPr>
      </w:pPr>
      <w:r>
        <w:rPr>
          <w:rFonts w:hint="eastAsia" w:ascii="仿宋_GB2312" w:hAnsi="Times New Roman" w:cs="Times New Roman"/>
          <w:color w:val="auto"/>
          <w:szCs w:val="30"/>
          <w:u w:val="none" w:color="auto"/>
          <w:lang w:eastAsia="zh-CN"/>
        </w:rPr>
        <w:t>各级</w:t>
      </w:r>
      <w:r>
        <w:rPr>
          <w:rFonts w:hint="eastAsia" w:ascii="仿宋_GB2312" w:hAnsi="Times New Roman" w:cs="Times New Roman"/>
          <w:color w:val="auto"/>
          <w:szCs w:val="30"/>
          <w:u w:val="none" w:color="auto"/>
        </w:rPr>
        <w:t>财政部门负责组织本级</w:t>
      </w:r>
      <w:r>
        <w:rPr>
          <w:rFonts w:hint="eastAsia" w:ascii="仿宋_GB2312" w:hAnsi="Times New Roman" w:cs="Times New Roman"/>
          <w:color w:val="auto"/>
          <w:szCs w:val="30"/>
          <w:u w:val="none" w:color="auto"/>
          <w:lang w:eastAsia="zh-CN"/>
        </w:rPr>
        <w:t>一般</w:t>
      </w:r>
      <w:r>
        <w:rPr>
          <w:rFonts w:hint="eastAsia" w:ascii="仿宋_GB2312" w:hAnsi="Times New Roman" w:cs="Times New Roman"/>
          <w:color w:val="auto"/>
          <w:szCs w:val="30"/>
          <w:u w:val="none" w:color="auto"/>
        </w:rPr>
        <w:t>债务预算执行，加强</w:t>
      </w:r>
      <w:r>
        <w:rPr>
          <w:rFonts w:hint="eastAsia" w:ascii="仿宋_GB2312" w:hAnsi="Times New Roman" w:cs="Times New Roman"/>
          <w:color w:val="auto"/>
          <w:szCs w:val="30"/>
          <w:u w:val="none" w:color="auto"/>
          <w:lang w:eastAsia="zh-CN"/>
        </w:rPr>
        <w:t>一般</w:t>
      </w:r>
      <w:r>
        <w:rPr>
          <w:rFonts w:hint="eastAsia" w:ascii="仿宋_GB2312" w:hAnsi="Times New Roman" w:cs="Times New Roman"/>
          <w:color w:val="auto"/>
          <w:szCs w:val="30"/>
          <w:u w:val="none" w:color="auto"/>
        </w:rPr>
        <w:t>债务收入的组织。相关部门（单位）负责本部门（单位）的</w:t>
      </w:r>
      <w:r>
        <w:rPr>
          <w:rFonts w:hint="eastAsia" w:ascii="仿宋_GB2312" w:hAnsi="Times New Roman" w:cs="Times New Roman"/>
          <w:color w:val="auto"/>
          <w:szCs w:val="30"/>
          <w:u w:val="none" w:color="auto"/>
          <w:lang w:eastAsia="zh-CN"/>
        </w:rPr>
        <w:t>一般</w:t>
      </w:r>
      <w:r>
        <w:rPr>
          <w:rFonts w:hint="eastAsia" w:ascii="仿宋_GB2312" w:hAnsi="Times New Roman" w:cs="Times New Roman"/>
          <w:color w:val="auto"/>
          <w:szCs w:val="30"/>
          <w:u w:val="none" w:color="auto"/>
        </w:rPr>
        <w:t>债务预算执行，加强项目资金管理，未经规定程序批准不得改变资金用途</w:t>
      </w:r>
      <w:r>
        <w:rPr>
          <w:rFonts w:hint="eastAsia" w:ascii="仿宋_GB2312" w:hAnsi="Times New Roman" w:cs="Times New Roman"/>
          <w:color w:val="auto"/>
          <w:szCs w:val="30"/>
          <w:u w:val="none" w:color="auto"/>
          <w:lang w:eastAsia="zh-CN"/>
        </w:rPr>
        <w:t>。</w:t>
      </w:r>
    </w:p>
    <w:p>
      <w:pPr>
        <w:pStyle w:val="4"/>
        <w:numPr>
          <w:ilvl w:val="0"/>
          <w:numId w:val="2"/>
        </w:numPr>
        <w:snapToGrid/>
        <w:spacing w:line="600" w:lineRule="exact"/>
        <w:ind w:left="0" w:firstLine="600"/>
        <w:contextualSpacing/>
        <w:rPr>
          <w:rFonts w:hint="eastAsia" w:ascii="仿宋_GB2312" w:hAnsi="Times New Roman" w:cs="Times New Roman"/>
          <w:color w:val="auto"/>
          <w:szCs w:val="30"/>
        </w:rPr>
      </w:pPr>
      <w:r>
        <w:rPr>
          <w:rFonts w:hint="eastAsia" w:ascii="仿宋_GB2312" w:hAnsi="Times New Roman" w:cs="Times New Roman"/>
          <w:color w:val="auto"/>
          <w:szCs w:val="30"/>
          <w:lang w:eastAsia="zh-CN"/>
        </w:rPr>
        <w:t>预</w:t>
      </w:r>
      <w:r>
        <w:rPr>
          <w:rFonts w:hint="eastAsia" w:ascii="仿宋_GB2312" w:hAnsi="Times New Roman" w:cs="Times New Roman"/>
          <w:color w:val="auto"/>
          <w:szCs w:val="30"/>
        </w:rPr>
        <w:t>算年度开始后，</w:t>
      </w:r>
      <w:r>
        <w:rPr>
          <w:rFonts w:hint="eastAsia" w:ascii="仿宋_GB2312" w:hAnsi="Times New Roman" w:cs="Times New Roman"/>
          <w:color w:val="auto"/>
          <w:szCs w:val="30"/>
          <w:lang w:eastAsia="zh-CN"/>
        </w:rPr>
        <w:t>州（市）县级</w:t>
      </w:r>
      <w:r>
        <w:rPr>
          <w:rFonts w:hint="eastAsia" w:ascii="仿宋_GB2312" w:hAnsi="Times New Roman" w:cs="Times New Roman"/>
          <w:color w:val="auto"/>
          <w:szCs w:val="30"/>
        </w:rPr>
        <w:t>政府在本级人民代表大会批准预算草案前，可以安排下列债务支出：</w:t>
      </w:r>
      <w:r>
        <w:rPr>
          <w:rFonts w:hint="eastAsia" w:ascii="仿宋_GB2312" w:hAnsi="Times New Roman" w:cs="Times New Roman"/>
          <w:color w:val="auto"/>
          <w:szCs w:val="30"/>
        </w:rPr>
        <w:br/>
      </w:r>
      <w:r>
        <w:rPr>
          <w:rFonts w:hint="eastAsia" w:ascii="仿宋_GB2312" w:hAnsi="Times New Roman" w:cs="Times New Roman"/>
          <w:color w:val="auto"/>
          <w:szCs w:val="30"/>
        </w:rPr>
        <w:t>　　（一）上年度</w:t>
      </w:r>
      <w:r>
        <w:rPr>
          <w:rFonts w:hint="eastAsia" w:ascii="仿宋_GB2312" w:hAnsi="Times New Roman" w:cs="Times New Roman"/>
          <w:color w:val="auto"/>
          <w:szCs w:val="30"/>
          <w:lang w:eastAsia="zh-CN"/>
        </w:rPr>
        <w:t>一般</w:t>
      </w:r>
      <w:r>
        <w:rPr>
          <w:rFonts w:hint="eastAsia" w:ascii="仿宋_GB2312" w:hAnsi="Times New Roman" w:cs="Times New Roman"/>
          <w:color w:val="auto"/>
          <w:szCs w:val="30"/>
        </w:rPr>
        <w:t>债务资金结转安排的项目支出；</w:t>
      </w:r>
      <w:r>
        <w:rPr>
          <w:rFonts w:hint="eastAsia" w:ascii="仿宋_GB2312" w:hAnsi="Times New Roman" w:cs="Times New Roman"/>
          <w:color w:val="auto"/>
          <w:szCs w:val="30"/>
        </w:rPr>
        <w:br/>
      </w:r>
      <w:r>
        <w:rPr>
          <w:rFonts w:hint="eastAsia" w:ascii="仿宋_GB2312" w:hAnsi="Times New Roman" w:cs="Times New Roman"/>
          <w:color w:val="auto"/>
          <w:szCs w:val="30"/>
        </w:rPr>
        <w:t>　　（二）按照合同约定的</w:t>
      </w:r>
      <w:r>
        <w:rPr>
          <w:rFonts w:hint="eastAsia" w:ascii="仿宋_GB2312" w:hAnsi="Times New Roman" w:cs="Times New Roman"/>
          <w:color w:val="auto"/>
          <w:szCs w:val="30"/>
          <w:lang w:eastAsia="zh-CN"/>
        </w:rPr>
        <w:t>一般</w:t>
      </w:r>
      <w:r>
        <w:rPr>
          <w:rFonts w:hint="eastAsia" w:ascii="仿宋_GB2312" w:hAnsi="Times New Roman" w:cs="Times New Roman"/>
          <w:color w:val="auto"/>
          <w:szCs w:val="30"/>
        </w:rPr>
        <w:t>债务还本付息支出</w:t>
      </w:r>
      <w:r>
        <w:rPr>
          <w:rFonts w:hint="eastAsia" w:ascii="仿宋_GB2312" w:hAnsi="Times New Roman" w:cs="Times New Roman"/>
          <w:color w:val="auto"/>
          <w:szCs w:val="30"/>
          <w:lang w:eastAsia="zh-CN"/>
        </w:rPr>
        <w:t>。</w:t>
      </w:r>
    </w:p>
    <w:p>
      <w:pPr>
        <w:pStyle w:val="4"/>
        <w:numPr>
          <w:ilvl w:val="0"/>
          <w:numId w:val="2"/>
        </w:numPr>
        <w:snapToGrid/>
        <w:spacing w:line="600" w:lineRule="exact"/>
        <w:ind w:left="0" w:firstLine="600"/>
        <w:contextualSpacing/>
        <w:rPr>
          <w:rFonts w:hint="eastAsia" w:ascii="仿宋_GB2312" w:hAnsi="Times New Roman" w:cs="Times New Roman"/>
          <w:color w:val="auto"/>
          <w:szCs w:val="30"/>
          <w:lang w:eastAsia="zh-CN"/>
        </w:rPr>
      </w:pPr>
      <w:r>
        <w:rPr>
          <w:rFonts w:hint="eastAsia" w:ascii="仿宋_GB2312" w:hAnsi="Times New Roman" w:cs="Times New Roman"/>
          <w:color w:val="auto"/>
          <w:szCs w:val="30"/>
          <w:lang w:eastAsia="zh-CN"/>
        </w:rPr>
        <w:t>一般债务收入应当全部缴入国库管理，支出应当纳入国库集中支付，国际金融组织和外国政府贷款转贷收支按照国家相关规定执行。各州（市）县财政部门应当按照预算安排和项目进度，及时足额拨付债务资金，切实加强债务支出监督管理。任何部门、单位和个人不得截留、挤占、挪用一般债务资金。</w:t>
      </w:r>
    </w:p>
    <w:p>
      <w:pPr>
        <w:pStyle w:val="4"/>
        <w:numPr>
          <w:ilvl w:val="0"/>
          <w:numId w:val="2"/>
        </w:numPr>
        <w:snapToGrid/>
        <w:spacing w:line="600" w:lineRule="exact"/>
        <w:ind w:left="0" w:firstLine="600"/>
        <w:contextualSpacing/>
        <w:rPr>
          <w:rFonts w:ascii="仿宋_GB2312" w:hAnsi="Times New Roman" w:cs="Times New Roman"/>
          <w:color w:val="auto"/>
          <w:szCs w:val="30"/>
        </w:rPr>
      </w:pPr>
      <w:r>
        <w:rPr>
          <w:rFonts w:hint="eastAsia" w:ascii="仿宋_GB2312" w:hAnsi="Times New Roman" w:cs="Times New Roman"/>
          <w:color w:val="auto"/>
          <w:szCs w:val="30"/>
        </w:rPr>
        <w:t>省财政</w:t>
      </w:r>
      <w:r>
        <w:rPr>
          <w:rFonts w:hint="eastAsia" w:ascii="仿宋_GB2312" w:hAnsi="Times New Roman" w:cs="Times New Roman"/>
          <w:color w:val="auto"/>
          <w:szCs w:val="30"/>
          <w:lang w:eastAsia="zh-CN"/>
        </w:rPr>
        <w:t>厅</w:t>
      </w:r>
      <w:r>
        <w:rPr>
          <w:rFonts w:hint="eastAsia" w:ascii="仿宋_GB2312" w:hAnsi="Times New Roman" w:cs="Times New Roman"/>
          <w:color w:val="auto"/>
          <w:szCs w:val="30"/>
        </w:rPr>
        <w:t>统筹考虑本级和</w:t>
      </w:r>
      <w:r>
        <w:rPr>
          <w:rFonts w:hint="eastAsia" w:ascii="仿宋_GB2312" w:hAnsi="Times New Roman" w:cs="Times New Roman"/>
          <w:color w:val="auto"/>
          <w:szCs w:val="30"/>
          <w:lang w:eastAsia="zh-CN"/>
        </w:rPr>
        <w:t>各州（市）</w:t>
      </w:r>
      <w:r>
        <w:rPr>
          <w:rFonts w:hint="eastAsia" w:ascii="仿宋_GB2312" w:hAnsi="Times New Roman" w:cs="Times New Roman"/>
          <w:color w:val="auto"/>
          <w:szCs w:val="30"/>
        </w:rPr>
        <w:t>县情况，根据预算调整方案、偿还一般债务本金需求和债券市场状况等因素，制定全省一般债券发行计划，合理确定期限结构和发行时点。</w:t>
      </w:r>
    </w:p>
    <w:p>
      <w:pPr>
        <w:pStyle w:val="4"/>
        <w:numPr>
          <w:ilvl w:val="0"/>
          <w:numId w:val="2"/>
        </w:numPr>
        <w:snapToGrid/>
        <w:spacing w:line="600" w:lineRule="exact"/>
        <w:ind w:left="0" w:firstLine="600"/>
        <w:contextualSpacing/>
        <w:rPr>
          <w:rFonts w:ascii="仿宋_GB2312" w:hAnsi="Times New Roman" w:cs="Times New Roman"/>
          <w:color w:val="auto"/>
          <w:szCs w:val="30"/>
        </w:rPr>
      </w:pPr>
      <w:r>
        <w:rPr>
          <w:rFonts w:hint="eastAsia" w:ascii="仿宋_GB2312" w:hAnsi="Times New Roman" w:cs="Times New Roman"/>
          <w:color w:val="auto"/>
          <w:szCs w:val="30"/>
        </w:rPr>
        <w:t>省财政</w:t>
      </w:r>
      <w:r>
        <w:rPr>
          <w:rFonts w:hint="eastAsia" w:ascii="仿宋_GB2312" w:hAnsi="Times New Roman" w:cs="Times New Roman"/>
          <w:color w:val="auto"/>
          <w:szCs w:val="30"/>
          <w:lang w:eastAsia="zh-CN"/>
        </w:rPr>
        <w:t>厅</w:t>
      </w:r>
      <w:r>
        <w:rPr>
          <w:rFonts w:hint="eastAsia" w:ascii="仿宋_GB2312" w:hAnsi="Times New Roman" w:cs="Times New Roman"/>
          <w:color w:val="auto"/>
          <w:szCs w:val="30"/>
        </w:rPr>
        <w:t>发行一般债券募集的资金</w:t>
      </w:r>
      <w:r>
        <w:rPr>
          <w:rFonts w:hint="eastAsia" w:ascii="仿宋_GB2312" w:hAnsi="Times New Roman" w:cs="Times New Roman"/>
          <w:color w:val="auto"/>
          <w:szCs w:val="30"/>
          <w:lang w:eastAsia="zh-CN"/>
        </w:rPr>
        <w:t>，</w:t>
      </w:r>
      <w:r>
        <w:rPr>
          <w:rFonts w:hint="eastAsia" w:ascii="仿宋_GB2312" w:hAnsi="Times New Roman" w:cs="Times New Roman"/>
          <w:color w:val="auto"/>
          <w:szCs w:val="30"/>
        </w:rPr>
        <w:t>根据预算安排和还本计划</w:t>
      </w:r>
      <w:r>
        <w:rPr>
          <w:rFonts w:hint="eastAsia" w:ascii="仿宋_GB2312" w:hAnsi="Times New Roman" w:cs="Times New Roman"/>
          <w:color w:val="auto"/>
          <w:szCs w:val="30"/>
          <w:lang w:eastAsia="zh-CN"/>
        </w:rPr>
        <w:t>及时</w:t>
      </w:r>
      <w:r>
        <w:rPr>
          <w:rFonts w:hint="eastAsia" w:ascii="仿宋_GB2312" w:hAnsi="Times New Roman" w:cs="Times New Roman"/>
          <w:color w:val="auto"/>
          <w:szCs w:val="30"/>
        </w:rPr>
        <w:t>拨付。代</w:t>
      </w:r>
      <w:r>
        <w:rPr>
          <w:rFonts w:hint="eastAsia" w:ascii="仿宋_GB2312" w:hAnsi="Times New Roman" w:cs="Times New Roman"/>
          <w:color w:val="auto"/>
          <w:szCs w:val="30"/>
          <w:lang w:eastAsia="zh-CN"/>
        </w:rPr>
        <w:t>州（市）</w:t>
      </w:r>
      <w:r>
        <w:rPr>
          <w:rFonts w:hint="eastAsia" w:ascii="仿宋_GB2312" w:hAnsi="Times New Roman" w:cs="Times New Roman"/>
          <w:color w:val="auto"/>
          <w:szCs w:val="30"/>
        </w:rPr>
        <w:t>县级政府发行一般债券募集的资金，由省财政</w:t>
      </w:r>
      <w:r>
        <w:rPr>
          <w:rFonts w:hint="eastAsia" w:ascii="仿宋_GB2312" w:hAnsi="Times New Roman" w:cs="Times New Roman"/>
          <w:color w:val="auto"/>
          <w:szCs w:val="30"/>
          <w:lang w:eastAsia="zh-CN"/>
        </w:rPr>
        <w:t>厅</w:t>
      </w:r>
      <w:r>
        <w:rPr>
          <w:rFonts w:hint="eastAsia" w:ascii="仿宋_GB2312" w:hAnsi="Times New Roman" w:cs="Times New Roman"/>
          <w:color w:val="auto"/>
          <w:szCs w:val="30"/>
        </w:rPr>
        <w:t>按照转贷协议及时拨付</w:t>
      </w:r>
      <w:r>
        <w:rPr>
          <w:rFonts w:hint="eastAsia" w:ascii="仿宋_GB2312" w:hAnsi="Times New Roman" w:cs="Times New Roman"/>
          <w:color w:val="auto"/>
          <w:szCs w:val="30"/>
          <w:lang w:eastAsia="zh-CN"/>
        </w:rPr>
        <w:t>州（市）</w:t>
      </w:r>
      <w:r>
        <w:rPr>
          <w:rFonts w:hint="eastAsia" w:ascii="仿宋_GB2312" w:hAnsi="Times New Roman" w:cs="Times New Roman"/>
          <w:color w:val="auto"/>
          <w:szCs w:val="30"/>
        </w:rPr>
        <w:t>县级财政部门。</w:t>
      </w:r>
    </w:p>
    <w:p>
      <w:pPr>
        <w:pStyle w:val="4"/>
        <w:numPr>
          <w:ilvl w:val="0"/>
          <w:numId w:val="2"/>
        </w:numPr>
        <w:snapToGrid/>
        <w:spacing w:line="600" w:lineRule="exact"/>
        <w:ind w:left="0" w:firstLine="600"/>
        <w:contextualSpacing/>
        <w:rPr>
          <w:rFonts w:ascii="仿宋_GB2312" w:hAnsi="Times New Roman" w:cs="Times New Roman"/>
          <w:color w:val="auto"/>
          <w:szCs w:val="30"/>
        </w:rPr>
      </w:pPr>
      <w:r>
        <w:rPr>
          <w:rFonts w:hint="eastAsia" w:ascii="仿宋_GB2312" w:hAnsi="Times New Roman" w:cs="Times New Roman"/>
          <w:color w:val="auto"/>
          <w:szCs w:val="30"/>
        </w:rPr>
        <w:t>省财政</w:t>
      </w:r>
      <w:r>
        <w:rPr>
          <w:rFonts w:hint="eastAsia" w:ascii="仿宋_GB2312" w:hAnsi="Times New Roman" w:cs="Times New Roman"/>
          <w:color w:val="auto"/>
          <w:szCs w:val="30"/>
          <w:lang w:eastAsia="zh-CN"/>
        </w:rPr>
        <w:t>厅</w:t>
      </w:r>
      <w:r>
        <w:rPr>
          <w:rFonts w:hint="eastAsia" w:ascii="仿宋_GB2312" w:hAnsi="Times New Roman" w:cs="Times New Roman"/>
          <w:color w:val="auto"/>
          <w:szCs w:val="30"/>
        </w:rPr>
        <w:t>按照规定做好一般债券发行的信息披露和信用评级等相关工作。披露的信息包括一般公共预算财力情况、发行一般债券计划和安排支出项目方案、偿债计划和资金来源，以及其他按照规定应当公开的信息。</w:t>
      </w:r>
    </w:p>
    <w:p>
      <w:pPr>
        <w:pStyle w:val="4"/>
        <w:numPr>
          <w:ilvl w:val="0"/>
          <w:numId w:val="2"/>
        </w:numPr>
        <w:snapToGrid/>
        <w:spacing w:line="600" w:lineRule="exact"/>
        <w:ind w:left="0" w:firstLine="600"/>
        <w:contextualSpacing/>
        <w:rPr>
          <w:rFonts w:ascii="仿宋_GB2312" w:hAnsi="Times New Roman" w:cs="Times New Roman"/>
          <w:color w:val="auto"/>
          <w:szCs w:val="30"/>
        </w:rPr>
      </w:pPr>
      <w:r>
        <w:rPr>
          <w:rFonts w:hint="eastAsia" w:ascii="仿宋_GB2312" w:hAnsi="Times New Roman" w:cs="Times New Roman"/>
          <w:color w:val="auto"/>
          <w:szCs w:val="30"/>
        </w:rPr>
        <w:t>省财政</w:t>
      </w:r>
      <w:r>
        <w:rPr>
          <w:rFonts w:hint="eastAsia" w:ascii="仿宋_GB2312" w:hAnsi="Times New Roman" w:cs="Times New Roman"/>
          <w:color w:val="auto"/>
          <w:szCs w:val="30"/>
          <w:lang w:eastAsia="zh-CN"/>
        </w:rPr>
        <w:t>厅</w:t>
      </w:r>
      <w:r>
        <w:rPr>
          <w:rFonts w:hint="eastAsia" w:ascii="仿宋_GB2312" w:hAnsi="Times New Roman" w:cs="Times New Roman"/>
          <w:color w:val="auto"/>
          <w:szCs w:val="30"/>
        </w:rPr>
        <w:t>在发行一般债券后3个工作日内，将一般债券发行情况报财政部备案，并抄送财政部驻当地财政监察专员办事处（以下简称专员办）。</w:t>
      </w:r>
    </w:p>
    <w:p>
      <w:pPr>
        <w:pStyle w:val="4"/>
        <w:numPr>
          <w:ilvl w:val="0"/>
          <w:numId w:val="2"/>
        </w:numPr>
        <w:snapToGrid/>
        <w:spacing w:line="600" w:lineRule="exact"/>
        <w:ind w:left="0" w:firstLine="600"/>
        <w:contextualSpacing/>
        <w:rPr>
          <w:color w:val="auto"/>
        </w:rPr>
      </w:pPr>
      <w:r>
        <w:rPr>
          <w:rFonts w:hint="eastAsia" w:ascii="仿宋_GB2312" w:hAnsi="Times New Roman" w:cs="Times New Roman"/>
          <w:color w:val="auto"/>
          <w:szCs w:val="30"/>
          <w:lang w:eastAsia="zh-CN"/>
        </w:rPr>
        <w:t>各级</w:t>
      </w:r>
      <w:r>
        <w:rPr>
          <w:rFonts w:hint="eastAsia" w:ascii="仿宋_GB2312" w:hAnsi="Times New Roman" w:cs="Times New Roman"/>
          <w:color w:val="auto"/>
          <w:szCs w:val="30"/>
        </w:rPr>
        <w:t>财政部门应当依据预算调整方案及</w:t>
      </w:r>
      <w:r>
        <w:rPr>
          <w:rFonts w:hint="eastAsia" w:ascii="仿宋_GB2312" w:hAnsi="Times New Roman" w:cs="Times New Roman"/>
          <w:color w:val="auto"/>
          <w:szCs w:val="30"/>
          <w:lang w:eastAsia="zh-CN"/>
        </w:rPr>
        <w:t>一般</w:t>
      </w:r>
      <w:r>
        <w:rPr>
          <w:rFonts w:hint="eastAsia" w:ascii="仿宋_GB2312" w:hAnsi="Times New Roman" w:cs="Times New Roman"/>
          <w:color w:val="auto"/>
          <w:szCs w:val="30"/>
        </w:rPr>
        <w:t>债券发行规定的预算科目和用途，使用</w:t>
      </w:r>
      <w:r>
        <w:rPr>
          <w:rFonts w:hint="eastAsia" w:ascii="仿宋_GB2312" w:hAnsi="Times New Roman" w:cs="Times New Roman"/>
          <w:color w:val="auto"/>
          <w:szCs w:val="30"/>
          <w:lang w:eastAsia="zh-CN"/>
        </w:rPr>
        <w:t>一般</w:t>
      </w:r>
      <w:r>
        <w:rPr>
          <w:rFonts w:hint="eastAsia" w:ascii="仿宋_GB2312" w:hAnsi="Times New Roman" w:cs="Times New Roman"/>
          <w:color w:val="auto"/>
          <w:szCs w:val="30"/>
        </w:rPr>
        <w:t>债券资金。确需调整支出用途的，应当按照规定程序办理。</w:t>
      </w:r>
    </w:p>
    <w:p>
      <w:pPr>
        <w:pStyle w:val="4"/>
        <w:numPr>
          <w:ilvl w:val="0"/>
          <w:numId w:val="2"/>
        </w:numPr>
        <w:snapToGrid/>
        <w:spacing w:line="600" w:lineRule="exact"/>
        <w:ind w:left="0" w:firstLine="600"/>
        <w:contextualSpacing/>
        <w:rPr>
          <w:rFonts w:ascii="仿宋_GB2312" w:hAnsi="Times New Roman" w:cs="Times New Roman"/>
          <w:color w:val="auto"/>
          <w:szCs w:val="30"/>
        </w:rPr>
      </w:pPr>
      <w:r>
        <w:rPr>
          <w:rFonts w:hint="eastAsia" w:ascii="仿宋_GB2312" w:hAnsi="Times New Roman" w:cs="Times New Roman"/>
          <w:color w:val="auto"/>
          <w:szCs w:val="30"/>
        </w:rPr>
        <w:t>省财政</w:t>
      </w:r>
      <w:r>
        <w:rPr>
          <w:rFonts w:hint="eastAsia" w:ascii="仿宋_GB2312" w:hAnsi="Times New Roman" w:cs="Times New Roman"/>
          <w:color w:val="auto"/>
          <w:szCs w:val="30"/>
          <w:lang w:eastAsia="zh-CN"/>
        </w:rPr>
        <w:t>厅</w:t>
      </w:r>
      <w:r>
        <w:rPr>
          <w:rFonts w:hint="eastAsia" w:ascii="仿宋_GB2312" w:hAnsi="Times New Roman" w:cs="Times New Roman"/>
          <w:color w:val="auto"/>
          <w:szCs w:val="30"/>
        </w:rPr>
        <w:t>按照合同约定，及时偿还全省一般债券到期本金、利息以及支付发行费用。</w:t>
      </w:r>
      <w:r>
        <w:rPr>
          <w:rFonts w:hint="eastAsia" w:ascii="仿宋_GB2312" w:hAnsi="Times New Roman" w:cs="Times New Roman"/>
          <w:color w:val="auto"/>
          <w:szCs w:val="30"/>
          <w:lang w:eastAsia="zh-CN"/>
        </w:rPr>
        <w:t>各州</w:t>
      </w:r>
      <w:r>
        <w:rPr>
          <w:rFonts w:hint="eastAsia" w:ascii="仿宋_GB2312" w:hAnsi="Times New Roman" w:cs="Times New Roman"/>
          <w:color w:val="auto"/>
          <w:szCs w:val="30"/>
        </w:rPr>
        <w:t>县财政部门应当按照转贷协议约定，及时向省财政</w:t>
      </w:r>
      <w:r>
        <w:rPr>
          <w:rFonts w:hint="eastAsia" w:ascii="仿宋_GB2312" w:hAnsi="Times New Roman" w:cs="Times New Roman"/>
          <w:color w:val="auto"/>
          <w:szCs w:val="30"/>
          <w:lang w:eastAsia="zh-CN"/>
        </w:rPr>
        <w:t>厅</w:t>
      </w:r>
      <w:r>
        <w:rPr>
          <w:rFonts w:hint="eastAsia" w:ascii="仿宋_GB2312" w:hAnsi="Times New Roman" w:cs="Times New Roman"/>
          <w:color w:val="auto"/>
          <w:szCs w:val="30"/>
        </w:rPr>
        <w:t>缴纳本地区或本级应当承担的还本付息、发行费用等资金。</w:t>
      </w:r>
    </w:p>
    <w:p>
      <w:pPr>
        <w:pStyle w:val="4"/>
        <w:numPr>
          <w:ilvl w:val="0"/>
          <w:numId w:val="2"/>
        </w:numPr>
        <w:snapToGrid/>
        <w:spacing w:line="600" w:lineRule="exact"/>
        <w:ind w:left="0" w:firstLine="600"/>
        <w:contextualSpacing/>
        <w:rPr>
          <w:rFonts w:hint="eastAsia" w:ascii="仿宋_GB2312" w:hAnsi="Times New Roman" w:cs="Times New Roman"/>
          <w:color w:val="auto"/>
          <w:szCs w:val="30"/>
          <w:lang w:eastAsia="zh-CN"/>
        </w:rPr>
      </w:pPr>
      <w:r>
        <w:rPr>
          <w:rFonts w:hint="eastAsia" w:ascii="仿宋_GB2312" w:hAnsi="Times New Roman" w:cs="Times New Roman"/>
          <w:color w:val="auto"/>
          <w:szCs w:val="30"/>
          <w:lang w:eastAsia="zh-CN"/>
        </w:rPr>
        <w:t>各州（市）县财政部门未按时足额向省财政厅缴纳一般债券还本付息资金的，省财政厅将按当期债券票面利率的</w:t>
      </w:r>
      <w:r>
        <w:rPr>
          <w:rFonts w:hint="eastAsia" w:ascii="仿宋_GB2312" w:hAnsi="Times New Roman" w:cs="Times New Roman"/>
          <w:color w:val="auto"/>
          <w:szCs w:val="30"/>
          <w:lang w:val="en-US" w:eastAsia="zh-CN"/>
        </w:rPr>
        <w:t>2</w:t>
      </w:r>
      <w:r>
        <w:rPr>
          <w:rFonts w:hint="eastAsia" w:ascii="仿宋_GB2312" w:hAnsi="Times New Roman" w:cs="Times New Roman"/>
          <w:color w:val="auto"/>
          <w:szCs w:val="30"/>
          <w:lang w:eastAsia="zh-CN"/>
        </w:rPr>
        <w:t>倍折成日息罚息，并在全省范围内进行通报。年度终了仍未缴纳部分，省财政厅采取预算扣减或专项上解方式予以收回。</w:t>
      </w:r>
    </w:p>
    <w:p>
      <w:pPr>
        <w:pStyle w:val="4"/>
        <w:numPr>
          <w:ilvl w:val="0"/>
          <w:numId w:val="2"/>
        </w:numPr>
        <w:snapToGrid/>
        <w:spacing w:line="600" w:lineRule="exact"/>
        <w:ind w:left="0" w:firstLine="600"/>
        <w:contextualSpacing/>
        <w:rPr>
          <w:rFonts w:hint="eastAsia" w:ascii="仿宋_GB2312" w:hAnsi="Times New Roman" w:cs="Times New Roman"/>
          <w:color w:val="auto"/>
          <w:szCs w:val="30"/>
          <w:lang w:eastAsia="zh-CN"/>
        </w:rPr>
      </w:pPr>
      <w:r>
        <w:rPr>
          <w:rFonts w:hint="eastAsia" w:ascii="仿宋_GB2312" w:hAnsi="Times New Roman" w:cs="Times New Roman"/>
          <w:color w:val="auto"/>
          <w:szCs w:val="30"/>
          <w:lang w:eastAsia="zh-CN"/>
        </w:rPr>
        <w:t>一般债务收支按照相关规定进行会计核算。州（市）县级财政部门应当将一般债务收支执行情况，随国库收支月报及时报送财政厅。</w:t>
      </w:r>
    </w:p>
    <w:p>
      <w:pPr>
        <w:pStyle w:val="4"/>
        <w:numPr>
          <w:ilvl w:val="0"/>
          <w:numId w:val="2"/>
        </w:numPr>
        <w:snapToGrid/>
        <w:spacing w:line="600" w:lineRule="exact"/>
        <w:ind w:left="0" w:firstLine="600"/>
        <w:contextualSpacing/>
        <w:rPr>
          <w:rFonts w:hint="eastAsia"/>
          <w:color w:val="auto"/>
          <w:lang w:eastAsia="zh-CN"/>
        </w:rPr>
      </w:pPr>
      <w:r>
        <w:rPr>
          <w:rFonts w:hint="eastAsia" w:ascii="仿宋_GB2312" w:hAnsi="Times New Roman" w:cs="Times New Roman"/>
          <w:color w:val="auto"/>
          <w:szCs w:val="30"/>
          <w:lang w:eastAsia="zh-CN"/>
        </w:rPr>
        <w:t>因债</w:t>
      </w:r>
      <w:r>
        <w:rPr>
          <w:rFonts w:hint="eastAsia" w:ascii="仿宋_GB2312" w:hAnsi="Times New Roman" w:cs="Times New Roman"/>
          <w:color w:val="auto"/>
          <w:szCs w:val="30"/>
        </w:rPr>
        <w:t>权人消失、债务清算重组等原因减少存量</w:t>
      </w:r>
      <w:r>
        <w:rPr>
          <w:rFonts w:hint="eastAsia" w:ascii="仿宋_GB2312" w:hAnsi="Times New Roman" w:cs="Times New Roman"/>
          <w:color w:val="auto"/>
          <w:szCs w:val="30"/>
          <w:lang w:eastAsia="zh-CN"/>
        </w:rPr>
        <w:t>一般</w:t>
      </w:r>
      <w:r>
        <w:rPr>
          <w:rFonts w:hint="eastAsia" w:ascii="仿宋_GB2312" w:hAnsi="Times New Roman" w:cs="Times New Roman"/>
          <w:color w:val="auto"/>
          <w:szCs w:val="30"/>
        </w:rPr>
        <w:t>债务，</w:t>
      </w:r>
      <w:r>
        <w:rPr>
          <w:rFonts w:hint="eastAsia" w:ascii="仿宋_GB2312" w:hAnsi="Times New Roman" w:cs="Times New Roman"/>
          <w:color w:val="auto"/>
          <w:szCs w:val="30"/>
          <w:lang w:eastAsia="zh-CN"/>
        </w:rPr>
        <w:t>州（市）县级</w:t>
      </w:r>
      <w:r>
        <w:rPr>
          <w:rFonts w:hint="eastAsia" w:ascii="仿宋_GB2312" w:hAnsi="Times New Roman" w:cs="Times New Roman"/>
          <w:color w:val="auto"/>
          <w:szCs w:val="30"/>
        </w:rPr>
        <w:t>财政部门应当报本级政府同意后予以核销。对核销</w:t>
      </w:r>
      <w:r>
        <w:rPr>
          <w:rFonts w:hint="eastAsia" w:ascii="仿宋_GB2312" w:hAnsi="Times New Roman" w:cs="Times New Roman"/>
          <w:color w:val="auto"/>
          <w:szCs w:val="30"/>
          <w:lang w:eastAsia="zh-CN"/>
        </w:rPr>
        <w:t>一般</w:t>
      </w:r>
      <w:r>
        <w:rPr>
          <w:rFonts w:hint="eastAsia" w:ascii="仿宋_GB2312" w:hAnsi="Times New Roman" w:cs="Times New Roman"/>
          <w:color w:val="auto"/>
          <w:szCs w:val="30"/>
        </w:rPr>
        <w:t>债务的还本付息支出已列入当年预算安排的，应当相应调整支出预算</w:t>
      </w:r>
      <w:r>
        <w:rPr>
          <w:rFonts w:hint="eastAsia" w:ascii="仿宋_GB2312" w:hAnsi="Times New Roman" w:cs="Times New Roman"/>
          <w:color w:val="auto"/>
          <w:szCs w:val="30"/>
          <w:lang w:eastAsia="zh-CN"/>
        </w:rPr>
        <w:t>。</w:t>
      </w:r>
    </w:p>
    <w:p>
      <w:pPr>
        <w:pStyle w:val="4"/>
        <w:numPr>
          <w:ilvl w:val="0"/>
          <w:numId w:val="2"/>
        </w:numPr>
        <w:snapToGrid/>
        <w:spacing w:line="600" w:lineRule="exact"/>
        <w:ind w:left="0" w:firstLine="600"/>
        <w:contextualSpacing/>
        <w:rPr>
          <w:rFonts w:hint="eastAsia" w:ascii="仿宋_GB2312" w:hAnsi="Times New Roman" w:cs="Times New Roman"/>
          <w:color w:val="auto"/>
          <w:szCs w:val="30"/>
        </w:rPr>
      </w:pPr>
      <w:r>
        <w:rPr>
          <w:rFonts w:hint="eastAsia" w:ascii="仿宋_GB2312" w:hAnsi="Times New Roman" w:cs="Times New Roman"/>
          <w:color w:val="auto"/>
          <w:szCs w:val="30"/>
        </w:rPr>
        <w:t>预算年度终了</w:t>
      </w:r>
      <w:r>
        <w:rPr>
          <w:rFonts w:hint="eastAsia" w:ascii="仿宋_GB2312" w:hAnsi="Times New Roman" w:cs="Times New Roman"/>
          <w:color w:val="auto"/>
          <w:szCs w:val="30"/>
          <w:lang w:eastAsia="zh-CN"/>
        </w:rPr>
        <w:t>，各州（市）县</w:t>
      </w:r>
      <w:r>
        <w:rPr>
          <w:rFonts w:hint="eastAsia" w:ascii="仿宋_GB2312" w:hAnsi="Times New Roman" w:cs="Times New Roman"/>
          <w:color w:val="auto"/>
          <w:szCs w:val="30"/>
        </w:rPr>
        <w:t>财政部门</w:t>
      </w:r>
      <w:r>
        <w:rPr>
          <w:rFonts w:hint="eastAsia" w:ascii="仿宋_GB2312" w:hAnsi="Times New Roman" w:cs="Times New Roman"/>
          <w:color w:val="auto"/>
          <w:szCs w:val="30"/>
          <w:lang w:eastAsia="zh-CN"/>
        </w:rPr>
        <w:t>审核</w:t>
      </w:r>
      <w:r>
        <w:rPr>
          <w:rFonts w:hint="eastAsia" w:ascii="仿宋_GB2312" w:hAnsi="Times New Roman" w:cs="Times New Roman"/>
          <w:color w:val="auto"/>
          <w:szCs w:val="30"/>
        </w:rPr>
        <w:t>编制一般公共预算决算草案时，应当全面、准确反映一般债务收入、安排的支出、还本付息和发行费用等情况。</w:t>
      </w:r>
      <w:r>
        <w:rPr>
          <w:rFonts w:hint="eastAsia" w:ascii="仿宋_GB2312" w:hAnsi="Times New Roman" w:cs="Times New Roman"/>
          <w:color w:val="auto"/>
          <w:szCs w:val="30"/>
          <w:lang w:val="en-US" w:eastAsia="zh-CN"/>
        </w:rPr>
        <w:t>各部门审核汇总编制本部门决算草案时，应当全面、准确反映财政部门用一般债务资金安排本部门的收入、支出情况，并在规定期限内报财政部门</w:t>
      </w:r>
      <w:r>
        <w:rPr>
          <w:rFonts w:hint="eastAsia" w:ascii="仿宋_GB2312" w:hAnsi="Times New Roman" w:cs="Times New Roman"/>
          <w:color w:val="auto"/>
          <w:szCs w:val="30"/>
          <w:lang w:eastAsia="zh-CN"/>
        </w:rPr>
        <w:t>。</w:t>
      </w:r>
    </w:p>
    <w:p>
      <w:pPr>
        <w:pStyle w:val="4"/>
        <w:numPr>
          <w:ilvl w:val="0"/>
          <w:numId w:val="2"/>
        </w:numPr>
        <w:snapToGrid/>
        <w:spacing w:line="600" w:lineRule="exact"/>
        <w:ind w:left="0" w:firstLine="600"/>
        <w:contextualSpacing/>
        <w:rPr>
          <w:rFonts w:ascii="仿宋_GB2312" w:hAnsi="Times New Roman" w:cs="Times New Roman"/>
          <w:color w:val="auto"/>
          <w:szCs w:val="30"/>
        </w:rPr>
      </w:pPr>
      <w:r>
        <w:rPr>
          <w:rFonts w:hint="eastAsia" w:ascii="仿宋_GB2312" w:hAnsi="Times New Roman" w:cs="Times New Roman"/>
          <w:color w:val="auto"/>
          <w:szCs w:val="30"/>
          <w:lang w:eastAsia="zh-CN"/>
        </w:rPr>
        <w:t>各级</w:t>
      </w:r>
      <w:r>
        <w:rPr>
          <w:rFonts w:hint="eastAsia" w:ascii="仿宋_GB2312" w:hAnsi="Times New Roman" w:cs="Times New Roman"/>
          <w:color w:val="auto"/>
          <w:szCs w:val="30"/>
        </w:rPr>
        <w:t>财政部门</w:t>
      </w:r>
      <w:r>
        <w:rPr>
          <w:rFonts w:hint="eastAsia" w:ascii="仿宋_GB2312" w:hAnsi="Times New Roman" w:cs="Times New Roman"/>
          <w:color w:val="auto"/>
          <w:szCs w:val="30"/>
          <w:lang w:eastAsia="zh-CN"/>
        </w:rPr>
        <w:t>应当加强对一般债务运行的分析工作，重点围绕年度中的一般债务收入、还本、付息、财政风险状况等做全面、系统分析。</w:t>
      </w:r>
    </w:p>
    <w:p>
      <w:pPr>
        <w:spacing w:line="600" w:lineRule="exact"/>
        <w:ind w:left="0" w:leftChars="0" w:firstLine="0" w:firstLineChars="0"/>
        <w:rPr>
          <w:rFonts w:ascii="仿宋_GB2312"/>
          <w:color w:val="auto"/>
        </w:rPr>
      </w:pPr>
    </w:p>
    <w:p>
      <w:pPr>
        <w:pStyle w:val="3"/>
        <w:numPr>
          <w:ilvl w:val="0"/>
          <w:numId w:val="1"/>
        </w:numPr>
        <w:spacing w:beforeLines="0" w:afterLines="0"/>
        <w:ind w:left="0" w:firstLine="0"/>
        <w:rPr>
          <w:rFonts w:ascii="黑体" w:hAnsi="黑体" w:cs="Times New Roman"/>
          <w:b w:val="0"/>
          <w:bCs w:val="0"/>
          <w:color w:val="auto"/>
          <w:szCs w:val="30"/>
        </w:rPr>
      </w:pPr>
      <w:r>
        <w:rPr>
          <w:rFonts w:hint="eastAsia" w:ascii="黑体" w:hAnsi="黑体" w:cs="Times New Roman"/>
          <w:b w:val="0"/>
          <w:color w:val="auto"/>
          <w:szCs w:val="30"/>
        </w:rPr>
        <w:t>非债券形式一般债务纳入预算管理</w:t>
      </w:r>
    </w:p>
    <w:p>
      <w:pPr>
        <w:spacing w:line="600" w:lineRule="exact"/>
        <w:ind w:firstLine="600"/>
        <w:jc w:val="center"/>
        <w:rPr>
          <w:rFonts w:ascii="仿宋_GB2312" w:hAnsi="Times New Roman" w:cs="Times New Roman"/>
          <w:bCs/>
          <w:color w:val="auto"/>
          <w:szCs w:val="30"/>
        </w:rPr>
      </w:pPr>
    </w:p>
    <w:p>
      <w:pPr>
        <w:pStyle w:val="4"/>
        <w:numPr>
          <w:ilvl w:val="0"/>
          <w:numId w:val="2"/>
        </w:numPr>
        <w:snapToGrid/>
        <w:spacing w:line="600" w:lineRule="exact"/>
        <w:ind w:left="0" w:firstLine="600"/>
        <w:contextualSpacing/>
        <w:rPr>
          <w:rFonts w:ascii="仿宋_GB2312" w:hAnsi="Times New Roman" w:cs="Times New Roman"/>
          <w:color w:val="auto"/>
          <w:szCs w:val="30"/>
        </w:rPr>
      </w:pPr>
      <w:r>
        <w:rPr>
          <w:rFonts w:hint="eastAsia" w:ascii="仿宋_GB2312" w:hAnsi="Times New Roman" w:cs="Times New Roman"/>
          <w:color w:val="auto"/>
          <w:szCs w:val="30"/>
          <w:lang w:eastAsia="zh-CN"/>
        </w:rPr>
        <w:t>各州（市）县</w:t>
      </w:r>
      <w:r>
        <w:rPr>
          <w:rFonts w:hint="eastAsia" w:ascii="仿宋_GB2312" w:hAnsi="Times New Roman" w:cs="Times New Roman"/>
          <w:color w:val="auto"/>
          <w:szCs w:val="30"/>
        </w:rPr>
        <w:t>财政部门应当将</w:t>
      </w:r>
      <w:r>
        <w:rPr>
          <w:rFonts w:hint="eastAsia" w:ascii="仿宋_GB2312" w:hAnsi="Times New Roman" w:cs="Times New Roman"/>
          <w:color w:val="auto"/>
        </w:rPr>
        <w:t>非债券形式一般债务</w:t>
      </w:r>
      <w:r>
        <w:rPr>
          <w:rFonts w:hint="eastAsia" w:ascii="仿宋_GB2312" w:hAnsi="Times New Roman" w:cs="Times New Roman"/>
          <w:color w:val="auto"/>
          <w:szCs w:val="30"/>
        </w:rPr>
        <w:t>纳入本地区一般债务限额，实行预算管理。</w:t>
      </w:r>
    </w:p>
    <w:p>
      <w:pPr>
        <w:pStyle w:val="4"/>
        <w:snapToGrid/>
        <w:spacing w:line="600" w:lineRule="exact"/>
        <w:ind w:firstLine="600" w:firstLineChars="200"/>
        <w:rPr>
          <w:rFonts w:ascii="仿宋_GB2312" w:hAnsi="Times New Roman" w:cs="Times New Roman"/>
          <w:color w:val="auto"/>
          <w:szCs w:val="30"/>
        </w:rPr>
      </w:pPr>
      <w:r>
        <w:rPr>
          <w:rFonts w:hint="eastAsia" w:ascii="仿宋_GB2312"/>
          <w:color w:val="auto"/>
        </w:rPr>
        <w:t>对非债券形式一般债务，应当由政府、债权人、债务人通过合同方式，约定在国务院规定的期限内置换成一般债券的时限，转移偿还义务。偿还义务转移给地方政府后，</w:t>
      </w:r>
      <w:r>
        <w:rPr>
          <w:rFonts w:hint="eastAsia" w:ascii="仿宋_GB2312"/>
          <w:color w:val="auto"/>
          <w:lang w:eastAsia="zh-CN"/>
        </w:rPr>
        <w:t>当地</w:t>
      </w:r>
      <w:r>
        <w:rPr>
          <w:rFonts w:hint="eastAsia" w:ascii="仿宋_GB2312"/>
          <w:color w:val="auto"/>
        </w:rPr>
        <w:t>财政部门应当根据相关材料登记总预算会计账。</w:t>
      </w:r>
    </w:p>
    <w:p>
      <w:pPr>
        <w:pStyle w:val="4"/>
        <w:numPr>
          <w:ilvl w:val="0"/>
          <w:numId w:val="2"/>
        </w:numPr>
        <w:snapToGrid/>
        <w:spacing w:line="600" w:lineRule="exact"/>
        <w:ind w:left="0" w:firstLine="600"/>
        <w:contextualSpacing/>
        <w:rPr>
          <w:rFonts w:ascii="仿宋_GB2312" w:hAnsi="Times New Roman" w:cs="Times New Roman"/>
          <w:color w:val="auto"/>
          <w:szCs w:val="30"/>
        </w:rPr>
      </w:pPr>
      <w:r>
        <w:rPr>
          <w:rFonts w:hint="eastAsia" w:ascii="仿宋_GB2312" w:hAnsi="Times New Roman" w:cs="Times New Roman"/>
          <w:color w:val="auto"/>
          <w:szCs w:val="30"/>
        </w:rPr>
        <w:t>对</w:t>
      </w:r>
      <w:r>
        <w:rPr>
          <w:rFonts w:hint="eastAsia" w:ascii="仿宋_GB2312" w:hAnsi="Times New Roman" w:cs="Times New Roman"/>
          <w:color w:val="auto"/>
        </w:rPr>
        <w:t>非债券形式一般债务</w:t>
      </w:r>
      <w:r>
        <w:rPr>
          <w:rFonts w:hint="eastAsia" w:ascii="仿宋_GB2312" w:hAnsi="Times New Roman" w:cs="Times New Roman"/>
          <w:color w:val="auto"/>
          <w:szCs w:val="30"/>
        </w:rPr>
        <w:t>，债务人为地方政府及其部门的，应当在国务院规定的期限内置换成一般债券；债务人为企事业单位或个人，且债权人同意在国务院规定的期限内置换成一般债券的，地方政府应当予以置换，债权人不同意在国务院规定的期限内置换成一般债券的，不再计入地方政府债务，由债务人自行偿还，对应的一般债务限额由</w:t>
      </w:r>
      <w:r>
        <w:rPr>
          <w:rFonts w:hint="eastAsia" w:ascii="仿宋_GB2312" w:hAnsi="Times New Roman" w:cs="Times New Roman"/>
          <w:color w:val="auto"/>
          <w:szCs w:val="30"/>
          <w:lang w:eastAsia="zh-CN"/>
        </w:rPr>
        <w:t>省财政厅</w:t>
      </w:r>
      <w:r>
        <w:rPr>
          <w:rFonts w:hint="eastAsia" w:ascii="仿宋_GB2312" w:hAnsi="Times New Roman" w:cs="Times New Roman"/>
          <w:color w:val="auto"/>
          <w:szCs w:val="30"/>
        </w:rPr>
        <w:t>按照程序予以调减。</w:t>
      </w:r>
    </w:p>
    <w:p>
      <w:pPr>
        <w:pStyle w:val="3"/>
        <w:numPr>
          <w:ilvl w:val="0"/>
          <w:numId w:val="1"/>
        </w:numPr>
        <w:spacing w:beforeLines="0" w:afterLines="0"/>
        <w:ind w:left="0" w:firstLine="0"/>
        <w:rPr>
          <w:rFonts w:ascii="仿宋_GB2312" w:hAnsi="Times New Roman" w:cs="Times New Roman"/>
          <w:b w:val="0"/>
          <w:color w:val="auto"/>
          <w:szCs w:val="30"/>
        </w:rPr>
      </w:pPr>
      <w:r>
        <w:rPr>
          <w:rFonts w:hint="eastAsia" w:ascii="仿宋_GB2312" w:hAnsi="Times New Roman" w:cs="Times New Roman"/>
          <w:b w:val="0"/>
          <w:color w:val="auto"/>
          <w:szCs w:val="30"/>
          <w:lang w:eastAsia="zh-CN"/>
        </w:rPr>
        <w:t>资金</w:t>
      </w:r>
      <w:r>
        <w:rPr>
          <w:rFonts w:hint="eastAsia" w:ascii="仿宋_GB2312" w:hAnsi="Times New Roman" w:cs="Times New Roman"/>
          <w:b w:val="0"/>
          <w:color w:val="auto"/>
          <w:szCs w:val="30"/>
        </w:rPr>
        <w:t>管理</w:t>
      </w:r>
    </w:p>
    <w:p>
      <w:pPr>
        <w:ind w:firstLine="600"/>
        <w:rPr>
          <w:rFonts w:ascii="仿宋_GB2312" w:hAnsi="Times New Roman" w:cs="Times New Roman"/>
          <w:color w:val="auto"/>
        </w:rPr>
      </w:pPr>
    </w:p>
    <w:p>
      <w:pPr>
        <w:pStyle w:val="4"/>
        <w:numPr>
          <w:ilvl w:val="0"/>
          <w:numId w:val="2"/>
        </w:numPr>
        <w:snapToGrid/>
        <w:spacing w:line="600" w:lineRule="exact"/>
        <w:ind w:left="0" w:firstLine="600"/>
        <w:contextualSpacing/>
        <w:rPr>
          <w:rFonts w:hint="eastAsia" w:ascii="仿宋_GB2312" w:hAnsi="Times New Roman" w:cs="Times New Roman"/>
          <w:color w:val="auto"/>
          <w:szCs w:val="30"/>
          <w:lang w:eastAsia="zh-CN"/>
        </w:rPr>
      </w:pPr>
      <w:r>
        <w:rPr>
          <w:rFonts w:hint="eastAsia" w:ascii="仿宋_GB2312" w:hAnsi="Times New Roman" w:cs="Times New Roman"/>
          <w:color w:val="auto"/>
          <w:szCs w:val="30"/>
          <w:lang w:eastAsia="zh-CN"/>
        </w:rPr>
        <w:t>一般债务资金应严格按照《财政总预算会计制度》进行核算，及时反映收支和余额变动情况。</w:t>
      </w:r>
    </w:p>
    <w:p>
      <w:pPr>
        <w:pStyle w:val="4"/>
        <w:numPr>
          <w:ilvl w:val="0"/>
          <w:numId w:val="2"/>
        </w:numPr>
        <w:snapToGrid/>
        <w:spacing w:line="600" w:lineRule="exact"/>
        <w:ind w:left="0" w:firstLine="600"/>
        <w:contextualSpacing/>
        <w:rPr>
          <w:rFonts w:hint="eastAsia" w:ascii="仿宋_GB2312" w:hAnsi="Times New Roman" w:cs="Times New Roman"/>
          <w:color w:val="auto"/>
          <w:szCs w:val="30"/>
          <w:lang w:eastAsia="zh-CN"/>
        </w:rPr>
      </w:pPr>
      <w:r>
        <w:rPr>
          <w:rFonts w:hint="eastAsia" w:ascii="仿宋_GB2312" w:hAnsi="Times New Roman" w:cs="Times New Roman"/>
          <w:color w:val="auto"/>
          <w:szCs w:val="30"/>
          <w:lang w:eastAsia="zh-CN"/>
        </w:rPr>
        <w:t>各州（市）县财政部门及省级部门应当及时安排使用一般债券资金，严格控制结转结余。</w:t>
      </w:r>
      <w:r>
        <w:rPr>
          <w:rFonts w:hint="eastAsia" w:ascii="仿宋_GB2312" w:hAnsi="Times New Roman" w:cs="Times New Roman"/>
          <w:color w:val="auto"/>
          <w:szCs w:val="30"/>
          <w:lang w:eastAsia="zh-CN"/>
        </w:rPr>
        <w:br/>
      </w:r>
      <w:r>
        <w:rPr>
          <w:rFonts w:hint="eastAsia" w:ascii="仿宋_GB2312" w:hAnsi="Times New Roman" w:cs="Times New Roman"/>
          <w:color w:val="auto"/>
          <w:szCs w:val="30"/>
          <w:lang w:eastAsia="zh-CN"/>
        </w:rPr>
        <w:t>　　（一）</w:t>
      </w:r>
      <w:r>
        <w:rPr>
          <w:rFonts w:hint="eastAsia" w:ascii="仿宋_GB2312" w:hAnsi="Times New Roman" w:cs="Times New Roman"/>
          <w:color w:val="auto"/>
          <w:szCs w:val="30"/>
        </w:rPr>
        <w:t>新增债券</w:t>
      </w:r>
      <w:r>
        <w:rPr>
          <w:rFonts w:hint="eastAsia" w:ascii="仿宋_GB2312" w:hAnsi="Times New Roman" w:cs="Times New Roman"/>
          <w:color w:val="auto"/>
          <w:szCs w:val="30"/>
          <w:lang w:eastAsia="zh-CN"/>
        </w:rPr>
        <w:t>资金原则上当</w:t>
      </w:r>
      <w:r>
        <w:rPr>
          <w:rFonts w:hint="eastAsia" w:ascii="仿宋_GB2312" w:hAnsi="Times New Roman" w:cs="Times New Roman"/>
          <w:color w:val="auto"/>
          <w:szCs w:val="30"/>
        </w:rPr>
        <w:t>年使用完毕，对在当年不能使用完的一般债券资金，收回本级财政重新安排用于其他项目建设。</w:t>
      </w:r>
      <w:r>
        <w:rPr>
          <w:rFonts w:hint="eastAsia" w:ascii="仿宋_GB2312" w:hAnsi="Times New Roman" w:cs="Times New Roman"/>
          <w:color w:val="auto"/>
          <w:szCs w:val="30"/>
          <w:lang w:eastAsia="zh-CN"/>
        </w:rPr>
        <w:br/>
      </w:r>
      <w:r>
        <w:rPr>
          <w:rFonts w:hint="eastAsia" w:ascii="仿宋_GB2312" w:hAnsi="Times New Roman" w:cs="Times New Roman"/>
          <w:color w:val="auto"/>
          <w:szCs w:val="30"/>
          <w:lang w:eastAsia="zh-CN"/>
        </w:rPr>
        <w:t>　　（二）置换一般债券资金应当按照财政库款管理要求尽快完成置换，对已入库的公开发行置换债券资金，原则上要在一个月内完成置换，确因债权人等客观因素无法在一个月内完成置换的，经与同级审计部门协调一致并报本级政府同意，可适当推迟，但不得长期滞留国库。置换一般债券中确定当年12月31日前无法使用的资金，应收回本级财政统筹安排用于置换符合规定的其他存量政府一般债务。</w:t>
      </w:r>
    </w:p>
    <w:p>
      <w:pPr>
        <w:pStyle w:val="4"/>
        <w:numPr>
          <w:ilvl w:val="0"/>
          <w:numId w:val="2"/>
        </w:numPr>
        <w:snapToGrid/>
        <w:spacing w:line="600" w:lineRule="exact"/>
        <w:ind w:left="0" w:firstLine="600"/>
        <w:contextualSpacing/>
        <w:rPr>
          <w:rFonts w:hint="eastAsia" w:ascii="仿宋_GB2312" w:hAnsi="Times New Roman" w:cs="Times New Roman"/>
          <w:color w:val="auto"/>
          <w:szCs w:val="30"/>
          <w:lang w:eastAsia="zh-CN"/>
        </w:rPr>
      </w:pPr>
      <w:r>
        <w:rPr>
          <w:rFonts w:hint="eastAsia" w:ascii="仿宋_GB2312" w:hAnsi="Times New Roman" w:cs="Times New Roman"/>
          <w:color w:val="auto"/>
          <w:szCs w:val="30"/>
          <w:lang w:eastAsia="zh-CN"/>
        </w:rPr>
        <w:t>当期库款余额超过本级财政一个半月库款支付保障水平的地区，财政部门可按照规定使用库款垫付拟发政府一般债券资金，用于一般债券发行之前的资金周转。收到一般债券资金后要及时将资金回补国库，严禁垫付资金长期挂账。</w:t>
      </w:r>
    </w:p>
    <w:p>
      <w:pPr>
        <w:pStyle w:val="4"/>
        <w:numPr>
          <w:ilvl w:val="0"/>
          <w:numId w:val="2"/>
        </w:numPr>
        <w:snapToGrid/>
        <w:spacing w:line="600" w:lineRule="exact"/>
        <w:ind w:left="0" w:firstLine="600"/>
        <w:contextualSpacing/>
        <w:rPr>
          <w:rFonts w:hint="eastAsia"/>
          <w:lang w:eastAsia="zh-CN"/>
        </w:rPr>
      </w:pPr>
      <w:r>
        <w:rPr>
          <w:rFonts w:hint="eastAsia" w:ascii="仿宋_GB2312" w:hAnsi="Times New Roman" w:cs="Times New Roman"/>
          <w:color w:val="auto"/>
          <w:szCs w:val="30"/>
          <w:lang w:val="en-US" w:eastAsia="zh-CN"/>
        </w:rPr>
        <w:t>各州（市）县财政部门应当</w:t>
      </w:r>
      <w:r>
        <w:rPr>
          <w:rFonts w:hint="eastAsia" w:ascii="仿宋_GB2312" w:eastAsia="仿宋_GB2312"/>
          <w:color w:val="auto"/>
          <w:sz w:val="30"/>
          <w:szCs w:val="30"/>
        </w:rPr>
        <w:t>加强</w:t>
      </w:r>
      <w:r>
        <w:rPr>
          <w:rFonts w:ascii="仿宋_GB2312" w:eastAsia="仿宋_GB2312"/>
          <w:color w:val="auto"/>
          <w:sz w:val="30"/>
          <w:szCs w:val="30"/>
        </w:rPr>
        <w:t>政府</w:t>
      </w:r>
      <w:r>
        <w:rPr>
          <w:rFonts w:hint="eastAsia" w:ascii="仿宋_GB2312"/>
          <w:color w:val="auto"/>
          <w:sz w:val="30"/>
          <w:szCs w:val="30"/>
          <w:lang w:eastAsia="zh-CN"/>
        </w:rPr>
        <w:t>一般</w:t>
      </w:r>
      <w:r>
        <w:rPr>
          <w:rFonts w:ascii="仿宋_GB2312" w:eastAsia="仿宋_GB2312"/>
          <w:color w:val="auto"/>
          <w:sz w:val="30"/>
          <w:szCs w:val="30"/>
        </w:rPr>
        <w:t>债券资金</w:t>
      </w:r>
      <w:r>
        <w:rPr>
          <w:rFonts w:hint="eastAsia" w:ascii="仿宋_GB2312" w:eastAsia="仿宋_GB2312"/>
          <w:color w:val="auto"/>
          <w:sz w:val="30"/>
          <w:szCs w:val="30"/>
        </w:rPr>
        <w:t>预算</w:t>
      </w:r>
      <w:r>
        <w:rPr>
          <w:rFonts w:ascii="仿宋_GB2312" w:eastAsia="仿宋_GB2312"/>
          <w:color w:val="auto"/>
          <w:sz w:val="30"/>
          <w:szCs w:val="30"/>
        </w:rPr>
        <w:t>绩效管理</w:t>
      </w:r>
      <w:r>
        <w:rPr>
          <w:rFonts w:hint="eastAsia" w:ascii="仿宋_GB2312"/>
          <w:color w:val="auto"/>
          <w:sz w:val="30"/>
          <w:szCs w:val="30"/>
          <w:lang w:eastAsia="zh-CN"/>
        </w:rPr>
        <w:t>，</w:t>
      </w:r>
      <w:r>
        <w:rPr>
          <w:rFonts w:ascii="仿宋_GB2312" w:eastAsia="仿宋_GB2312"/>
          <w:color w:val="auto"/>
          <w:sz w:val="30"/>
          <w:szCs w:val="30"/>
        </w:rPr>
        <w:t>建立政府</w:t>
      </w:r>
      <w:r>
        <w:rPr>
          <w:rFonts w:hint="eastAsia" w:ascii="仿宋_GB2312"/>
          <w:color w:val="auto"/>
          <w:sz w:val="30"/>
          <w:szCs w:val="30"/>
          <w:lang w:eastAsia="zh-CN"/>
        </w:rPr>
        <w:t>一般</w:t>
      </w:r>
      <w:r>
        <w:rPr>
          <w:rFonts w:ascii="仿宋_GB2312" w:eastAsia="仿宋_GB2312"/>
          <w:color w:val="auto"/>
          <w:sz w:val="30"/>
          <w:szCs w:val="30"/>
        </w:rPr>
        <w:t>债券资金预算绩效管理机制</w:t>
      </w:r>
      <w:r>
        <w:rPr>
          <w:rFonts w:hint="eastAsia" w:ascii="仿宋_GB2312" w:eastAsia="仿宋_GB2312"/>
          <w:color w:val="auto"/>
          <w:sz w:val="30"/>
          <w:szCs w:val="30"/>
        </w:rPr>
        <w:t>，</w:t>
      </w:r>
      <w:r>
        <w:rPr>
          <w:rFonts w:hint="eastAsia" w:ascii="仿宋_GB2312" w:hAnsi="仿宋_GB2312" w:eastAsia="仿宋_GB2312" w:cs="仿宋_GB2312"/>
          <w:color w:val="auto"/>
          <w:kern w:val="0"/>
          <w:sz w:val="30"/>
          <w:szCs w:val="30"/>
        </w:rPr>
        <w:t>将绩效管理贯穿于</w:t>
      </w:r>
      <w:r>
        <w:rPr>
          <w:rFonts w:hint="eastAsia" w:ascii="仿宋_GB2312" w:hAnsi="仿宋_GB2312" w:cs="仿宋_GB2312"/>
          <w:color w:val="auto"/>
          <w:kern w:val="0"/>
          <w:sz w:val="30"/>
          <w:szCs w:val="30"/>
          <w:lang w:eastAsia="zh-CN"/>
        </w:rPr>
        <w:t>一般</w:t>
      </w:r>
      <w:r>
        <w:rPr>
          <w:rFonts w:hint="eastAsia" w:ascii="仿宋_GB2312" w:hAnsi="仿宋_GB2312" w:eastAsia="仿宋_GB2312" w:cs="仿宋_GB2312"/>
          <w:color w:val="auto"/>
          <w:kern w:val="0"/>
          <w:sz w:val="30"/>
          <w:szCs w:val="30"/>
        </w:rPr>
        <w:t>债券资金项目</w:t>
      </w:r>
      <w:r>
        <w:rPr>
          <w:rFonts w:ascii="仿宋_GB2312" w:hAnsi="仿宋_GB2312" w:eastAsia="仿宋_GB2312" w:cs="仿宋_GB2312"/>
          <w:color w:val="auto"/>
          <w:kern w:val="0"/>
          <w:sz w:val="30"/>
          <w:szCs w:val="30"/>
        </w:rPr>
        <w:t>立项</w:t>
      </w:r>
      <w:r>
        <w:rPr>
          <w:rFonts w:hint="eastAsia" w:ascii="仿宋_GB2312" w:hAnsi="仿宋_GB2312" w:eastAsia="仿宋_GB2312" w:cs="仿宋_GB2312"/>
          <w:color w:val="auto"/>
          <w:kern w:val="0"/>
          <w:sz w:val="30"/>
          <w:szCs w:val="30"/>
        </w:rPr>
        <w:t>、分配</w:t>
      </w:r>
      <w:r>
        <w:rPr>
          <w:rFonts w:ascii="仿宋_GB2312" w:hAnsi="仿宋_GB2312" w:eastAsia="仿宋_GB2312" w:cs="仿宋_GB2312"/>
          <w:color w:val="auto"/>
          <w:kern w:val="0"/>
          <w:sz w:val="30"/>
          <w:szCs w:val="30"/>
        </w:rPr>
        <w:t>和</w:t>
      </w:r>
      <w:r>
        <w:rPr>
          <w:rFonts w:hint="eastAsia" w:ascii="仿宋_GB2312" w:hAnsi="仿宋_GB2312" w:eastAsia="仿宋_GB2312" w:cs="仿宋_GB2312"/>
          <w:color w:val="auto"/>
          <w:kern w:val="0"/>
          <w:sz w:val="30"/>
          <w:szCs w:val="30"/>
        </w:rPr>
        <w:t>使用全过程，</w:t>
      </w:r>
      <w:r>
        <w:rPr>
          <w:rFonts w:ascii="仿宋_GB2312" w:eastAsia="仿宋_GB2312"/>
          <w:color w:val="auto"/>
          <w:sz w:val="30"/>
          <w:szCs w:val="30"/>
        </w:rPr>
        <w:t>实现</w:t>
      </w:r>
      <w:r>
        <w:rPr>
          <w:rFonts w:hint="eastAsia" w:ascii="仿宋_GB2312"/>
          <w:color w:val="auto"/>
          <w:sz w:val="30"/>
          <w:szCs w:val="30"/>
          <w:lang w:eastAsia="zh-CN"/>
        </w:rPr>
        <w:t>一般</w:t>
      </w:r>
      <w:r>
        <w:rPr>
          <w:rFonts w:ascii="仿宋_GB2312" w:eastAsia="仿宋_GB2312"/>
          <w:color w:val="auto"/>
          <w:sz w:val="30"/>
          <w:szCs w:val="30"/>
        </w:rPr>
        <w:t>债券资金</w:t>
      </w:r>
      <w:r>
        <w:rPr>
          <w:rFonts w:hint="eastAsia" w:ascii="仿宋_GB2312" w:eastAsia="仿宋_GB2312"/>
          <w:color w:val="auto"/>
          <w:sz w:val="30"/>
          <w:szCs w:val="30"/>
        </w:rPr>
        <w:t>预算有</w:t>
      </w:r>
      <w:r>
        <w:rPr>
          <w:rFonts w:ascii="仿宋_GB2312" w:eastAsia="仿宋_GB2312"/>
          <w:color w:val="auto"/>
          <w:sz w:val="30"/>
          <w:szCs w:val="30"/>
        </w:rPr>
        <w:t>编制目标、有跟踪执行、有完成评价、有</w:t>
      </w:r>
      <w:r>
        <w:rPr>
          <w:rFonts w:hint="eastAsia" w:ascii="仿宋_GB2312" w:eastAsia="仿宋_GB2312"/>
          <w:color w:val="auto"/>
          <w:sz w:val="30"/>
          <w:szCs w:val="30"/>
        </w:rPr>
        <w:t>结果</w:t>
      </w:r>
      <w:r>
        <w:rPr>
          <w:rFonts w:ascii="仿宋_GB2312" w:eastAsia="仿宋_GB2312"/>
          <w:color w:val="auto"/>
          <w:sz w:val="30"/>
          <w:szCs w:val="30"/>
        </w:rPr>
        <w:t>运用，不断提高</w:t>
      </w:r>
      <w:r>
        <w:rPr>
          <w:rFonts w:hint="eastAsia" w:ascii="仿宋_GB2312"/>
          <w:color w:val="auto"/>
          <w:sz w:val="30"/>
          <w:szCs w:val="30"/>
          <w:lang w:eastAsia="zh-CN"/>
        </w:rPr>
        <w:t>一般</w:t>
      </w:r>
      <w:r>
        <w:rPr>
          <w:rFonts w:ascii="仿宋_GB2312" w:eastAsia="仿宋_GB2312"/>
          <w:color w:val="auto"/>
          <w:sz w:val="30"/>
          <w:szCs w:val="30"/>
        </w:rPr>
        <w:t>债券资金</w:t>
      </w:r>
      <w:r>
        <w:rPr>
          <w:rFonts w:hint="eastAsia" w:ascii="仿宋_GB2312" w:eastAsia="仿宋_GB2312"/>
          <w:color w:val="auto"/>
          <w:sz w:val="30"/>
          <w:szCs w:val="30"/>
        </w:rPr>
        <w:t>的</w:t>
      </w:r>
      <w:r>
        <w:rPr>
          <w:rFonts w:ascii="仿宋_GB2312" w:eastAsia="仿宋_GB2312"/>
          <w:color w:val="auto"/>
          <w:sz w:val="30"/>
          <w:szCs w:val="30"/>
        </w:rPr>
        <w:t>预算绩效管理水平</w:t>
      </w:r>
      <w:r>
        <w:rPr>
          <w:rFonts w:hint="eastAsia" w:ascii="仿宋_GB2312" w:hAnsi="Times New Roman" w:cs="Times New Roman"/>
          <w:color w:val="auto"/>
          <w:szCs w:val="30"/>
          <w:lang w:val="en-US" w:eastAsia="zh-CN"/>
        </w:rPr>
        <w:t>。</w:t>
      </w:r>
    </w:p>
    <w:p>
      <w:pPr>
        <w:ind w:firstLine="600"/>
        <w:rPr>
          <w:rFonts w:ascii="仿宋_GB2312" w:hAnsi="Times New Roman" w:cs="Times New Roman"/>
          <w:color w:val="auto"/>
        </w:rPr>
      </w:pPr>
    </w:p>
    <w:p>
      <w:pPr>
        <w:pStyle w:val="3"/>
        <w:numPr>
          <w:ilvl w:val="0"/>
          <w:numId w:val="1"/>
        </w:numPr>
        <w:spacing w:beforeLines="0" w:afterLines="0"/>
        <w:ind w:left="0" w:firstLine="0"/>
        <w:rPr>
          <w:rFonts w:ascii="仿宋_GB2312" w:hAnsi="Times New Roman" w:cs="Times New Roman"/>
          <w:b w:val="0"/>
          <w:color w:val="auto"/>
          <w:szCs w:val="30"/>
        </w:rPr>
      </w:pPr>
      <w:r>
        <w:rPr>
          <w:rFonts w:hint="eastAsia" w:ascii="仿宋_GB2312" w:hAnsi="Times New Roman" w:cs="Times New Roman"/>
          <w:b w:val="0"/>
          <w:color w:val="auto"/>
          <w:szCs w:val="30"/>
        </w:rPr>
        <w:t>监督管理</w:t>
      </w:r>
    </w:p>
    <w:p>
      <w:pPr>
        <w:spacing w:line="600" w:lineRule="exact"/>
        <w:ind w:firstLine="600"/>
        <w:rPr>
          <w:rFonts w:ascii="仿宋_GB2312" w:hAnsi="Times New Roman" w:cs="Times New Roman"/>
          <w:color w:val="auto"/>
        </w:rPr>
      </w:pPr>
    </w:p>
    <w:p>
      <w:pPr>
        <w:pStyle w:val="4"/>
        <w:numPr>
          <w:ilvl w:val="0"/>
          <w:numId w:val="2"/>
        </w:numPr>
        <w:snapToGrid/>
        <w:spacing w:line="600" w:lineRule="exact"/>
        <w:ind w:left="0" w:firstLine="600"/>
        <w:contextualSpacing/>
        <w:rPr>
          <w:rFonts w:ascii="仿宋_GB2312" w:hAnsi="Times New Roman" w:cs="Times New Roman"/>
          <w:color w:val="auto"/>
          <w:szCs w:val="30"/>
        </w:rPr>
      </w:pPr>
      <w:r>
        <w:rPr>
          <w:rFonts w:hint="eastAsia" w:ascii="仿宋_GB2312" w:hAnsi="Times New Roman" w:cs="Times New Roman"/>
          <w:color w:val="auto"/>
          <w:szCs w:val="30"/>
          <w:lang w:eastAsia="zh-CN"/>
        </w:rPr>
        <w:t>各州（市）</w:t>
      </w:r>
      <w:r>
        <w:rPr>
          <w:rFonts w:hint="eastAsia" w:ascii="仿宋_GB2312" w:hAnsi="Times New Roman" w:cs="Times New Roman"/>
          <w:color w:val="auto"/>
          <w:szCs w:val="30"/>
        </w:rPr>
        <w:t>县财政部门应当按照法律、法规和财政部规定，向社会公开一般债务限额、余额、期限结构、使用、偿还等情况，主动接受监督。</w:t>
      </w:r>
    </w:p>
    <w:p>
      <w:pPr>
        <w:pStyle w:val="4"/>
        <w:numPr>
          <w:ilvl w:val="0"/>
          <w:numId w:val="2"/>
        </w:numPr>
        <w:snapToGrid/>
        <w:spacing w:line="600" w:lineRule="exact"/>
        <w:ind w:left="0" w:firstLine="600"/>
        <w:contextualSpacing/>
        <w:rPr>
          <w:color w:val="auto"/>
          <w:u w:val="single" w:color="auto"/>
        </w:rPr>
      </w:pPr>
      <w:r>
        <w:rPr>
          <w:rFonts w:hint="eastAsia" w:ascii="仿宋_GB2312" w:hAnsi="Times New Roman" w:cs="Times New Roman"/>
          <w:color w:val="auto"/>
          <w:szCs w:val="30"/>
          <w:lang w:eastAsia="zh-CN"/>
        </w:rPr>
        <w:t>各州（市）</w:t>
      </w:r>
      <w:r>
        <w:rPr>
          <w:rFonts w:hint="eastAsia" w:ascii="仿宋_GB2312" w:hAnsi="Times New Roman" w:cs="Times New Roman"/>
          <w:color w:val="auto"/>
          <w:szCs w:val="30"/>
        </w:rPr>
        <w:t>县</w:t>
      </w:r>
      <w:r>
        <w:rPr>
          <w:rFonts w:hint="eastAsia" w:ascii="仿宋_GB2312" w:hAnsi="Times New Roman" w:cs="Times New Roman"/>
          <w:color w:val="auto"/>
          <w:szCs w:val="30"/>
          <w:lang w:eastAsia="zh-CN"/>
        </w:rPr>
        <w:t>财政</w:t>
      </w:r>
      <w:r>
        <w:rPr>
          <w:rFonts w:hint="eastAsia" w:ascii="仿宋_GB2312" w:hAnsi="Times New Roman" w:cs="Times New Roman"/>
          <w:color w:val="auto"/>
          <w:szCs w:val="30"/>
        </w:rPr>
        <w:t>部门应当建立和完善相关制度，加强对本地区</w:t>
      </w:r>
      <w:r>
        <w:rPr>
          <w:rFonts w:hint="eastAsia" w:ascii="仿宋_GB2312" w:hAnsi="Times New Roman" w:cs="Times New Roman"/>
          <w:color w:val="auto"/>
          <w:szCs w:val="30"/>
          <w:lang w:eastAsia="zh-CN"/>
        </w:rPr>
        <w:t>一般</w:t>
      </w:r>
      <w:r>
        <w:rPr>
          <w:rFonts w:hint="eastAsia" w:ascii="仿宋_GB2312" w:hAnsi="Times New Roman" w:cs="Times New Roman"/>
          <w:color w:val="auto"/>
          <w:szCs w:val="30"/>
        </w:rPr>
        <w:t>债务的管理和监督。</w:t>
      </w:r>
    </w:p>
    <w:p>
      <w:pPr>
        <w:pStyle w:val="4"/>
        <w:numPr>
          <w:ilvl w:val="0"/>
          <w:numId w:val="2"/>
        </w:numPr>
        <w:snapToGrid/>
        <w:spacing w:line="600" w:lineRule="exact"/>
        <w:ind w:left="0" w:firstLine="600"/>
        <w:contextualSpacing/>
        <w:rPr>
          <w:rFonts w:hint="eastAsia" w:ascii="仿宋_GB2312" w:hAnsi="Calibri" w:eastAsia="仿宋_GB2312" w:cs="黑体"/>
          <w:bCs/>
          <w:color w:val="auto"/>
          <w:kern w:val="2"/>
          <w:sz w:val="30"/>
          <w:szCs w:val="30"/>
          <w:lang w:val="en-US" w:eastAsia="zh-CN" w:bidi="ar-SA"/>
        </w:rPr>
      </w:pPr>
      <w:r>
        <w:rPr>
          <w:rFonts w:ascii="仿宋_GB2312" w:hAnsi="Calibri" w:eastAsia="仿宋_GB2312" w:cs="黑体"/>
          <w:bCs/>
          <w:color w:val="auto"/>
          <w:kern w:val="2"/>
          <w:sz w:val="30"/>
          <w:szCs w:val="30"/>
          <w:lang w:val="en-US" w:eastAsia="zh-CN" w:bidi="ar-SA"/>
        </w:rPr>
        <w:t>部门（单位）应当主动接受</w:t>
      </w:r>
      <w:r>
        <w:rPr>
          <w:rFonts w:hint="eastAsia" w:ascii="仿宋_GB2312" w:cs="黑体"/>
          <w:bCs/>
          <w:color w:val="auto"/>
          <w:kern w:val="2"/>
          <w:sz w:val="30"/>
          <w:szCs w:val="30"/>
          <w:lang w:val="en-US" w:eastAsia="zh-CN" w:bidi="ar-SA"/>
        </w:rPr>
        <w:t>本级人大、</w:t>
      </w:r>
      <w:r>
        <w:rPr>
          <w:rFonts w:ascii="仿宋_GB2312" w:hAnsi="Calibri" w:eastAsia="仿宋_GB2312" w:cs="黑体"/>
          <w:bCs/>
          <w:color w:val="auto"/>
          <w:kern w:val="2"/>
          <w:sz w:val="30"/>
          <w:szCs w:val="30"/>
          <w:lang w:val="en-US" w:eastAsia="zh-CN" w:bidi="ar-SA"/>
        </w:rPr>
        <w:t>财政</w:t>
      </w:r>
      <w:r>
        <w:rPr>
          <w:rFonts w:hint="eastAsia" w:ascii="仿宋_GB2312" w:cs="黑体"/>
          <w:bCs/>
          <w:color w:val="auto"/>
          <w:kern w:val="2"/>
          <w:sz w:val="30"/>
          <w:szCs w:val="30"/>
          <w:lang w:val="en-US" w:eastAsia="zh-CN" w:bidi="ar-SA"/>
        </w:rPr>
        <w:t>等</w:t>
      </w:r>
      <w:r>
        <w:rPr>
          <w:rFonts w:ascii="仿宋_GB2312" w:hAnsi="Calibri" w:eastAsia="仿宋_GB2312" w:cs="黑体"/>
          <w:bCs/>
          <w:color w:val="auto"/>
          <w:kern w:val="2"/>
          <w:sz w:val="30"/>
          <w:szCs w:val="30"/>
          <w:lang w:val="en-US" w:eastAsia="zh-CN" w:bidi="ar-SA"/>
        </w:rPr>
        <w:t>检查</w:t>
      </w:r>
      <w:r>
        <w:rPr>
          <w:rFonts w:hint="eastAsia" w:ascii="仿宋_GB2312" w:cs="黑体"/>
          <w:bCs/>
          <w:color w:val="auto"/>
          <w:kern w:val="2"/>
          <w:sz w:val="30"/>
          <w:szCs w:val="30"/>
          <w:lang w:val="en-US" w:eastAsia="zh-CN" w:bidi="ar-SA"/>
        </w:rPr>
        <w:t>和</w:t>
      </w:r>
      <w:r>
        <w:rPr>
          <w:rFonts w:ascii="仿宋_GB2312" w:hAnsi="Calibri" w:eastAsia="仿宋_GB2312" w:cs="黑体"/>
          <w:bCs/>
          <w:color w:val="auto"/>
          <w:kern w:val="2"/>
          <w:sz w:val="30"/>
          <w:szCs w:val="30"/>
          <w:lang w:val="en-US" w:eastAsia="zh-CN" w:bidi="ar-SA"/>
        </w:rPr>
        <w:t>审计监督，配合做好绩效评价，对发现的问题及时进行整改</w:t>
      </w:r>
      <w:r>
        <w:rPr>
          <w:rFonts w:hint="eastAsia" w:ascii="仿宋_GB2312" w:cs="黑体"/>
          <w:bCs/>
          <w:color w:val="auto"/>
          <w:kern w:val="2"/>
          <w:sz w:val="30"/>
          <w:szCs w:val="30"/>
          <w:lang w:val="en-US" w:eastAsia="zh-CN" w:bidi="ar-SA"/>
        </w:rPr>
        <w:t>。</w:t>
      </w:r>
    </w:p>
    <w:p>
      <w:pPr>
        <w:pStyle w:val="4"/>
        <w:numPr>
          <w:ilvl w:val="0"/>
          <w:numId w:val="2"/>
        </w:numPr>
        <w:snapToGrid/>
        <w:spacing w:line="600" w:lineRule="exact"/>
        <w:ind w:left="0" w:firstLine="600"/>
        <w:contextualSpacing/>
        <w:rPr>
          <w:rFonts w:ascii="仿宋_GB2312" w:hAnsi="Times New Roman" w:cs="Times New Roman"/>
          <w:color w:val="auto"/>
          <w:szCs w:val="30"/>
        </w:rPr>
      </w:pPr>
      <w:r>
        <w:rPr>
          <w:rFonts w:hint="eastAsia" w:ascii="仿宋_GB2312" w:hAnsi="Times New Roman" w:cs="Times New Roman"/>
          <w:color w:val="auto"/>
          <w:szCs w:val="30"/>
        </w:rPr>
        <w:t>专员办</w:t>
      </w:r>
      <w:r>
        <w:rPr>
          <w:rFonts w:hint="eastAsia" w:ascii="仿宋_GB2312" w:hAnsi="Times New Roman" w:cs="Times New Roman"/>
          <w:color w:val="auto"/>
          <w:szCs w:val="30"/>
          <w:lang w:eastAsia="zh-CN"/>
        </w:rPr>
        <w:t>将</w:t>
      </w:r>
      <w:r>
        <w:rPr>
          <w:rFonts w:hint="eastAsia" w:ascii="仿宋_GB2312" w:hAnsi="Times New Roman" w:cs="Times New Roman"/>
          <w:color w:val="auto"/>
          <w:szCs w:val="30"/>
        </w:rPr>
        <w:t>加强对</w:t>
      </w:r>
      <w:r>
        <w:rPr>
          <w:rFonts w:hint="eastAsia" w:ascii="仿宋_GB2312" w:hAnsi="Times New Roman" w:cs="Times New Roman"/>
          <w:color w:val="auto"/>
          <w:szCs w:val="30"/>
          <w:lang w:eastAsia="zh-CN"/>
        </w:rPr>
        <w:t>我省</w:t>
      </w:r>
      <w:r>
        <w:rPr>
          <w:rFonts w:hint="eastAsia" w:ascii="仿宋_GB2312" w:hAnsi="Times New Roman" w:cs="Times New Roman"/>
          <w:color w:val="auto"/>
          <w:szCs w:val="30"/>
        </w:rPr>
        <w:t>一般债务的监督，督促地方规范一般债务的举借、使用、偿还等行为，发现违反法律法规和财政管理规定的行为，及时报告财政部。</w:t>
      </w:r>
    </w:p>
    <w:p>
      <w:pPr>
        <w:pStyle w:val="4"/>
        <w:numPr>
          <w:ilvl w:val="0"/>
          <w:numId w:val="2"/>
        </w:numPr>
        <w:snapToGrid/>
        <w:spacing w:line="600" w:lineRule="exact"/>
        <w:ind w:left="0" w:firstLine="600"/>
        <w:contextualSpacing/>
        <w:rPr>
          <w:rFonts w:hint="eastAsia" w:ascii="仿宋_GB2312" w:hAnsi="Times New Roman" w:cs="Times New Roman"/>
          <w:color w:val="auto"/>
          <w:szCs w:val="30"/>
        </w:rPr>
      </w:pPr>
      <w:r>
        <w:rPr>
          <w:rFonts w:hint="eastAsia" w:ascii="仿宋_GB2312" w:hAnsi="Times New Roman" w:cs="Times New Roman"/>
          <w:color w:val="auto"/>
          <w:szCs w:val="30"/>
          <w:lang w:eastAsia="zh-CN"/>
        </w:rPr>
        <w:t>财</w:t>
      </w:r>
      <w:r>
        <w:rPr>
          <w:rFonts w:hint="eastAsia" w:ascii="仿宋_GB2312" w:hAnsi="Times New Roman" w:cs="Times New Roman"/>
          <w:color w:val="auto"/>
          <w:szCs w:val="30"/>
        </w:rPr>
        <w:t>政部门依据国家法律法规和管理制度，对</w:t>
      </w:r>
      <w:r>
        <w:rPr>
          <w:rFonts w:hint="eastAsia" w:ascii="仿宋_GB2312" w:hAnsi="Times New Roman" w:cs="Times New Roman"/>
          <w:color w:val="auto"/>
          <w:szCs w:val="30"/>
          <w:lang w:eastAsia="zh-CN"/>
        </w:rPr>
        <w:t>一般</w:t>
      </w:r>
      <w:r>
        <w:rPr>
          <w:rFonts w:hint="eastAsia" w:ascii="仿宋_GB2312" w:hAnsi="Times New Roman" w:cs="Times New Roman"/>
          <w:color w:val="auto"/>
          <w:szCs w:val="30"/>
        </w:rPr>
        <w:t>债务举借、使用和偿还实施监督，及时发现和纠正预算执行中出现的问题。对违法违规举借</w:t>
      </w:r>
      <w:r>
        <w:rPr>
          <w:rFonts w:hint="eastAsia" w:ascii="仿宋_GB2312" w:hAnsi="Times New Roman" w:cs="Times New Roman"/>
          <w:color w:val="auto"/>
          <w:szCs w:val="30"/>
          <w:lang w:eastAsia="zh-CN"/>
        </w:rPr>
        <w:t>一般</w:t>
      </w:r>
      <w:r>
        <w:rPr>
          <w:rFonts w:hint="eastAsia" w:ascii="仿宋_GB2312" w:hAnsi="Times New Roman" w:cs="Times New Roman"/>
          <w:color w:val="auto"/>
          <w:szCs w:val="30"/>
        </w:rPr>
        <w:t>债务、未按要求实施预算管理、任意改变</w:t>
      </w:r>
      <w:r>
        <w:rPr>
          <w:rFonts w:hint="eastAsia" w:ascii="仿宋_GB2312" w:hAnsi="Times New Roman" w:cs="Times New Roman"/>
          <w:color w:val="auto"/>
          <w:szCs w:val="30"/>
          <w:lang w:eastAsia="zh-CN"/>
        </w:rPr>
        <w:t>一般</w:t>
      </w:r>
      <w:r>
        <w:rPr>
          <w:rFonts w:hint="eastAsia" w:ascii="仿宋_GB2312" w:hAnsi="Times New Roman" w:cs="Times New Roman"/>
          <w:color w:val="auto"/>
          <w:szCs w:val="30"/>
        </w:rPr>
        <w:t>债券资金用途、不按期偿还到期</w:t>
      </w:r>
      <w:r>
        <w:rPr>
          <w:rFonts w:hint="eastAsia" w:ascii="仿宋_GB2312" w:hAnsi="Times New Roman" w:cs="Times New Roman"/>
          <w:color w:val="auto"/>
          <w:szCs w:val="30"/>
          <w:lang w:eastAsia="zh-CN"/>
        </w:rPr>
        <w:t>一般</w:t>
      </w:r>
      <w:r>
        <w:rPr>
          <w:rFonts w:hint="eastAsia" w:ascii="仿宋_GB2312" w:hAnsi="Times New Roman" w:cs="Times New Roman"/>
          <w:color w:val="auto"/>
          <w:szCs w:val="30"/>
        </w:rPr>
        <w:t>债务本息等违反法律法规和管理制度的行为，依照《中华人民共和国预算法》《财政违法行为处罚处分条例》等有关规定进行处理</w:t>
      </w:r>
      <w:r>
        <w:rPr>
          <w:rFonts w:hint="eastAsia" w:ascii="仿宋_GB2312" w:hAnsi="Times New Roman" w:cs="Times New Roman"/>
          <w:color w:val="auto"/>
          <w:szCs w:val="30"/>
          <w:lang w:eastAsia="zh-CN"/>
        </w:rPr>
        <w:t>；</w:t>
      </w:r>
      <w:r>
        <w:rPr>
          <w:rFonts w:hint="eastAsia" w:ascii="仿宋_GB2312" w:hAnsi="Times New Roman" w:cs="Times New Roman"/>
          <w:color w:val="auto"/>
          <w:szCs w:val="30"/>
        </w:rPr>
        <w:t>违反法律、行政法规的，依法追究有关人员责任；涉嫌犯罪的，移送司法机关依法处理。</w:t>
      </w:r>
    </w:p>
    <w:p>
      <w:pPr>
        <w:spacing w:line="600" w:lineRule="exact"/>
        <w:ind w:firstLine="600"/>
        <w:rPr>
          <w:rFonts w:ascii="仿宋_GB2312"/>
          <w:color w:val="auto"/>
        </w:rPr>
      </w:pPr>
    </w:p>
    <w:p>
      <w:pPr>
        <w:pStyle w:val="3"/>
        <w:numPr>
          <w:ilvl w:val="0"/>
          <w:numId w:val="1"/>
        </w:numPr>
        <w:spacing w:beforeLines="0" w:afterLines="0"/>
        <w:ind w:left="0" w:firstLine="0"/>
        <w:rPr>
          <w:rFonts w:ascii="黑体" w:hAnsi="黑体" w:cs="Times New Roman"/>
          <w:b w:val="0"/>
          <w:color w:val="auto"/>
          <w:szCs w:val="30"/>
        </w:rPr>
      </w:pPr>
      <w:r>
        <w:rPr>
          <w:rFonts w:hint="eastAsia" w:ascii="黑体" w:hAnsi="黑体" w:cs="Times New Roman"/>
          <w:b w:val="0"/>
          <w:color w:val="auto"/>
          <w:szCs w:val="30"/>
        </w:rPr>
        <w:t>附则</w:t>
      </w:r>
    </w:p>
    <w:p>
      <w:pPr>
        <w:spacing w:line="600" w:lineRule="exact"/>
        <w:ind w:firstLine="600"/>
        <w:rPr>
          <w:rFonts w:ascii="仿宋_GB2312"/>
          <w:color w:val="auto"/>
        </w:rPr>
      </w:pPr>
    </w:p>
    <w:p>
      <w:pPr>
        <w:pStyle w:val="4"/>
        <w:numPr>
          <w:ilvl w:val="0"/>
          <w:numId w:val="2"/>
        </w:numPr>
        <w:snapToGrid/>
        <w:spacing w:line="600" w:lineRule="exact"/>
        <w:ind w:left="0" w:firstLine="600"/>
        <w:contextualSpacing/>
        <w:rPr>
          <w:rFonts w:ascii="仿宋_GB2312" w:hAnsi="Times New Roman" w:cs="Times New Roman"/>
          <w:color w:val="auto"/>
          <w:szCs w:val="30"/>
        </w:rPr>
      </w:pPr>
      <w:r>
        <w:rPr>
          <w:rFonts w:hint="eastAsia" w:ascii="仿宋_GB2312" w:hAnsi="Times New Roman" w:cs="Times New Roman"/>
          <w:color w:val="auto"/>
          <w:szCs w:val="30"/>
          <w:lang w:eastAsia="zh-CN"/>
        </w:rPr>
        <w:t>各州（市）县财政部门</w:t>
      </w:r>
      <w:r>
        <w:rPr>
          <w:rFonts w:hint="eastAsia" w:ascii="仿宋_GB2312" w:hAnsi="Times New Roman" w:cs="Times New Roman"/>
          <w:color w:val="auto"/>
          <w:szCs w:val="30"/>
        </w:rPr>
        <w:t>可以根据本办法制定实施细则。</w:t>
      </w:r>
    </w:p>
    <w:p>
      <w:pPr>
        <w:pStyle w:val="4"/>
        <w:numPr>
          <w:ilvl w:val="0"/>
          <w:numId w:val="2"/>
        </w:numPr>
        <w:snapToGrid/>
        <w:spacing w:line="600" w:lineRule="exact"/>
        <w:ind w:left="0" w:firstLine="600"/>
        <w:contextualSpacing/>
        <w:rPr>
          <w:rFonts w:ascii="仿宋_GB2312" w:hAnsi="Times New Roman" w:cs="Times New Roman"/>
          <w:color w:val="auto"/>
          <w:szCs w:val="30"/>
        </w:rPr>
      </w:pPr>
      <w:r>
        <w:rPr>
          <w:rFonts w:hint="eastAsia" w:ascii="仿宋_GB2312" w:hAnsi="Times New Roman" w:cs="Times New Roman"/>
          <w:color w:val="auto"/>
          <w:szCs w:val="30"/>
        </w:rPr>
        <w:t>本办法由</w:t>
      </w:r>
      <w:r>
        <w:rPr>
          <w:rFonts w:hint="eastAsia" w:ascii="仿宋_GB2312" w:hAnsi="Times New Roman" w:cs="Times New Roman"/>
          <w:color w:val="auto"/>
          <w:szCs w:val="30"/>
          <w:lang w:eastAsia="zh-CN"/>
        </w:rPr>
        <w:t>云南省财政厅</w:t>
      </w:r>
      <w:r>
        <w:rPr>
          <w:rFonts w:hint="eastAsia" w:ascii="仿宋_GB2312" w:hAnsi="Times New Roman" w:cs="Times New Roman"/>
          <w:color w:val="auto"/>
          <w:szCs w:val="30"/>
        </w:rPr>
        <w:t>负责解释。</w:t>
      </w:r>
    </w:p>
    <w:p>
      <w:pPr>
        <w:pStyle w:val="4"/>
        <w:numPr>
          <w:ilvl w:val="0"/>
          <w:numId w:val="2"/>
        </w:numPr>
        <w:snapToGrid/>
        <w:spacing w:line="600" w:lineRule="exact"/>
        <w:ind w:left="0" w:firstLine="600"/>
        <w:contextualSpacing/>
        <w:rPr>
          <w:rFonts w:ascii="仿宋_GB2312" w:hAnsi="Times New Roman" w:cs="Times New Roman"/>
          <w:color w:val="auto"/>
          <w:szCs w:val="30"/>
        </w:rPr>
      </w:pPr>
      <w:r>
        <w:rPr>
          <w:rFonts w:hint="eastAsia" w:ascii="仿宋_GB2312" w:hAnsi="Times New Roman" w:cs="Times New Roman"/>
          <w:color w:val="auto"/>
          <w:szCs w:val="30"/>
        </w:rPr>
        <w:t>本办法自印发之日起施行。</w:t>
      </w:r>
    </w:p>
    <w:p>
      <w:pPr>
        <w:rPr>
          <w:color w:val="auto"/>
        </w:rPr>
      </w:pPr>
    </w:p>
    <w:sectPr>
      <w:headerReference r:id="rId6" w:type="first"/>
      <w:footerReference r:id="rId9" w:type="first"/>
      <w:headerReference r:id="rId4" w:type="default"/>
      <w:footerReference r:id="rId7" w:type="default"/>
      <w:headerReference r:id="rId5" w:type="even"/>
      <w:footerReference r:id="rId8" w:type="even"/>
      <w:pgSz w:w="11906" w:h="16838"/>
      <w:pgMar w:top="2268" w:right="1814" w:bottom="1985" w:left="1814" w:header="851" w:footer="992" w:gutter="0"/>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ind w:firstLine="360"/>
      <w:jc w:val="center"/>
    </w:pPr>
    <w:r>
      <w:fldChar w:fldCharType="begin"/>
    </w:r>
    <w:r>
      <w:instrText xml:space="preserve"> PAGE   \* MERGEFORMAT </w:instrText>
    </w:r>
    <w:r>
      <w:fldChar w:fldCharType="separate"/>
    </w:r>
    <w:r>
      <w:t>1</w:t>
    </w:r>
    <w:r>
      <w:rPr>
        <w:lang w:val="zh-CN"/>
      </w:rPr>
      <w:fldChar w:fldCharType="end"/>
    </w: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ind w:firstLine="0" w:firstLineChars="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93137922">
    <w:nsid w:val="2F465302"/>
    <w:multiLevelType w:val="multilevel"/>
    <w:tmpl w:val="2F465302"/>
    <w:lvl w:ilvl="0" w:tentative="1">
      <w:start w:val="1"/>
      <w:numFmt w:val="chineseCountingThousand"/>
      <w:lvlText w:val="第%1章"/>
      <w:lvlJc w:val="left"/>
      <w:pPr>
        <w:ind w:left="2972" w:hanging="420"/>
      </w:pPr>
      <w:rPr>
        <w:rFonts w:hint="eastAsia" w:eastAsia="黑体"/>
        <w:b w:val="0"/>
        <w:i w:val="0"/>
        <w:iCs w:val="0"/>
        <w:caps w:val="0"/>
        <w:strike w:val="0"/>
        <w:dstrike w:val="0"/>
        <w:color w:val="000000"/>
        <w:spacing w:val="0"/>
        <w:position w:val="0"/>
        <w:u w:val="none"/>
        <w:lang w:val="en-US"/>
      </w:rPr>
    </w:lvl>
    <w:lvl w:ilvl="1" w:tentative="1">
      <w:start w:val="1"/>
      <w:numFmt w:val="lowerLetter"/>
      <w:lvlText w:val="%2)"/>
      <w:lvlJc w:val="left"/>
      <w:pPr>
        <w:ind w:left="1040" w:hanging="420"/>
      </w:pPr>
    </w:lvl>
    <w:lvl w:ilvl="2" w:tentative="1">
      <w:start w:val="1"/>
      <w:numFmt w:val="lowerRoman"/>
      <w:lvlText w:val="%3."/>
      <w:lvlJc w:val="right"/>
      <w:pPr>
        <w:ind w:left="1460" w:hanging="420"/>
      </w:pPr>
    </w:lvl>
    <w:lvl w:ilvl="3" w:tentative="1">
      <w:start w:val="1"/>
      <w:numFmt w:val="decimal"/>
      <w:lvlText w:val="%4."/>
      <w:lvlJc w:val="left"/>
      <w:pPr>
        <w:ind w:left="1880" w:hanging="420"/>
      </w:pPr>
    </w:lvl>
    <w:lvl w:ilvl="4" w:tentative="1">
      <w:start w:val="1"/>
      <w:numFmt w:val="lowerLetter"/>
      <w:lvlText w:val="%5)"/>
      <w:lvlJc w:val="left"/>
      <w:pPr>
        <w:ind w:left="2300" w:hanging="420"/>
      </w:pPr>
    </w:lvl>
    <w:lvl w:ilvl="5" w:tentative="1">
      <w:start w:val="1"/>
      <w:numFmt w:val="lowerRoman"/>
      <w:lvlText w:val="%6."/>
      <w:lvlJc w:val="right"/>
      <w:pPr>
        <w:ind w:left="2720" w:hanging="420"/>
      </w:pPr>
    </w:lvl>
    <w:lvl w:ilvl="6" w:tentative="1">
      <w:start w:val="1"/>
      <w:numFmt w:val="decimal"/>
      <w:lvlText w:val="%7."/>
      <w:lvlJc w:val="left"/>
      <w:pPr>
        <w:ind w:left="3140" w:hanging="420"/>
      </w:pPr>
    </w:lvl>
    <w:lvl w:ilvl="7" w:tentative="1">
      <w:start w:val="1"/>
      <w:numFmt w:val="lowerLetter"/>
      <w:lvlText w:val="%8)"/>
      <w:lvlJc w:val="left"/>
      <w:pPr>
        <w:ind w:left="3560" w:hanging="420"/>
      </w:pPr>
    </w:lvl>
    <w:lvl w:ilvl="8" w:tentative="1">
      <w:start w:val="1"/>
      <w:numFmt w:val="lowerRoman"/>
      <w:lvlText w:val="%9."/>
      <w:lvlJc w:val="right"/>
      <w:pPr>
        <w:ind w:left="3980" w:hanging="420"/>
      </w:pPr>
    </w:lvl>
  </w:abstractNum>
  <w:abstractNum w:abstractNumId="789780596">
    <w:nsid w:val="2F131874"/>
    <w:multiLevelType w:val="multilevel"/>
    <w:tmpl w:val="2F131874"/>
    <w:lvl w:ilvl="0" w:tentative="1">
      <w:start w:val="1"/>
      <w:numFmt w:val="chineseCountingThousand"/>
      <w:lvlText w:val="第%1条"/>
      <w:lvlJc w:val="left"/>
      <w:pPr>
        <w:ind w:left="988" w:hanging="420"/>
      </w:pPr>
      <w:rPr>
        <w:rFonts w:hint="eastAsia" w:ascii="Times New Roman" w:hAnsi="Times New Roman" w:cs="Times New Roman"/>
        <w:b/>
        <w:bCs w:val="0"/>
        <w:i w:val="0"/>
        <w:iCs w:val="0"/>
        <w:caps w:val="0"/>
        <w:smallCaps w:val="0"/>
        <w:strike w:val="0"/>
        <w:dstrike w:val="0"/>
        <w:snapToGrid w:val="0"/>
        <w:color w:val="auto"/>
        <w:spacing w:val="0"/>
        <w:w w:val="0"/>
        <w:kern w:val="0"/>
        <w:position w:val="0"/>
        <w:szCs w:val="16"/>
        <w:u w:val="none"/>
        <w:lang w:val="en-US"/>
      </w:rPr>
    </w:lvl>
    <w:lvl w:ilvl="1" w:tentative="1">
      <w:start w:val="1"/>
      <w:numFmt w:val="lowerLetter"/>
      <w:lvlText w:val="%2)"/>
      <w:lvlJc w:val="left"/>
      <w:pPr>
        <w:ind w:left="46" w:hanging="420"/>
      </w:pPr>
    </w:lvl>
    <w:lvl w:ilvl="2" w:tentative="1">
      <w:start w:val="1"/>
      <w:numFmt w:val="lowerRoman"/>
      <w:lvlText w:val="%3."/>
      <w:lvlJc w:val="right"/>
      <w:pPr>
        <w:ind w:left="466" w:hanging="420"/>
      </w:pPr>
    </w:lvl>
    <w:lvl w:ilvl="3" w:tentative="1">
      <w:start w:val="1"/>
      <w:numFmt w:val="decimal"/>
      <w:lvlText w:val="%4."/>
      <w:lvlJc w:val="left"/>
      <w:pPr>
        <w:ind w:left="886" w:hanging="420"/>
      </w:pPr>
    </w:lvl>
    <w:lvl w:ilvl="4" w:tentative="1">
      <w:start w:val="1"/>
      <w:numFmt w:val="lowerLetter"/>
      <w:lvlText w:val="%5)"/>
      <w:lvlJc w:val="left"/>
      <w:pPr>
        <w:ind w:left="1306" w:hanging="420"/>
      </w:pPr>
    </w:lvl>
    <w:lvl w:ilvl="5" w:tentative="1">
      <w:start w:val="1"/>
      <w:numFmt w:val="lowerRoman"/>
      <w:lvlText w:val="%6."/>
      <w:lvlJc w:val="right"/>
      <w:pPr>
        <w:ind w:left="1726" w:hanging="420"/>
      </w:pPr>
    </w:lvl>
    <w:lvl w:ilvl="6" w:tentative="1">
      <w:start w:val="1"/>
      <w:numFmt w:val="decimal"/>
      <w:lvlText w:val="%7."/>
      <w:lvlJc w:val="left"/>
      <w:pPr>
        <w:ind w:left="2146" w:hanging="420"/>
      </w:pPr>
    </w:lvl>
    <w:lvl w:ilvl="7" w:tentative="1">
      <w:start w:val="1"/>
      <w:numFmt w:val="lowerLetter"/>
      <w:lvlText w:val="%8)"/>
      <w:lvlJc w:val="left"/>
      <w:pPr>
        <w:ind w:left="2566" w:hanging="420"/>
      </w:pPr>
    </w:lvl>
    <w:lvl w:ilvl="8" w:tentative="1">
      <w:start w:val="1"/>
      <w:numFmt w:val="lowerRoman"/>
      <w:lvlText w:val="%9."/>
      <w:lvlJc w:val="right"/>
      <w:pPr>
        <w:ind w:left="2986" w:hanging="420"/>
      </w:pPr>
    </w:lvl>
  </w:abstractNum>
  <w:num w:numId="1">
    <w:abstractNumId w:val="793137922"/>
  </w:num>
  <w:num w:numId="2">
    <w:abstractNumId w:val="7897805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33628"/>
    <w:rsid w:val="000007FD"/>
    <w:rsid w:val="00000C62"/>
    <w:rsid w:val="0000185B"/>
    <w:rsid w:val="00002CC2"/>
    <w:rsid w:val="00002F85"/>
    <w:rsid w:val="000040EF"/>
    <w:rsid w:val="00004ACC"/>
    <w:rsid w:val="0000538B"/>
    <w:rsid w:val="00005749"/>
    <w:rsid w:val="00005D0C"/>
    <w:rsid w:val="000067A0"/>
    <w:rsid w:val="00006CC3"/>
    <w:rsid w:val="00007967"/>
    <w:rsid w:val="00010270"/>
    <w:rsid w:val="00010408"/>
    <w:rsid w:val="0001053B"/>
    <w:rsid w:val="00010561"/>
    <w:rsid w:val="00010878"/>
    <w:rsid w:val="00010B0D"/>
    <w:rsid w:val="00010C6D"/>
    <w:rsid w:val="00010E23"/>
    <w:rsid w:val="00011013"/>
    <w:rsid w:val="000112F9"/>
    <w:rsid w:val="00011785"/>
    <w:rsid w:val="000129E1"/>
    <w:rsid w:val="00013E92"/>
    <w:rsid w:val="000143D6"/>
    <w:rsid w:val="00014C57"/>
    <w:rsid w:val="0001585A"/>
    <w:rsid w:val="00015BF3"/>
    <w:rsid w:val="00015E60"/>
    <w:rsid w:val="00015F35"/>
    <w:rsid w:val="00016C98"/>
    <w:rsid w:val="00017A0F"/>
    <w:rsid w:val="00017A50"/>
    <w:rsid w:val="000200CE"/>
    <w:rsid w:val="00020FB9"/>
    <w:rsid w:val="0002136A"/>
    <w:rsid w:val="00021BC5"/>
    <w:rsid w:val="00022479"/>
    <w:rsid w:val="00022A6B"/>
    <w:rsid w:val="00022BBC"/>
    <w:rsid w:val="00023BDB"/>
    <w:rsid w:val="00023F1C"/>
    <w:rsid w:val="00025631"/>
    <w:rsid w:val="000267BD"/>
    <w:rsid w:val="000267C0"/>
    <w:rsid w:val="000273A2"/>
    <w:rsid w:val="0003025B"/>
    <w:rsid w:val="0003047F"/>
    <w:rsid w:val="00030E63"/>
    <w:rsid w:val="00031022"/>
    <w:rsid w:val="00031614"/>
    <w:rsid w:val="000322B2"/>
    <w:rsid w:val="00032928"/>
    <w:rsid w:val="00032B12"/>
    <w:rsid w:val="00032E54"/>
    <w:rsid w:val="0003391B"/>
    <w:rsid w:val="000339D7"/>
    <w:rsid w:val="00033CAD"/>
    <w:rsid w:val="00034415"/>
    <w:rsid w:val="00034A86"/>
    <w:rsid w:val="00034C9D"/>
    <w:rsid w:val="000365DB"/>
    <w:rsid w:val="0003682D"/>
    <w:rsid w:val="00037F06"/>
    <w:rsid w:val="000400CA"/>
    <w:rsid w:val="00040117"/>
    <w:rsid w:val="000407B2"/>
    <w:rsid w:val="00043D73"/>
    <w:rsid w:val="00043E95"/>
    <w:rsid w:val="00043EA2"/>
    <w:rsid w:val="00044579"/>
    <w:rsid w:val="00045D62"/>
    <w:rsid w:val="00045F53"/>
    <w:rsid w:val="000469AD"/>
    <w:rsid w:val="00046BBE"/>
    <w:rsid w:val="0004768A"/>
    <w:rsid w:val="00047740"/>
    <w:rsid w:val="000503A5"/>
    <w:rsid w:val="00051131"/>
    <w:rsid w:val="000535F6"/>
    <w:rsid w:val="0005372F"/>
    <w:rsid w:val="00053821"/>
    <w:rsid w:val="00053971"/>
    <w:rsid w:val="00053B6F"/>
    <w:rsid w:val="00054AC5"/>
    <w:rsid w:val="0005551B"/>
    <w:rsid w:val="00056894"/>
    <w:rsid w:val="0005704B"/>
    <w:rsid w:val="0005771A"/>
    <w:rsid w:val="00057EC6"/>
    <w:rsid w:val="0006308C"/>
    <w:rsid w:val="000668BD"/>
    <w:rsid w:val="000673D7"/>
    <w:rsid w:val="000701FC"/>
    <w:rsid w:val="0007040F"/>
    <w:rsid w:val="0007043A"/>
    <w:rsid w:val="00072C24"/>
    <w:rsid w:val="0007365B"/>
    <w:rsid w:val="0007389C"/>
    <w:rsid w:val="000738C9"/>
    <w:rsid w:val="00073EDC"/>
    <w:rsid w:val="00075124"/>
    <w:rsid w:val="000758C1"/>
    <w:rsid w:val="00075C5B"/>
    <w:rsid w:val="00075FC0"/>
    <w:rsid w:val="00076424"/>
    <w:rsid w:val="00076443"/>
    <w:rsid w:val="00077D3C"/>
    <w:rsid w:val="00080539"/>
    <w:rsid w:val="000809C3"/>
    <w:rsid w:val="00081F9F"/>
    <w:rsid w:val="00082872"/>
    <w:rsid w:val="00082B9D"/>
    <w:rsid w:val="000834F2"/>
    <w:rsid w:val="0008353C"/>
    <w:rsid w:val="0008444F"/>
    <w:rsid w:val="00085844"/>
    <w:rsid w:val="0008662C"/>
    <w:rsid w:val="00087024"/>
    <w:rsid w:val="00087D10"/>
    <w:rsid w:val="000904CA"/>
    <w:rsid w:val="00090E30"/>
    <w:rsid w:val="000915D5"/>
    <w:rsid w:val="00091BD6"/>
    <w:rsid w:val="00092494"/>
    <w:rsid w:val="00092705"/>
    <w:rsid w:val="000927C4"/>
    <w:rsid w:val="0009459A"/>
    <w:rsid w:val="00094F1B"/>
    <w:rsid w:val="000957E2"/>
    <w:rsid w:val="00096772"/>
    <w:rsid w:val="000A0752"/>
    <w:rsid w:val="000A0BC9"/>
    <w:rsid w:val="000A135F"/>
    <w:rsid w:val="000A16A4"/>
    <w:rsid w:val="000A242B"/>
    <w:rsid w:val="000A29DB"/>
    <w:rsid w:val="000A3FBF"/>
    <w:rsid w:val="000A42DC"/>
    <w:rsid w:val="000A4931"/>
    <w:rsid w:val="000A5187"/>
    <w:rsid w:val="000A61E5"/>
    <w:rsid w:val="000A6DE7"/>
    <w:rsid w:val="000A73BE"/>
    <w:rsid w:val="000B073F"/>
    <w:rsid w:val="000B17CC"/>
    <w:rsid w:val="000B1A92"/>
    <w:rsid w:val="000B2E98"/>
    <w:rsid w:val="000B3305"/>
    <w:rsid w:val="000B45D4"/>
    <w:rsid w:val="000B4ED3"/>
    <w:rsid w:val="000B6013"/>
    <w:rsid w:val="000B619E"/>
    <w:rsid w:val="000B63C1"/>
    <w:rsid w:val="000C01FB"/>
    <w:rsid w:val="000C0214"/>
    <w:rsid w:val="000C1DB6"/>
    <w:rsid w:val="000C1FC4"/>
    <w:rsid w:val="000C25DF"/>
    <w:rsid w:val="000C27C8"/>
    <w:rsid w:val="000C2A7D"/>
    <w:rsid w:val="000C2C41"/>
    <w:rsid w:val="000C2E04"/>
    <w:rsid w:val="000C301B"/>
    <w:rsid w:val="000C5D77"/>
    <w:rsid w:val="000C6339"/>
    <w:rsid w:val="000C7340"/>
    <w:rsid w:val="000D0919"/>
    <w:rsid w:val="000D0939"/>
    <w:rsid w:val="000D0A79"/>
    <w:rsid w:val="000D1023"/>
    <w:rsid w:val="000D224B"/>
    <w:rsid w:val="000D27BA"/>
    <w:rsid w:val="000D36BE"/>
    <w:rsid w:val="000D3D33"/>
    <w:rsid w:val="000D3E0C"/>
    <w:rsid w:val="000D3FAD"/>
    <w:rsid w:val="000D3FF0"/>
    <w:rsid w:val="000D40EF"/>
    <w:rsid w:val="000D5238"/>
    <w:rsid w:val="000D5789"/>
    <w:rsid w:val="000D5C53"/>
    <w:rsid w:val="000D5F8C"/>
    <w:rsid w:val="000D6C97"/>
    <w:rsid w:val="000D7A49"/>
    <w:rsid w:val="000E08A0"/>
    <w:rsid w:val="000E10F0"/>
    <w:rsid w:val="000E1206"/>
    <w:rsid w:val="000E21A8"/>
    <w:rsid w:val="000E3831"/>
    <w:rsid w:val="000E5126"/>
    <w:rsid w:val="000E5A48"/>
    <w:rsid w:val="000E5B95"/>
    <w:rsid w:val="000E687D"/>
    <w:rsid w:val="000E70BE"/>
    <w:rsid w:val="000E71E3"/>
    <w:rsid w:val="000E766E"/>
    <w:rsid w:val="000E76D1"/>
    <w:rsid w:val="000F0B92"/>
    <w:rsid w:val="000F152C"/>
    <w:rsid w:val="000F15B0"/>
    <w:rsid w:val="000F18C3"/>
    <w:rsid w:val="000F3854"/>
    <w:rsid w:val="000F43A9"/>
    <w:rsid w:val="000F44B0"/>
    <w:rsid w:val="000F44CE"/>
    <w:rsid w:val="000F4579"/>
    <w:rsid w:val="000F4AB3"/>
    <w:rsid w:val="000F4FD3"/>
    <w:rsid w:val="000F5A82"/>
    <w:rsid w:val="000F61F9"/>
    <w:rsid w:val="000F66CB"/>
    <w:rsid w:val="000F69FB"/>
    <w:rsid w:val="000F6AA9"/>
    <w:rsid w:val="00100B7B"/>
    <w:rsid w:val="00101562"/>
    <w:rsid w:val="0010260C"/>
    <w:rsid w:val="00102FFD"/>
    <w:rsid w:val="0010392F"/>
    <w:rsid w:val="00104D07"/>
    <w:rsid w:val="00104FBE"/>
    <w:rsid w:val="001050B2"/>
    <w:rsid w:val="0010603C"/>
    <w:rsid w:val="00107217"/>
    <w:rsid w:val="001076AF"/>
    <w:rsid w:val="00111B48"/>
    <w:rsid w:val="00112CF1"/>
    <w:rsid w:val="001132D0"/>
    <w:rsid w:val="00114228"/>
    <w:rsid w:val="001146BE"/>
    <w:rsid w:val="00114D70"/>
    <w:rsid w:val="00115073"/>
    <w:rsid w:val="0011631E"/>
    <w:rsid w:val="00116B8B"/>
    <w:rsid w:val="001175AC"/>
    <w:rsid w:val="001179DB"/>
    <w:rsid w:val="00117D7A"/>
    <w:rsid w:val="00117E34"/>
    <w:rsid w:val="00120F5C"/>
    <w:rsid w:val="00121931"/>
    <w:rsid w:val="00121D19"/>
    <w:rsid w:val="0012213E"/>
    <w:rsid w:val="0012223D"/>
    <w:rsid w:val="0012347A"/>
    <w:rsid w:val="00123D37"/>
    <w:rsid w:val="00123EBD"/>
    <w:rsid w:val="00124C7A"/>
    <w:rsid w:val="00124EDA"/>
    <w:rsid w:val="001251B3"/>
    <w:rsid w:val="00125208"/>
    <w:rsid w:val="00126779"/>
    <w:rsid w:val="001269DB"/>
    <w:rsid w:val="0012713D"/>
    <w:rsid w:val="0013129D"/>
    <w:rsid w:val="00132FDC"/>
    <w:rsid w:val="00133F00"/>
    <w:rsid w:val="001346E2"/>
    <w:rsid w:val="00134A09"/>
    <w:rsid w:val="0013520F"/>
    <w:rsid w:val="001357FD"/>
    <w:rsid w:val="00135DF3"/>
    <w:rsid w:val="00135EB0"/>
    <w:rsid w:val="0013697E"/>
    <w:rsid w:val="00136CE5"/>
    <w:rsid w:val="00140440"/>
    <w:rsid w:val="00140A90"/>
    <w:rsid w:val="00141171"/>
    <w:rsid w:val="001426DB"/>
    <w:rsid w:val="00142A97"/>
    <w:rsid w:val="001432DC"/>
    <w:rsid w:val="00143CF0"/>
    <w:rsid w:val="00144FC7"/>
    <w:rsid w:val="0014503F"/>
    <w:rsid w:val="00145648"/>
    <w:rsid w:val="00145A1F"/>
    <w:rsid w:val="001474DC"/>
    <w:rsid w:val="001476EF"/>
    <w:rsid w:val="00147FD0"/>
    <w:rsid w:val="00150074"/>
    <w:rsid w:val="0015058A"/>
    <w:rsid w:val="0015206D"/>
    <w:rsid w:val="00152392"/>
    <w:rsid w:val="001545C9"/>
    <w:rsid w:val="00154CD6"/>
    <w:rsid w:val="0015519F"/>
    <w:rsid w:val="00155F96"/>
    <w:rsid w:val="00157163"/>
    <w:rsid w:val="00157F16"/>
    <w:rsid w:val="0016107C"/>
    <w:rsid w:val="001614A3"/>
    <w:rsid w:val="00161777"/>
    <w:rsid w:val="001630E9"/>
    <w:rsid w:val="001637D1"/>
    <w:rsid w:val="0016521B"/>
    <w:rsid w:val="00167AFC"/>
    <w:rsid w:val="00170AF5"/>
    <w:rsid w:val="00170E3B"/>
    <w:rsid w:val="00171310"/>
    <w:rsid w:val="00171D28"/>
    <w:rsid w:val="00171D6A"/>
    <w:rsid w:val="00171FC4"/>
    <w:rsid w:val="001722F1"/>
    <w:rsid w:val="00172D01"/>
    <w:rsid w:val="00172DCF"/>
    <w:rsid w:val="00173B99"/>
    <w:rsid w:val="00173F6C"/>
    <w:rsid w:val="00174356"/>
    <w:rsid w:val="00174BC5"/>
    <w:rsid w:val="00174BEB"/>
    <w:rsid w:val="00174CE0"/>
    <w:rsid w:val="00174E07"/>
    <w:rsid w:val="00175265"/>
    <w:rsid w:val="00180C81"/>
    <w:rsid w:val="00181E7B"/>
    <w:rsid w:val="00182195"/>
    <w:rsid w:val="00182BAA"/>
    <w:rsid w:val="001865D9"/>
    <w:rsid w:val="00186C9D"/>
    <w:rsid w:val="00191A33"/>
    <w:rsid w:val="00192BDC"/>
    <w:rsid w:val="00192FD8"/>
    <w:rsid w:val="0019357C"/>
    <w:rsid w:val="00193FD9"/>
    <w:rsid w:val="001948DF"/>
    <w:rsid w:val="00195030"/>
    <w:rsid w:val="001956E2"/>
    <w:rsid w:val="0019668A"/>
    <w:rsid w:val="00197A51"/>
    <w:rsid w:val="00197F2B"/>
    <w:rsid w:val="001A067D"/>
    <w:rsid w:val="001A14FF"/>
    <w:rsid w:val="001A273D"/>
    <w:rsid w:val="001A2838"/>
    <w:rsid w:val="001A2915"/>
    <w:rsid w:val="001A2DF8"/>
    <w:rsid w:val="001A4231"/>
    <w:rsid w:val="001A46B8"/>
    <w:rsid w:val="001A48C1"/>
    <w:rsid w:val="001A5FFD"/>
    <w:rsid w:val="001A6643"/>
    <w:rsid w:val="001A78D0"/>
    <w:rsid w:val="001A7C1E"/>
    <w:rsid w:val="001B1697"/>
    <w:rsid w:val="001B1731"/>
    <w:rsid w:val="001B184B"/>
    <w:rsid w:val="001B1855"/>
    <w:rsid w:val="001B3D0F"/>
    <w:rsid w:val="001B3DAD"/>
    <w:rsid w:val="001B4190"/>
    <w:rsid w:val="001B564E"/>
    <w:rsid w:val="001B5F31"/>
    <w:rsid w:val="001B7DE9"/>
    <w:rsid w:val="001C0552"/>
    <w:rsid w:val="001C0BA9"/>
    <w:rsid w:val="001C0F0C"/>
    <w:rsid w:val="001C1D6E"/>
    <w:rsid w:val="001C1E4D"/>
    <w:rsid w:val="001C2356"/>
    <w:rsid w:val="001C34BD"/>
    <w:rsid w:val="001C55EB"/>
    <w:rsid w:val="001C7DFD"/>
    <w:rsid w:val="001D08C9"/>
    <w:rsid w:val="001D1413"/>
    <w:rsid w:val="001D1432"/>
    <w:rsid w:val="001D1594"/>
    <w:rsid w:val="001D17EB"/>
    <w:rsid w:val="001D1817"/>
    <w:rsid w:val="001D4578"/>
    <w:rsid w:val="001D552C"/>
    <w:rsid w:val="001D5B5E"/>
    <w:rsid w:val="001D5DAD"/>
    <w:rsid w:val="001D616E"/>
    <w:rsid w:val="001D636D"/>
    <w:rsid w:val="001D7DB5"/>
    <w:rsid w:val="001D7ED7"/>
    <w:rsid w:val="001E0A26"/>
    <w:rsid w:val="001E0A4E"/>
    <w:rsid w:val="001E1E47"/>
    <w:rsid w:val="001E2113"/>
    <w:rsid w:val="001E2114"/>
    <w:rsid w:val="001E2853"/>
    <w:rsid w:val="001E28B2"/>
    <w:rsid w:val="001E2D2C"/>
    <w:rsid w:val="001E2DED"/>
    <w:rsid w:val="001E333F"/>
    <w:rsid w:val="001E3BE1"/>
    <w:rsid w:val="001E404A"/>
    <w:rsid w:val="001E4399"/>
    <w:rsid w:val="001E4F1F"/>
    <w:rsid w:val="001E5B5E"/>
    <w:rsid w:val="001E7C6A"/>
    <w:rsid w:val="001F0FA1"/>
    <w:rsid w:val="001F1971"/>
    <w:rsid w:val="001F29B4"/>
    <w:rsid w:val="001F2A2E"/>
    <w:rsid w:val="001F2F56"/>
    <w:rsid w:val="001F30C5"/>
    <w:rsid w:val="001F373A"/>
    <w:rsid w:val="001F4295"/>
    <w:rsid w:val="001F55C2"/>
    <w:rsid w:val="001F5D47"/>
    <w:rsid w:val="001F607F"/>
    <w:rsid w:val="001F6109"/>
    <w:rsid w:val="001F7026"/>
    <w:rsid w:val="001F730B"/>
    <w:rsid w:val="002000D3"/>
    <w:rsid w:val="00200F6E"/>
    <w:rsid w:val="002010A7"/>
    <w:rsid w:val="00201C31"/>
    <w:rsid w:val="00201D9A"/>
    <w:rsid w:val="0020214C"/>
    <w:rsid w:val="00202272"/>
    <w:rsid w:val="0020267B"/>
    <w:rsid w:val="00202E38"/>
    <w:rsid w:val="00203163"/>
    <w:rsid w:val="0020353E"/>
    <w:rsid w:val="002042F2"/>
    <w:rsid w:val="002048F1"/>
    <w:rsid w:val="00206654"/>
    <w:rsid w:val="00207602"/>
    <w:rsid w:val="00210739"/>
    <w:rsid w:val="002107D7"/>
    <w:rsid w:val="00210842"/>
    <w:rsid w:val="00213644"/>
    <w:rsid w:val="00214385"/>
    <w:rsid w:val="002159A8"/>
    <w:rsid w:val="00215F58"/>
    <w:rsid w:val="00216212"/>
    <w:rsid w:val="00217B62"/>
    <w:rsid w:val="00221131"/>
    <w:rsid w:val="002219C3"/>
    <w:rsid w:val="00223366"/>
    <w:rsid w:val="00223E9C"/>
    <w:rsid w:val="00224060"/>
    <w:rsid w:val="002241D5"/>
    <w:rsid w:val="002252E4"/>
    <w:rsid w:val="0022634A"/>
    <w:rsid w:val="00226692"/>
    <w:rsid w:val="0022670A"/>
    <w:rsid w:val="002268D3"/>
    <w:rsid w:val="00226E31"/>
    <w:rsid w:val="00227328"/>
    <w:rsid w:val="00227C18"/>
    <w:rsid w:val="002310BA"/>
    <w:rsid w:val="0023129C"/>
    <w:rsid w:val="00231772"/>
    <w:rsid w:val="002317FE"/>
    <w:rsid w:val="00232701"/>
    <w:rsid w:val="00232F2F"/>
    <w:rsid w:val="0023301C"/>
    <w:rsid w:val="00234415"/>
    <w:rsid w:val="002344B0"/>
    <w:rsid w:val="00234972"/>
    <w:rsid w:val="00234FE6"/>
    <w:rsid w:val="002350E8"/>
    <w:rsid w:val="00236FB7"/>
    <w:rsid w:val="0023799E"/>
    <w:rsid w:val="00240BB6"/>
    <w:rsid w:val="00240CB4"/>
    <w:rsid w:val="00240D70"/>
    <w:rsid w:val="00241419"/>
    <w:rsid w:val="00241C0D"/>
    <w:rsid w:val="00242346"/>
    <w:rsid w:val="00242EA8"/>
    <w:rsid w:val="00243A30"/>
    <w:rsid w:val="00243A3F"/>
    <w:rsid w:val="0024453D"/>
    <w:rsid w:val="00244C13"/>
    <w:rsid w:val="0024541A"/>
    <w:rsid w:val="00245940"/>
    <w:rsid w:val="00246373"/>
    <w:rsid w:val="00246790"/>
    <w:rsid w:val="00247906"/>
    <w:rsid w:val="00250086"/>
    <w:rsid w:val="002501DC"/>
    <w:rsid w:val="00250C50"/>
    <w:rsid w:val="00251529"/>
    <w:rsid w:val="00252971"/>
    <w:rsid w:val="002530EF"/>
    <w:rsid w:val="00253429"/>
    <w:rsid w:val="00253E41"/>
    <w:rsid w:val="00254BFE"/>
    <w:rsid w:val="0025525B"/>
    <w:rsid w:val="00255315"/>
    <w:rsid w:val="002556E0"/>
    <w:rsid w:val="00255C12"/>
    <w:rsid w:val="00260F6C"/>
    <w:rsid w:val="002621CF"/>
    <w:rsid w:val="002626D4"/>
    <w:rsid w:val="00262EF9"/>
    <w:rsid w:val="0026394F"/>
    <w:rsid w:val="00263E52"/>
    <w:rsid w:val="002641A4"/>
    <w:rsid w:val="002643C9"/>
    <w:rsid w:val="002647F0"/>
    <w:rsid w:val="0026501F"/>
    <w:rsid w:val="00265650"/>
    <w:rsid w:val="00266383"/>
    <w:rsid w:val="00266C0B"/>
    <w:rsid w:val="00267572"/>
    <w:rsid w:val="0027039E"/>
    <w:rsid w:val="0027083A"/>
    <w:rsid w:val="002708DD"/>
    <w:rsid w:val="00270DEA"/>
    <w:rsid w:val="002717E6"/>
    <w:rsid w:val="002723B9"/>
    <w:rsid w:val="00272B35"/>
    <w:rsid w:val="002743AC"/>
    <w:rsid w:val="00274A76"/>
    <w:rsid w:val="00274D2C"/>
    <w:rsid w:val="00276071"/>
    <w:rsid w:val="00276C20"/>
    <w:rsid w:val="00276EE5"/>
    <w:rsid w:val="00277922"/>
    <w:rsid w:val="00277A8B"/>
    <w:rsid w:val="00277FA1"/>
    <w:rsid w:val="00280BF8"/>
    <w:rsid w:val="002819AA"/>
    <w:rsid w:val="00281E75"/>
    <w:rsid w:val="00282708"/>
    <w:rsid w:val="00282DFE"/>
    <w:rsid w:val="00283258"/>
    <w:rsid w:val="0028355C"/>
    <w:rsid w:val="00287C18"/>
    <w:rsid w:val="002906C5"/>
    <w:rsid w:val="00290B71"/>
    <w:rsid w:val="002914C9"/>
    <w:rsid w:val="0029169D"/>
    <w:rsid w:val="002927A2"/>
    <w:rsid w:val="00292DD7"/>
    <w:rsid w:val="00292E9D"/>
    <w:rsid w:val="0029339B"/>
    <w:rsid w:val="002938A2"/>
    <w:rsid w:val="002938C7"/>
    <w:rsid w:val="00293E91"/>
    <w:rsid w:val="00293F6C"/>
    <w:rsid w:val="002941E8"/>
    <w:rsid w:val="002943A4"/>
    <w:rsid w:val="002946D9"/>
    <w:rsid w:val="00294D36"/>
    <w:rsid w:val="002957CE"/>
    <w:rsid w:val="002965E8"/>
    <w:rsid w:val="002A0699"/>
    <w:rsid w:val="002A0DE6"/>
    <w:rsid w:val="002A2AF6"/>
    <w:rsid w:val="002A2B9B"/>
    <w:rsid w:val="002A3017"/>
    <w:rsid w:val="002A3266"/>
    <w:rsid w:val="002A37B0"/>
    <w:rsid w:val="002A4BA2"/>
    <w:rsid w:val="002A5451"/>
    <w:rsid w:val="002A5A81"/>
    <w:rsid w:val="002A69B2"/>
    <w:rsid w:val="002A69CC"/>
    <w:rsid w:val="002B0B61"/>
    <w:rsid w:val="002B0B8B"/>
    <w:rsid w:val="002B16D5"/>
    <w:rsid w:val="002B1936"/>
    <w:rsid w:val="002B2382"/>
    <w:rsid w:val="002B257E"/>
    <w:rsid w:val="002B258B"/>
    <w:rsid w:val="002B262E"/>
    <w:rsid w:val="002B29E9"/>
    <w:rsid w:val="002B302D"/>
    <w:rsid w:val="002B30E8"/>
    <w:rsid w:val="002B3AFF"/>
    <w:rsid w:val="002B450E"/>
    <w:rsid w:val="002B4AE4"/>
    <w:rsid w:val="002B4D52"/>
    <w:rsid w:val="002B4F50"/>
    <w:rsid w:val="002B6319"/>
    <w:rsid w:val="002B666A"/>
    <w:rsid w:val="002B6A20"/>
    <w:rsid w:val="002B6A2F"/>
    <w:rsid w:val="002B6FEC"/>
    <w:rsid w:val="002B73C3"/>
    <w:rsid w:val="002B7720"/>
    <w:rsid w:val="002B7ECD"/>
    <w:rsid w:val="002C0320"/>
    <w:rsid w:val="002C0987"/>
    <w:rsid w:val="002C09FB"/>
    <w:rsid w:val="002C0F16"/>
    <w:rsid w:val="002C18D9"/>
    <w:rsid w:val="002C1FEC"/>
    <w:rsid w:val="002C249E"/>
    <w:rsid w:val="002C2DEF"/>
    <w:rsid w:val="002C301E"/>
    <w:rsid w:val="002C35C3"/>
    <w:rsid w:val="002C4396"/>
    <w:rsid w:val="002C492E"/>
    <w:rsid w:val="002C4A88"/>
    <w:rsid w:val="002C5063"/>
    <w:rsid w:val="002C5998"/>
    <w:rsid w:val="002C65B8"/>
    <w:rsid w:val="002C6B79"/>
    <w:rsid w:val="002C7126"/>
    <w:rsid w:val="002C76FE"/>
    <w:rsid w:val="002D1934"/>
    <w:rsid w:val="002D1A8A"/>
    <w:rsid w:val="002D1D91"/>
    <w:rsid w:val="002D2225"/>
    <w:rsid w:val="002D2238"/>
    <w:rsid w:val="002D2BA0"/>
    <w:rsid w:val="002D3E4C"/>
    <w:rsid w:val="002D6432"/>
    <w:rsid w:val="002D6CAB"/>
    <w:rsid w:val="002D70A3"/>
    <w:rsid w:val="002E0556"/>
    <w:rsid w:val="002E0B09"/>
    <w:rsid w:val="002E1107"/>
    <w:rsid w:val="002E120D"/>
    <w:rsid w:val="002E124C"/>
    <w:rsid w:val="002E1A8F"/>
    <w:rsid w:val="002E1CDC"/>
    <w:rsid w:val="002E2E86"/>
    <w:rsid w:val="002E3A55"/>
    <w:rsid w:val="002E4727"/>
    <w:rsid w:val="002E4798"/>
    <w:rsid w:val="002E4C52"/>
    <w:rsid w:val="002E6236"/>
    <w:rsid w:val="002E695C"/>
    <w:rsid w:val="002E6D64"/>
    <w:rsid w:val="002E7F2E"/>
    <w:rsid w:val="002F16F5"/>
    <w:rsid w:val="002F2258"/>
    <w:rsid w:val="002F32C2"/>
    <w:rsid w:val="002F3653"/>
    <w:rsid w:val="002F3BAD"/>
    <w:rsid w:val="002F423C"/>
    <w:rsid w:val="002F48D6"/>
    <w:rsid w:val="002F54D6"/>
    <w:rsid w:val="002F5ED1"/>
    <w:rsid w:val="002F5EED"/>
    <w:rsid w:val="002F6542"/>
    <w:rsid w:val="002F7A62"/>
    <w:rsid w:val="002F7B0C"/>
    <w:rsid w:val="002F7B90"/>
    <w:rsid w:val="002F7BC4"/>
    <w:rsid w:val="0030053F"/>
    <w:rsid w:val="00300861"/>
    <w:rsid w:val="00301757"/>
    <w:rsid w:val="003017A2"/>
    <w:rsid w:val="003028E0"/>
    <w:rsid w:val="00302947"/>
    <w:rsid w:val="0030591C"/>
    <w:rsid w:val="00305AAD"/>
    <w:rsid w:val="00306406"/>
    <w:rsid w:val="0030667F"/>
    <w:rsid w:val="00306B8B"/>
    <w:rsid w:val="003073EE"/>
    <w:rsid w:val="003076FC"/>
    <w:rsid w:val="00307900"/>
    <w:rsid w:val="00307F92"/>
    <w:rsid w:val="00310BDE"/>
    <w:rsid w:val="00310EFA"/>
    <w:rsid w:val="003123C5"/>
    <w:rsid w:val="00313802"/>
    <w:rsid w:val="00313A0C"/>
    <w:rsid w:val="0031429A"/>
    <w:rsid w:val="003149F9"/>
    <w:rsid w:val="00314A26"/>
    <w:rsid w:val="00315B80"/>
    <w:rsid w:val="003168CC"/>
    <w:rsid w:val="00317521"/>
    <w:rsid w:val="00317D37"/>
    <w:rsid w:val="0032371B"/>
    <w:rsid w:val="00323847"/>
    <w:rsid w:val="00323BD4"/>
    <w:rsid w:val="00324D14"/>
    <w:rsid w:val="0033042A"/>
    <w:rsid w:val="00330C93"/>
    <w:rsid w:val="00332DBA"/>
    <w:rsid w:val="00333C49"/>
    <w:rsid w:val="00335150"/>
    <w:rsid w:val="00335805"/>
    <w:rsid w:val="00335885"/>
    <w:rsid w:val="0033652A"/>
    <w:rsid w:val="003368D8"/>
    <w:rsid w:val="00336F2C"/>
    <w:rsid w:val="00336FD4"/>
    <w:rsid w:val="003370C1"/>
    <w:rsid w:val="0033715F"/>
    <w:rsid w:val="0033724B"/>
    <w:rsid w:val="003375C7"/>
    <w:rsid w:val="00341023"/>
    <w:rsid w:val="003412CB"/>
    <w:rsid w:val="0034198A"/>
    <w:rsid w:val="00342398"/>
    <w:rsid w:val="00342419"/>
    <w:rsid w:val="00344230"/>
    <w:rsid w:val="00345600"/>
    <w:rsid w:val="003477E6"/>
    <w:rsid w:val="00347F7A"/>
    <w:rsid w:val="00350DD7"/>
    <w:rsid w:val="003515B9"/>
    <w:rsid w:val="003522D4"/>
    <w:rsid w:val="003525DA"/>
    <w:rsid w:val="0035342F"/>
    <w:rsid w:val="00353BC8"/>
    <w:rsid w:val="0035462C"/>
    <w:rsid w:val="00354861"/>
    <w:rsid w:val="00354BAA"/>
    <w:rsid w:val="00354C75"/>
    <w:rsid w:val="00354DD3"/>
    <w:rsid w:val="00355ABA"/>
    <w:rsid w:val="00356406"/>
    <w:rsid w:val="00356DC8"/>
    <w:rsid w:val="0035723F"/>
    <w:rsid w:val="003576F6"/>
    <w:rsid w:val="00357753"/>
    <w:rsid w:val="0036057A"/>
    <w:rsid w:val="003606A1"/>
    <w:rsid w:val="00360773"/>
    <w:rsid w:val="003637C4"/>
    <w:rsid w:val="00363F81"/>
    <w:rsid w:val="003643DB"/>
    <w:rsid w:val="00364405"/>
    <w:rsid w:val="00364646"/>
    <w:rsid w:val="003647EF"/>
    <w:rsid w:val="00364F7A"/>
    <w:rsid w:val="00365574"/>
    <w:rsid w:val="00367B87"/>
    <w:rsid w:val="00367BFF"/>
    <w:rsid w:val="003701F8"/>
    <w:rsid w:val="00370472"/>
    <w:rsid w:val="00370DD5"/>
    <w:rsid w:val="003716DC"/>
    <w:rsid w:val="003726D3"/>
    <w:rsid w:val="00372C9F"/>
    <w:rsid w:val="003731AD"/>
    <w:rsid w:val="00374089"/>
    <w:rsid w:val="0037505E"/>
    <w:rsid w:val="00375279"/>
    <w:rsid w:val="003755D4"/>
    <w:rsid w:val="00375F3A"/>
    <w:rsid w:val="00376F87"/>
    <w:rsid w:val="0037771C"/>
    <w:rsid w:val="0038075F"/>
    <w:rsid w:val="0038161A"/>
    <w:rsid w:val="00381D61"/>
    <w:rsid w:val="00382AA4"/>
    <w:rsid w:val="003845E1"/>
    <w:rsid w:val="0038492E"/>
    <w:rsid w:val="00384A81"/>
    <w:rsid w:val="00384B57"/>
    <w:rsid w:val="00385370"/>
    <w:rsid w:val="003854B8"/>
    <w:rsid w:val="00385E0D"/>
    <w:rsid w:val="00385F52"/>
    <w:rsid w:val="003867AC"/>
    <w:rsid w:val="00387755"/>
    <w:rsid w:val="00387E11"/>
    <w:rsid w:val="00390575"/>
    <w:rsid w:val="00390AF5"/>
    <w:rsid w:val="00390D8C"/>
    <w:rsid w:val="00391558"/>
    <w:rsid w:val="00391574"/>
    <w:rsid w:val="0039191F"/>
    <w:rsid w:val="00391FBC"/>
    <w:rsid w:val="00392CDA"/>
    <w:rsid w:val="00393C4F"/>
    <w:rsid w:val="00394175"/>
    <w:rsid w:val="0039438D"/>
    <w:rsid w:val="00394546"/>
    <w:rsid w:val="00394AC0"/>
    <w:rsid w:val="003954F2"/>
    <w:rsid w:val="00395577"/>
    <w:rsid w:val="003956B0"/>
    <w:rsid w:val="00395D54"/>
    <w:rsid w:val="00396863"/>
    <w:rsid w:val="00396940"/>
    <w:rsid w:val="00396CA1"/>
    <w:rsid w:val="00396DE7"/>
    <w:rsid w:val="003974CC"/>
    <w:rsid w:val="003977B3"/>
    <w:rsid w:val="003A10C1"/>
    <w:rsid w:val="003A2246"/>
    <w:rsid w:val="003A2C2A"/>
    <w:rsid w:val="003A2DB8"/>
    <w:rsid w:val="003A3170"/>
    <w:rsid w:val="003A3554"/>
    <w:rsid w:val="003A3765"/>
    <w:rsid w:val="003A3AD9"/>
    <w:rsid w:val="003A3FBB"/>
    <w:rsid w:val="003A3FE4"/>
    <w:rsid w:val="003A41CC"/>
    <w:rsid w:val="003A433E"/>
    <w:rsid w:val="003A5492"/>
    <w:rsid w:val="003A64D4"/>
    <w:rsid w:val="003A660F"/>
    <w:rsid w:val="003A71FD"/>
    <w:rsid w:val="003A7669"/>
    <w:rsid w:val="003A7947"/>
    <w:rsid w:val="003A7EA7"/>
    <w:rsid w:val="003B097E"/>
    <w:rsid w:val="003B0AA0"/>
    <w:rsid w:val="003B1909"/>
    <w:rsid w:val="003B1B58"/>
    <w:rsid w:val="003B289F"/>
    <w:rsid w:val="003B2B86"/>
    <w:rsid w:val="003B39EF"/>
    <w:rsid w:val="003B471C"/>
    <w:rsid w:val="003B4ED3"/>
    <w:rsid w:val="003B51C5"/>
    <w:rsid w:val="003B5CE9"/>
    <w:rsid w:val="003B6D34"/>
    <w:rsid w:val="003B74C9"/>
    <w:rsid w:val="003B7910"/>
    <w:rsid w:val="003B7C6B"/>
    <w:rsid w:val="003B7C8E"/>
    <w:rsid w:val="003C025C"/>
    <w:rsid w:val="003C03E2"/>
    <w:rsid w:val="003C1655"/>
    <w:rsid w:val="003C193B"/>
    <w:rsid w:val="003C239D"/>
    <w:rsid w:val="003C23A3"/>
    <w:rsid w:val="003C38FB"/>
    <w:rsid w:val="003C418C"/>
    <w:rsid w:val="003C4D70"/>
    <w:rsid w:val="003C55C1"/>
    <w:rsid w:val="003C5818"/>
    <w:rsid w:val="003C64FF"/>
    <w:rsid w:val="003C6E09"/>
    <w:rsid w:val="003C6FF5"/>
    <w:rsid w:val="003C7275"/>
    <w:rsid w:val="003C7D4B"/>
    <w:rsid w:val="003D04FF"/>
    <w:rsid w:val="003D0847"/>
    <w:rsid w:val="003D2E1F"/>
    <w:rsid w:val="003D338F"/>
    <w:rsid w:val="003D3CE0"/>
    <w:rsid w:val="003D43B7"/>
    <w:rsid w:val="003D4BF2"/>
    <w:rsid w:val="003D4CE0"/>
    <w:rsid w:val="003D509B"/>
    <w:rsid w:val="003D5460"/>
    <w:rsid w:val="003D61C0"/>
    <w:rsid w:val="003D6F95"/>
    <w:rsid w:val="003D7AED"/>
    <w:rsid w:val="003E0526"/>
    <w:rsid w:val="003E0598"/>
    <w:rsid w:val="003E0D16"/>
    <w:rsid w:val="003E1E49"/>
    <w:rsid w:val="003E1FF5"/>
    <w:rsid w:val="003E26EC"/>
    <w:rsid w:val="003E34C8"/>
    <w:rsid w:val="003E351B"/>
    <w:rsid w:val="003E3725"/>
    <w:rsid w:val="003E4015"/>
    <w:rsid w:val="003E404B"/>
    <w:rsid w:val="003E480F"/>
    <w:rsid w:val="003E4C7F"/>
    <w:rsid w:val="003E5220"/>
    <w:rsid w:val="003E6D45"/>
    <w:rsid w:val="003E6EF0"/>
    <w:rsid w:val="003F188D"/>
    <w:rsid w:val="003F301D"/>
    <w:rsid w:val="003F3F4C"/>
    <w:rsid w:val="003F64C9"/>
    <w:rsid w:val="003F717D"/>
    <w:rsid w:val="003F7CB3"/>
    <w:rsid w:val="004002DC"/>
    <w:rsid w:val="00400F19"/>
    <w:rsid w:val="0040113D"/>
    <w:rsid w:val="00401D0D"/>
    <w:rsid w:val="004048C0"/>
    <w:rsid w:val="00405DA2"/>
    <w:rsid w:val="00406FB7"/>
    <w:rsid w:val="0040734C"/>
    <w:rsid w:val="00410751"/>
    <w:rsid w:val="00410774"/>
    <w:rsid w:val="004118DF"/>
    <w:rsid w:val="00411BF0"/>
    <w:rsid w:val="004123C9"/>
    <w:rsid w:val="004125AF"/>
    <w:rsid w:val="00412655"/>
    <w:rsid w:val="00412800"/>
    <w:rsid w:val="00415068"/>
    <w:rsid w:val="004157F0"/>
    <w:rsid w:val="004160B8"/>
    <w:rsid w:val="0041642E"/>
    <w:rsid w:val="004165D7"/>
    <w:rsid w:val="0041708F"/>
    <w:rsid w:val="00417643"/>
    <w:rsid w:val="004176F6"/>
    <w:rsid w:val="004178A8"/>
    <w:rsid w:val="004178E7"/>
    <w:rsid w:val="00417E28"/>
    <w:rsid w:val="00417E72"/>
    <w:rsid w:val="004200B2"/>
    <w:rsid w:val="00420332"/>
    <w:rsid w:val="004205AE"/>
    <w:rsid w:val="004215B0"/>
    <w:rsid w:val="00421FCF"/>
    <w:rsid w:val="00422042"/>
    <w:rsid w:val="00422668"/>
    <w:rsid w:val="00422904"/>
    <w:rsid w:val="00422D06"/>
    <w:rsid w:val="004232EF"/>
    <w:rsid w:val="00423805"/>
    <w:rsid w:val="00423E7A"/>
    <w:rsid w:val="00424E4D"/>
    <w:rsid w:val="00425F85"/>
    <w:rsid w:val="0042613D"/>
    <w:rsid w:val="004274D1"/>
    <w:rsid w:val="00427A2C"/>
    <w:rsid w:val="00430A9D"/>
    <w:rsid w:val="00430AE2"/>
    <w:rsid w:val="004317CE"/>
    <w:rsid w:val="00431E20"/>
    <w:rsid w:val="004320CD"/>
    <w:rsid w:val="004326A9"/>
    <w:rsid w:val="00432727"/>
    <w:rsid w:val="00432BD9"/>
    <w:rsid w:val="004337C0"/>
    <w:rsid w:val="00433EEB"/>
    <w:rsid w:val="0043410C"/>
    <w:rsid w:val="0043521A"/>
    <w:rsid w:val="004352D4"/>
    <w:rsid w:val="0044045E"/>
    <w:rsid w:val="00441DB0"/>
    <w:rsid w:val="004427D3"/>
    <w:rsid w:val="00442828"/>
    <w:rsid w:val="00442B42"/>
    <w:rsid w:val="00442B9D"/>
    <w:rsid w:val="0044302E"/>
    <w:rsid w:val="00443248"/>
    <w:rsid w:val="0044551A"/>
    <w:rsid w:val="00445ADE"/>
    <w:rsid w:val="00445EC4"/>
    <w:rsid w:val="00446775"/>
    <w:rsid w:val="00446F11"/>
    <w:rsid w:val="004504B6"/>
    <w:rsid w:val="004512F7"/>
    <w:rsid w:val="00451EEF"/>
    <w:rsid w:val="0045206C"/>
    <w:rsid w:val="00453066"/>
    <w:rsid w:val="0045319B"/>
    <w:rsid w:val="0045366A"/>
    <w:rsid w:val="00453AAE"/>
    <w:rsid w:val="004542D5"/>
    <w:rsid w:val="0045478F"/>
    <w:rsid w:val="00454858"/>
    <w:rsid w:val="00454AFA"/>
    <w:rsid w:val="0045527D"/>
    <w:rsid w:val="004552EE"/>
    <w:rsid w:val="0045614D"/>
    <w:rsid w:val="00456493"/>
    <w:rsid w:val="0045694B"/>
    <w:rsid w:val="004569D8"/>
    <w:rsid w:val="004578C4"/>
    <w:rsid w:val="004615A8"/>
    <w:rsid w:val="004622B1"/>
    <w:rsid w:val="004626D0"/>
    <w:rsid w:val="004627A4"/>
    <w:rsid w:val="00464487"/>
    <w:rsid w:val="004655E2"/>
    <w:rsid w:val="00466F08"/>
    <w:rsid w:val="00466F94"/>
    <w:rsid w:val="00470662"/>
    <w:rsid w:val="00470B10"/>
    <w:rsid w:val="004719F8"/>
    <w:rsid w:val="004720B7"/>
    <w:rsid w:val="00473478"/>
    <w:rsid w:val="00473D49"/>
    <w:rsid w:val="004759E2"/>
    <w:rsid w:val="00477DAC"/>
    <w:rsid w:val="00481125"/>
    <w:rsid w:val="0048153B"/>
    <w:rsid w:val="00481833"/>
    <w:rsid w:val="00481970"/>
    <w:rsid w:val="00482943"/>
    <w:rsid w:val="0048308B"/>
    <w:rsid w:val="00483FEE"/>
    <w:rsid w:val="00484304"/>
    <w:rsid w:val="004856F3"/>
    <w:rsid w:val="00485CC1"/>
    <w:rsid w:val="00485E94"/>
    <w:rsid w:val="00486433"/>
    <w:rsid w:val="004872AF"/>
    <w:rsid w:val="0048781C"/>
    <w:rsid w:val="0049144A"/>
    <w:rsid w:val="004926E1"/>
    <w:rsid w:val="00492B5C"/>
    <w:rsid w:val="0049340F"/>
    <w:rsid w:val="0049379E"/>
    <w:rsid w:val="00493A4F"/>
    <w:rsid w:val="0049460C"/>
    <w:rsid w:val="00494D44"/>
    <w:rsid w:val="0049585C"/>
    <w:rsid w:val="00495B1D"/>
    <w:rsid w:val="00495B5B"/>
    <w:rsid w:val="004966B6"/>
    <w:rsid w:val="00496DA8"/>
    <w:rsid w:val="004970F8"/>
    <w:rsid w:val="00497207"/>
    <w:rsid w:val="0049796F"/>
    <w:rsid w:val="004A0225"/>
    <w:rsid w:val="004A05EC"/>
    <w:rsid w:val="004A0A64"/>
    <w:rsid w:val="004A1825"/>
    <w:rsid w:val="004A18C1"/>
    <w:rsid w:val="004A2B50"/>
    <w:rsid w:val="004A32F1"/>
    <w:rsid w:val="004A3814"/>
    <w:rsid w:val="004A3D43"/>
    <w:rsid w:val="004A4872"/>
    <w:rsid w:val="004A4936"/>
    <w:rsid w:val="004A4A94"/>
    <w:rsid w:val="004A5BF0"/>
    <w:rsid w:val="004A681C"/>
    <w:rsid w:val="004A6EBF"/>
    <w:rsid w:val="004A7029"/>
    <w:rsid w:val="004A70E4"/>
    <w:rsid w:val="004A73A8"/>
    <w:rsid w:val="004A7A69"/>
    <w:rsid w:val="004B004A"/>
    <w:rsid w:val="004B016F"/>
    <w:rsid w:val="004B0663"/>
    <w:rsid w:val="004B1822"/>
    <w:rsid w:val="004B21FE"/>
    <w:rsid w:val="004B370C"/>
    <w:rsid w:val="004B4A1B"/>
    <w:rsid w:val="004B4FAD"/>
    <w:rsid w:val="004B5050"/>
    <w:rsid w:val="004B6327"/>
    <w:rsid w:val="004B77C7"/>
    <w:rsid w:val="004B7C25"/>
    <w:rsid w:val="004C01C6"/>
    <w:rsid w:val="004C040F"/>
    <w:rsid w:val="004C272F"/>
    <w:rsid w:val="004C2A28"/>
    <w:rsid w:val="004C2B6D"/>
    <w:rsid w:val="004C302E"/>
    <w:rsid w:val="004C3036"/>
    <w:rsid w:val="004C40CA"/>
    <w:rsid w:val="004C45C4"/>
    <w:rsid w:val="004C5486"/>
    <w:rsid w:val="004C594C"/>
    <w:rsid w:val="004C5A73"/>
    <w:rsid w:val="004C5BE0"/>
    <w:rsid w:val="004C6424"/>
    <w:rsid w:val="004C644A"/>
    <w:rsid w:val="004C7D62"/>
    <w:rsid w:val="004D018F"/>
    <w:rsid w:val="004D1A18"/>
    <w:rsid w:val="004D37B0"/>
    <w:rsid w:val="004D46E6"/>
    <w:rsid w:val="004D48E4"/>
    <w:rsid w:val="004D5CFB"/>
    <w:rsid w:val="004D608D"/>
    <w:rsid w:val="004D6840"/>
    <w:rsid w:val="004D6D5A"/>
    <w:rsid w:val="004D7A43"/>
    <w:rsid w:val="004E1B21"/>
    <w:rsid w:val="004E1E51"/>
    <w:rsid w:val="004E2C02"/>
    <w:rsid w:val="004E31CA"/>
    <w:rsid w:val="004E3AA9"/>
    <w:rsid w:val="004E3D54"/>
    <w:rsid w:val="004E3F64"/>
    <w:rsid w:val="004E4E1D"/>
    <w:rsid w:val="004E4E20"/>
    <w:rsid w:val="004E514F"/>
    <w:rsid w:val="004E61BA"/>
    <w:rsid w:val="004E77FF"/>
    <w:rsid w:val="004F0065"/>
    <w:rsid w:val="004F0494"/>
    <w:rsid w:val="004F2659"/>
    <w:rsid w:val="004F29C1"/>
    <w:rsid w:val="004F519A"/>
    <w:rsid w:val="004F5291"/>
    <w:rsid w:val="004F550A"/>
    <w:rsid w:val="004F5633"/>
    <w:rsid w:val="004F5956"/>
    <w:rsid w:val="004F73E3"/>
    <w:rsid w:val="004F7818"/>
    <w:rsid w:val="005007D7"/>
    <w:rsid w:val="00501166"/>
    <w:rsid w:val="00502C97"/>
    <w:rsid w:val="00503150"/>
    <w:rsid w:val="005057CC"/>
    <w:rsid w:val="0050643E"/>
    <w:rsid w:val="00510DD2"/>
    <w:rsid w:val="0051116B"/>
    <w:rsid w:val="00511269"/>
    <w:rsid w:val="00511BA9"/>
    <w:rsid w:val="0051229F"/>
    <w:rsid w:val="00512637"/>
    <w:rsid w:val="00513114"/>
    <w:rsid w:val="005142BF"/>
    <w:rsid w:val="0051445F"/>
    <w:rsid w:val="00514B79"/>
    <w:rsid w:val="00514C60"/>
    <w:rsid w:val="00515B9D"/>
    <w:rsid w:val="0051701D"/>
    <w:rsid w:val="005207C9"/>
    <w:rsid w:val="00521463"/>
    <w:rsid w:val="005219B8"/>
    <w:rsid w:val="00523D67"/>
    <w:rsid w:val="00523F1B"/>
    <w:rsid w:val="00525096"/>
    <w:rsid w:val="0052590B"/>
    <w:rsid w:val="00525FE7"/>
    <w:rsid w:val="005262CC"/>
    <w:rsid w:val="00527FA6"/>
    <w:rsid w:val="00530396"/>
    <w:rsid w:val="005310F4"/>
    <w:rsid w:val="005317F2"/>
    <w:rsid w:val="00531AD4"/>
    <w:rsid w:val="00531B75"/>
    <w:rsid w:val="0053225C"/>
    <w:rsid w:val="00533A56"/>
    <w:rsid w:val="00533AC9"/>
    <w:rsid w:val="005341F4"/>
    <w:rsid w:val="00534C7E"/>
    <w:rsid w:val="005357E9"/>
    <w:rsid w:val="00535926"/>
    <w:rsid w:val="00535E32"/>
    <w:rsid w:val="00535F20"/>
    <w:rsid w:val="00536C6B"/>
    <w:rsid w:val="00536CD7"/>
    <w:rsid w:val="00536F55"/>
    <w:rsid w:val="00537054"/>
    <w:rsid w:val="00537616"/>
    <w:rsid w:val="0053763A"/>
    <w:rsid w:val="00540F2E"/>
    <w:rsid w:val="00540FE0"/>
    <w:rsid w:val="00541B2E"/>
    <w:rsid w:val="00541F04"/>
    <w:rsid w:val="00542A7B"/>
    <w:rsid w:val="00542F73"/>
    <w:rsid w:val="00542FA3"/>
    <w:rsid w:val="00543F4D"/>
    <w:rsid w:val="00543FE3"/>
    <w:rsid w:val="00544202"/>
    <w:rsid w:val="00544236"/>
    <w:rsid w:val="00544C15"/>
    <w:rsid w:val="00545406"/>
    <w:rsid w:val="00545819"/>
    <w:rsid w:val="00545CA1"/>
    <w:rsid w:val="00547B7C"/>
    <w:rsid w:val="00547CFF"/>
    <w:rsid w:val="00550A4F"/>
    <w:rsid w:val="00551725"/>
    <w:rsid w:val="005531A1"/>
    <w:rsid w:val="0055324F"/>
    <w:rsid w:val="00553EB2"/>
    <w:rsid w:val="00555EBB"/>
    <w:rsid w:val="00555F09"/>
    <w:rsid w:val="00560128"/>
    <w:rsid w:val="00560199"/>
    <w:rsid w:val="0056069A"/>
    <w:rsid w:val="00560C41"/>
    <w:rsid w:val="00560F6E"/>
    <w:rsid w:val="00562DB9"/>
    <w:rsid w:val="005634D6"/>
    <w:rsid w:val="00563950"/>
    <w:rsid w:val="00563EA6"/>
    <w:rsid w:val="00565E6C"/>
    <w:rsid w:val="005662E8"/>
    <w:rsid w:val="00567193"/>
    <w:rsid w:val="00567CDB"/>
    <w:rsid w:val="00570344"/>
    <w:rsid w:val="00570F8D"/>
    <w:rsid w:val="00572819"/>
    <w:rsid w:val="0057339E"/>
    <w:rsid w:val="00573A0F"/>
    <w:rsid w:val="0057443E"/>
    <w:rsid w:val="005749AA"/>
    <w:rsid w:val="00574F81"/>
    <w:rsid w:val="0057524C"/>
    <w:rsid w:val="0057576A"/>
    <w:rsid w:val="00577823"/>
    <w:rsid w:val="00580A1B"/>
    <w:rsid w:val="00581301"/>
    <w:rsid w:val="005814FB"/>
    <w:rsid w:val="0058166A"/>
    <w:rsid w:val="00581FFF"/>
    <w:rsid w:val="0058236B"/>
    <w:rsid w:val="005825E3"/>
    <w:rsid w:val="005831B0"/>
    <w:rsid w:val="00583394"/>
    <w:rsid w:val="005839CB"/>
    <w:rsid w:val="00584078"/>
    <w:rsid w:val="005844C5"/>
    <w:rsid w:val="00584A8A"/>
    <w:rsid w:val="00584E3F"/>
    <w:rsid w:val="00584FC1"/>
    <w:rsid w:val="00586287"/>
    <w:rsid w:val="00586530"/>
    <w:rsid w:val="00586734"/>
    <w:rsid w:val="00586AE0"/>
    <w:rsid w:val="0058740F"/>
    <w:rsid w:val="00587834"/>
    <w:rsid w:val="00587B4B"/>
    <w:rsid w:val="0059082A"/>
    <w:rsid w:val="005923C6"/>
    <w:rsid w:val="00592DC0"/>
    <w:rsid w:val="00593412"/>
    <w:rsid w:val="0059601E"/>
    <w:rsid w:val="005965A3"/>
    <w:rsid w:val="005A04BC"/>
    <w:rsid w:val="005A0722"/>
    <w:rsid w:val="005A13F2"/>
    <w:rsid w:val="005A223E"/>
    <w:rsid w:val="005A368D"/>
    <w:rsid w:val="005A3899"/>
    <w:rsid w:val="005A4406"/>
    <w:rsid w:val="005A539B"/>
    <w:rsid w:val="005A5C44"/>
    <w:rsid w:val="005A5E2B"/>
    <w:rsid w:val="005A6248"/>
    <w:rsid w:val="005A6BA7"/>
    <w:rsid w:val="005A7940"/>
    <w:rsid w:val="005B19DB"/>
    <w:rsid w:val="005B3172"/>
    <w:rsid w:val="005B5BD1"/>
    <w:rsid w:val="005B5BDD"/>
    <w:rsid w:val="005B69A1"/>
    <w:rsid w:val="005B7C2B"/>
    <w:rsid w:val="005C0892"/>
    <w:rsid w:val="005C1BBB"/>
    <w:rsid w:val="005C1F2C"/>
    <w:rsid w:val="005C25E4"/>
    <w:rsid w:val="005C2B79"/>
    <w:rsid w:val="005C2FD0"/>
    <w:rsid w:val="005C43BE"/>
    <w:rsid w:val="005C469A"/>
    <w:rsid w:val="005C48F5"/>
    <w:rsid w:val="005C5099"/>
    <w:rsid w:val="005C5105"/>
    <w:rsid w:val="005C570C"/>
    <w:rsid w:val="005C5897"/>
    <w:rsid w:val="005C63AB"/>
    <w:rsid w:val="005C647B"/>
    <w:rsid w:val="005C6BAA"/>
    <w:rsid w:val="005C6D50"/>
    <w:rsid w:val="005C72AC"/>
    <w:rsid w:val="005C7B3D"/>
    <w:rsid w:val="005C7F8C"/>
    <w:rsid w:val="005D02B1"/>
    <w:rsid w:val="005D0937"/>
    <w:rsid w:val="005D190A"/>
    <w:rsid w:val="005D266C"/>
    <w:rsid w:val="005D2EBD"/>
    <w:rsid w:val="005D3B70"/>
    <w:rsid w:val="005D4A46"/>
    <w:rsid w:val="005D5DF2"/>
    <w:rsid w:val="005D5EF0"/>
    <w:rsid w:val="005D60DA"/>
    <w:rsid w:val="005D71E7"/>
    <w:rsid w:val="005D7D13"/>
    <w:rsid w:val="005E03FB"/>
    <w:rsid w:val="005E0D2C"/>
    <w:rsid w:val="005E162B"/>
    <w:rsid w:val="005E1A4A"/>
    <w:rsid w:val="005E2117"/>
    <w:rsid w:val="005E2567"/>
    <w:rsid w:val="005E3EFB"/>
    <w:rsid w:val="005E418C"/>
    <w:rsid w:val="005E4857"/>
    <w:rsid w:val="005E6195"/>
    <w:rsid w:val="005E6661"/>
    <w:rsid w:val="005F009B"/>
    <w:rsid w:val="005F0330"/>
    <w:rsid w:val="005F0DEB"/>
    <w:rsid w:val="005F1A01"/>
    <w:rsid w:val="005F296E"/>
    <w:rsid w:val="005F2A35"/>
    <w:rsid w:val="005F3630"/>
    <w:rsid w:val="005F3635"/>
    <w:rsid w:val="005F412D"/>
    <w:rsid w:val="005F4BFB"/>
    <w:rsid w:val="00602525"/>
    <w:rsid w:val="00602C47"/>
    <w:rsid w:val="00603E0E"/>
    <w:rsid w:val="00603E3F"/>
    <w:rsid w:val="00604404"/>
    <w:rsid w:val="0060451E"/>
    <w:rsid w:val="00604D5F"/>
    <w:rsid w:val="00605800"/>
    <w:rsid w:val="00605F7E"/>
    <w:rsid w:val="00606A16"/>
    <w:rsid w:val="00606FDA"/>
    <w:rsid w:val="006076A9"/>
    <w:rsid w:val="00607833"/>
    <w:rsid w:val="00607E2C"/>
    <w:rsid w:val="006110D5"/>
    <w:rsid w:val="0061146A"/>
    <w:rsid w:val="0061169C"/>
    <w:rsid w:val="00611F33"/>
    <w:rsid w:val="0061273A"/>
    <w:rsid w:val="00612E30"/>
    <w:rsid w:val="00613E6B"/>
    <w:rsid w:val="00613EA4"/>
    <w:rsid w:val="006141AB"/>
    <w:rsid w:val="00614297"/>
    <w:rsid w:val="0061528B"/>
    <w:rsid w:val="006170EB"/>
    <w:rsid w:val="00617404"/>
    <w:rsid w:val="00620CE9"/>
    <w:rsid w:val="00620EEB"/>
    <w:rsid w:val="0062188F"/>
    <w:rsid w:val="00621890"/>
    <w:rsid w:val="00621C86"/>
    <w:rsid w:val="00622511"/>
    <w:rsid w:val="00624639"/>
    <w:rsid w:val="00624BED"/>
    <w:rsid w:val="006250A0"/>
    <w:rsid w:val="00625129"/>
    <w:rsid w:val="00625BCC"/>
    <w:rsid w:val="00625DDF"/>
    <w:rsid w:val="00626909"/>
    <w:rsid w:val="00626B26"/>
    <w:rsid w:val="0062711C"/>
    <w:rsid w:val="0062789D"/>
    <w:rsid w:val="0062797C"/>
    <w:rsid w:val="0063012B"/>
    <w:rsid w:val="00630200"/>
    <w:rsid w:val="006305E2"/>
    <w:rsid w:val="00630D1C"/>
    <w:rsid w:val="00631DBD"/>
    <w:rsid w:val="00632114"/>
    <w:rsid w:val="00632676"/>
    <w:rsid w:val="00632A1B"/>
    <w:rsid w:val="00632BC7"/>
    <w:rsid w:val="00632EA2"/>
    <w:rsid w:val="0063326C"/>
    <w:rsid w:val="00633DB5"/>
    <w:rsid w:val="00633E5F"/>
    <w:rsid w:val="00636ABD"/>
    <w:rsid w:val="006376CE"/>
    <w:rsid w:val="006379E6"/>
    <w:rsid w:val="006379F9"/>
    <w:rsid w:val="00640335"/>
    <w:rsid w:val="0064210D"/>
    <w:rsid w:val="00642560"/>
    <w:rsid w:val="00644022"/>
    <w:rsid w:val="00645715"/>
    <w:rsid w:val="00645BA4"/>
    <w:rsid w:val="0064636C"/>
    <w:rsid w:val="00646374"/>
    <w:rsid w:val="00647C5A"/>
    <w:rsid w:val="00652084"/>
    <w:rsid w:val="00653059"/>
    <w:rsid w:val="006537F9"/>
    <w:rsid w:val="00653F9F"/>
    <w:rsid w:val="006573BE"/>
    <w:rsid w:val="006573F7"/>
    <w:rsid w:val="00657AB0"/>
    <w:rsid w:val="00657CDF"/>
    <w:rsid w:val="00661E4B"/>
    <w:rsid w:val="006627C7"/>
    <w:rsid w:val="00663B21"/>
    <w:rsid w:val="00663B86"/>
    <w:rsid w:val="00664527"/>
    <w:rsid w:val="006645A3"/>
    <w:rsid w:val="006652B3"/>
    <w:rsid w:val="0066540C"/>
    <w:rsid w:val="00665888"/>
    <w:rsid w:val="006663F2"/>
    <w:rsid w:val="006677B7"/>
    <w:rsid w:val="00667C2A"/>
    <w:rsid w:val="00671264"/>
    <w:rsid w:val="0067336F"/>
    <w:rsid w:val="006738AE"/>
    <w:rsid w:val="006740CE"/>
    <w:rsid w:val="00675064"/>
    <w:rsid w:val="00675B16"/>
    <w:rsid w:val="006762F8"/>
    <w:rsid w:val="0067673F"/>
    <w:rsid w:val="006774FF"/>
    <w:rsid w:val="0068070B"/>
    <w:rsid w:val="00680969"/>
    <w:rsid w:val="0068132D"/>
    <w:rsid w:val="00682284"/>
    <w:rsid w:val="00683023"/>
    <w:rsid w:val="006842D3"/>
    <w:rsid w:val="00684978"/>
    <w:rsid w:val="00684D72"/>
    <w:rsid w:val="0068556B"/>
    <w:rsid w:val="00685F43"/>
    <w:rsid w:val="0068690B"/>
    <w:rsid w:val="00686C1B"/>
    <w:rsid w:val="00692044"/>
    <w:rsid w:val="00692619"/>
    <w:rsid w:val="00692798"/>
    <w:rsid w:val="006931D4"/>
    <w:rsid w:val="006936A8"/>
    <w:rsid w:val="006937CC"/>
    <w:rsid w:val="0069387C"/>
    <w:rsid w:val="00693C03"/>
    <w:rsid w:val="00694469"/>
    <w:rsid w:val="006959BE"/>
    <w:rsid w:val="00695E2C"/>
    <w:rsid w:val="006968D7"/>
    <w:rsid w:val="00696F1D"/>
    <w:rsid w:val="00696F7B"/>
    <w:rsid w:val="006A027F"/>
    <w:rsid w:val="006A0337"/>
    <w:rsid w:val="006A0AA8"/>
    <w:rsid w:val="006A187D"/>
    <w:rsid w:val="006A28D8"/>
    <w:rsid w:val="006A2909"/>
    <w:rsid w:val="006A35F5"/>
    <w:rsid w:val="006A403B"/>
    <w:rsid w:val="006A4953"/>
    <w:rsid w:val="006A4DAD"/>
    <w:rsid w:val="006A5AD0"/>
    <w:rsid w:val="006A5F6D"/>
    <w:rsid w:val="006A79AD"/>
    <w:rsid w:val="006B03D1"/>
    <w:rsid w:val="006B30F2"/>
    <w:rsid w:val="006B399B"/>
    <w:rsid w:val="006B5578"/>
    <w:rsid w:val="006B6CC0"/>
    <w:rsid w:val="006B6D2E"/>
    <w:rsid w:val="006B6D83"/>
    <w:rsid w:val="006B742A"/>
    <w:rsid w:val="006B7693"/>
    <w:rsid w:val="006B7B6A"/>
    <w:rsid w:val="006C064B"/>
    <w:rsid w:val="006C106E"/>
    <w:rsid w:val="006C2AE1"/>
    <w:rsid w:val="006C2CA6"/>
    <w:rsid w:val="006C40A8"/>
    <w:rsid w:val="006C4A43"/>
    <w:rsid w:val="006C500C"/>
    <w:rsid w:val="006C5DBA"/>
    <w:rsid w:val="006C6ADB"/>
    <w:rsid w:val="006C6C46"/>
    <w:rsid w:val="006C7164"/>
    <w:rsid w:val="006C7200"/>
    <w:rsid w:val="006C7408"/>
    <w:rsid w:val="006C7800"/>
    <w:rsid w:val="006C783A"/>
    <w:rsid w:val="006C7BAB"/>
    <w:rsid w:val="006C7BE1"/>
    <w:rsid w:val="006C7E83"/>
    <w:rsid w:val="006D058A"/>
    <w:rsid w:val="006D1221"/>
    <w:rsid w:val="006D19F4"/>
    <w:rsid w:val="006D1C0B"/>
    <w:rsid w:val="006D1F00"/>
    <w:rsid w:val="006D2031"/>
    <w:rsid w:val="006D23C1"/>
    <w:rsid w:val="006D25EE"/>
    <w:rsid w:val="006D3C67"/>
    <w:rsid w:val="006D4968"/>
    <w:rsid w:val="006D58EF"/>
    <w:rsid w:val="006D65FD"/>
    <w:rsid w:val="006D69F0"/>
    <w:rsid w:val="006D780C"/>
    <w:rsid w:val="006D79A7"/>
    <w:rsid w:val="006E0C4B"/>
    <w:rsid w:val="006E1879"/>
    <w:rsid w:val="006E28FD"/>
    <w:rsid w:val="006E3088"/>
    <w:rsid w:val="006E313D"/>
    <w:rsid w:val="006E3D5E"/>
    <w:rsid w:val="006E56A2"/>
    <w:rsid w:val="006E57C6"/>
    <w:rsid w:val="006E58C6"/>
    <w:rsid w:val="006E6382"/>
    <w:rsid w:val="006E6478"/>
    <w:rsid w:val="006E65C8"/>
    <w:rsid w:val="006E6D04"/>
    <w:rsid w:val="006E7286"/>
    <w:rsid w:val="006E7E70"/>
    <w:rsid w:val="006F04F9"/>
    <w:rsid w:val="006F0588"/>
    <w:rsid w:val="006F0D1A"/>
    <w:rsid w:val="006F1728"/>
    <w:rsid w:val="006F265B"/>
    <w:rsid w:val="006F287D"/>
    <w:rsid w:val="006F35B3"/>
    <w:rsid w:val="006F3C15"/>
    <w:rsid w:val="006F3C3F"/>
    <w:rsid w:val="006F4696"/>
    <w:rsid w:val="006F47EC"/>
    <w:rsid w:val="006F508D"/>
    <w:rsid w:val="006F5B4A"/>
    <w:rsid w:val="006F6750"/>
    <w:rsid w:val="00700952"/>
    <w:rsid w:val="007009AC"/>
    <w:rsid w:val="0070231A"/>
    <w:rsid w:val="0070231C"/>
    <w:rsid w:val="00704461"/>
    <w:rsid w:val="00706883"/>
    <w:rsid w:val="00707225"/>
    <w:rsid w:val="007076A3"/>
    <w:rsid w:val="00707A8C"/>
    <w:rsid w:val="00707B91"/>
    <w:rsid w:val="0071036B"/>
    <w:rsid w:val="0071044B"/>
    <w:rsid w:val="00711A62"/>
    <w:rsid w:val="00711D95"/>
    <w:rsid w:val="007122F6"/>
    <w:rsid w:val="0071232C"/>
    <w:rsid w:val="00712AED"/>
    <w:rsid w:val="00713497"/>
    <w:rsid w:val="00713F37"/>
    <w:rsid w:val="00714D8B"/>
    <w:rsid w:val="00715141"/>
    <w:rsid w:val="00715794"/>
    <w:rsid w:val="00715E17"/>
    <w:rsid w:val="00716154"/>
    <w:rsid w:val="00716A18"/>
    <w:rsid w:val="0071769B"/>
    <w:rsid w:val="00717BD3"/>
    <w:rsid w:val="00720683"/>
    <w:rsid w:val="00720F6C"/>
    <w:rsid w:val="00721146"/>
    <w:rsid w:val="00722858"/>
    <w:rsid w:val="007228BF"/>
    <w:rsid w:val="00722FFB"/>
    <w:rsid w:val="0072353D"/>
    <w:rsid w:val="007244D5"/>
    <w:rsid w:val="00724C6E"/>
    <w:rsid w:val="00725471"/>
    <w:rsid w:val="0072552E"/>
    <w:rsid w:val="00725AE5"/>
    <w:rsid w:val="00725EB9"/>
    <w:rsid w:val="0072603F"/>
    <w:rsid w:val="0072605B"/>
    <w:rsid w:val="00727DE7"/>
    <w:rsid w:val="0073021A"/>
    <w:rsid w:val="0073067E"/>
    <w:rsid w:val="00731216"/>
    <w:rsid w:val="007316A1"/>
    <w:rsid w:val="00731711"/>
    <w:rsid w:val="00732B63"/>
    <w:rsid w:val="0073612D"/>
    <w:rsid w:val="00737AD3"/>
    <w:rsid w:val="00737CD9"/>
    <w:rsid w:val="00741809"/>
    <w:rsid w:val="00741DD2"/>
    <w:rsid w:val="0074390C"/>
    <w:rsid w:val="00744673"/>
    <w:rsid w:val="00744C79"/>
    <w:rsid w:val="00745242"/>
    <w:rsid w:val="00745DDA"/>
    <w:rsid w:val="00745F5A"/>
    <w:rsid w:val="0074628F"/>
    <w:rsid w:val="00746AA1"/>
    <w:rsid w:val="00747B56"/>
    <w:rsid w:val="007502D8"/>
    <w:rsid w:val="00750A1A"/>
    <w:rsid w:val="00751129"/>
    <w:rsid w:val="007526DA"/>
    <w:rsid w:val="00752BB2"/>
    <w:rsid w:val="0075403D"/>
    <w:rsid w:val="00755AFC"/>
    <w:rsid w:val="0075604C"/>
    <w:rsid w:val="00756721"/>
    <w:rsid w:val="00757633"/>
    <w:rsid w:val="00760384"/>
    <w:rsid w:val="00760D56"/>
    <w:rsid w:val="00761A56"/>
    <w:rsid w:val="00763773"/>
    <w:rsid w:val="00763B8C"/>
    <w:rsid w:val="00766529"/>
    <w:rsid w:val="00766D59"/>
    <w:rsid w:val="007671BF"/>
    <w:rsid w:val="00770020"/>
    <w:rsid w:val="0077090E"/>
    <w:rsid w:val="00770E9B"/>
    <w:rsid w:val="0077306D"/>
    <w:rsid w:val="007746EA"/>
    <w:rsid w:val="00774B1D"/>
    <w:rsid w:val="00775D6D"/>
    <w:rsid w:val="00775EC6"/>
    <w:rsid w:val="00780083"/>
    <w:rsid w:val="00780AD0"/>
    <w:rsid w:val="00782DDA"/>
    <w:rsid w:val="0078421D"/>
    <w:rsid w:val="00784D15"/>
    <w:rsid w:val="0078653D"/>
    <w:rsid w:val="00786E30"/>
    <w:rsid w:val="0078760A"/>
    <w:rsid w:val="00790161"/>
    <w:rsid w:val="00790E31"/>
    <w:rsid w:val="007917A1"/>
    <w:rsid w:val="007938F9"/>
    <w:rsid w:val="00795A47"/>
    <w:rsid w:val="00796051"/>
    <w:rsid w:val="00796267"/>
    <w:rsid w:val="00796513"/>
    <w:rsid w:val="0079736C"/>
    <w:rsid w:val="00797DA8"/>
    <w:rsid w:val="00797F06"/>
    <w:rsid w:val="00797FCF"/>
    <w:rsid w:val="007A0490"/>
    <w:rsid w:val="007A2A6B"/>
    <w:rsid w:val="007A36AE"/>
    <w:rsid w:val="007A3805"/>
    <w:rsid w:val="007A3A06"/>
    <w:rsid w:val="007A4BD0"/>
    <w:rsid w:val="007A56BF"/>
    <w:rsid w:val="007A57B2"/>
    <w:rsid w:val="007A5BEC"/>
    <w:rsid w:val="007A6B36"/>
    <w:rsid w:val="007A6BF7"/>
    <w:rsid w:val="007B0B7F"/>
    <w:rsid w:val="007B0D1F"/>
    <w:rsid w:val="007B229F"/>
    <w:rsid w:val="007B2774"/>
    <w:rsid w:val="007B2BE8"/>
    <w:rsid w:val="007B329A"/>
    <w:rsid w:val="007B388D"/>
    <w:rsid w:val="007B3D86"/>
    <w:rsid w:val="007B43B7"/>
    <w:rsid w:val="007B48DF"/>
    <w:rsid w:val="007B4D56"/>
    <w:rsid w:val="007B4F5A"/>
    <w:rsid w:val="007B5219"/>
    <w:rsid w:val="007B5F1F"/>
    <w:rsid w:val="007B74D7"/>
    <w:rsid w:val="007C0234"/>
    <w:rsid w:val="007C024A"/>
    <w:rsid w:val="007C14F8"/>
    <w:rsid w:val="007C19A0"/>
    <w:rsid w:val="007C1B6E"/>
    <w:rsid w:val="007C21B9"/>
    <w:rsid w:val="007C37C0"/>
    <w:rsid w:val="007C5153"/>
    <w:rsid w:val="007C524D"/>
    <w:rsid w:val="007C5724"/>
    <w:rsid w:val="007C63E9"/>
    <w:rsid w:val="007D126A"/>
    <w:rsid w:val="007D18F4"/>
    <w:rsid w:val="007D1955"/>
    <w:rsid w:val="007D1AC1"/>
    <w:rsid w:val="007D1BF0"/>
    <w:rsid w:val="007D1FD3"/>
    <w:rsid w:val="007D23B5"/>
    <w:rsid w:val="007D29D6"/>
    <w:rsid w:val="007D3D4F"/>
    <w:rsid w:val="007D3E6A"/>
    <w:rsid w:val="007D406A"/>
    <w:rsid w:val="007D42E9"/>
    <w:rsid w:val="007D4BB1"/>
    <w:rsid w:val="007D57C4"/>
    <w:rsid w:val="007D6679"/>
    <w:rsid w:val="007D676C"/>
    <w:rsid w:val="007D6F06"/>
    <w:rsid w:val="007E0851"/>
    <w:rsid w:val="007E3154"/>
    <w:rsid w:val="007E36F7"/>
    <w:rsid w:val="007E3B27"/>
    <w:rsid w:val="007E3CA8"/>
    <w:rsid w:val="007E4B13"/>
    <w:rsid w:val="007E5E02"/>
    <w:rsid w:val="007E6236"/>
    <w:rsid w:val="007E78EB"/>
    <w:rsid w:val="007F13FB"/>
    <w:rsid w:val="007F14DA"/>
    <w:rsid w:val="007F1677"/>
    <w:rsid w:val="007F177D"/>
    <w:rsid w:val="007F1977"/>
    <w:rsid w:val="007F3AD3"/>
    <w:rsid w:val="007F3C84"/>
    <w:rsid w:val="007F3F8F"/>
    <w:rsid w:val="007F4E17"/>
    <w:rsid w:val="007F582F"/>
    <w:rsid w:val="007F5D84"/>
    <w:rsid w:val="007F6775"/>
    <w:rsid w:val="007F6D2E"/>
    <w:rsid w:val="007F77E2"/>
    <w:rsid w:val="007F7875"/>
    <w:rsid w:val="00800BCE"/>
    <w:rsid w:val="00801656"/>
    <w:rsid w:val="00802A89"/>
    <w:rsid w:val="00802D2F"/>
    <w:rsid w:val="00804630"/>
    <w:rsid w:val="00805259"/>
    <w:rsid w:val="0080525A"/>
    <w:rsid w:val="00806056"/>
    <w:rsid w:val="00806544"/>
    <w:rsid w:val="0081019B"/>
    <w:rsid w:val="00810885"/>
    <w:rsid w:val="00810B00"/>
    <w:rsid w:val="008110C0"/>
    <w:rsid w:val="0081142D"/>
    <w:rsid w:val="008116C3"/>
    <w:rsid w:val="00811C11"/>
    <w:rsid w:val="00811CED"/>
    <w:rsid w:val="00812CCB"/>
    <w:rsid w:val="0081325D"/>
    <w:rsid w:val="00813737"/>
    <w:rsid w:val="00814525"/>
    <w:rsid w:val="00814F80"/>
    <w:rsid w:val="008162F6"/>
    <w:rsid w:val="008167F7"/>
    <w:rsid w:val="00817051"/>
    <w:rsid w:val="00820979"/>
    <w:rsid w:val="00820A62"/>
    <w:rsid w:val="008212F4"/>
    <w:rsid w:val="00821D58"/>
    <w:rsid w:val="00821F14"/>
    <w:rsid w:val="008227B3"/>
    <w:rsid w:val="008253BA"/>
    <w:rsid w:val="008259AD"/>
    <w:rsid w:val="00825A4B"/>
    <w:rsid w:val="00825B87"/>
    <w:rsid w:val="00826420"/>
    <w:rsid w:val="00826636"/>
    <w:rsid w:val="00827C4A"/>
    <w:rsid w:val="00827FD1"/>
    <w:rsid w:val="00830CDD"/>
    <w:rsid w:val="00830D6A"/>
    <w:rsid w:val="00833170"/>
    <w:rsid w:val="00833567"/>
    <w:rsid w:val="00833CF2"/>
    <w:rsid w:val="0083466E"/>
    <w:rsid w:val="008346C9"/>
    <w:rsid w:val="008359AC"/>
    <w:rsid w:val="00835AFD"/>
    <w:rsid w:val="00836ECF"/>
    <w:rsid w:val="00837C14"/>
    <w:rsid w:val="008416DB"/>
    <w:rsid w:val="00843B10"/>
    <w:rsid w:val="0084441D"/>
    <w:rsid w:val="008455EB"/>
    <w:rsid w:val="00845770"/>
    <w:rsid w:val="00845C6B"/>
    <w:rsid w:val="00846827"/>
    <w:rsid w:val="00847240"/>
    <w:rsid w:val="0084739D"/>
    <w:rsid w:val="00847E29"/>
    <w:rsid w:val="00847F19"/>
    <w:rsid w:val="008508DB"/>
    <w:rsid w:val="00852BBD"/>
    <w:rsid w:val="00852BC5"/>
    <w:rsid w:val="008535B3"/>
    <w:rsid w:val="0085371C"/>
    <w:rsid w:val="0085435F"/>
    <w:rsid w:val="00854574"/>
    <w:rsid w:val="0085566B"/>
    <w:rsid w:val="00855AF6"/>
    <w:rsid w:val="0085610D"/>
    <w:rsid w:val="008567AE"/>
    <w:rsid w:val="00856F5C"/>
    <w:rsid w:val="00856F6F"/>
    <w:rsid w:val="008571E7"/>
    <w:rsid w:val="0085725F"/>
    <w:rsid w:val="00857681"/>
    <w:rsid w:val="0085771D"/>
    <w:rsid w:val="00857D9F"/>
    <w:rsid w:val="008601E9"/>
    <w:rsid w:val="0086169A"/>
    <w:rsid w:val="008616FF"/>
    <w:rsid w:val="00861994"/>
    <w:rsid w:val="0086269B"/>
    <w:rsid w:val="008631E3"/>
    <w:rsid w:val="00863295"/>
    <w:rsid w:val="008633FC"/>
    <w:rsid w:val="0086368F"/>
    <w:rsid w:val="0086541F"/>
    <w:rsid w:val="00865888"/>
    <w:rsid w:val="00865C5D"/>
    <w:rsid w:val="00865E66"/>
    <w:rsid w:val="00865EA4"/>
    <w:rsid w:val="00866552"/>
    <w:rsid w:val="008675AB"/>
    <w:rsid w:val="008677FF"/>
    <w:rsid w:val="00872793"/>
    <w:rsid w:val="00874033"/>
    <w:rsid w:val="008753F6"/>
    <w:rsid w:val="0087549C"/>
    <w:rsid w:val="00876ACA"/>
    <w:rsid w:val="00876D7B"/>
    <w:rsid w:val="00877E72"/>
    <w:rsid w:val="008806AD"/>
    <w:rsid w:val="008806B0"/>
    <w:rsid w:val="008823D6"/>
    <w:rsid w:val="0088293E"/>
    <w:rsid w:val="008829E3"/>
    <w:rsid w:val="00882D39"/>
    <w:rsid w:val="00883448"/>
    <w:rsid w:val="008836CF"/>
    <w:rsid w:val="00884098"/>
    <w:rsid w:val="008841AA"/>
    <w:rsid w:val="00884F28"/>
    <w:rsid w:val="00885143"/>
    <w:rsid w:val="008861BE"/>
    <w:rsid w:val="008874B6"/>
    <w:rsid w:val="00887A57"/>
    <w:rsid w:val="00887BE8"/>
    <w:rsid w:val="008900A4"/>
    <w:rsid w:val="00890B38"/>
    <w:rsid w:val="008910AD"/>
    <w:rsid w:val="00891872"/>
    <w:rsid w:val="00894953"/>
    <w:rsid w:val="00894B93"/>
    <w:rsid w:val="00895294"/>
    <w:rsid w:val="008957D1"/>
    <w:rsid w:val="0089616B"/>
    <w:rsid w:val="008965D1"/>
    <w:rsid w:val="008971CE"/>
    <w:rsid w:val="00897DB9"/>
    <w:rsid w:val="008A0757"/>
    <w:rsid w:val="008A0F34"/>
    <w:rsid w:val="008A19C8"/>
    <w:rsid w:val="008A237F"/>
    <w:rsid w:val="008A26F5"/>
    <w:rsid w:val="008A3763"/>
    <w:rsid w:val="008A407F"/>
    <w:rsid w:val="008A49DF"/>
    <w:rsid w:val="008A4C58"/>
    <w:rsid w:val="008A4F10"/>
    <w:rsid w:val="008A706C"/>
    <w:rsid w:val="008B06EF"/>
    <w:rsid w:val="008B0D46"/>
    <w:rsid w:val="008B119E"/>
    <w:rsid w:val="008B15E8"/>
    <w:rsid w:val="008B18E0"/>
    <w:rsid w:val="008B1BD5"/>
    <w:rsid w:val="008B2834"/>
    <w:rsid w:val="008B39A8"/>
    <w:rsid w:val="008B39AC"/>
    <w:rsid w:val="008B59C0"/>
    <w:rsid w:val="008B5B17"/>
    <w:rsid w:val="008B67BF"/>
    <w:rsid w:val="008B7AAC"/>
    <w:rsid w:val="008C2C66"/>
    <w:rsid w:val="008C4CE2"/>
    <w:rsid w:val="008C559E"/>
    <w:rsid w:val="008C6747"/>
    <w:rsid w:val="008C6F00"/>
    <w:rsid w:val="008C736C"/>
    <w:rsid w:val="008C75A1"/>
    <w:rsid w:val="008C7770"/>
    <w:rsid w:val="008C781A"/>
    <w:rsid w:val="008D269F"/>
    <w:rsid w:val="008D667A"/>
    <w:rsid w:val="008D7A61"/>
    <w:rsid w:val="008E0D9A"/>
    <w:rsid w:val="008E1D35"/>
    <w:rsid w:val="008E2020"/>
    <w:rsid w:val="008E3096"/>
    <w:rsid w:val="008E4B8B"/>
    <w:rsid w:val="008E537E"/>
    <w:rsid w:val="008E5CCE"/>
    <w:rsid w:val="008E5D2E"/>
    <w:rsid w:val="008E6D90"/>
    <w:rsid w:val="008E786B"/>
    <w:rsid w:val="008E794A"/>
    <w:rsid w:val="008E7F4C"/>
    <w:rsid w:val="008F03FB"/>
    <w:rsid w:val="008F08C0"/>
    <w:rsid w:val="008F0986"/>
    <w:rsid w:val="008F118A"/>
    <w:rsid w:val="008F1514"/>
    <w:rsid w:val="008F2324"/>
    <w:rsid w:val="008F24D1"/>
    <w:rsid w:val="008F35FC"/>
    <w:rsid w:val="008F4656"/>
    <w:rsid w:val="008F4F3F"/>
    <w:rsid w:val="008F54AC"/>
    <w:rsid w:val="008F54CB"/>
    <w:rsid w:val="008F5DBE"/>
    <w:rsid w:val="008F772A"/>
    <w:rsid w:val="00901195"/>
    <w:rsid w:val="00901ADD"/>
    <w:rsid w:val="00901DF2"/>
    <w:rsid w:val="0090229F"/>
    <w:rsid w:val="00902DE3"/>
    <w:rsid w:val="00903136"/>
    <w:rsid w:val="00903AF0"/>
    <w:rsid w:val="00903C48"/>
    <w:rsid w:val="00903FAC"/>
    <w:rsid w:val="009043C2"/>
    <w:rsid w:val="00905609"/>
    <w:rsid w:val="00906FC8"/>
    <w:rsid w:val="00907F23"/>
    <w:rsid w:val="0091077B"/>
    <w:rsid w:val="00911967"/>
    <w:rsid w:val="00912159"/>
    <w:rsid w:val="009124E6"/>
    <w:rsid w:val="00912F1F"/>
    <w:rsid w:val="00913C87"/>
    <w:rsid w:val="00913CBA"/>
    <w:rsid w:val="00915F1C"/>
    <w:rsid w:val="00916DC8"/>
    <w:rsid w:val="009176D1"/>
    <w:rsid w:val="0092271D"/>
    <w:rsid w:val="009227C4"/>
    <w:rsid w:val="00922906"/>
    <w:rsid w:val="00922B35"/>
    <w:rsid w:val="0092381C"/>
    <w:rsid w:val="0092403E"/>
    <w:rsid w:val="00924084"/>
    <w:rsid w:val="00924261"/>
    <w:rsid w:val="00924E8A"/>
    <w:rsid w:val="00925B5D"/>
    <w:rsid w:val="009272A4"/>
    <w:rsid w:val="009277CD"/>
    <w:rsid w:val="00927E4E"/>
    <w:rsid w:val="00930A1D"/>
    <w:rsid w:val="00930DA4"/>
    <w:rsid w:val="00931EDA"/>
    <w:rsid w:val="00931F2E"/>
    <w:rsid w:val="009328D9"/>
    <w:rsid w:val="00932AE9"/>
    <w:rsid w:val="00932DAE"/>
    <w:rsid w:val="00933F81"/>
    <w:rsid w:val="00934229"/>
    <w:rsid w:val="009352BB"/>
    <w:rsid w:val="009356E6"/>
    <w:rsid w:val="00935A07"/>
    <w:rsid w:val="00935D5C"/>
    <w:rsid w:val="00936E93"/>
    <w:rsid w:val="00937247"/>
    <w:rsid w:val="00937E71"/>
    <w:rsid w:val="00940EE4"/>
    <w:rsid w:val="00941D38"/>
    <w:rsid w:val="00942BF7"/>
    <w:rsid w:val="00942DC8"/>
    <w:rsid w:val="0094376C"/>
    <w:rsid w:val="009445B2"/>
    <w:rsid w:val="00945067"/>
    <w:rsid w:val="00946B9B"/>
    <w:rsid w:val="009470B5"/>
    <w:rsid w:val="0094785D"/>
    <w:rsid w:val="0094794F"/>
    <w:rsid w:val="00947FB5"/>
    <w:rsid w:val="00950151"/>
    <w:rsid w:val="0095095F"/>
    <w:rsid w:val="00951173"/>
    <w:rsid w:val="00951270"/>
    <w:rsid w:val="00951EEF"/>
    <w:rsid w:val="009522D2"/>
    <w:rsid w:val="0095275E"/>
    <w:rsid w:val="00953D18"/>
    <w:rsid w:val="0095461F"/>
    <w:rsid w:val="00954BBB"/>
    <w:rsid w:val="00954ED0"/>
    <w:rsid w:val="00955060"/>
    <w:rsid w:val="009552F9"/>
    <w:rsid w:val="0095538A"/>
    <w:rsid w:val="00955931"/>
    <w:rsid w:val="00956FE9"/>
    <w:rsid w:val="00957E7A"/>
    <w:rsid w:val="0096104F"/>
    <w:rsid w:val="009624B2"/>
    <w:rsid w:val="00962EAE"/>
    <w:rsid w:val="00963AA6"/>
    <w:rsid w:val="00965193"/>
    <w:rsid w:val="00965A5D"/>
    <w:rsid w:val="009661F7"/>
    <w:rsid w:val="00967CAA"/>
    <w:rsid w:val="00967FD0"/>
    <w:rsid w:val="00970405"/>
    <w:rsid w:val="00970F9A"/>
    <w:rsid w:val="0097115E"/>
    <w:rsid w:val="00971D69"/>
    <w:rsid w:val="0097281B"/>
    <w:rsid w:val="00972B9C"/>
    <w:rsid w:val="00972E1C"/>
    <w:rsid w:val="009738EE"/>
    <w:rsid w:val="0097488F"/>
    <w:rsid w:val="00975E3F"/>
    <w:rsid w:val="00976A9F"/>
    <w:rsid w:val="00977AE6"/>
    <w:rsid w:val="009811BB"/>
    <w:rsid w:val="00981603"/>
    <w:rsid w:val="00981872"/>
    <w:rsid w:val="0098245B"/>
    <w:rsid w:val="00982B6C"/>
    <w:rsid w:val="009832E1"/>
    <w:rsid w:val="00983BD2"/>
    <w:rsid w:val="00983D37"/>
    <w:rsid w:val="009843F8"/>
    <w:rsid w:val="00984960"/>
    <w:rsid w:val="0098499E"/>
    <w:rsid w:val="00985318"/>
    <w:rsid w:val="009858B2"/>
    <w:rsid w:val="00985FD5"/>
    <w:rsid w:val="00986131"/>
    <w:rsid w:val="00986373"/>
    <w:rsid w:val="00986F36"/>
    <w:rsid w:val="00987B4B"/>
    <w:rsid w:val="00991271"/>
    <w:rsid w:val="00991CA1"/>
    <w:rsid w:val="00991FF1"/>
    <w:rsid w:val="00992095"/>
    <w:rsid w:val="009928EC"/>
    <w:rsid w:val="00994AE1"/>
    <w:rsid w:val="009953C6"/>
    <w:rsid w:val="009957E3"/>
    <w:rsid w:val="00995C0E"/>
    <w:rsid w:val="00996F4A"/>
    <w:rsid w:val="009974D3"/>
    <w:rsid w:val="009975F9"/>
    <w:rsid w:val="009A02E8"/>
    <w:rsid w:val="009A07BB"/>
    <w:rsid w:val="009A07D6"/>
    <w:rsid w:val="009A32C9"/>
    <w:rsid w:val="009A37A6"/>
    <w:rsid w:val="009A39B2"/>
    <w:rsid w:val="009A62BB"/>
    <w:rsid w:val="009A74D5"/>
    <w:rsid w:val="009B03A4"/>
    <w:rsid w:val="009B08BD"/>
    <w:rsid w:val="009B14A6"/>
    <w:rsid w:val="009B14F6"/>
    <w:rsid w:val="009B2014"/>
    <w:rsid w:val="009B281B"/>
    <w:rsid w:val="009B41AF"/>
    <w:rsid w:val="009B464F"/>
    <w:rsid w:val="009B7334"/>
    <w:rsid w:val="009B7F17"/>
    <w:rsid w:val="009B7FB3"/>
    <w:rsid w:val="009C08F5"/>
    <w:rsid w:val="009C0DE7"/>
    <w:rsid w:val="009C0E61"/>
    <w:rsid w:val="009C147C"/>
    <w:rsid w:val="009C1B80"/>
    <w:rsid w:val="009C1CA5"/>
    <w:rsid w:val="009C5C43"/>
    <w:rsid w:val="009C6456"/>
    <w:rsid w:val="009D0218"/>
    <w:rsid w:val="009D15BB"/>
    <w:rsid w:val="009D1A6C"/>
    <w:rsid w:val="009D3D7C"/>
    <w:rsid w:val="009D3EB8"/>
    <w:rsid w:val="009D4D60"/>
    <w:rsid w:val="009D5105"/>
    <w:rsid w:val="009D6108"/>
    <w:rsid w:val="009D7156"/>
    <w:rsid w:val="009D7E21"/>
    <w:rsid w:val="009E0F3D"/>
    <w:rsid w:val="009E44A7"/>
    <w:rsid w:val="009E4B5F"/>
    <w:rsid w:val="009E5534"/>
    <w:rsid w:val="009E56F0"/>
    <w:rsid w:val="009E59CF"/>
    <w:rsid w:val="009E6FB3"/>
    <w:rsid w:val="009E72E4"/>
    <w:rsid w:val="009F0003"/>
    <w:rsid w:val="009F344C"/>
    <w:rsid w:val="009F4DB8"/>
    <w:rsid w:val="009F500C"/>
    <w:rsid w:val="009F5610"/>
    <w:rsid w:val="009F5B20"/>
    <w:rsid w:val="009F5B40"/>
    <w:rsid w:val="009F5D19"/>
    <w:rsid w:val="009F654A"/>
    <w:rsid w:val="009F6AE4"/>
    <w:rsid w:val="009F7864"/>
    <w:rsid w:val="00A00363"/>
    <w:rsid w:val="00A0305A"/>
    <w:rsid w:val="00A03FA7"/>
    <w:rsid w:val="00A04723"/>
    <w:rsid w:val="00A04886"/>
    <w:rsid w:val="00A05680"/>
    <w:rsid w:val="00A0581D"/>
    <w:rsid w:val="00A05839"/>
    <w:rsid w:val="00A06539"/>
    <w:rsid w:val="00A06F23"/>
    <w:rsid w:val="00A11E6F"/>
    <w:rsid w:val="00A12CA2"/>
    <w:rsid w:val="00A1314A"/>
    <w:rsid w:val="00A13728"/>
    <w:rsid w:val="00A145D6"/>
    <w:rsid w:val="00A15A1D"/>
    <w:rsid w:val="00A16428"/>
    <w:rsid w:val="00A16E14"/>
    <w:rsid w:val="00A17C38"/>
    <w:rsid w:val="00A203D4"/>
    <w:rsid w:val="00A20539"/>
    <w:rsid w:val="00A21525"/>
    <w:rsid w:val="00A21A39"/>
    <w:rsid w:val="00A22233"/>
    <w:rsid w:val="00A2292A"/>
    <w:rsid w:val="00A22981"/>
    <w:rsid w:val="00A238E0"/>
    <w:rsid w:val="00A23D3D"/>
    <w:rsid w:val="00A23F51"/>
    <w:rsid w:val="00A2498E"/>
    <w:rsid w:val="00A24A6B"/>
    <w:rsid w:val="00A24E88"/>
    <w:rsid w:val="00A258A3"/>
    <w:rsid w:val="00A264DD"/>
    <w:rsid w:val="00A274C5"/>
    <w:rsid w:val="00A2770B"/>
    <w:rsid w:val="00A27A99"/>
    <w:rsid w:val="00A300EA"/>
    <w:rsid w:val="00A30E33"/>
    <w:rsid w:val="00A3101C"/>
    <w:rsid w:val="00A31BEA"/>
    <w:rsid w:val="00A31C24"/>
    <w:rsid w:val="00A31F6D"/>
    <w:rsid w:val="00A32A3B"/>
    <w:rsid w:val="00A3344B"/>
    <w:rsid w:val="00A3428A"/>
    <w:rsid w:val="00A345DE"/>
    <w:rsid w:val="00A37434"/>
    <w:rsid w:val="00A375A2"/>
    <w:rsid w:val="00A401B1"/>
    <w:rsid w:val="00A41AC6"/>
    <w:rsid w:val="00A41B7C"/>
    <w:rsid w:val="00A41FAE"/>
    <w:rsid w:val="00A432D7"/>
    <w:rsid w:val="00A43F33"/>
    <w:rsid w:val="00A43F99"/>
    <w:rsid w:val="00A45571"/>
    <w:rsid w:val="00A459BC"/>
    <w:rsid w:val="00A45E14"/>
    <w:rsid w:val="00A50814"/>
    <w:rsid w:val="00A50BBA"/>
    <w:rsid w:val="00A51609"/>
    <w:rsid w:val="00A517E4"/>
    <w:rsid w:val="00A51B91"/>
    <w:rsid w:val="00A51D78"/>
    <w:rsid w:val="00A53131"/>
    <w:rsid w:val="00A53146"/>
    <w:rsid w:val="00A5372E"/>
    <w:rsid w:val="00A538F3"/>
    <w:rsid w:val="00A53DA2"/>
    <w:rsid w:val="00A53DCF"/>
    <w:rsid w:val="00A56A16"/>
    <w:rsid w:val="00A56FF9"/>
    <w:rsid w:val="00A5791B"/>
    <w:rsid w:val="00A57DE7"/>
    <w:rsid w:val="00A60317"/>
    <w:rsid w:val="00A60681"/>
    <w:rsid w:val="00A61260"/>
    <w:rsid w:val="00A6210B"/>
    <w:rsid w:val="00A631BC"/>
    <w:rsid w:val="00A63432"/>
    <w:rsid w:val="00A6345D"/>
    <w:rsid w:val="00A63AF8"/>
    <w:rsid w:val="00A64D72"/>
    <w:rsid w:val="00A65715"/>
    <w:rsid w:val="00A65C6F"/>
    <w:rsid w:val="00A661E2"/>
    <w:rsid w:val="00A6631A"/>
    <w:rsid w:val="00A66639"/>
    <w:rsid w:val="00A66747"/>
    <w:rsid w:val="00A66914"/>
    <w:rsid w:val="00A67876"/>
    <w:rsid w:val="00A7041D"/>
    <w:rsid w:val="00A70437"/>
    <w:rsid w:val="00A709D2"/>
    <w:rsid w:val="00A70D56"/>
    <w:rsid w:val="00A70E13"/>
    <w:rsid w:val="00A71D2B"/>
    <w:rsid w:val="00A723E5"/>
    <w:rsid w:val="00A73BD9"/>
    <w:rsid w:val="00A73FBC"/>
    <w:rsid w:val="00A74B73"/>
    <w:rsid w:val="00A75209"/>
    <w:rsid w:val="00A75B96"/>
    <w:rsid w:val="00A76B51"/>
    <w:rsid w:val="00A80D37"/>
    <w:rsid w:val="00A80DBE"/>
    <w:rsid w:val="00A81A37"/>
    <w:rsid w:val="00A82194"/>
    <w:rsid w:val="00A8224C"/>
    <w:rsid w:val="00A82EBF"/>
    <w:rsid w:val="00A83149"/>
    <w:rsid w:val="00A838E9"/>
    <w:rsid w:val="00A83B42"/>
    <w:rsid w:val="00A83E13"/>
    <w:rsid w:val="00A83EB2"/>
    <w:rsid w:val="00A8454A"/>
    <w:rsid w:val="00A84A9A"/>
    <w:rsid w:val="00A852FF"/>
    <w:rsid w:val="00A86401"/>
    <w:rsid w:val="00A876A3"/>
    <w:rsid w:val="00A87D08"/>
    <w:rsid w:val="00A90693"/>
    <w:rsid w:val="00A9135E"/>
    <w:rsid w:val="00A92B55"/>
    <w:rsid w:val="00A92E47"/>
    <w:rsid w:val="00A935C7"/>
    <w:rsid w:val="00A939F5"/>
    <w:rsid w:val="00A941DB"/>
    <w:rsid w:val="00A94400"/>
    <w:rsid w:val="00A947EA"/>
    <w:rsid w:val="00A94E76"/>
    <w:rsid w:val="00A95C3A"/>
    <w:rsid w:val="00A96189"/>
    <w:rsid w:val="00A96514"/>
    <w:rsid w:val="00A970FB"/>
    <w:rsid w:val="00A97741"/>
    <w:rsid w:val="00A97970"/>
    <w:rsid w:val="00AA0787"/>
    <w:rsid w:val="00AA2CF8"/>
    <w:rsid w:val="00AA38D6"/>
    <w:rsid w:val="00AA3CFA"/>
    <w:rsid w:val="00AA7601"/>
    <w:rsid w:val="00AB0B9A"/>
    <w:rsid w:val="00AB11ED"/>
    <w:rsid w:val="00AB1FE6"/>
    <w:rsid w:val="00AB2747"/>
    <w:rsid w:val="00AB2788"/>
    <w:rsid w:val="00AB2FB9"/>
    <w:rsid w:val="00AB3B6E"/>
    <w:rsid w:val="00AB4496"/>
    <w:rsid w:val="00AB4BB2"/>
    <w:rsid w:val="00AB5325"/>
    <w:rsid w:val="00AB53EE"/>
    <w:rsid w:val="00AB5C3A"/>
    <w:rsid w:val="00AB5DF9"/>
    <w:rsid w:val="00AB60C5"/>
    <w:rsid w:val="00AB619C"/>
    <w:rsid w:val="00AB63F5"/>
    <w:rsid w:val="00AB657E"/>
    <w:rsid w:val="00AB6BF2"/>
    <w:rsid w:val="00AB7000"/>
    <w:rsid w:val="00AB73AD"/>
    <w:rsid w:val="00AB7B70"/>
    <w:rsid w:val="00AB7BEE"/>
    <w:rsid w:val="00AC0072"/>
    <w:rsid w:val="00AC0196"/>
    <w:rsid w:val="00AC179F"/>
    <w:rsid w:val="00AC1A2D"/>
    <w:rsid w:val="00AC1AB0"/>
    <w:rsid w:val="00AC3A7F"/>
    <w:rsid w:val="00AC4D26"/>
    <w:rsid w:val="00AC546E"/>
    <w:rsid w:val="00AC5586"/>
    <w:rsid w:val="00AC66CB"/>
    <w:rsid w:val="00AC675A"/>
    <w:rsid w:val="00AC7E2D"/>
    <w:rsid w:val="00AD01E8"/>
    <w:rsid w:val="00AD057E"/>
    <w:rsid w:val="00AD0D1E"/>
    <w:rsid w:val="00AD0EB0"/>
    <w:rsid w:val="00AD14CD"/>
    <w:rsid w:val="00AD390B"/>
    <w:rsid w:val="00AD4918"/>
    <w:rsid w:val="00AD547A"/>
    <w:rsid w:val="00AD5700"/>
    <w:rsid w:val="00AD5785"/>
    <w:rsid w:val="00AD579E"/>
    <w:rsid w:val="00AD6008"/>
    <w:rsid w:val="00AD6ACD"/>
    <w:rsid w:val="00AD6C0A"/>
    <w:rsid w:val="00AD6CDD"/>
    <w:rsid w:val="00AD6DAA"/>
    <w:rsid w:val="00AD7229"/>
    <w:rsid w:val="00AD731E"/>
    <w:rsid w:val="00AD7CCC"/>
    <w:rsid w:val="00AD7F66"/>
    <w:rsid w:val="00AD7FE6"/>
    <w:rsid w:val="00AE1150"/>
    <w:rsid w:val="00AE1461"/>
    <w:rsid w:val="00AE1D54"/>
    <w:rsid w:val="00AE21EA"/>
    <w:rsid w:val="00AE2E4C"/>
    <w:rsid w:val="00AE3461"/>
    <w:rsid w:val="00AE3694"/>
    <w:rsid w:val="00AE63E0"/>
    <w:rsid w:val="00AE671B"/>
    <w:rsid w:val="00AE76C1"/>
    <w:rsid w:val="00AE7DB1"/>
    <w:rsid w:val="00AF0218"/>
    <w:rsid w:val="00AF0992"/>
    <w:rsid w:val="00AF11F5"/>
    <w:rsid w:val="00AF16F0"/>
    <w:rsid w:val="00AF174A"/>
    <w:rsid w:val="00AF18B1"/>
    <w:rsid w:val="00AF22E7"/>
    <w:rsid w:val="00AF2584"/>
    <w:rsid w:val="00AF381A"/>
    <w:rsid w:val="00AF4617"/>
    <w:rsid w:val="00AF477F"/>
    <w:rsid w:val="00AF499E"/>
    <w:rsid w:val="00AF4E7D"/>
    <w:rsid w:val="00AF59EC"/>
    <w:rsid w:val="00AF7594"/>
    <w:rsid w:val="00AF76F4"/>
    <w:rsid w:val="00AF7EA0"/>
    <w:rsid w:val="00B00B52"/>
    <w:rsid w:val="00B00FDB"/>
    <w:rsid w:val="00B01235"/>
    <w:rsid w:val="00B016C4"/>
    <w:rsid w:val="00B01CD4"/>
    <w:rsid w:val="00B0270B"/>
    <w:rsid w:val="00B031C6"/>
    <w:rsid w:val="00B03474"/>
    <w:rsid w:val="00B04A83"/>
    <w:rsid w:val="00B0707D"/>
    <w:rsid w:val="00B078E6"/>
    <w:rsid w:val="00B105B6"/>
    <w:rsid w:val="00B1154C"/>
    <w:rsid w:val="00B11A26"/>
    <w:rsid w:val="00B11C5E"/>
    <w:rsid w:val="00B11C90"/>
    <w:rsid w:val="00B1290D"/>
    <w:rsid w:val="00B12915"/>
    <w:rsid w:val="00B12FFA"/>
    <w:rsid w:val="00B20CF8"/>
    <w:rsid w:val="00B21C2A"/>
    <w:rsid w:val="00B21D2B"/>
    <w:rsid w:val="00B222F4"/>
    <w:rsid w:val="00B224D3"/>
    <w:rsid w:val="00B23FE8"/>
    <w:rsid w:val="00B245D6"/>
    <w:rsid w:val="00B24A3F"/>
    <w:rsid w:val="00B25105"/>
    <w:rsid w:val="00B25682"/>
    <w:rsid w:val="00B25E66"/>
    <w:rsid w:val="00B270B5"/>
    <w:rsid w:val="00B27745"/>
    <w:rsid w:val="00B27A79"/>
    <w:rsid w:val="00B30728"/>
    <w:rsid w:val="00B318C7"/>
    <w:rsid w:val="00B3290D"/>
    <w:rsid w:val="00B33408"/>
    <w:rsid w:val="00B34DEF"/>
    <w:rsid w:val="00B35B73"/>
    <w:rsid w:val="00B36466"/>
    <w:rsid w:val="00B36775"/>
    <w:rsid w:val="00B36947"/>
    <w:rsid w:val="00B377A4"/>
    <w:rsid w:val="00B37D74"/>
    <w:rsid w:val="00B40415"/>
    <w:rsid w:val="00B4057A"/>
    <w:rsid w:val="00B40803"/>
    <w:rsid w:val="00B41FE3"/>
    <w:rsid w:val="00B42E9B"/>
    <w:rsid w:val="00B4303F"/>
    <w:rsid w:val="00B43B51"/>
    <w:rsid w:val="00B43FDE"/>
    <w:rsid w:val="00B4595B"/>
    <w:rsid w:val="00B45D44"/>
    <w:rsid w:val="00B46100"/>
    <w:rsid w:val="00B470FC"/>
    <w:rsid w:val="00B478B6"/>
    <w:rsid w:val="00B47E08"/>
    <w:rsid w:val="00B5026D"/>
    <w:rsid w:val="00B502C6"/>
    <w:rsid w:val="00B50F73"/>
    <w:rsid w:val="00B513CD"/>
    <w:rsid w:val="00B51502"/>
    <w:rsid w:val="00B5260B"/>
    <w:rsid w:val="00B528B3"/>
    <w:rsid w:val="00B530ED"/>
    <w:rsid w:val="00B53386"/>
    <w:rsid w:val="00B53463"/>
    <w:rsid w:val="00B53C4C"/>
    <w:rsid w:val="00B540AD"/>
    <w:rsid w:val="00B56161"/>
    <w:rsid w:val="00B57016"/>
    <w:rsid w:val="00B570CA"/>
    <w:rsid w:val="00B57668"/>
    <w:rsid w:val="00B576E0"/>
    <w:rsid w:val="00B6020F"/>
    <w:rsid w:val="00B6046E"/>
    <w:rsid w:val="00B6086C"/>
    <w:rsid w:val="00B60E39"/>
    <w:rsid w:val="00B62A81"/>
    <w:rsid w:val="00B63449"/>
    <w:rsid w:val="00B63A83"/>
    <w:rsid w:val="00B644B4"/>
    <w:rsid w:val="00B6484A"/>
    <w:rsid w:val="00B64B4C"/>
    <w:rsid w:val="00B64C69"/>
    <w:rsid w:val="00B64D2F"/>
    <w:rsid w:val="00B64EB9"/>
    <w:rsid w:val="00B67248"/>
    <w:rsid w:val="00B71291"/>
    <w:rsid w:val="00B735EC"/>
    <w:rsid w:val="00B75D63"/>
    <w:rsid w:val="00B768FF"/>
    <w:rsid w:val="00B777AF"/>
    <w:rsid w:val="00B81F71"/>
    <w:rsid w:val="00B82481"/>
    <w:rsid w:val="00B83E89"/>
    <w:rsid w:val="00B84339"/>
    <w:rsid w:val="00B84BA3"/>
    <w:rsid w:val="00B85251"/>
    <w:rsid w:val="00B903C5"/>
    <w:rsid w:val="00B907A6"/>
    <w:rsid w:val="00B92179"/>
    <w:rsid w:val="00B9217B"/>
    <w:rsid w:val="00B94378"/>
    <w:rsid w:val="00B94886"/>
    <w:rsid w:val="00B94C31"/>
    <w:rsid w:val="00B94C7A"/>
    <w:rsid w:val="00B954E1"/>
    <w:rsid w:val="00B95CF6"/>
    <w:rsid w:val="00B96D13"/>
    <w:rsid w:val="00B978D1"/>
    <w:rsid w:val="00B979BE"/>
    <w:rsid w:val="00B97D81"/>
    <w:rsid w:val="00BA01D3"/>
    <w:rsid w:val="00BA0459"/>
    <w:rsid w:val="00BA062D"/>
    <w:rsid w:val="00BA06DA"/>
    <w:rsid w:val="00BA0C34"/>
    <w:rsid w:val="00BA0F10"/>
    <w:rsid w:val="00BA2835"/>
    <w:rsid w:val="00BA5138"/>
    <w:rsid w:val="00BA5BE0"/>
    <w:rsid w:val="00BA658D"/>
    <w:rsid w:val="00BA6B59"/>
    <w:rsid w:val="00BA6BA1"/>
    <w:rsid w:val="00BA75D0"/>
    <w:rsid w:val="00BA78C4"/>
    <w:rsid w:val="00BA7C30"/>
    <w:rsid w:val="00BB124B"/>
    <w:rsid w:val="00BB127E"/>
    <w:rsid w:val="00BB1FEC"/>
    <w:rsid w:val="00BB226D"/>
    <w:rsid w:val="00BB33C6"/>
    <w:rsid w:val="00BB37CB"/>
    <w:rsid w:val="00BB3CA9"/>
    <w:rsid w:val="00BB47F4"/>
    <w:rsid w:val="00BB483F"/>
    <w:rsid w:val="00BB5669"/>
    <w:rsid w:val="00BB62A9"/>
    <w:rsid w:val="00BB6628"/>
    <w:rsid w:val="00BB7A05"/>
    <w:rsid w:val="00BB7D2F"/>
    <w:rsid w:val="00BC0066"/>
    <w:rsid w:val="00BC01F5"/>
    <w:rsid w:val="00BC0283"/>
    <w:rsid w:val="00BC2364"/>
    <w:rsid w:val="00BC28D1"/>
    <w:rsid w:val="00BC4151"/>
    <w:rsid w:val="00BC46DD"/>
    <w:rsid w:val="00BC4972"/>
    <w:rsid w:val="00BC4A87"/>
    <w:rsid w:val="00BC61B8"/>
    <w:rsid w:val="00BC6929"/>
    <w:rsid w:val="00BC7888"/>
    <w:rsid w:val="00BC7BF0"/>
    <w:rsid w:val="00BD0CF3"/>
    <w:rsid w:val="00BD1767"/>
    <w:rsid w:val="00BD1D5D"/>
    <w:rsid w:val="00BD2A29"/>
    <w:rsid w:val="00BD2C88"/>
    <w:rsid w:val="00BD2CC4"/>
    <w:rsid w:val="00BD2D89"/>
    <w:rsid w:val="00BD2F18"/>
    <w:rsid w:val="00BD3510"/>
    <w:rsid w:val="00BD567A"/>
    <w:rsid w:val="00BD5AD0"/>
    <w:rsid w:val="00BD5CC3"/>
    <w:rsid w:val="00BD670F"/>
    <w:rsid w:val="00BD6DFE"/>
    <w:rsid w:val="00BD7223"/>
    <w:rsid w:val="00BE06D5"/>
    <w:rsid w:val="00BE079F"/>
    <w:rsid w:val="00BE2A83"/>
    <w:rsid w:val="00BE396E"/>
    <w:rsid w:val="00BE3A20"/>
    <w:rsid w:val="00BE3DED"/>
    <w:rsid w:val="00BE61BB"/>
    <w:rsid w:val="00BE6C4D"/>
    <w:rsid w:val="00BE6D12"/>
    <w:rsid w:val="00BE7234"/>
    <w:rsid w:val="00BE764F"/>
    <w:rsid w:val="00BE7A5A"/>
    <w:rsid w:val="00BF0885"/>
    <w:rsid w:val="00BF40B1"/>
    <w:rsid w:val="00BF4333"/>
    <w:rsid w:val="00BF45DA"/>
    <w:rsid w:val="00BF53F5"/>
    <w:rsid w:val="00BF5732"/>
    <w:rsid w:val="00BF5ED3"/>
    <w:rsid w:val="00BF633E"/>
    <w:rsid w:val="00BF6A58"/>
    <w:rsid w:val="00BF74B1"/>
    <w:rsid w:val="00BF7946"/>
    <w:rsid w:val="00C001F9"/>
    <w:rsid w:val="00C01995"/>
    <w:rsid w:val="00C01E1A"/>
    <w:rsid w:val="00C02E98"/>
    <w:rsid w:val="00C043AF"/>
    <w:rsid w:val="00C04421"/>
    <w:rsid w:val="00C04D6F"/>
    <w:rsid w:val="00C05036"/>
    <w:rsid w:val="00C06071"/>
    <w:rsid w:val="00C06092"/>
    <w:rsid w:val="00C06A11"/>
    <w:rsid w:val="00C06C94"/>
    <w:rsid w:val="00C06D58"/>
    <w:rsid w:val="00C06F84"/>
    <w:rsid w:val="00C0712D"/>
    <w:rsid w:val="00C10618"/>
    <w:rsid w:val="00C10644"/>
    <w:rsid w:val="00C10875"/>
    <w:rsid w:val="00C10BF8"/>
    <w:rsid w:val="00C10CD7"/>
    <w:rsid w:val="00C111E5"/>
    <w:rsid w:val="00C136E2"/>
    <w:rsid w:val="00C15272"/>
    <w:rsid w:val="00C16481"/>
    <w:rsid w:val="00C175CC"/>
    <w:rsid w:val="00C20298"/>
    <w:rsid w:val="00C202A5"/>
    <w:rsid w:val="00C2121A"/>
    <w:rsid w:val="00C2134C"/>
    <w:rsid w:val="00C21ED0"/>
    <w:rsid w:val="00C22346"/>
    <w:rsid w:val="00C2282C"/>
    <w:rsid w:val="00C22A7A"/>
    <w:rsid w:val="00C23575"/>
    <w:rsid w:val="00C24A98"/>
    <w:rsid w:val="00C2519A"/>
    <w:rsid w:val="00C251A2"/>
    <w:rsid w:val="00C25BAE"/>
    <w:rsid w:val="00C26F11"/>
    <w:rsid w:val="00C275F9"/>
    <w:rsid w:val="00C278D2"/>
    <w:rsid w:val="00C3076F"/>
    <w:rsid w:val="00C318F2"/>
    <w:rsid w:val="00C322BA"/>
    <w:rsid w:val="00C33279"/>
    <w:rsid w:val="00C33393"/>
    <w:rsid w:val="00C33569"/>
    <w:rsid w:val="00C3420F"/>
    <w:rsid w:val="00C3467D"/>
    <w:rsid w:val="00C35C23"/>
    <w:rsid w:val="00C3696D"/>
    <w:rsid w:val="00C403EA"/>
    <w:rsid w:val="00C423AF"/>
    <w:rsid w:val="00C42553"/>
    <w:rsid w:val="00C425F3"/>
    <w:rsid w:val="00C42FA8"/>
    <w:rsid w:val="00C4474E"/>
    <w:rsid w:val="00C44A85"/>
    <w:rsid w:val="00C46DBF"/>
    <w:rsid w:val="00C47404"/>
    <w:rsid w:val="00C47937"/>
    <w:rsid w:val="00C47E5C"/>
    <w:rsid w:val="00C47E90"/>
    <w:rsid w:val="00C5035C"/>
    <w:rsid w:val="00C50A93"/>
    <w:rsid w:val="00C50AC5"/>
    <w:rsid w:val="00C5138D"/>
    <w:rsid w:val="00C51E79"/>
    <w:rsid w:val="00C52A33"/>
    <w:rsid w:val="00C52EA5"/>
    <w:rsid w:val="00C53061"/>
    <w:rsid w:val="00C530DC"/>
    <w:rsid w:val="00C5310A"/>
    <w:rsid w:val="00C531D2"/>
    <w:rsid w:val="00C533A0"/>
    <w:rsid w:val="00C55615"/>
    <w:rsid w:val="00C56B90"/>
    <w:rsid w:val="00C56D60"/>
    <w:rsid w:val="00C605C8"/>
    <w:rsid w:val="00C61587"/>
    <w:rsid w:val="00C61877"/>
    <w:rsid w:val="00C61A45"/>
    <w:rsid w:val="00C61FBA"/>
    <w:rsid w:val="00C622C3"/>
    <w:rsid w:val="00C62666"/>
    <w:rsid w:val="00C62CE9"/>
    <w:rsid w:val="00C62F20"/>
    <w:rsid w:val="00C63194"/>
    <w:rsid w:val="00C63711"/>
    <w:rsid w:val="00C641F9"/>
    <w:rsid w:val="00C645B2"/>
    <w:rsid w:val="00C64A31"/>
    <w:rsid w:val="00C64CB9"/>
    <w:rsid w:val="00C64FF9"/>
    <w:rsid w:val="00C65761"/>
    <w:rsid w:val="00C65E04"/>
    <w:rsid w:val="00C65FCD"/>
    <w:rsid w:val="00C66554"/>
    <w:rsid w:val="00C67D49"/>
    <w:rsid w:val="00C67DE6"/>
    <w:rsid w:val="00C708C6"/>
    <w:rsid w:val="00C714BC"/>
    <w:rsid w:val="00C71B57"/>
    <w:rsid w:val="00C72C53"/>
    <w:rsid w:val="00C73E0B"/>
    <w:rsid w:val="00C73F19"/>
    <w:rsid w:val="00C7426F"/>
    <w:rsid w:val="00C75760"/>
    <w:rsid w:val="00C75F9D"/>
    <w:rsid w:val="00C761DA"/>
    <w:rsid w:val="00C762FB"/>
    <w:rsid w:val="00C765EA"/>
    <w:rsid w:val="00C77050"/>
    <w:rsid w:val="00C80073"/>
    <w:rsid w:val="00C81CEC"/>
    <w:rsid w:val="00C81E27"/>
    <w:rsid w:val="00C81EAE"/>
    <w:rsid w:val="00C8243D"/>
    <w:rsid w:val="00C82458"/>
    <w:rsid w:val="00C833B6"/>
    <w:rsid w:val="00C844E4"/>
    <w:rsid w:val="00C8471A"/>
    <w:rsid w:val="00C84C49"/>
    <w:rsid w:val="00C85460"/>
    <w:rsid w:val="00C868D4"/>
    <w:rsid w:val="00C86A15"/>
    <w:rsid w:val="00C86F26"/>
    <w:rsid w:val="00C87CD3"/>
    <w:rsid w:val="00C907D3"/>
    <w:rsid w:val="00C90BBD"/>
    <w:rsid w:val="00C910C5"/>
    <w:rsid w:val="00C91384"/>
    <w:rsid w:val="00C914D2"/>
    <w:rsid w:val="00C91671"/>
    <w:rsid w:val="00C91DB9"/>
    <w:rsid w:val="00C924EB"/>
    <w:rsid w:val="00C93133"/>
    <w:rsid w:val="00C93CE5"/>
    <w:rsid w:val="00C940DF"/>
    <w:rsid w:val="00C95671"/>
    <w:rsid w:val="00C95EDC"/>
    <w:rsid w:val="00C96867"/>
    <w:rsid w:val="00C9697A"/>
    <w:rsid w:val="00CA2849"/>
    <w:rsid w:val="00CA288F"/>
    <w:rsid w:val="00CA348D"/>
    <w:rsid w:val="00CA35A7"/>
    <w:rsid w:val="00CA38AC"/>
    <w:rsid w:val="00CA48F9"/>
    <w:rsid w:val="00CA4DE0"/>
    <w:rsid w:val="00CA4F57"/>
    <w:rsid w:val="00CA68C2"/>
    <w:rsid w:val="00CA69B9"/>
    <w:rsid w:val="00CB1394"/>
    <w:rsid w:val="00CB16B5"/>
    <w:rsid w:val="00CB179D"/>
    <w:rsid w:val="00CB1D40"/>
    <w:rsid w:val="00CB2DAA"/>
    <w:rsid w:val="00CB3C2D"/>
    <w:rsid w:val="00CB4B5D"/>
    <w:rsid w:val="00CB532B"/>
    <w:rsid w:val="00CB58A0"/>
    <w:rsid w:val="00CB61C7"/>
    <w:rsid w:val="00CB6DAD"/>
    <w:rsid w:val="00CB7C7E"/>
    <w:rsid w:val="00CC080C"/>
    <w:rsid w:val="00CC1200"/>
    <w:rsid w:val="00CC1311"/>
    <w:rsid w:val="00CC19EF"/>
    <w:rsid w:val="00CC2662"/>
    <w:rsid w:val="00CC28F4"/>
    <w:rsid w:val="00CC4455"/>
    <w:rsid w:val="00CC7AA6"/>
    <w:rsid w:val="00CD01A8"/>
    <w:rsid w:val="00CD11D2"/>
    <w:rsid w:val="00CD275C"/>
    <w:rsid w:val="00CD29B3"/>
    <w:rsid w:val="00CD34EF"/>
    <w:rsid w:val="00CD3AFE"/>
    <w:rsid w:val="00CD3DDE"/>
    <w:rsid w:val="00CD5364"/>
    <w:rsid w:val="00CD6722"/>
    <w:rsid w:val="00CD7BB8"/>
    <w:rsid w:val="00CE0634"/>
    <w:rsid w:val="00CE227E"/>
    <w:rsid w:val="00CE32E5"/>
    <w:rsid w:val="00CE3552"/>
    <w:rsid w:val="00CE4586"/>
    <w:rsid w:val="00CE73CE"/>
    <w:rsid w:val="00CF0407"/>
    <w:rsid w:val="00CF11EC"/>
    <w:rsid w:val="00CF2617"/>
    <w:rsid w:val="00CF27D0"/>
    <w:rsid w:val="00CF2CA7"/>
    <w:rsid w:val="00CF338C"/>
    <w:rsid w:val="00CF3ED7"/>
    <w:rsid w:val="00CF477E"/>
    <w:rsid w:val="00CF4DFA"/>
    <w:rsid w:val="00CF5628"/>
    <w:rsid w:val="00CF5911"/>
    <w:rsid w:val="00CF738F"/>
    <w:rsid w:val="00CF7A21"/>
    <w:rsid w:val="00D000E1"/>
    <w:rsid w:val="00D01EC9"/>
    <w:rsid w:val="00D02EC2"/>
    <w:rsid w:val="00D0325A"/>
    <w:rsid w:val="00D036C1"/>
    <w:rsid w:val="00D037E1"/>
    <w:rsid w:val="00D03CE3"/>
    <w:rsid w:val="00D03F70"/>
    <w:rsid w:val="00D05FB2"/>
    <w:rsid w:val="00D0669F"/>
    <w:rsid w:val="00D069EB"/>
    <w:rsid w:val="00D0700E"/>
    <w:rsid w:val="00D07945"/>
    <w:rsid w:val="00D1275F"/>
    <w:rsid w:val="00D13B05"/>
    <w:rsid w:val="00D13D42"/>
    <w:rsid w:val="00D140E1"/>
    <w:rsid w:val="00D14196"/>
    <w:rsid w:val="00D148F6"/>
    <w:rsid w:val="00D14FD6"/>
    <w:rsid w:val="00D15AA3"/>
    <w:rsid w:val="00D1646F"/>
    <w:rsid w:val="00D16832"/>
    <w:rsid w:val="00D16AC2"/>
    <w:rsid w:val="00D16B56"/>
    <w:rsid w:val="00D16D7B"/>
    <w:rsid w:val="00D16E2C"/>
    <w:rsid w:val="00D17B56"/>
    <w:rsid w:val="00D20A16"/>
    <w:rsid w:val="00D20C99"/>
    <w:rsid w:val="00D210DD"/>
    <w:rsid w:val="00D22B7D"/>
    <w:rsid w:val="00D23127"/>
    <w:rsid w:val="00D26291"/>
    <w:rsid w:val="00D262C2"/>
    <w:rsid w:val="00D262FF"/>
    <w:rsid w:val="00D265AF"/>
    <w:rsid w:val="00D2689D"/>
    <w:rsid w:val="00D272FB"/>
    <w:rsid w:val="00D30541"/>
    <w:rsid w:val="00D30A02"/>
    <w:rsid w:val="00D3178F"/>
    <w:rsid w:val="00D317B5"/>
    <w:rsid w:val="00D31A7D"/>
    <w:rsid w:val="00D3294E"/>
    <w:rsid w:val="00D32BF3"/>
    <w:rsid w:val="00D33628"/>
    <w:rsid w:val="00D33C0C"/>
    <w:rsid w:val="00D3471A"/>
    <w:rsid w:val="00D36295"/>
    <w:rsid w:val="00D36AB5"/>
    <w:rsid w:val="00D37976"/>
    <w:rsid w:val="00D37DA8"/>
    <w:rsid w:val="00D40474"/>
    <w:rsid w:val="00D42505"/>
    <w:rsid w:val="00D42AE1"/>
    <w:rsid w:val="00D434EA"/>
    <w:rsid w:val="00D435BD"/>
    <w:rsid w:val="00D4362B"/>
    <w:rsid w:val="00D43BCE"/>
    <w:rsid w:val="00D43E72"/>
    <w:rsid w:val="00D4423B"/>
    <w:rsid w:val="00D455A6"/>
    <w:rsid w:val="00D4570D"/>
    <w:rsid w:val="00D46D43"/>
    <w:rsid w:val="00D50DD3"/>
    <w:rsid w:val="00D50FB2"/>
    <w:rsid w:val="00D514CE"/>
    <w:rsid w:val="00D51944"/>
    <w:rsid w:val="00D51BDB"/>
    <w:rsid w:val="00D52751"/>
    <w:rsid w:val="00D550BC"/>
    <w:rsid w:val="00D551FD"/>
    <w:rsid w:val="00D55649"/>
    <w:rsid w:val="00D5576F"/>
    <w:rsid w:val="00D56228"/>
    <w:rsid w:val="00D573DE"/>
    <w:rsid w:val="00D57641"/>
    <w:rsid w:val="00D579C4"/>
    <w:rsid w:val="00D57F39"/>
    <w:rsid w:val="00D602D5"/>
    <w:rsid w:val="00D60846"/>
    <w:rsid w:val="00D621D9"/>
    <w:rsid w:val="00D62496"/>
    <w:rsid w:val="00D62EFE"/>
    <w:rsid w:val="00D63112"/>
    <w:rsid w:val="00D63610"/>
    <w:rsid w:val="00D63D73"/>
    <w:rsid w:val="00D65520"/>
    <w:rsid w:val="00D65A16"/>
    <w:rsid w:val="00D66CAA"/>
    <w:rsid w:val="00D66D39"/>
    <w:rsid w:val="00D6757F"/>
    <w:rsid w:val="00D71C8C"/>
    <w:rsid w:val="00D728E5"/>
    <w:rsid w:val="00D72BFB"/>
    <w:rsid w:val="00D738F0"/>
    <w:rsid w:val="00D739AB"/>
    <w:rsid w:val="00D7403A"/>
    <w:rsid w:val="00D74163"/>
    <w:rsid w:val="00D74DC9"/>
    <w:rsid w:val="00D758D8"/>
    <w:rsid w:val="00D75927"/>
    <w:rsid w:val="00D76D98"/>
    <w:rsid w:val="00D77E00"/>
    <w:rsid w:val="00D80022"/>
    <w:rsid w:val="00D80559"/>
    <w:rsid w:val="00D80614"/>
    <w:rsid w:val="00D807D7"/>
    <w:rsid w:val="00D8102C"/>
    <w:rsid w:val="00D830D6"/>
    <w:rsid w:val="00D83594"/>
    <w:rsid w:val="00D83DE1"/>
    <w:rsid w:val="00D84001"/>
    <w:rsid w:val="00D84112"/>
    <w:rsid w:val="00D84226"/>
    <w:rsid w:val="00D84614"/>
    <w:rsid w:val="00D853FF"/>
    <w:rsid w:val="00D86ABC"/>
    <w:rsid w:val="00D86C91"/>
    <w:rsid w:val="00D86FDC"/>
    <w:rsid w:val="00D8772B"/>
    <w:rsid w:val="00D904CB"/>
    <w:rsid w:val="00D919D3"/>
    <w:rsid w:val="00D921F0"/>
    <w:rsid w:val="00D9236C"/>
    <w:rsid w:val="00D92654"/>
    <w:rsid w:val="00D93CEF"/>
    <w:rsid w:val="00D94422"/>
    <w:rsid w:val="00D95DF0"/>
    <w:rsid w:val="00D96031"/>
    <w:rsid w:val="00D96499"/>
    <w:rsid w:val="00D96687"/>
    <w:rsid w:val="00D9721B"/>
    <w:rsid w:val="00D9775B"/>
    <w:rsid w:val="00DA018A"/>
    <w:rsid w:val="00DA13F9"/>
    <w:rsid w:val="00DA1CA4"/>
    <w:rsid w:val="00DA2A18"/>
    <w:rsid w:val="00DA3862"/>
    <w:rsid w:val="00DA42D4"/>
    <w:rsid w:val="00DA61D1"/>
    <w:rsid w:val="00DA62CD"/>
    <w:rsid w:val="00DA672E"/>
    <w:rsid w:val="00DA6977"/>
    <w:rsid w:val="00DA72A7"/>
    <w:rsid w:val="00DB01D0"/>
    <w:rsid w:val="00DB07D6"/>
    <w:rsid w:val="00DB07EE"/>
    <w:rsid w:val="00DB08AC"/>
    <w:rsid w:val="00DB2FE8"/>
    <w:rsid w:val="00DB379F"/>
    <w:rsid w:val="00DB3AFE"/>
    <w:rsid w:val="00DB409C"/>
    <w:rsid w:val="00DB488C"/>
    <w:rsid w:val="00DB5734"/>
    <w:rsid w:val="00DB6AE7"/>
    <w:rsid w:val="00DC1193"/>
    <w:rsid w:val="00DC1CE5"/>
    <w:rsid w:val="00DC2073"/>
    <w:rsid w:val="00DC340D"/>
    <w:rsid w:val="00DC38B2"/>
    <w:rsid w:val="00DC4120"/>
    <w:rsid w:val="00DC45D3"/>
    <w:rsid w:val="00DC4B20"/>
    <w:rsid w:val="00DC4B42"/>
    <w:rsid w:val="00DC5994"/>
    <w:rsid w:val="00DC6365"/>
    <w:rsid w:val="00DC6F97"/>
    <w:rsid w:val="00DD076B"/>
    <w:rsid w:val="00DD1549"/>
    <w:rsid w:val="00DD1A49"/>
    <w:rsid w:val="00DD2340"/>
    <w:rsid w:val="00DD31F5"/>
    <w:rsid w:val="00DD3F54"/>
    <w:rsid w:val="00DD4921"/>
    <w:rsid w:val="00DD4A6C"/>
    <w:rsid w:val="00DD4ABF"/>
    <w:rsid w:val="00DD4D85"/>
    <w:rsid w:val="00DD5E08"/>
    <w:rsid w:val="00DD618B"/>
    <w:rsid w:val="00DD65BB"/>
    <w:rsid w:val="00DD73A7"/>
    <w:rsid w:val="00DE0777"/>
    <w:rsid w:val="00DE0D76"/>
    <w:rsid w:val="00DE0F2A"/>
    <w:rsid w:val="00DE1240"/>
    <w:rsid w:val="00DE12BE"/>
    <w:rsid w:val="00DE12FF"/>
    <w:rsid w:val="00DE20CA"/>
    <w:rsid w:val="00DE2741"/>
    <w:rsid w:val="00DE2874"/>
    <w:rsid w:val="00DE2ACA"/>
    <w:rsid w:val="00DE2FB6"/>
    <w:rsid w:val="00DE4451"/>
    <w:rsid w:val="00DE5EB1"/>
    <w:rsid w:val="00DE6ACA"/>
    <w:rsid w:val="00DE7EE3"/>
    <w:rsid w:val="00DE7FE2"/>
    <w:rsid w:val="00DF066F"/>
    <w:rsid w:val="00DF07C9"/>
    <w:rsid w:val="00DF2605"/>
    <w:rsid w:val="00DF2826"/>
    <w:rsid w:val="00DF2DBE"/>
    <w:rsid w:val="00DF2DC0"/>
    <w:rsid w:val="00DF2FB9"/>
    <w:rsid w:val="00DF4507"/>
    <w:rsid w:val="00DF484C"/>
    <w:rsid w:val="00DF4946"/>
    <w:rsid w:val="00DF6CCE"/>
    <w:rsid w:val="00DF7F1F"/>
    <w:rsid w:val="00E0079F"/>
    <w:rsid w:val="00E00CD4"/>
    <w:rsid w:val="00E01A41"/>
    <w:rsid w:val="00E03E08"/>
    <w:rsid w:val="00E071B4"/>
    <w:rsid w:val="00E07206"/>
    <w:rsid w:val="00E07F3E"/>
    <w:rsid w:val="00E108A7"/>
    <w:rsid w:val="00E10EF7"/>
    <w:rsid w:val="00E11838"/>
    <w:rsid w:val="00E118EE"/>
    <w:rsid w:val="00E13749"/>
    <w:rsid w:val="00E1431A"/>
    <w:rsid w:val="00E15922"/>
    <w:rsid w:val="00E15F35"/>
    <w:rsid w:val="00E16268"/>
    <w:rsid w:val="00E20103"/>
    <w:rsid w:val="00E20787"/>
    <w:rsid w:val="00E20861"/>
    <w:rsid w:val="00E21434"/>
    <w:rsid w:val="00E220B3"/>
    <w:rsid w:val="00E226C8"/>
    <w:rsid w:val="00E22B37"/>
    <w:rsid w:val="00E25117"/>
    <w:rsid w:val="00E254B7"/>
    <w:rsid w:val="00E261D2"/>
    <w:rsid w:val="00E27029"/>
    <w:rsid w:val="00E30527"/>
    <w:rsid w:val="00E306A4"/>
    <w:rsid w:val="00E30880"/>
    <w:rsid w:val="00E30CFB"/>
    <w:rsid w:val="00E313CE"/>
    <w:rsid w:val="00E33F3C"/>
    <w:rsid w:val="00E34CFD"/>
    <w:rsid w:val="00E35F6F"/>
    <w:rsid w:val="00E36008"/>
    <w:rsid w:val="00E3688E"/>
    <w:rsid w:val="00E368D7"/>
    <w:rsid w:val="00E371D7"/>
    <w:rsid w:val="00E37787"/>
    <w:rsid w:val="00E4005C"/>
    <w:rsid w:val="00E4071C"/>
    <w:rsid w:val="00E415F1"/>
    <w:rsid w:val="00E4316D"/>
    <w:rsid w:val="00E433D2"/>
    <w:rsid w:val="00E43FAF"/>
    <w:rsid w:val="00E458EE"/>
    <w:rsid w:val="00E462A6"/>
    <w:rsid w:val="00E46459"/>
    <w:rsid w:val="00E47431"/>
    <w:rsid w:val="00E47EF5"/>
    <w:rsid w:val="00E509FB"/>
    <w:rsid w:val="00E51230"/>
    <w:rsid w:val="00E5253D"/>
    <w:rsid w:val="00E52792"/>
    <w:rsid w:val="00E54BC0"/>
    <w:rsid w:val="00E54D19"/>
    <w:rsid w:val="00E566EA"/>
    <w:rsid w:val="00E61083"/>
    <w:rsid w:val="00E626D1"/>
    <w:rsid w:val="00E62844"/>
    <w:rsid w:val="00E62B8E"/>
    <w:rsid w:val="00E62D1C"/>
    <w:rsid w:val="00E63123"/>
    <w:rsid w:val="00E63A3A"/>
    <w:rsid w:val="00E64405"/>
    <w:rsid w:val="00E6471F"/>
    <w:rsid w:val="00E648B0"/>
    <w:rsid w:val="00E64CA1"/>
    <w:rsid w:val="00E65879"/>
    <w:rsid w:val="00E65E2A"/>
    <w:rsid w:val="00E6613B"/>
    <w:rsid w:val="00E66637"/>
    <w:rsid w:val="00E6786E"/>
    <w:rsid w:val="00E67E62"/>
    <w:rsid w:val="00E706BA"/>
    <w:rsid w:val="00E70707"/>
    <w:rsid w:val="00E708F1"/>
    <w:rsid w:val="00E70FBF"/>
    <w:rsid w:val="00E714F8"/>
    <w:rsid w:val="00E71FC4"/>
    <w:rsid w:val="00E732E2"/>
    <w:rsid w:val="00E7441D"/>
    <w:rsid w:val="00E74C91"/>
    <w:rsid w:val="00E74F1C"/>
    <w:rsid w:val="00E75DEA"/>
    <w:rsid w:val="00E75FD6"/>
    <w:rsid w:val="00E76339"/>
    <w:rsid w:val="00E76CE0"/>
    <w:rsid w:val="00E76F5E"/>
    <w:rsid w:val="00E77783"/>
    <w:rsid w:val="00E77A0F"/>
    <w:rsid w:val="00E77B5D"/>
    <w:rsid w:val="00E77E7B"/>
    <w:rsid w:val="00E8077A"/>
    <w:rsid w:val="00E82FA2"/>
    <w:rsid w:val="00E82FE1"/>
    <w:rsid w:val="00E83CCB"/>
    <w:rsid w:val="00E847A0"/>
    <w:rsid w:val="00E84CA8"/>
    <w:rsid w:val="00E8627B"/>
    <w:rsid w:val="00E86ABD"/>
    <w:rsid w:val="00E87671"/>
    <w:rsid w:val="00E91389"/>
    <w:rsid w:val="00E925C8"/>
    <w:rsid w:val="00E9315C"/>
    <w:rsid w:val="00E93975"/>
    <w:rsid w:val="00E9439C"/>
    <w:rsid w:val="00E9459D"/>
    <w:rsid w:val="00E947CF"/>
    <w:rsid w:val="00E94B95"/>
    <w:rsid w:val="00E95A67"/>
    <w:rsid w:val="00E9627A"/>
    <w:rsid w:val="00E96FF8"/>
    <w:rsid w:val="00E976D6"/>
    <w:rsid w:val="00E97BF4"/>
    <w:rsid w:val="00E97D87"/>
    <w:rsid w:val="00EA01E2"/>
    <w:rsid w:val="00EA0451"/>
    <w:rsid w:val="00EA1E92"/>
    <w:rsid w:val="00EA231A"/>
    <w:rsid w:val="00EA292A"/>
    <w:rsid w:val="00EA2C62"/>
    <w:rsid w:val="00EA2D1E"/>
    <w:rsid w:val="00EA3628"/>
    <w:rsid w:val="00EA3786"/>
    <w:rsid w:val="00EA40AC"/>
    <w:rsid w:val="00EA4B7B"/>
    <w:rsid w:val="00EA5BCE"/>
    <w:rsid w:val="00EA61E7"/>
    <w:rsid w:val="00EA6B2B"/>
    <w:rsid w:val="00EA7174"/>
    <w:rsid w:val="00EA72EE"/>
    <w:rsid w:val="00EB02CE"/>
    <w:rsid w:val="00EB14C5"/>
    <w:rsid w:val="00EB23E6"/>
    <w:rsid w:val="00EB254D"/>
    <w:rsid w:val="00EB3FC6"/>
    <w:rsid w:val="00EB4077"/>
    <w:rsid w:val="00EB4087"/>
    <w:rsid w:val="00EB4E51"/>
    <w:rsid w:val="00EB4F88"/>
    <w:rsid w:val="00EB561B"/>
    <w:rsid w:val="00EB7110"/>
    <w:rsid w:val="00EB7802"/>
    <w:rsid w:val="00EB7AEB"/>
    <w:rsid w:val="00EC0335"/>
    <w:rsid w:val="00EC2743"/>
    <w:rsid w:val="00EC2A99"/>
    <w:rsid w:val="00EC3327"/>
    <w:rsid w:val="00EC366C"/>
    <w:rsid w:val="00EC3988"/>
    <w:rsid w:val="00EC6996"/>
    <w:rsid w:val="00EC6A45"/>
    <w:rsid w:val="00EC6E06"/>
    <w:rsid w:val="00ED18F9"/>
    <w:rsid w:val="00ED2C0A"/>
    <w:rsid w:val="00ED2C18"/>
    <w:rsid w:val="00ED2CD4"/>
    <w:rsid w:val="00ED3830"/>
    <w:rsid w:val="00ED579D"/>
    <w:rsid w:val="00ED63F2"/>
    <w:rsid w:val="00ED6C06"/>
    <w:rsid w:val="00ED77EC"/>
    <w:rsid w:val="00EE09E6"/>
    <w:rsid w:val="00EE0D80"/>
    <w:rsid w:val="00EE0E0C"/>
    <w:rsid w:val="00EE1CF3"/>
    <w:rsid w:val="00EE3785"/>
    <w:rsid w:val="00EE37E2"/>
    <w:rsid w:val="00EE4951"/>
    <w:rsid w:val="00EE4CE2"/>
    <w:rsid w:val="00EF01DE"/>
    <w:rsid w:val="00EF093D"/>
    <w:rsid w:val="00EF0A1A"/>
    <w:rsid w:val="00EF0E28"/>
    <w:rsid w:val="00EF20B0"/>
    <w:rsid w:val="00EF2678"/>
    <w:rsid w:val="00EF3B34"/>
    <w:rsid w:val="00EF3F1F"/>
    <w:rsid w:val="00EF47E2"/>
    <w:rsid w:val="00EF493B"/>
    <w:rsid w:val="00EF4A53"/>
    <w:rsid w:val="00EF4F35"/>
    <w:rsid w:val="00EF5AFE"/>
    <w:rsid w:val="00EF62D3"/>
    <w:rsid w:val="00EF650E"/>
    <w:rsid w:val="00EF683F"/>
    <w:rsid w:val="00EF6D5D"/>
    <w:rsid w:val="00EF6F63"/>
    <w:rsid w:val="00F005CC"/>
    <w:rsid w:val="00F00A9B"/>
    <w:rsid w:val="00F0325A"/>
    <w:rsid w:val="00F03C01"/>
    <w:rsid w:val="00F03DC1"/>
    <w:rsid w:val="00F0408C"/>
    <w:rsid w:val="00F040BA"/>
    <w:rsid w:val="00F04E82"/>
    <w:rsid w:val="00F04F84"/>
    <w:rsid w:val="00F051B2"/>
    <w:rsid w:val="00F05B92"/>
    <w:rsid w:val="00F05FC3"/>
    <w:rsid w:val="00F06970"/>
    <w:rsid w:val="00F07506"/>
    <w:rsid w:val="00F07DE9"/>
    <w:rsid w:val="00F1009B"/>
    <w:rsid w:val="00F10F81"/>
    <w:rsid w:val="00F11B9C"/>
    <w:rsid w:val="00F12261"/>
    <w:rsid w:val="00F12A72"/>
    <w:rsid w:val="00F12BBF"/>
    <w:rsid w:val="00F14483"/>
    <w:rsid w:val="00F15A13"/>
    <w:rsid w:val="00F17401"/>
    <w:rsid w:val="00F17ABD"/>
    <w:rsid w:val="00F2016F"/>
    <w:rsid w:val="00F202AA"/>
    <w:rsid w:val="00F203CA"/>
    <w:rsid w:val="00F2080A"/>
    <w:rsid w:val="00F20F3D"/>
    <w:rsid w:val="00F223E5"/>
    <w:rsid w:val="00F225F9"/>
    <w:rsid w:val="00F22EA2"/>
    <w:rsid w:val="00F232C8"/>
    <w:rsid w:val="00F23889"/>
    <w:rsid w:val="00F25CFD"/>
    <w:rsid w:val="00F25DAC"/>
    <w:rsid w:val="00F263C1"/>
    <w:rsid w:val="00F26DCD"/>
    <w:rsid w:val="00F27B18"/>
    <w:rsid w:val="00F27E87"/>
    <w:rsid w:val="00F27FE6"/>
    <w:rsid w:val="00F27FF0"/>
    <w:rsid w:val="00F33828"/>
    <w:rsid w:val="00F345E6"/>
    <w:rsid w:val="00F34992"/>
    <w:rsid w:val="00F34B58"/>
    <w:rsid w:val="00F354AE"/>
    <w:rsid w:val="00F375DF"/>
    <w:rsid w:val="00F40999"/>
    <w:rsid w:val="00F40CA5"/>
    <w:rsid w:val="00F41284"/>
    <w:rsid w:val="00F41AA2"/>
    <w:rsid w:val="00F41AD0"/>
    <w:rsid w:val="00F41E90"/>
    <w:rsid w:val="00F41FF7"/>
    <w:rsid w:val="00F4205E"/>
    <w:rsid w:val="00F42189"/>
    <w:rsid w:val="00F42F37"/>
    <w:rsid w:val="00F43601"/>
    <w:rsid w:val="00F450E5"/>
    <w:rsid w:val="00F4541F"/>
    <w:rsid w:val="00F50177"/>
    <w:rsid w:val="00F51FB8"/>
    <w:rsid w:val="00F52D88"/>
    <w:rsid w:val="00F53B43"/>
    <w:rsid w:val="00F548F7"/>
    <w:rsid w:val="00F549B8"/>
    <w:rsid w:val="00F54F27"/>
    <w:rsid w:val="00F550D7"/>
    <w:rsid w:val="00F559FC"/>
    <w:rsid w:val="00F57E66"/>
    <w:rsid w:val="00F57EC4"/>
    <w:rsid w:val="00F62231"/>
    <w:rsid w:val="00F62513"/>
    <w:rsid w:val="00F6289E"/>
    <w:rsid w:val="00F62CFF"/>
    <w:rsid w:val="00F6312F"/>
    <w:rsid w:val="00F63F0B"/>
    <w:rsid w:val="00F65541"/>
    <w:rsid w:val="00F659A5"/>
    <w:rsid w:val="00F65A4D"/>
    <w:rsid w:val="00F663CC"/>
    <w:rsid w:val="00F66B3D"/>
    <w:rsid w:val="00F66EE4"/>
    <w:rsid w:val="00F67743"/>
    <w:rsid w:val="00F702C3"/>
    <w:rsid w:val="00F70898"/>
    <w:rsid w:val="00F70A5F"/>
    <w:rsid w:val="00F70B26"/>
    <w:rsid w:val="00F71441"/>
    <w:rsid w:val="00F72D25"/>
    <w:rsid w:val="00F7384C"/>
    <w:rsid w:val="00F73DCE"/>
    <w:rsid w:val="00F7503D"/>
    <w:rsid w:val="00F752E6"/>
    <w:rsid w:val="00F75DB9"/>
    <w:rsid w:val="00F76983"/>
    <w:rsid w:val="00F7732D"/>
    <w:rsid w:val="00F77846"/>
    <w:rsid w:val="00F80CE9"/>
    <w:rsid w:val="00F81605"/>
    <w:rsid w:val="00F81725"/>
    <w:rsid w:val="00F838D9"/>
    <w:rsid w:val="00F84539"/>
    <w:rsid w:val="00F84C9C"/>
    <w:rsid w:val="00F8502F"/>
    <w:rsid w:val="00F8759F"/>
    <w:rsid w:val="00F9131A"/>
    <w:rsid w:val="00F9197A"/>
    <w:rsid w:val="00F931D0"/>
    <w:rsid w:val="00F93B62"/>
    <w:rsid w:val="00F94433"/>
    <w:rsid w:val="00F944A8"/>
    <w:rsid w:val="00F94554"/>
    <w:rsid w:val="00F947A9"/>
    <w:rsid w:val="00F9571C"/>
    <w:rsid w:val="00F9613B"/>
    <w:rsid w:val="00F965EF"/>
    <w:rsid w:val="00FA1814"/>
    <w:rsid w:val="00FA19C2"/>
    <w:rsid w:val="00FA36B5"/>
    <w:rsid w:val="00FA3804"/>
    <w:rsid w:val="00FA6415"/>
    <w:rsid w:val="00FA69BE"/>
    <w:rsid w:val="00FA794A"/>
    <w:rsid w:val="00FB2780"/>
    <w:rsid w:val="00FB3B3A"/>
    <w:rsid w:val="00FB49EC"/>
    <w:rsid w:val="00FB4AC1"/>
    <w:rsid w:val="00FB55EC"/>
    <w:rsid w:val="00FB62FB"/>
    <w:rsid w:val="00FB6709"/>
    <w:rsid w:val="00FB7568"/>
    <w:rsid w:val="00FB7668"/>
    <w:rsid w:val="00FC0645"/>
    <w:rsid w:val="00FC0E2B"/>
    <w:rsid w:val="00FC1DA6"/>
    <w:rsid w:val="00FC223D"/>
    <w:rsid w:val="00FC38B1"/>
    <w:rsid w:val="00FC438D"/>
    <w:rsid w:val="00FC444C"/>
    <w:rsid w:val="00FC44C8"/>
    <w:rsid w:val="00FC45B9"/>
    <w:rsid w:val="00FC46F8"/>
    <w:rsid w:val="00FC4917"/>
    <w:rsid w:val="00FC53D8"/>
    <w:rsid w:val="00FC5426"/>
    <w:rsid w:val="00FC558E"/>
    <w:rsid w:val="00FC65B9"/>
    <w:rsid w:val="00FD034F"/>
    <w:rsid w:val="00FD0638"/>
    <w:rsid w:val="00FD09A6"/>
    <w:rsid w:val="00FD1667"/>
    <w:rsid w:val="00FD1C37"/>
    <w:rsid w:val="00FD1F2E"/>
    <w:rsid w:val="00FD2048"/>
    <w:rsid w:val="00FD253A"/>
    <w:rsid w:val="00FD2662"/>
    <w:rsid w:val="00FD2B01"/>
    <w:rsid w:val="00FD347D"/>
    <w:rsid w:val="00FD5920"/>
    <w:rsid w:val="00FD5E90"/>
    <w:rsid w:val="00FD5F55"/>
    <w:rsid w:val="00FD6796"/>
    <w:rsid w:val="00FD6954"/>
    <w:rsid w:val="00FD697A"/>
    <w:rsid w:val="00FD7886"/>
    <w:rsid w:val="00FE2AB4"/>
    <w:rsid w:val="00FE3C0D"/>
    <w:rsid w:val="00FE5AE2"/>
    <w:rsid w:val="00FE61F8"/>
    <w:rsid w:val="00FE75CE"/>
    <w:rsid w:val="00FF03E6"/>
    <w:rsid w:val="00FF0923"/>
    <w:rsid w:val="00FF0CC0"/>
    <w:rsid w:val="00FF1504"/>
    <w:rsid w:val="00FF1521"/>
    <w:rsid w:val="00FF3E16"/>
    <w:rsid w:val="00FF4043"/>
    <w:rsid w:val="00FF486C"/>
    <w:rsid w:val="00FF4CEC"/>
    <w:rsid w:val="00FF6F44"/>
    <w:rsid w:val="01AD6585"/>
    <w:rsid w:val="01DA7805"/>
    <w:rsid w:val="02794598"/>
    <w:rsid w:val="02C059ED"/>
    <w:rsid w:val="031C4521"/>
    <w:rsid w:val="03492171"/>
    <w:rsid w:val="036F751D"/>
    <w:rsid w:val="048307B1"/>
    <w:rsid w:val="04BD69D5"/>
    <w:rsid w:val="05650343"/>
    <w:rsid w:val="05684F7C"/>
    <w:rsid w:val="058E25A2"/>
    <w:rsid w:val="06897FD6"/>
    <w:rsid w:val="06B07DAE"/>
    <w:rsid w:val="06DB1D96"/>
    <w:rsid w:val="07473F97"/>
    <w:rsid w:val="08812209"/>
    <w:rsid w:val="0975198A"/>
    <w:rsid w:val="09EA0E90"/>
    <w:rsid w:val="0A111612"/>
    <w:rsid w:val="0A212587"/>
    <w:rsid w:val="0A487D61"/>
    <w:rsid w:val="0B565F28"/>
    <w:rsid w:val="0B952D66"/>
    <w:rsid w:val="0C201F26"/>
    <w:rsid w:val="0C4C31D2"/>
    <w:rsid w:val="0C801821"/>
    <w:rsid w:val="0CC34705"/>
    <w:rsid w:val="0D2F6F72"/>
    <w:rsid w:val="0D4B3203"/>
    <w:rsid w:val="0D59514D"/>
    <w:rsid w:val="0D815088"/>
    <w:rsid w:val="0DBD35EB"/>
    <w:rsid w:val="0E262624"/>
    <w:rsid w:val="0F5B19AC"/>
    <w:rsid w:val="0F6C5A8E"/>
    <w:rsid w:val="0FD81BD8"/>
    <w:rsid w:val="100234CE"/>
    <w:rsid w:val="109B7E8E"/>
    <w:rsid w:val="10EB679F"/>
    <w:rsid w:val="11037EA3"/>
    <w:rsid w:val="119606EA"/>
    <w:rsid w:val="11A02729"/>
    <w:rsid w:val="12927979"/>
    <w:rsid w:val="130F0A89"/>
    <w:rsid w:val="131C51D1"/>
    <w:rsid w:val="137E6460"/>
    <w:rsid w:val="13E72E1E"/>
    <w:rsid w:val="14036F2B"/>
    <w:rsid w:val="14100619"/>
    <w:rsid w:val="14120CD0"/>
    <w:rsid w:val="14364C31"/>
    <w:rsid w:val="148C00E6"/>
    <w:rsid w:val="14F37A34"/>
    <w:rsid w:val="151461C1"/>
    <w:rsid w:val="15361559"/>
    <w:rsid w:val="155C0CE5"/>
    <w:rsid w:val="162D7FC8"/>
    <w:rsid w:val="16FD0D8E"/>
    <w:rsid w:val="172F0AF1"/>
    <w:rsid w:val="184A4B6B"/>
    <w:rsid w:val="184C58E5"/>
    <w:rsid w:val="188B7C03"/>
    <w:rsid w:val="18CC0AC2"/>
    <w:rsid w:val="19081CCC"/>
    <w:rsid w:val="193D0D3D"/>
    <w:rsid w:val="1A79773F"/>
    <w:rsid w:val="1A946BF8"/>
    <w:rsid w:val="1AD11110"/>
    <w:rsid w:val="1AD72917"/>
    <w:rsid w:val="1BEF4366"/>
    <w:rsid w:val="1C1B7CF2"/>
    <w:rsid w:val="1CBE0AF5"/>
    <w:rsid w:val="1CBE7BCC"/>
    <w:rsid w:val="1D7D7D34"/>
    <w:rsid w:val="1DB1784F"/>
    <w:rsid w:val="1DB5696A"/>
    <w:rsid w:val="1E350F55"/>
    <w:rsid w:val="1E4C2B9F"/>
    <w:rsid w:val="1EAD0016"/>
    <w:rsid w:val="1F224345"/>
    <w:rsid w:val="1FD225A0"/>
    <w:rsid w:val="1FF93E98"/>
    <w:rsid w:val="218C3CBB"/>
    <w:rsid w:val="21EC05DB"/>
    <w:rsid w:val="21F04891"/>
    <w:rsid w:val="22992453"/>
    <w:rsid w:val="232B4F94"/>
    <w:rsid w:val="235C7F31"/>
    <w:rsid w:val="2382125D"/>
    <w:rsid w:val="24673B77"/>
    <w:rsid w:val="249E05EF"/>
    <w:rsid w:val="25CA2B24"/>
    <w:rsid w:val="25F05919"/>
    <w:rsid w:val="25F80FAA"/>
    <w:rsid w:val="264C116A"/>
    <w:rsid w:val="27B20B08"/>
    <w:rsid w:val="281A3BF9"/>
    <w:rsid w:val="28E5634D"/>
    <w:rsid w:val="297747C0"/>
    <w:rsid w:val="29954645"/>
    <w:rsid w:val="29DD7D02"/>
    <w:rsid w:val="2A3D00C9"/>
    <w:rsid w:val="2A654267"/>
    <w:rsid w:val="2AC763B9"/>
    <w:rsid w:val="2B67504B"/>
    <w:rsid w:val="2C100A4E"/>
    <w:rsid w:val="2C6511D8"/>
    <w:rsid w:val="2D0A793B"/>
    <w:rsid w:val="2D7468D9"/>
    <w:rsid w:val="2D7915B8"/>
    <w:rsid w:val="2E413440"/>
    <w:rsid w:val="2E4912FC"/>
    <w:rsid w:val="2E5E5057"/>
    <w:rsid w:val="2EAA2895"/>
    <w:rsid w:val="2EEB5753"/>
    <w:rsid w:val="2F2719C8"/>
    <w:rsid w:val="2FFE4E4B"/>
    <w:rsid w:val="307D40F0"/>
    <w:rsid w:val="30B53447"/>
    <w:rsid w:val="30BC4A05"/>
    <w:rsid w:val="31054770"/>
    <w:rsid w:val="31CB4E66"/>
    <w:rsid w:val="31DC1449"/>
    <w:rsid w:val="32070BDE"/>
    <w:rsid w:val="33097A48"/>
    <w:rsid w:val="33E0501E"/>
    <w:rsid w:val="3480324D"/>
    <w:rsid w:val="35003182"/>
    <w:rsid w:val="355866F0"/>
    <w:rsid w:val="358709B7"/>
    <w:rsid w:val="35AC5B47"/>
    <w:rsid w:val="361E2FA6"/>
    <w:rsid w:val="374426BC"/>
    <w:rsid w:val="38245AD0"/>
    <w:rsid w:val="382B304D"/>
    <w:rsid w:val="389F04C9"/>
    <w:rsid w:val="38A048ED"/>
    <w:rsid w:val="399402D6"/>
    <w:rsid w:val="39AB2B6F"/>
    <w:rsid w:val="39CC38B2"/>
    <w:rsid w:val="3AC349A6"/>
    <w:rsid w:val="3CB855F0"/>
    <w:rsid w:val="3CB96A1A"/>
    <w:rsid w:val="3CDA74A3"/>
    <w:rsid w:val="3D0B6D6F"/>
    <w:rsid w:val="3D46660F"/>
    <w:rsid w:val="3D8A3AD7"/>
    <w:rsid w:val="3DD41B27"/>
    <w:rsid w:val="3E746CFE"/>
    <w:rsid w:val="3F49411B"/>
    <w:rsid w:val="3F976FBE"/>
    <w:rsid w:val="3FF07ED8"/>
    <w:rsid w:val="401E1638"/>
    <w:rsid w:val="410A0D3B"/>
    <w:rsid w:val="410A0F99"/>
    <w:rsid w:val="425C1691"/>
    <w:rsid w:val="43094757"/>
    <w:rsid w:val="43E1042C"/>
    <w:rsid w:val="444F1DB2"/>
    <w:rsid w:val="44BE37EB"/>
    <w:rsid w:val="45765391"/>
    <w:rsid w:val="467A5D36"/>
    <w:rsid w:val="46803BD0"/>
    <w:rsid w:val="47E82224"/>
    <w:rsid w:val="48405EE8"/>
    <w:rsid w:val="48593F5A"/>
    <w:rsid w:val="48930791"/>
    <w:rsid w:val="49A61262"/>
    <w:rsid w:val="49B72E07"/>
    <w:rsid w:val="49ED41D7"/>
    <w:rsid w:val="4A7F133A"/>
    <w:rsid w:val="4AAA4765"/>
    <w:rsid w:val="4AC500B6"/>
    <w:rsid w:val="4AD12A25"/>
    <w:rsid w:val="4AE31AB5"/>
    <w:rsid w:val="4AFE449E"/>
    <w:rsid w:val="4B1264E5"/>
    <w:rsid w:val="4C2445BF"/>
    <w:rsid w:val="4C676301"/>
    <w:rsid w:val="4C8407CF"/>
    <w:rsid w:val="4C98183B"/>
    <w:rsid w:val="4CB569FE"/>
    <w:rsid w:val="4D8C6705"/>
    <w:rsid w:val="4DA312AA"/>
    <w:rsid w:val="4DBA7A8A"/>
    <w:rsid w:val="4DC506A8"/>
    <w:rsid w:val="4E317DF0"/>
    <w:rsid w:val="4EB2647A"/>
    <w:rsid w:val="4F6B38F4"/>
    <w:rsid w:val="4FB52A84"/>
    <w:rsid w:val="4FCD05BE"/>
    <w:rsid w:val="500E18CD"/>
    <w:rsid w:val="50563CC1"/>
    <w:rsid w:val="51517FF2"/>
    <w:rsid w:val="519B2C53"/>
    <w:rsid w:val="524E0BD9"/>
    <w:rsid w:val="529C0B1A"/>
    <w:rsid w:val="5315774E"/>
    <w:rsid w:val="535C3DFB"/>
    <w:rsid w:val="536A61A2"/>
    <w:rsid w:val="53B31068"/>
    <w:rsid w:val="54214673"/>
    <w:rsid w:val="545B748C"/>
    <w:rsid w:val="558828F8"/>
    <w:rsid w:val="55D15251"/>
    <w:rsid w:val="56BF79A6"/>
    <w:rsid w:val="57385B08"/>
    <w:rsid w:val="575C2F6B"/>
    <w:rsid w:val="580B1CD1"/>
    <w:rsid w:val="582603C5"/>
    <w:rsid w:val="59676A09"/>
    <w:rsid w:val="5983348F"/>
    <w:rsid w:val="59DF4B3E"/>
    <w:rsid w:val="5AA54413"/>
    <w:rsid w:val="5AC011F1"/>
    <w:rsid w:val="5AFE1EBB"/>
    <w:rsid w:val="5B620E2B"/>
    <w:rsid w:val="5BAE6E40"/>
    <w:rsid w:val="5BC5069B"/>
    <w:rsid w:val="5BC95ADE"/>
    <w:rsid w:val="5D4F6714"/>
    <w:rsid w:val="5D720830"/>
    <w:rsid w:val="5D900FAA"/>
    <w:rsid w:val="5DCC44DF"/>
    <w:rsid w:val="5DD510FA"/>
    <w:rsid w:val="5F4C3154"/>
    <w:rsid w:val="5FAA7EC5"/>
    <w:rsid w:val="5FD1752E"/>
    <w:rsid w:val="6009784E"/>
    <w:rsid w:val="60110FF8"/>
    <w:rsid w:val="60514F34"/>
    <w:rsid w:val="60547E5F"/>
    <w:rsid w:val="60B8453C"/>
    <w:rsid w:val="61007192"/>
    <w:rsid w:val="618103F0"/>
    <w:rsid w:val="62880C00"/>
    <w:rsid w:val="63227465"/>
    <w:rsid w:val="63486C09"/>
    <w:rsid w:val="636161AB"/>
    <w:rsid w:val="637379DF"/>
    <w:rsid w:val="63B57FDA"/>
    <w:rsid w:val="640D5F94"/>
    <w:rsid w:val="64D11162"/>
    <w:rsid w:val="65F245F0"/>
    <w:rsid w:val="66E1513C"/>
    <w:rsid w:val="67A6128D"/>
    <w:rsid w:val="68D61DE5"/>
    <w:rsid w:val="69324780"/>
    <w:rsid w:val="69964A12"/>
    <w:rsid w:val="69B232A6"/>
    <w:rsid w:val="69D66888"/>
    <w:rsid w:val="6A503A45"/>
    <w:rsid w:val="6B1C0397"/>
    <w:rsid w:val="6B311954"/>
    <w:rsid w:val="6B5123BE"/>
    <w:rsid w:val="6D45694C"/>
    <w:rsid w:val="6D560A67"/>
    <w:rsid w:val="6DBD7190"/>
    <w:rsid w:val="6DF34C7B"/>
    <w:rsid w:val="6E714A39"/>
    <w:rsid w:val="6ED351E8"/>
    <w:rsid w:val="70512BCE"/>
    <w:rsid w:val="70B617B6"/>
    <w:rsid w:val="71281323"/>
    <w:rsid w:val="71923AA7"/>
    <w:rsid w:val="71FA6A8B"/>
    <w:rsid w:val="72225D15"/>
    <w:rsid w:val="724E5231"/>
    <w:rsid w:val="72D22B9C"/>
    <w:rsid w:val="75785686"/>
    <w:rsid w:val="759316BB"/>
    <w:rsid w:val="75CE5178"/>
    <w:rsid w:val="75FD37C1"/>
    <w:rsid w:val="760F7C1F"/>
    <w:rsid w:val="763338FD"/>
    <w:rsid w:val="76532A08"/>
    <w:rsid w:val="76BD28DC"/>
    <w:rsid w:val="76DD0B6E"/>
    <w:rsid w:val="76FD3AAF"/>
    <w:rsid w:val="78792812"/>
    <w:rsid w:val="788F6BDB"/>
    <w:rsid w:val="78FE09A9"/>
    <w:rsid w:val="79442A14"/>
    <w:rsid w:val="79661848"/>
    <w:rsid w:val="79A444C1"/>
    <w:rsid w:val="7A046CA4"/>
    <w:rsid w:val="7A870E63"/>
    <w:rsid w:val="7B5A37B7"/>
    <w:rsid w:val="7C405A7B"/>
    <w:rsid w:val="7CB55F59"/>
    <w:rsid w:val="7CFA1917"/>
    <w:rsid w:val="7D0145A5"/>
    <w:rsid w:val="7D180B83"/>
    <w:rsid w:val="7DC57BF8"/>
    <w:rsid w:val="7DFC005B"/>
    <w:rsid w:val="7E1A76FC"/>
    <w:rsid w:val="7E2869C7"/>
    <w:rsid w:val="7E6E72C7"/>
    <w:rsid w:val="7EDF6DEB"/>
    <w:rsid w:val="7EF1358E"/>
    <w:rsid w:val="7F2570CF"/>
    <w:rsid w:val="7FBC712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99"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99"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ind w:firstLine="200" w:firstLineChars="200"/>
      <w:jc w:val="both"/>
    </w:pPr>
    <w:rPr>
      <w:rFonts w:ascii="Calibri" w:hAnsi="Calibri" w:eastAsia="仿宋_GB2312" w:cs="黑体"/>
      <w:kern w:val="2"/>
      <w:sz w:val="30"/>
      <w:szCs w:val="21"/>
      <w:lang w:val="en-US" w:eastAsia="zh-CN" w:bidi="ar-SA"/>
    </w:rPr>
  </w:style>
  <w:style w:type="paragraph" w:styleId="2">
    <w:name w:val="heading 1"/>
    <w:basedOn w:val="1"/>
    <w:next w:val="1"/>
    <w:link w:val="17"/>
    <w:qFormat/>
    <w:uiPriority w:val="9"/>
    <w:pPr>
      <w:keepNext/>
      <w:keepLines/>
      <w:spacing w:before="100" w:beforeAutospacing="1" w:after="100" w:afterAutospacing="1" w:line="600" w:lineRule="exact"/>
      <w:jc w:val="center"/>
      <w:outlineLvl w:val="0"/>
    </w:pPr>
    <w:rPr>
      <w:rFonts w:eastAsia="华文中宋"/>
      <w:b/>
      <w:bCs/>
      <w:kern w:val="44"/>
      <w:sz w:val="44"/>
      <w:szCs w:val="44"/>
    </w:rPr>
  </w:style>
  <w:style w:type="paragraph" w:styleId="3">
    <w:name w:val="heading 2"/>
    <w:basedOn w:val="1"/>
    <w:next w:val="1"/>
    <w:link w:val="19"/>
    <w:unhideWhenUsed/>
    <w:qFormat/>
    <w:uiPriority w:val="9"/>
    <w:pPr>
      <w:keepNext/>
      <w:keepLines/>
      <w:spacing w:beforeLines="150" w:afterLines="150" w:line="600" w:lineRule="exact"/>
      <w:ind w:firstLine="0" w:firstLineChars="0"/>
      <w:jc w:val="center"/>
      <w:outlineLvl w:val="1"/>
    </w:pPr>
    <w:rPr>
      <w:rFonts w:ascii="Cambria" w:hAnsi="Cambria" w:eastAsia="黑体" w:cs="黑体"/>
      <w:b/>
      <w:bCs/>
      <w:szCs w:val="32"/>
    </w:rPr>
  </w:style>
  <w:style w:type="paragraph" w:styleId="4">
    <w:name w:val="heading 3"/>
    <w:basedOn w:val="1"/>
    <w:next w:val="1"/>
    <w:link w:val="20"/>
    <w:unhideWhenUsed/>
    <w:qFormat/>
    <w:uiPriority w:val="9"/>
    <w:pPr>
      <w:snapToGrid w:val="0"/>
      <w:ind w:firstLine="0" w:firstLineChars="0"/>
      <w:outlineLvl w:val="2"/>
    </w:pPr>
    <w:rPr>
      <w:bCs/>
      <w:szCs w:val="32"/>
    </w:rPr>
  </w:style>
  <w:style w:type="character" w:default="1" w:styleId="11">
    <w:name w:val="Default Paragraph Font"/>
    <w:unhideWhenUsed/>
    <w:uiPriority w:val="1"/>
  </w:style>
  <w:style w:type="table" w:default="1" w:styleId="13">
    <w:name w:val="Normal Table"/>
    <w:unhideWhenUsed/>
    <w:qFormat/>
    <w:uiPriority w:val="99"/>
    <w:tblPr>
      <w:tblStyle w:val="13"/>
      <w:tblLayout w:type="fixed"/>
      <w:tblCellMar>
        <w:top w:w="0" w:type="dxa"/>
        <w:left w:w="108" w:type="dxa"/>
        <w:bottom w:w="0" w:type="dxa"/>
        <w:right w:w="108" w:type="dxa"/>
      </w:tblCellMar>
    </w:tblPr>
    <w:tcPr>
      <w:textDirection w:val="lrTb"/>
    </w:tcPr>
  </w:style>
  <w:style w:type="paragraph" w:styleId="5">
    <w:name w:val="annotation subject"/>
    <w:basedOn w:val="6"/>
    <w:next w:val="6"/>
    <w:link w:val="25"/>
    <w:unhideWhenUsed/>
    <w:uiPriority w:val="99"/>
    <w:rPr>
      <w:b/>
      <w:bCs/>
    </w:rPr>
  </w:style>
  <w:style w:type="paragraph" w:styleId="6">
    <w:name w:val="annotation text"/>
    <w:basedOn w:val="1"/>
    <w:link w:val="24"/>
    <w:unhideWhenUsed/>
    <w:uiPriority w:val="99"/>
    <w:pPr>
      <w:jc w:val="left"/>
    </w:pPr>
  </w:style>
  <w:style w:type="paragraph" w:styleId="7">
    <w:name w:val="Document Map"/>
    <w:basedOn w:val="1"/>
    <w:link w:val="18"/>
    <w:unhideWhenUsed/>
    <w:uiPriority w:val="99"/>
    <w:rPr>
      <w:rFonts w:ascii="宋体" w:eastAsia="宋体"/>
      <w:sz w:val="18"/>
      <w:szCs w:val="18"/>
    </w:rPr>
  </w:style>
  <w:style w:type="paragraph" w:styleId="8">
    <w:name w:val="Balloon Text"/>
    <w:basedOn w:val="1"/>
    <w:link w:val="23"/>
    <w:unhideWhenUsed/>
    <w:uiPriority w:val="99"/>
    <w:pPr>
      <w:spacing w:line="240" w:lineRule="auto"/>
    </w:pPr>
    <w:rPr>
      <w:sz w:val="18"/>
      <w:szCs w:val="18"/>
    </w:rPr>
  </w:style>
  <w:style w:type="paragraph" w:styleId="9">
    <w:name w:val="footer"/>
    <w:basedOn w:val="1"/>
    <w:link w:val="22"/>
    <w:unhideWhenUsed/>
    <w:uiPriority w:val="99"/>
    <w:pPr>
      <w:tabs>
        <w:tab w:val="center" w:pos="4153"/>
        <w:tab w:val="right" w:pos="8306"/>
      </w:tabs>
      <w:snapToGrid w:val="0"/>
      <w:spacing w:line="240" w:lineRule="atLeast"/>
      <w:jc w:val="left"/>
    </w:pPr>
    <w:rPr>
      <w:sz w:val="18"/>
      <w:szCs w:val="18"/>
    </w:rPr>
  </w:style>
  <w:style w:type="paragraph" w:styleId="10">
    <w:name w:val="header"/>
    <w:basedOn w:val="1"/>
    <w:link w:val="21"/>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12">
    <w:name w:val="annotation reference"/>
    <w:basedOn w:val="11"/>
    <w:unhideWhenUsed/>
    <w:uiPriority w:val="99"/>
    <w:rPr>
      <w:sz w:val="21"/>
      <w:szCs w:val="21"/>
    </w:rPr>
  </w:style>
  <w:style w:type="paragraph" w:customStyle="1" w:styleId="14">
    <w:name w:val="List Paragraph"/>
    <w:basedOn w:val="1"/>
    <w:qFormat/>
    <w:uiPriority w:val="34"/>
    <w:pPr>
      <w:ind w:firstLine="420"/>
    </w:pPr>
  </w:style>
  <w:style w:type="paragraph" w:customStyle="1" w:styleId="15">
    <w:name w:val="No Spacing"/>
    <w:qFormat/>
    <w:uiPriority w:val="0"/>
    <w:pPr>
      <w:jc w:val="both"/>
    </w:pPr>
    <w:rPr>
      <w:rFonts w:ascii="Times New Roman" w:hAnsi="Times New Roman" w:eastAsia="宋体" w:cs="Times New Roman"/>
      <w:kern w:val="2"/>
      <w:sz w:val="21"/>
      <w:szCs w:val="20"/>
      <w:lang w:val="en-US" w:eastAsia="zh-CN" w:bidi="ar-SA"/>
    </w:rPr>
  </w:style>
  <w:style w:type="paragraph" w:customStyle="1" w:styleId="16">
    <w:name w:val="Revision"/>
    <w:hidden/>
    <w:semiHidden/>
    <w:uiPriority w:val="99"/>
    <w:rPr>
      <w:rFonts w:ascii="Calibri" w:hAnsi="Calibri" w:eastAsia="仿宋_GB2312" w:cs="黑体"/>
      <w:kern w:val="2"/>
      <w:sz w:val="30"/>
      <w:szCs w:val="21"/>
      <w:lang w:val="en-US" w:eastAsia="zh-CN" w:bidi="ar-SA"/>
    </w:rPr>
  </w:style>
  <w:style w:type="character" w:customStyle="1" w:styleId="17">
    <w:name w:val="标题 1 Char"/>
    <w:basedOn w:val="11"/>
    <w:link w:val="2"/>
    <w:uiPriority w:val="9"/>
    <w:rPr>
      <w:rFonts w:eastAsia="华文中宋"/>
      <w:b/>
      <w:bCs/>
      <w:kern w:val="44"/>
      <w:sz w:val="44"/>
      <w:szCs w:val="44"/>
    </w:rPr>
  </w:style>
  <w:style w:type="character" w:customStyle="1" w:styleId="18">
    <w:name w:val="文档结构图 Char"/>
    <w:basedOn w:val="11"/>
    <w:link w:val="7"/>
    <w:semiHidden/>
    <w:uiPriority w:val="99"/>
    <w:rPr>
      <w:rFonts w:ascii="宋体" w:eastAsia="宋体"/>
      <w:sz w:val="18"/>
      <w:szCs w:val="18"/>
    </w:rPr>
  </w:style>
  <w:style w:type="character" w:customStyle="1" w:styleId="19">
    <w:name w:val="标题 2 Char"/>
    <w:basedOn w:val="11"/>
    <w:link w:val="3"/>
    <w:uiPriority w:val="9"/>
    <w:rPr>
      <w:rFonts w:ascii="Cambria" w:hAnsi="Cambria" w:eastAsia="黑体" w:cs="黑体"/>
      <w:b/>
      <w:bCs/>
      <w:sz w:val="30"/>
      <w:szCs w:val="32"/>
    </w:rPr>
  </w:style>
  <w:style w:type="character" w:customStyle="1" w:styleId="20">
    <w:name w:val="标题 3 Char"/>
    <w:basedOn w:val="11"/>
    <w:link w:val="4"/>
    <w:uiPriority w:val="9"/>
    <w:rPr>
      <w:rFonts w:eastAsia="仿宋_GB2312"/>
      <w:bCs/>
      <w:sz w:val="30"/>
      <w:szCs w:val="32"/>
    </w:rPr>
  </w:style>
  <w:style w:type="character" w:customStyle="1" w:styleId="21">
    <w:name w:val="页眉 Char"/>
    <w:basedOn w:val="11"/>
    <w:link w:val="10"/>
    <w:semiHidden/>
    <w:uiPriority w:val="99"/>
    <w:rPr>
      <w:rFonts w:eastAsia="仿宋_GB2312"/>
      <w:sz w:val="18"/>
      <w:szCs w:val="18"/>
    </w:rPr>
  </w:style>
  <w:style w:type="character" w:customStyle="1" w:styleId="22">
    <w:name w:val="页脚 Char"/>
    <w:basedOn w:val="11"/>
    <w:link w:val="9"/>
    <w:uiPriority w:val="99"/>
    <w:rPr>
      <w:rFonts w:eastAsia="仿宋_GB2312"/>
      <w:sz w:val="18"/>
      <w:szCs w:val="18"/>
    </w:rPr>
  </w:style>
  <w:style w:type="character" w:customStyle="1" w:styleId="23">
    <w:name w:val="批注框文本 Char"/>
    <w:basedOn w:val="11"/>
    <w:link w:val="8"/>
    <w:semiHidden/>
    <w:uiPriority w:val="99"/>
    <w:rPr>
      <w:rFonts w:eastAsia="仿宋_GB2312"/>
      <w:sz w:val="18"/>
      <w:szCs w:val="18"/>
    </w:rPr>
  </w:style>
  <w:style w:type="character" w:customStyle="1" w:styleId="24">
    <w:name w:val="批注文字 Char"/>
    <w:basedOn w:val="11"/>
    <w:link w:val="6"/>
    <w:semiHidden/>
    <w:uiPriority w:val="99"/>
    <w:rPr>
      <w:rFonts w:eastAsia="仿宋_GB2312"/>
      <w:sz w:val="30"/>
    </w:rPr>
  </w:style>
  <w:style w:type="character" w:customStyle="1" w:styleId="25">
    <w:name w:val="批注主题 Char"/>
    <w:basedOn w:val="24"/>
    <w:link w:val="5"/>
    <w:semiHidden/>
    <w:uiPriority w:val="99"/>
    <w:rPr>
      <w:rFonts w:eastAsia="仿宋_GB2312"/>
      <w:b/>
      <w:bCs/>
      <w:sz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486</Words>
  <Characters>2776</Characters>
  <Lines>23</Lines>
  <Paragraphs>6</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2016-11-09T11:30:00Z</dcterms:created>
  <dc:creator>zwc</dc:creator>
  <cp:lastModifiedBy>胡亚萍</cp:lastModifiedBy>
  <cp:lastPrinted>2016-11-09T11:30:00Z</cp:lastPrinted>
  <dcterms:modified xsi:type="dcterms:W3CDTF">2016-12-16T01:43:14Z</dcterms:modified>
  <dc:title>地方政府一般债务预算管理办法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