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55" w:lineRule="atLeast"/>
        <w:ind w:left="0" w:right="0" w:firstLine="0"/>
        <w:jc w:val="center"/>
        <w:rPr>
          <w:rFonts w:ascii="宋体" w:hAnsi="宋体" w:eastAsia="宋体" w:cs="宋体"/>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sz w:val="43"/>
          <w:szCs w:val="43"/>
        </w:rPr>
        <w:t>昆明市东川区民政局</w:t>
      </w:r>
      <w:r>
        <w:rPr>
          <w:rFonts w:hint="eastAsia" w:ascii="方正小标宋简体" w:hAnsi="方正小标宋简体" w:eastAsia="方正小标宋简体" w:cs="方正小标宋简体"/>
          <w:b w:val="0"/>
          <w:i w:val="0"/>
          <w:caps w:val="0"/>
          <w:color w:val="000000"/>
          <w:spacing w:val="0"/>
          <w:sz w:val="43"/>
          <w:szCs w:val="43"/>
        </w:rPr>
        <w:t>20</w:t>
      </w:r>
      <w:r>
        <w:rPr>
          <w:rFonts w:hint="eastAsia" w:ascii="方正小标宋简体" w:hAnsi="方正小标宋简体" w:eastAsia="方正小标宋简体" w:cs="方正小标宋简体"/>
          <w:b w:val="0"/>
          <w:i w:val="0"/>
          <w:caps w:val="0"/>
          <w:color w:val="000000"/>
          <w:spacing w:val="0"/>
          <w:sz w:val="43"/>
          <w:szCs w:val="43"/>
          <w:lang w:val="en-US" w:eastAsia="zh-CN"/>
        </w:rPr>
        <w:t>18</w:t>
      </w:r>
      <w:r>
        <w:rPr>
          <w:rFonts w:hint="eastAsia" w:ascii="方正小标宋简体" w:hAnsi="方正小标宋简体" w:eastAsia="方正小标宋简体" w:cs="方正小标宋简体"/>
          <w:b w:val="0"/>
          <w:i w:val="0"/>
          <w:caps w:val="0"/>
          <w:color w:val="000000"/>
          <w:spacing w:val="0"/>
          <w:sz w:val="43"/>
          <w:szCs w:val="43"/>
        </w:rPr>
        <w:t>年政府信息公开</w:t>
      </w:r>
    </w:p>
    <w:p>
      <w:pPr>
        <w:pStyle w:val="2"/>
        <w:keepNext w:val="0"/>
        <w:keepLines w:val="0"/>
        <w:widowControl/>
        <w:suppressLineNumbers w:val="0"/>
        <w:spacing w:before="75" w:beforeAutospacing="0" w:after="75" w:afterAutospacing="0" w:line="555" w:lineRule="atLeast"/>
        <w:ind w:left="0" w:right="0" w:firstLine="0"/>
        <w:jc w:val="center"/>
        <w:rPr>
          <w:rFonts w:hint="eastAsia" w:ascii="宋体" w:hAnsi="宋体" w:eastAsia="宋体" w:cs="宋体"/>
          <w:b w:val="0"/>
          <w:i w:val="0"/>
          <w:caps w:val="0"/>
          <w:color w:val="000000"/>
          <w:spacing w:val="0"/>
          <w:sz w:val="21"/>
          <w:szCs w:val="21"/>
        </w:rPr>
      </w:pPr>
      <w:r>
        <w:rPr>
          <w:rFonts w:hint="eastAsia" w:ascii="方正小标宋简体" w:hAnsi="方正小标宋简体" w:eastAsia="方正小标宋简体" w:cs="方正小标宋简体"/>
          <w:b w:val="0"/>
          <w:i w:val="0"/>
          <w:caps w:val="0"/>
          <w:color w:val="000000"/>
          <w:spacing w:val="0"/>
          <w:sz w:val="43"/>
          <w:szCs w:val="43"/>
        </w:rPr>
        <w:t>工作年度报告</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ascii="黑体" w:hAnsi="宋体" w:eastAsia="黑体" w:cs="黑体"/>
          <w:b w:val="0"/>
          <w:i w:val="0"/>
          <w:caps w:val="0"/>
          <w:color w:val="000000"/>
          <w:spacing w:val="0"/>
          <w:sz w:val="31"/>
          <w:szCs w:val="31"/>
        </w:rPr>
        <w:t>一、总体情况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sz w:val="31"/>
          <w:szCs w:val="31"/>
        </w:rPr>
        <w:t>20</w:t>
      </w:r>
      <w:r>
        <w:rPr>
          <w:rFonts w:hint="eastAsia" w:ascii="仿宋_GB2312" w:hAnsi="宋体" w:eastAsia="仿宋_GB2312" w:cs="仿宋_GB2312"/>
          <w:b w:val="0"/>
          <w:i w:val="0"/>
          <w:caps w:val="0"/>
          <w:color w:val="000000"/>
          <w:spacing w:val="0"/>
          <w:sz w:val="31"/>
          <w:szCs w:val="31"/>
          <w:lang w:val="en-US" w:eastAsia="zh-CN"/>
        </w:rPr>
        <w:t>18</w:t>
      </w:r>
      <w:r>
        <w:rPr>
          <w:rFonts w:hint="eastAsia" w:ascii="仿宋_GB2312" w:hAnsi="宋体" w:eastAsia="仿宋_GB2312" w:cs="仿宋_GB2312"/>
          <w:b w:val="0"/>
          <w:i w:val="0"/>
          <w:caps w:val="0"/>
          <w:color w:val="000000"/>
          <w:spacing w:val="0"/>
          <w:sz w:val="31"/>
          <w:szCs w:val="31"/>
        </w:rPr>
        <w:t>年，昆明市东川区民政局按照相关要求在东川区人民政府门户网站上发布相关信息，</w:t>
      </w:r>
      <w:r>
        <w:rPr>
          <w:rFonts w:hint="eastAsia" w:ascii="仿宋_GB2312" w:hAnsi="宋体" w:eastAsia="仿宋_GB2312" w:cs="仿宋_GB2312"/>
          <w:b w:val="0"/>
          <w:i w:val="0"/>
          <w:caps w:val="0"/>
          <w:color w:val="000000"/>
          <w:spacing w:val="0"/>
          <w:sz w:val="31"/>
          <w:szCs w:val="31"/>
          <w:lang w:val="en-US" w:eastAsia="zh-CN"/>
        </w:rPr>
        <w:t>截止2018年12月底，共计公示30条。</w:t>
      </w:r>
      <w:bookmarkStart w:id="0" w:name="_GoBack"/>
      <w:bookmarkEnd w:id="0"/>
      <w:r>
        <w:rPr>
          <w:rFonts w:hint="eastAsia" w:ascii="仿宋_GB2312" w:hAnsi="宋体" w:eastAsia="仿宋_GB2312" w:cs="仿宋_GB2312"/>
          <w:b w:val="0"/>
          <w:i w:val="0"/>
          <w:caps w:val="0"/>
          <w:color w:val="000000"/>
          <w:spacing w:val="0"/>
          <w:sz w:val="31"/>
          <w:szCs w:val="31"/>
        </w:rPr>
        <w:t>内容涉及特困人员供养金、城乡低保、医疗救助、临时生活救助金等。全年没有收到和处理信息公开申请未公开的情况，没有行政复议、行政诉讼信息未公开的情况。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二、主动公开政府信息情况</w:t>
      </w:r>
    </w:p>
    <w:tbl>
      <w:tblPr>
        <w:tblStyle w:val="3"/>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40"/>
        <w:gridCol w:w="1875"/>
        <w:gridCol w:w="187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9900"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本年新制作</w:t>
            </w:r>
            <w:r>
              <w:rPr>
                <w:rStyle w:val="5"/>
                <w:rFonts w:hint="eastAsia" w:ascii="宋体" w:hAnsi="宋体" w:eastAsia="宋体" w:cs="宋体"/>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本年新公开</w:t>
            </w:r>
            <w:r>
              <w:rPr>
                <w:rStyle w:val="5"/>
                <w:rFonts w:hint="eastAsia" w:ascii="宋体" w:hAnsi="宋体" w:eastAsia="宋体" w:cs="宋体"/>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数量</w:t>
            </w:r>
          </w:p>
        </w:tc>
        <w:tc>
          <w:tcPr>
            <w:tcW w:w="2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c>
          <w:tcPr>
            <w:tcW w:w="2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规范性文件</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行政许可</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其他对外管理服务事项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行政处罚</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行政强制</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4785" w:type="dxa"/>
            <w:gridSpan w:val="2"/>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行政事业性收费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c>
          <w:tcPr>
            <w:tcW w:w="478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采购项目数量</w:t>
            </w:r>
          </w:p>
        </w:tc>
        <w:tc>
          <w:tcPr>
            <w:tcW w:w="4785" w:type="dxa"/>
            <w:gridSpan w:val="2"/>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采购总金额（单位：万元）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政府集中采购</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c>
          <w:tcPr>
            <w:tcW w:w="478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三、收到和处理政府信息公开申请情况</w:t>
      </w:r>
    </w:p>
    <w:tbl>
      <w:tblPr>
        <w:tblStyle w:val="3"/>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915"/>
        <w:gridCol w:w="2010"/>
        <w:gridCol w:w="1035"/>
        <w:gridCol w:w="945"/>
        <w:gridCol w:w="945"/>
        <w:gridCol w:w="945"/>
        <w:gridCol w:w="945"/>
        <w:gridCol w:w="94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36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（本列数据的勾稽关系为：第一项加第二项之和，等于第三项加第四项之和）</w:t>
            </w:r>
          </w:p>
        </w:tc>
        <w:tc>
          <w:tcPr>
            <w:tcW w:w="6465" w:type="dxa"/>
            <w:gridSpan w:val="7"/>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36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1035" w:type="dxa"/>
            <w:vMerge w:val="restart"/>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自然人</w:t>
            </w:r>
          </w:p>
        </w:tc>
        <w:tc>
          <w:tcPr>
            <w:tcW w:w="4725" w:type="dxa"/>
            <w:gridSpan w:val="5"/>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法人或其他组织</w:t>
            </w:r>
          </w:p>
        </w:tc>
        <w:tc>
          <w:tcPr>
            <w:tcW w:w="705" w:type="dxa"/>
            <w:vMerge w:val="restart"/>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36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1035" w:type="dxa"/>
            <w:vMerge w:val="continue"/>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商业</w:t>
            </w:r>
            <w:r>
              <w:rPr>
                <w:rStyle w:val="5"/>
                <w:rFonts w:hint="eastAsia" w:ascii="宋体" w:hAnsi="宋体" w:eastAsia="宋体" w:cs="宋体"/>
                <w:i w:val="0"/>
                <w:caps w:val="0"/>
                <w:color w:val="000000"/>
                <w:spacing w:val="0"/>
                <w:sz w:val="19"/>
                <w:szCs w:val="19"/>
              </w:rPr>
              <w:br w:type="textWrapping"/>
            </w:r>
            <w:r>
              <w:rPr>
                <w:rStyle w:val="5"/>
                <w:rFonts w:hint="eastAsia" w:ascii="宋体" w:hAnsi="宋体" w:eastAsia="宋体" w:cs="宋体"/>
                <w:i w:val="0"/>
                <w:caps w:val="0"/>
                <w:color w:val="000000"/>
                <w:spacing w:val="0"/>
                <w:sz w:val="19"/>
                <w:szCs w:val="19"/>
              </w:rPr>
              <w:t>企业</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科研</w:t>
            </w:r>
            <w:r>
              <w:rPr>
                <w:rStyle w:val="5"/>
                <w:rFonts w:hint="eastAsia" w:ascii="宋体" w:hAnsi="宋体" w:eastAsia="宋体" w:cs="宋体"/>
                <w:i w:val="0"/>
                <w:caps w:val="0"/>
                <w:color w:val="000000"/>
                <w:spacing w:val="0"/>
                <w:sz w:val="19"/>
                <w:szCs w:val="19"/>
              </w:rPr>
              <w:br w:type="textWrapping"/>
            </w:r>
            <w:r>
              <w:rPr>
                <w:rStyle w:val="5"/>
                <w:rFonts w:hint="eastAsia" w:ascii="宋体" w:hAnsi="宋体" w:eastAsia="宋体" w:cs="宋体"/>
                <w:i w:val="0"/>
                <w:caps w:val="0"/>
                <w:color w:val="000000"/>
                <w:spacing w:val="0"/>
                <w:sz w:val="19"/>
                <w:szCs w:val="19"/>
              </w:rPr>
              <w:t>机构</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社会公益组织</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法律服务机构</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其他</w:t>
            </w:r>
          </w:p>
        </w:tc>
        <w:tc>
          <w:tcPr>
            <w:tcW w:w="705" w:type="dxa"/>
            <w:vMerge w:val="continue"/>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一、本年新收政府信息公开申请数量</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r>
              <w:rPr>
                <w:rStyle w:val="5"/>
                <w:rFonts w:hint="eastAsia" w:ascii="宋体" w:hAnsi="宋体" w:eastAsia="宋体" w:cs="宋体"/>
                <w:i w:val="0"/>
                <w:caps w:val="0"/>
                <w:color w:val="000000"/>
                <w:spacing w:val="0"/>
                <w:sz w:val="21"/>
                <w:szCs w:val="21"/>
              </w:rPr>
              <w:t>　</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二、上年结转政府信息公开申请数量</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6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三、本年度办理结果</w:t>
            </w: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ascii="楷体" w:hAnsi="楷体" w:eastAsia="楷体" w:cs="楷体"/>
                <w:b w:val="0"/>
                <w:i w:val="0"/>
                <w:caps w:val="0"/>
                <w:color w:val="000000"/>
                <w:spacing w:val="0"/>
                <w:sz w:val="22"/>
                <w:szCs w:val="22"/>
              </w:rPr>
              <w:t>（一）予以公开</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（二）部分公开（区分处理的，只计这一情形，不计其他情形）</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（三）不予公开</w:t>
            </w:r>
          </w:p>
        </w:tc>
        <w:tc>
          <w:tcPr>
            <w:tcW w:w="20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7.属于行政执法案卷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8.属于行政查询事项</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（四）无法提供</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1.本机关不掌握相关政府信息</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2.没有现成信息需要另行制作</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3.补正后申请内容仍不明确</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（五）不予处理</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1.信访举报投诉类申请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2.重复申请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3.要求提供公开出版物</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4.无正当理由大量反复申请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5.要求行政机关确认或重新出具已获取信息</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（六）其他处理</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（七）总计</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四、结转下年度继续办理</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r>
              <w:rPr>
                <w:rFonts w:hint="eastAsia" w:ascii="宋体" w:hAnsi="宋体" w:eastAsia="宋体" w:cs="宋体"/>
                <w:b w:val="0"/>
                <w:i w:val="0"/>
                <w:caps w:val="0"/>
                <w:color w:val="000000"/>
                <w:spacing w:val="0"/>
                <w:sz w:val="21"/>
                <w:szCs w:val="21"/>
              </w:rPr>
              <w:t>　</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四、政府信息公开行政复议、行政诉讼情况</w:t>
      </w:r>
    </w:p>
    <w:tbl>
      <w:tblPr>
        <w:tblStyle w:val="3"/>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2"/>
        <w:gridCol w:w="622"/>
        <w:gridCol w:w="622"/>
        <w:gridCol w:w="622"/>
        <w:gridCol w:w="643"/>
        <w:gridCol w:w="622"/>
        <w:gridCol w:w="675"/>
        <w:gridCol w:w="675"/>
        <w:gridCol w:w="675"/>
        <w:gridCol w:w="696"/>
        <w:gridCol w:w="675"/>
        <w:gridCol w:w="675"/>
        <w:gridCol w:w="675"/>
        <w:gridCol w:w="675"/>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313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行政复议</w:t>
            </w:r>
          </w:p>
        </w:tc>
        <w:tc>
          <w:tcPr>
            <w:tcW w:w="6739"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2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c>
          <w:tcPr>
            <w:tcW w:w="3343"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未经复议直接起诉</w:t>
            </w:r>
          </w:p>
        </w:tc>
        <w:tc>
          <w:tcPr>
            <w:tcW w:w="3396"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62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96"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96"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五、存在的主要问题及改进情况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在信息公开工作中缺乏主动性、规范性</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六、其他需要报告的事项</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12A53"/>
    <w:rsid w:val="1629108B"/>
    <w:rsid w:val="23583112"/>
    <w:rsid w:val="271D20BC"/>
    <w:rsid w:val="7981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2021-11-15T07:01:00Z</dcterms:created>
  <dc:creator>Administrator</dc:creator>
  <cp:lastModifiedBy>Administrator</cp:lastModifiedBy>
  <dcterms:modified xsi:type="dcterms:W3CDTF">2021-11-15T07:20:06Z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