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p>
    <w:p>
      <w:pPr>
        <w:ind w:firstLine="640"/>
      </w:pPr>
      <w:r>
        <w:rPr>
          <w:rFonts w:ascii="仿宋_GB2312" w:eastAsia="仿宋_GB2312"/>
          <w:sz w:val="20"/>
          <w:highlight w:val="red"/>
        </w:rPr>
        <w:pict>
          <v:shape id="_x0000_s1030" o:spid="_x0000_s1030" o:spt="136" type="#_x0000_t136" style="position:absolute;left:0pt;margin-left:0pt;margin-top:8.35pt;height:49.3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 style="font-family:华文中宋;font-size:24pt;font-weight:bold;v-rotate-letters:f;v-same-letter-heights:t;v-text-align:center;"/>
          </v:shape>
        </w:pict>
      </w:r>
    </w:p>
    <w:p>
      <w:pPr>
        <w:ind w:firstLine="640"/>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p>
    <w:p>
      <w:pPr>
        <w:spacing w:line="200" w:lineRule="exact"/>
        <w:ind w:firstLine="0" w:firstLineChars="0"/>
        <w:rPr>
          <w:b/>
          <w:color w:val="FF0000"/>
          <w:u w:val="single"/>
        </w:rPr>
      </w:pPr>
      <w:r>
        <w:rPr>
          <w:rFonts w:hint="eastAsia"/>
          <w:b/>
          <w:color w:val="FF0000"/>
          <w:u w:val="single"/>
        </w:rPr>
        <w:t xml:space="preserve">                                              </w:t>
      </w:r>
      <w:r>
        <w:rPr>
          <w:rFonts w:hint="eastAsia"/>
          <w:b/>
          <w:color w:val="FF0000"/>
          <w:u w:val="single"/>
          <w:lang w:val="en-US" w:eastAsia="zh-CN"/>
        </w:rPr>
        <w:t xml:space="preserve">   </w:t>
      </w:r>
      <w:r>
        <w:rPr>
          <w:rFonts w:hint="eastAsia"/>
          <w:b/>
          <w:color w:val="FF0000"/>
          <w:u w:val="single"/>
        </w:rPr>
        <w:t xml:space="preserve">       </w:t>
      </w:r>
    </w:p>
    <w:p>
      <w:pPr>
        <w:spacing w:line="60" w:lineRule="exact"/>
        <w:ind w:firstLine="0" w:firstLineChars="0"/>
        <w:rPr>
          <w:b/>
          <w:color w:val="FFFFFF"/>
        </w:rPr>
      </w:pPr>
    </w:p>
    <w:p>
      <w:pPr>
        <w:spacing w:line="60" w:lineRule="exact"/>
        <w:ind w:firstLine="640"/>
        <w:rPr>
          <w:color w:val="FF0000"/>
        </w:rPr>
      </w:pPr>
    </w:p>
    <w:p>
      <w:pPr>
        <w:keepNext w:val="0"/>
        <w:keepLines w:val="0"/>
        <w:pageBreakBefore w:val="0"/>
        <w:widowControl/>
        <w:kinsoku/>
        <w:wordWrap/>
        <w:overflowPunct/>
        <w:topLinePunct w:val="0"/>
        <w:autoSpaceDE/>
        <w:autoSpaceDN/>
        <w:bidi w:val="0"/>
        <w:adjustRightInd/>
        <w:snapToGrid/>
        <w:spacing w:line="400" w:lineRule="exact"/>
        <w:ind w:right="320" w:rightChars="10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东财便</w:t>
      </w:r>
      <w:r>
        <w:rPr>
          <w:rFonts w:hint="eastAsia" w:ascii="仿宋_GB2312" w:hAnsi="仿宋_GB2312" w:cs="仿宋_GB2312"/>
          <w:sz w:val="32"/>
          <w:szCs w:val="32"/>
          <w:lang w:eastAsia="zh-CN"/>
        </w:rPr>
        <w:t>笺</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57</w:t>
      </w:r>
      <w:r>
        <w:rPr>
          <w:rFonts w:hint="eastAsia" w:ascii="仿宋_GB2312" w:hAnsi="仿宋_GB2312" w:eastAsia="仿宋_GB2312" w:cs="仿宋_GB2312"/>
          <w:sz w:val="32"/>
          <w:szCs w:val="32"/>
        </w:rPr>
        <w:t>号</w:t>
      </w:r>
    </w:p>
    <w:p>
      <w:pPr>
        <w:widowControl w:val="0"/>
        <w:spacing w:line="560" w:lineRule="exact"/>
        <w:ind w:firstLine="0" w:firstLineChars="0"/>
        <w:jc w:val="center"/>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ascii="宋体" w:hAnsi="宋体" w:eastAsia="方正小标宋简体" w:cs="方正小标宋简体"/>
          <w:sz w:val="44"/>
          <w:szCs w:val="44"/>
          <w:highlight w:val="none"/>
        </w:rPr>
      </w:pPr>
      <w:r>
        <w:rPr>
          <w:rFonts w:hint="eastAsia" w:ascii="宋体" w:hAnsi="宋体" w:eastAsia="方正小标宋简体" w:cs="方正小标宋简体"/>
          <w:sz w:val="44"/>
          <w:szCs w:val="44"/>
          <w:highlight w:val="none"/>
        </w:rPr>
        <w:t>昆明市东川区</w:t>
      </w:r>
      <w:r>
        <w:rPr>
          <w:rFonts w:hint="eastAsia" w:ascii="宋体" w:hAnsi="宋体" w:eastAsia="方正小标宋简体" w:cs="方正小标宋简体"/>
          <w:sz w:val="44"/>
          <w:szCs w:val="44"/>
          <w:highlight w:val="none"/>
          <w:lang w:eastAsia="zh-CN"/>
        </w:rPr>
        <w:t>财政</w:t>
      </w:r>
      <w:r>
        <w:rPr>
          <w:rFonts w:hint="eastAsia" w:ascii="宋体" w:hAnsi="宋体" w:eastAsia="方正小标宋简体" w:cs="方正小标宋简体"/>
          <w:sz w:val="44"/>
          <w:szCs w:val="44"/>
          <w:highlight w:val="none"/>
        </w:rPr>
        <w:t>局关于开展</w:t>
      </w:r>
      <w:r>
        <w:rPr>
          <w:rFonts w:hint="eastAsia" w:ascii="宋体" w:hAnsi="宋体"/>
          <w:sz w:val="44"/>
          <w:szCs w:val="44"/>
          <w:highlight w:val="none"/>
        </w:rPr>
        <w:t>2020</w:t>
      </w:r>
      <w:r>
        <w:rPr>
          <w:rFonts w:hint="eastAsia" w:ascii="宋体" w:hAnsi="宋体" w:eastAsia="方正小标宋简体" w:cs="方正小标宋简体"/>
          <w:sz w:val="44"/>
          <w:szCs w:val="44"/>
          <w:highlight w:val="none"/>
        </w:rPr>
        <w:t>年度</w:t>
      </w: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宋体" w:eastAsia="方正小标宋简体" w:cs="方正小标宋简体"/>
          <w:sz w:val="44"/>
          <w:szCs w:val="44"/>
          <w:highlight w:val="none"/>
        </w:rPr>
      </w:pPr>
      <w:r>
        <w:rPr>
          <w:rFonts w:hint="eastAsia" w:ascii="宋体" w:hAnsi="宋体" w:eastAsia="方正小标宋简体" w:cs="方正小标宋简体"/>
          <w:sz w:val="44"/>
          <w:szCs w:val="44"/>
          <w:highlight w:val="none"/>
        </w:rPr>
        <w:t>部门</w:t>
      </w:r>
      <w:bookmarkStart w:id="0" w:name="_Toc25863_WPSOffice_Level1"/>
      <w:bookmarkStart w:id="1" w:name="_Toc9489_WPSOffice_Level1"/>
      <w:bookmarkStart w:id="2" w:name="_Toc4184_WPSOffice_Level1"/>
      <w:r>
        <w:rPr>
          <w:rFonts w:hint="eastAsia" w:ascii="宋体" w:hAnsi="宋体" w:eastAsia="方正小标宋简体" w:cs="方正小标宋简体"/>
          <w:sz w:val="44"/>
          <w:szCs w:val="44"/>
          <w:highlight w:val="none"/>
        </w:rPr>
        <w:t>整体支出绩效评价报告</w:t>
      </w:r>
      <w:bookmarkEnd w:id="0"/>
      <w:bookmarkEnd w:id="1"/>
      <w:bookmarkEnd w:id="2"/>
    </w:p>
    <w:p>
      <w:pPr>
        <w:pStyle w:val="2"/>
        <w:jc w:val="center"/>
        <w:rPr>
          <w:rFonts w:hint="eastAsia"/>
        </w:rPr>
      </w:pPr>
    </w:p>
    <w:p>
      <w:pPr>
        <w:keepNext w:val="0"/>
        <w:keepLines w:val="0"/>
        <w:pageBreakBefore w:val="0"/>
        <w:kinsoku/>
        <w:overflowPunct/>
        <w:topLinePunct w:val="0"/>
        <w:bidi w:val="0"/>
        <w:spacing w:line="560" w:lineRule="exact"/>
        <w:ind w:left="0" w:leftChars="0" w:firstLine="0" w:firstLineChars="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区财政局：</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预算法》，按照《昆明市人民政府关于全面推进预算绩效管理改革的实施意见》（昆政发〔2016〕21号）和《东川区财政局关于开展东川区2020年度预算支出绩效自评工作的通知》（东财绩〔2021〕4号）要求，昆明市东川区</w:t>
      </w:r>
      <w:r>
        <w:rPr>
          <w:rFonts w:hint="eastAsia" w:ascii="仿宋_GB2312" w:hAnsi="仿宋_GB2312" w:eastAsia="仿宋_GB2312" w:cs="仿宋_GB2312"/>
          <w:sz w:val="32"/>
          <w:szCs w:val="32"/>
          <w:highlight w:val="none"/>
          <w:lang w:eastAsia="zh-CN"/>
        </w:rPr>
        <w:t>财政</w:t>
      </w:r>
      <w:r>
        <w:rPr>
          <w:rFonts w:hint="eastAsia" w:ascii="仿宋_GB2312" w:hAnsi="仿宋_GB2312" w:eastAsia="仿宋_GB2312" w:cs="仿宋_GB2312"/>
          <w:sz w:val="32"/>
          <w:szCs w:val="32"/>
          <w:highlight w:val="none"/>
        </w:rPr>
        <w:t>局对2020年度部门整体支出绩效进行自评，现就自评开展情况进行报告。</w:t>
      </w:r>
    </w:p>
    <w:p>
      <w:pPr>
        <w:keepNext w:val="0"/>
        <w:keepLines w:val="0"/>
        <w:pageBreakBefore w:val="0"/>
        <w:kinsoku/>
        <w:overflowPunct/>
        <w:topLinePunct w:val="0"/>
        <w:bidi w:val="0"/>
        <w:spacing w:line="560" w:lineRule="exact"/>
        <w:rPr>
          <w:rFonts w:hint="eastAsia" w:ascii="仿宋_GB2312" w:hAnsi="仿宋_GB2312" w:eastAsia="仿宋_GB2312" w:cs="仿宋_GB2312"/>
          <w:sz w:val="32"/>
          <w:szCs w:val="32"/>
          <w:highlight w:val="none"/>
        </w:rPr>
      </w:pPr>
    </w:p>
    <w:p>
      <w:pPr>
        <w:pStyle w:val="2"/>
        <w:rPr>
          <w:rFonts w:hint="eastAsia"/>
        </w:rPr>
      </w:pPr>
    </w:p>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32"/>
          <w:szCs w:val="32"/>
          <w:highlight w:val="none"/>
        </w:rPr>
      </w:pPr>
    </w:p>
    <w:p>
      <w:pPr>
        <w:keepNext w:val="0"/>
        <w:keepLines w:val="0"/>
        <w:pageBreakBefore w:val="0"/>
        <w:kinsoku/>
        <w:wordWrap w:val="0"/>
        <w:overflowPunct/>
        <w:topLinePunct w:val="0"/>
        <w:bidi w:val="0"/>
        <w:spacing w:line="560" w:lineRule="exact"/>
        <w:ind w:right="316"/>
        <w:jc w:val="center"/>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昆明市东川区</w:t>
      </w:r>
      <w:r>
        <w:rPr>
          <w:rFonts w:hint="eastAsia" w:ascii="仿宋_GB2312" w:hAnsi="仿宋_GB2312" w:eastAsia="仿宋_GB2312" w:cs="仿宋_GB2312"/>
          <w:sz w:val="32"/>
          <w:szCs w:val="32"/>
          <w:highlight w:val="none"/>
          <w:lang w:eastAsia="zh-CN"/>
        </w:rPr>
        <w:t>财政</w:t>
      </w:r>
      <w:r>
        <w:rPr>
          <w:rFonts w:hint="eastAsia" w:ascii="仿宋_GB2312" w:hAnsi="仿宋_GB2312" w:eastAsia="仿宋_GB2312" w:cs="仿宋_GB2312"/>
          <w:sz w:val="32"/>
          <w:szCs w:val="32"/>
          <w:highlight w:val="none"/>
        </w:rPr>
        <w:t xml:space="preserve">局    </w:t>
      </w:r>
    </w:p>
    <w:p>
      <w:pPr>
        <w:keepNext w:val="0"/>
        <w:keepLines w:val="0"/>
        <w:pageBreakBefore w:val="0"/>
        <w:kinsoku/>
        <w:overflowPunct/>
        <w:topLinePunct w:val="0"/>
        <w:bidi w:val="0"/>
        <w:spacing w:line="560" w:lineRule="exact"/>
        <w:jc w:val="center"/>
        <w:outlineLvl w:val="0"/>
        <w:rPr>
          <w:rFonts w:hint="eastAsia" w:ascii="宋体" w:hAnsi="宋体" w:eastAsia="方正小标宋简体"/>
          <w:kern w:val="0"/>
          <w:sz w:val="44"/>
          <w:szCs w:val="44"/>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2021年5月26日 </w:t>
      </w:r>
    </w:p>
    <w:p>
      <w:pPr>
        <w:keepNext w:val="0"/>
        <w:keepLines w:val="0"/>
        <w:pageBreakBefore w:val="0"/>
        <w:kinsoku/>
        <w:overflowPunct/>
        <w:topLinePunct w:val="0"/>
        <w:bidi w:val="0"/>
        <w:spacing w:line="560" w:lineRule="exact"/>
        <w:jc w:val="center"/>
        <w:outlineLvl w:val="0"/>
        <w:rPr>
          <w:rFonts w:hint="eastAsia" w:ascii="宋体" w:hAnsi="宋体" w:eastAsia="方正小标宋简体"/>
          <w:kern w:val="0"/>
          <w:sz w:val="44"/>
          <w:szCs w:val="44"/>
          <w:highlight w:val="none"/>
        </w:rPr>
      </w:pPr>
    </w:p>
    <w:p>
      <w:pPr>
        <w:keepNext w:val="0"/>
        <w:keepLines w:val="0"/>
        <w:pageBreakBefore w:val="0"/>
        <w:kinsoku/>
        <w:overflowPunct/>
        <w:topLinePunct w:val="0"/>
        <w:bidi w:val="0"/>
        <w:spacing w:line="560" w:lineRule="exact"/>
        <w:jc w:val="center"/>
        <w:outlineLvl w:val="0"/>
        <w:rPr>
          <w:rFonts w:hint="eastAsia" w:ascii="宋体" w:hAnsi="宋体" w:eastAsia="方正小标宋简体"/>
          <w:kern w:val="0"/>
          <w:sz w:val="44"/>
          <w:szCs w:val="44"/>
          <w:highlight w:val="none"/>
        </w:rPr>
      </w:pPr>
      <w:r>
        <w:rPr>
          <w:rFonts w:hint="eastAsia" w:ascii="宋体" w:hAnsi="宋体" w:eastAsia="方正小标宋简体"/>
          <w:kern w:val="0"/>
          <w:sz w:val="44"/>
          <w:szCs w:val="44"/>
          <w:highlight w:val="none"/>
        </w:rPr>
        <w:t>昆明市东川区</w:t>
      </w:r>
      <w:bookmarkStart w:id="3" w:name="_Toc4138_WPSOffice_Level1"/>
      <w:bookmarkStart w:id="4" w:name="_Toc29026_WPSOffice_Level1"/>
      <w:bookmarkStart w:id="5" w:name="_Toc2116_WPSOffice_Level1"/>
      <w:r>
        <w:rPr>
          <w:rFonts w:hint="eastAsia" w:ascii="宋体" w:hAnsi="宋体" w:eastAsia="方正小标宋简体"/>
          <w:kern w:val="0"/>
          <w:sz w:val="44"/>
          <w:szCs w:val="44"/>
          <w:highlight w:val="none"/>
          <w:lang w:eastAsia="zh-CN"/>
        </w:rPr>
        <w:t>财政局</w:t>
      </w:r>
      <w:r>
        <w:rPr>
          <w:rFonts w:hint="eastAsia" w:ascii="宋体" w:hAnsi="宋体" w:eastAsia="方正小标宋简体"/>
          <w:kern w:val="0"/>
          <w:sz w:val="44"/>
          <w:szCs w:val="44"/>
          <w:highlight w:val="none"/>
        </w:rPr>
        <w:t>2020年度部门</w:t>
      </w:r>
    </w:p>
    <w:p>
      <w:pPr>
        <w:keepNext w:val="0"/>
        <w:keepLines w:val="0"/>
        <w:pageBreakBefore w:val="0"/>
        <w:kinsoku/>
        <w:overflowPunct/>
        <w:topLinePunct w:val="0"/>
        <w:bidi w:val="0"/>
        <w:spacing w:line="560" w:lineRule="exact"/>
        <w:jc w:val="center"/>
        <w:outlineLvl w:val="0"/>
        <w:rPr>
          <w:rFonts w:hint="eastAsia" w:ascii="宋体" w:hAnsi="宋体" w:eastAsia="方正小标宋简体"/>
          <w:kern w:val="0"/>
          <w:sz w:val="44"/>
          <w:szCs w:val="44"/>
          <w:highlight w:val="none"/>
        </w:rPr>
      </w:pPr>
      <w:r>
        <w:rPr>
          <w:rFonts w:hint="eastAsia" w:ascii="宋体" w:hAnsi="宋体" w:eastAsia="方正小标宋简体"/>
          <w:kern w:val="0"/>
          <w:sz w:val="44"/>
          <w:szCs w:val="44"/>
          <w:highlight w:val="none"/>
        </w:rPr>
        <w:t>整体支出绩效评价报告</w:t>
      </w:r>
      <w:bookmarkEnd w:id="3"/>
      <w:bookmarkEnd w:id="4"/>
      <w:bookmarkEnd w:id="5"/>
    </w:p>
    <w:p>
      <w:pPr>
        <w:keepNext w:val="0"/>
        <w:keepLines w:val="0"/>
        <w:pageBreakBefore w:val="0"/>
        <w:kinsoku/>
        <w:overflowPunct/>
        <w:topLinePunct w:val="0"/>
        <w:bidi w:val="0"/>
        <w:spacing w:line="560" w:lineRule="exact"/>
        <w:jc w:val="center"/>
        <w:rPr>
          <w:rFonts w:hint="eastAsia" w:ascii="宋体" w:hAnsi="宋体" w:eastAsia="方正小标宋_GBK"/>
          <w:kern w:val="0"/>
          <w:highlight w:val="none"/>
        </w:rPr>
      </w:pPr>
      <w:bookmarkStart w:id="6" w:name="_Toc32327_WPSOffice_Level1"/>
    </w:p>
    <w:p>
      <w:pPr>
        <w:keepNext w:val="0"/>
        <w:keepLines w:val="0"/>
        <w:pageBreakBefore w:val="0"/>
        <w:kinsoku/>
        <w:overflowPunct/>
        <w:topLinePunct w:val="0"/>
        <w:bidi w:val="0"/>
        <w:spacing w:line="560" w:lineRule="exact"/>
        <w:jc w:val="center"/>
        <w:outlineLvl w:val="0"/>
        <w:rPr>
          <w:rFonts w:ascii="宋体" w:hAnsi="宋体" w:eastAsia="方正小标宋_GBK"/>
          <w:kern w:val="0"/>
          <w:highlight w:val="none"/>
        </w:rPr>
      </w:pPr>
      <w:r>
        <w:rPr>
          <w:rFonts w:hint="eastAsia" w:ascii="宋体" w:hAnsi="宋体" w:eastAsia="方正小标宋_GBK"/>
          <w:kern w:val="0"/>
          <w:highlight w:val="none"/>
        </w:rPr>
        <w:t>第一部分 摘 要</w:t>
      </w:r>
    </w:p>
    <w:p>
      <w:pPr>
        <w:keepNext w:val="0"/>
        <w:keepLines w:val="0"/>
        <w:pageBreakBefore w:val="0"/>
        <w:kinsoku/>
        <w:overflowPunct/>
        <w:topLinePunct w:val="0"/>
        <w:bidi w:val="0"/>
        <w:spacing w:line="560" w:lineRule="exact"/>
        <w:ind w:firstLine="640" w:firstLineChars="200"/>
        <w:outlineLvl w:val="1"/>
        <w:rPr>
          <w:rFonts w:ascii="宋体" w:hAnsi="宋体" w:eastAsia="黑体"/>
          <w:color w:val="000000"/>
          <w:highlight w:val="none"/>
        </w:rPr>
      </w:pPr>
      <w:r>
        <w:rPr>
          <w:rFonts w:hint="eastAsia" w:ascii="宋体" w:hAnsi="宋体" w:eastAsia="黑体" w:cs="Calibri"/>
          <w:color w:val="000000"/>
          <w:highlight w:val="none"/>
        </w:rPr>
        <w:t>一、</w:t>
      </w:r>
      <w:r>
        <w:rPr>
          <w:rFonts w:hint="eastAsia" w:ascii="宋体" w:hAnsi="宋体" w:eastAsia="黑体"/>
          <w:color w:val="000000"/>
          <w:highlight w:val="none"/>
        </w:rPr>
        <w:t>部门概况</w:t>
      </w:r>
    </w:p>
    <w:p>
      <w:pPr>
        <w:keepNext w:val="0"/>
        <w:keepLines w:val="0"/>
        <w:pageBreakBefore w:val="0"/>
        <w:kinsoku/>
        <w:overflowPunct/>
        <w:topLinePunct w:val="0"/>
        <w:bidi w:val="0"/>
        <w:snapToGrid w:val="0"/>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根据</w:t>
      </w:r>
      <w:r>
        <w:rPr>
          <w:rFonts w:hint="eastAsia" w:ascii="仿宋_GB2312" w:hAnsi="仿宋" w:eastAsia="仿宋_GB2312"/>
          <w:sz w:val="32"/>
          <w:szCs w:val="32"/>
          <w:highlight w:val="none"/>
        </w:rPr>
        <w:t>中共昆明市东川区委办公室</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昆明市东川区人民政府办公室关于印发《昆明市东川区财政局职能配置、内设机构和人员编制规定》的通知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东办</w:t>
      </w:r>
      <w:r>
        <w:rPr>
          <w:rFonts w:hint="eastAsia" w:ascii="仿宋_GB2312" w:hAnsi="仿宋" w:eastAsia="仿宋_GB2312"/>
          <w:sz w:val="32"/>
          <w:szCs w:val="32"/>
          <w:highlight w:val="none"/>
          <w:lang w:eastAsia="zh-CN"/>
        </w:rPr>
        <w:t>通</w:t>
      </w:r>
      <w:r>
        <w:rPr>
          <w:rFonts w:hint="eastAsia" w:ascii="仿宋_GB2312" w:hAnsi="仿宋" w:eastAsia="仿宋_GB2312"/>
          <w:sz w:val="32"/>
          <w:szCs w:val="32"/>
          <w:highlight w:val="none"/>
        </w:rPr>
        <w:t>〔2019〕</w:t>
      </w:r>
      <w:r>
        <w:rPr>
          <w:rFonts w:hint="eastAsia" w:ascii="仿宋_GB2312" w:hAnsi="仿宋" w:eastAsia="仿宋_GB2312"/>
          <w:sz w:val="32"/>
          <w:szCs w:val="32"/>
          <w:highlight w:val="none"/>
          <w:lang w:val="en-US" w:eastAsia="zh-CN"/>
        </w:rPr>
        <w:t>43</w:t>
      </w:r>
      <w:r>
        <w:rPr>
          <w:rFonts w:hint="eastAsia" w:ascii="仿宋_GB2312" w:hAnsi="仿宋" w:eastAsia="仿宋_GB2312"/>
          <w:sz w:val="32"/>
          <w:szCs w:val="32"/>
          <w:highlight w:val="none"/>
        </w:rPr>
        <w:t>号</w:t>
      </w:r>
      <w:r>
        <w:rPr>
          <w:rFonts w:hint="eastAsia" w:ascii="仿宋_GB2312" w:hAnsi="仿宋" w:eastAsia="仿宋_GB2312"/>
          <w:sz w:val="32"/>
          <w:szCs w:val="32"/>
          <w:highlight w:val="none"/>
          <w:lang w:eastAsia="zh-CN"/>
        </w:rPr>
        <w:t>），我单位</w:t>
      </w:r>
      <w:r>
        <w:rPr>
          <w:rFonts w:hint="eastAsia" w:ascii="仿宋_GB2312" w:hAnsi="仿宋" w:eastAsia="仿宋_GB2312"/>
          <w:sz w:val="32"/>
          <w:szCs w:val="32"/>
          <w:highlight w:val="none"/>
        </w:rPr>
        <w:t>是昆明市东川区人民政府工作部门，为正科级。加挂昆明市东川区人民政府国有资产监督管理委员会、昆明市东川区人民政府金融办公室牌子。设13个内设机构</w:t>
      </w:r>
      <w:r>
        <w:rPr>
          <w:rFonts w:hint="eastAsia" w:ascii="仿宋_GB2312" w:hAnsi="仿宋" w:eastAsia="仿宋_GB2312"/>
          <w:sz w:val="32"/>
          <w:szCs w:val="32"/>
          <w:highlight w:val="none"/>
          <w:lang w:eastAsia="zh-CN"/>
        </w:rPr>
        <w:t>。</w:t>
      </w:r>
    </w:p>
    <w:p>
      <w:pPr>
        <w:keepNext w:val="0"/>
        <w:keepLines w:val="0"/>
        <w:pageBreakBefore w:val="0"/>
        <w:kinsoku/>
        <w:overflowPunct/>
        <w:topLinePunct w:val="0"/>
        <w:bidi w:val="0"/>
        <w:snapToGrid w:val="0"/>
        <w:spacing w:line="560" w:lineRule="exact"/>
        <w:ind w:firstLine="640" w:firstLineChars="200"/>
        <w:rPr>
          <w:rFonts w:ascii="仿宋_GB2312" w:hAnsi="仿宋" w:eastAsia="仿宋_GB2312"/>
          <w:kern w:val="2"/>
          <w:sz w:val="32"/>
          <w:szCs w:val="32"/>
          <w:highlight w:val="none"/>
        </w:rPr>
      </w:pPr>
      <w:r>
        <w:rPr>
          <w:rFonts w:hint="eastAsia" w:ascii="宋体" w:hAnsi="宋体" w:eastAsia="仿宋_GB2312"/>
          <w:color w:val="000000"/>
          <w:highlight w:val="none"/>
        </w:rPr>
        <w:t>主要职能职责：</w:t>
      </w:r>
      <w:r>
        <w:rPr>
          <w:rFonts w:hint="eastAsia" w:ascii="仿宋_GB2312" w:hAnsi="仿宋" w:eastAsia="仿宋_GB2312"/>
          <w:sz w:val="32"/>
          <w:szCs w:val="32"/>
          <w:highlight w:val="none"/>
        </w:rPr>
        <w:t>昆明市东川区财政局贯彻落实党中央、省委、市委关于财经工作的方针政策、决策部署和区委的工作要求，在履行职责过程中坚持和加强党对财政工作的集中统一领导。</w:t>
      </w:r>
      <w:bookmarkEnd w:id="6"/>
    </w:p>
    <w:p>
      <w:pPr>
        <w:pStyle w:val="6"/>
        <w:keepNext w:val="0"/>
        <w:keepLines w:val="0"/>
        <w:pageBreakBefore w:val="0"/>
        <w:shd w:val="clear" w:color="auto" w:fill="FFFFFF"/>
        <w:kinsoku/>
        <w:overflowPunct/>
        <w:topLinePunct w:val="0"/>
        <w:bidi w:val="0"/>
        <w:spacing w:beforeAutospacing="0" w:afterAutospacing="0" w:line="560" w:lineRule="exact"/>
        <w:ind w:firstLine="480"/>
        <w:outlineLvl w:val="1"/>
        <w:rPr>
          <w:rFonts w:ascii="宋体" w:hAnsi="宋体" w:eastAsia="黑体" w:cs="Times New Roman"/>
          <w:color w:val="000000"/>
          <w:kern w:val="2"/>
          <w:sz w:val="32"/>
          <w:szCs w:val="32"/>
          <w:highlight w:val="none"/>
        </w:rPr>
      </w:pPr>
      <w:r>
        <w:rPr>
          <w:rFonts w:hint="eastAsia" w:ascii="宋体" w:hAnsi="宋体" w:eastAsia="黑体" w:cs="Times New Roman"/>
          <w:color w:val="000000"/>
          <w:kern w:val="2"/>
          <w:sz w:val="32"/>
          <w:szCs w:val="32"/>
          <w:highlight w:val="none"/>
        </w:rPr>
        <w:t>二、</w:t>
      </w:r>
      <w:r>
        <w:rPr>
          <w:rFonts w:ascii="宋体" w:hAnsi="宋体" w:eastAsia="黑体" w:cs="Calibri"/>
          <w:color w:val="000000"/>
          <w:kern w:val="2"/>
          <w:sz w:val="32"/>
          <w:szCs w:val="32"/>
          <w:highlight w:val="none"/>
        </w:rPr>
        <w:t> </w:t>
      </w:r>
      <w:r>
        <w:rPr>
          <w:rFonts w:hint="eastAsia" w:ascii="宋体" w:hAnsi="宋体" w:eastAsia="黑体" w:cs="Times New Roman"/>
          <w:color w:val="000000"/>
          <w:kern w:val="2"/>
          <w:sz w:val="32"/>
          <w:szCs w:val="32"/>
          <w:highlight w:val="none"/>
        </w:rPr>
        <w:t>评价结论及绩效分析</w:t>
      </w:r>
    </w:p>
    <w:p>
      <w:pPr>
        <w:pStyle w:val="6"/>
        <w:keepNext w:val="0"/>
        <w:keepLines w:val="0"/>
        <w:pageBreakBefore w:val="0"/>
        <w:shd w:val="clear" w:color="auto" w:fill="FFFFFF"/>
        <w:kinsoku/>
        <w:overflowPunct/>
        <w:topLinePunct w:val="0"/>
        <w:bidi w:val="0"/>
        <w:spacing w:beforeAutospacing="0" w:afterAutospacing="0" w:line="560" w:lineRule="exact"/>
        <w:ind w:firstLine="480"/>
        <w:rPr>
          <w:rFonts w:ascii="宋体" w:hAnsi="宋体" w:eastAsia="仿宋_GB2312" w:cs="Times New Roman"/>
          <w:color w:val="000000"/>
          <w:kern w:val="2"/>
          <w:sz w:val="32"/>
          <w:szCs w:val="32"/>
          <w:highlight w:val="none"/>
        </w:rPr>
      </w:pPr>
      <w:r>
        <w:rPr>
          <w:rFonts w:hint="eastAsia" w:ascii="宋体" w:hAnsi="宋体" w:eastAsia="楷体_GB2312" w:cs="Times New Roman"/>
          <w:color w:val="000000"/>
          <w:kern w:val="2"/>
          <w:sz w:val="32"/>
          <w:szCs w:val="32"/>
          <w:highlight w:val="none"/>
        </w:rPr>
        <w:t>（一） 评价结果。</w:t>
      </w:r>
      <w:r>
        <w:rPr>
          <w:rFonts w:hint="eastAsia" w:ascii="宋体" w:hAnsi="宋体" w:eastAsia="仿宋_GB2312" w:cs="Times New Roman"/>
          <w:color w:val="000000"/>
          <w:kern w:val="2"/>
          <w:sz w:val="32"/>
          <w:szCs w:val="32"/>
          <w:highlight w:val="none"/>
        </w:rPr>
        <w:t>区</w:t>
      </w:r>
      <w:r>
        <w:rPr>
          <w:rFonts w:hint="eastAsia" w:ascii="宋体" w:hAnsi="宋体" w:eastAsia="仿宋_GB2312" w:cs="Times New Roman"/>
          <w:color w:val="000000"/>
          <w:kern w:val="2"/>
          <w:sz w:val="32"/>
          <w:szCs w:val="32"/>
          <w:highlight w:val="none"/>
          <w:lang w:eastAsia="zh-CN"/>
        </w:rPr>
        <w:t>财政局</w:t>
      </w:r>
      <w:r>
        <w:rPr>
          <w:rFonts w:hint="eastAsia" w:ascii="宋体" w:hAnsi="宋体" w:eastAsia="仿宋_GB2312" w:cs="Times New Roman"/>
          <w:color w:val="000000"/>
          <w:kern w:val="2"/>
          <w:sz w:val="32"/>
          <w:szCs w:val="32"/>
          <w:highlight w:val="none"/>
        </w:rPr>
        <w:t>本次整体支出绩效自评得分</w:t>
      </w:r>
      <w:r>
        <w:rPr>
          <w:rFonts w:hint="eastAsia" w:ascii="仿宋_GB2312" w:hAnsi="仿宋" w:eastAsia="仿宋_GB2312" w:cs="Times New Roman"/>
          <w:kern w:val="2"/>
          <w:sz w:val="32"/>
          <w:szCs w:val="32"/>
          <w:highlight w:val="none"/>
          <w:lang w:val="en-US" w:eastAsia="zh-CN"/>
        </w:rPr>
        <w:t>100</w:t>
      </w:r>
      <w:r>
        <w:rPr>
          <w:rFonts w:hint="eastAsia" w:ascii="仿宋_GB2312" w:hAnsi="仿宋" w:eastAsia="仿宋_GB2312" w:cs="Times New Roman"/>
          <w:kern w:val="2"/>
          <w:sz w:val="32"/>
          <w:szCs w:val="32"/>
          <w:highlight w:val="none"/>
        </w:rPr>
        <w:t>.00分</w:t>
      </w:r>
      <w:r>
        <w:rPr>
          <w:rFonts w:hint="eastAsia" w:ascii="宋体" w:hAnsi="宋体" w:eastAsia="仿宋_GB2312" w:cs="Times New Roman"/>
          <w:color w:val="000000"/>
          <w:kern w:val="2"/>
          <w:sz w:val="32"/>
          <w:szCs w:val="32"/>
          <w:highlight w:val="none"/>
        </w:rPr>
        <w:t>，评价等级为“优”。</w:t>
      </w:r>
    </w:p>
    <w:p>
      <w:pPr>
        <w:pStyle w:val="6"/>
        <w:keepNext w:val="0"/>
        <w:keepLines w:val="0"/>
        <w:pageBreakBefore w:val="0"/>
        <w:shd w:val="clear" w:color="auto" w:fill="FFFFFF"/>
        <w:kinsoku/>
        <w:overflowPunct/>
        <w:topLinePunct w:val="0"/>
        <w:bidi w:val="0"/>
        <w:spacing w:beforeAutospacing="0" w:afterAutospacing="0" w:line="560" w:lineRule="exact"/>
        <w:ind w:firstLine="480"/>
        <w:rPr>
          <w:rFonts w:ascii="宋体" w:hAnsi="宋体" w:eastAsia="仿宋_GB2312" w:cs="Times New Roman"/>
          <w:color w:val="000000"/>
          <w:kern w:val="2"/>
          <w:sz w:val="32"/>
          <w:szCs w:val="32"/>
          <w:highlight w:val="none"/>
        </w:rPr>
      </w:pPr>
      <w:r>
        <w:rPr>
          <w:rFonts w:hint="eastAsia" w:ascii="宋体" w:hAnsi="宋体" w:eastAsia="楷体_GB2312" w:cs="Times New Roman"/>
          <w:color w:val="000000"/>
          <w:kern w:val="2"/>
          <w:sz w:val="32"/>
          <w:szCs w:val="32"/>
          <w:highlight w:val="none"/>
        </w:rPr>
        <w:t>（二）主要绩效。</w:t>
      </w:r>
      <w:r>
        <w:rPr>
          <w:rFonts w:hint="eastAsia" w:ascii="宋体" w:hAnsi="宋体" w:eastAsia="仿宋_GB2312"/>
          <w:color w:val="000000"/>
          <w:kern w:val="2"/>
          <w:sz w:val="32"/>
          <w:szCs w:val="32"/>
          <w:highlight w:val="none"/>
          <w:lang w:val="en-US" w:eastAsia="zh-CN" w:bidi="ar-SA"/>
        </w:rPr>
        <w:t>区财政局2020年度按照《部门（单位）整体支出绩效目标申报表（2020年度）》中设定年度主要工作内容，完成了区委、区政</w:t>
      </w:r>
      <w:r>
        <w:rPr>
          <w:rFonts w:hint="eastAsia" w:ascii="仿宋_GB2312" w:hAnsi="仿宋_GB2312" w:eastAsia="仿宋_GB2312" w:cs="仿宋_GB2312"/>
          <w:color w:val="000000"/>
          <w:kern w:val="2"/>
          <w:sz w:val="32"/>
          <w:szCs w:val="32"/>
          <w:highlight w:val="none"/>
        </w:rPr>
        <w:t>府下达</w:t>
      </w:r>
      <w:r>
        <w:rPr>
          <w:rFonts w:hint="eastAsia" w:ascii="仿宋_GB2312" w:hAnsi="仿宋_GB2312" w:eastAsia="仿宋_GB2312" w:cs="仿宋_GB2312"/>
          <w:color w:val="000000"/>
          <w:kern w:val="2"/>
          <w:sz w:val="32"/>
          <w:szCs w:val="32"/>
          <w:highlight w:val="none"/>
          <w:lang w:eastAsia="zh-CN"/>
        </w:rPr>
        <w:t>的</w:t>
      </w:r>
      <w:r>
        <w:rPr>
          <w:rFonts w:hint="eastAsia" w:ascii="仿宋_GB2312" w:hAnsi="仿宋_GB2312" w:eastAsia="仿宋_GB2312" w:cs="仿宋_GB2312"/>
          <w:color w:val="000000"/>
          <w:kern w:val="2"/>
          <w:sz w:val="32"/>
          <w:szCs w:val="32"/>
          <w:highlight w:val="none"/>
        </w:rPr>
        <w:t>各</w:t>
      </w:r>
      <w:r>
        <w:rPr>
          <w:rFonts w:hint="eastAsia" w:ascii="仿宋_GB2312" w:hAnsi="仿宋_GB2312" w:eastAsia="仿宋_GB2312" w:cs="仿宋_GB2312"/>
          <w:color w:val="000000"/>
          <w:kern w:val="2"/>
          <w:sz w:val="32"/>
          <w:szCs w:val="32"/>
          <w:highlight w:val="none"/>
          <w:lang w:eastAsia="zh-CN"/>
        </w:rPr>
        <w:t>项</w:t>
      </w:r>
      <w:r>
        <w:rPr>
          <w:rFonts w:hint="eastAsia" w:ascii="宋体" w:hAnsi="宋体" w:eastAsia="仿宋_GB2312" w:cs="Times New Roman"/>
          <w:color w:val="000000"/>
          <w:kern w:val="2"/>
          <w:sz w:val="32"/>
          <w:szCs w:val="32"/>
          <w:highlight w:val="none"/>
        </w:rPr>
        <w:t>年度工作目标</w:t>
      </w:r>
      <w:r>
        <w:rPr>
          <w:rFonts w:hint="eastAsia" w:ascii="宋体" w:hAnsi="宋体" w:eastAsia="仿宋_GB2312" w:cs="Times New Roman"/>
          <w:color w:val="000000"/>
          <w:kern w:val="2"/>
          <w:sz w:val="32"/>
          <w:szCs w:val="32"/>
          <w:highlight w:val="none"/>
          <w:lang w:eastAsia="zh-CN"/>
        </w:rPr>
        <w:t>。</w:t>
      </w:r>
      <w:r>
        <w:rPr>
          <w:rFonts w:hint="eastAsia" w:ascii="宋体" w:hAnsi="宋体" w:eastAsia="仿宋_GB2312" w:cs="Times New Roman"/>
          <w:color w:val="000000"/>
          <w:kern w:val="2"/>
          <w:sz w:val="32"/>
          <w:szCs w:val="32"/>
          <w:highlight w:val="none"/>
        </w:rPr>
        <w:t>年度目标已实现，</w:t>
      </w:r>
      <w:r>
        <w:rPr>
          <w:rFonts w:hint="eastAsia" w:ascii="宋体" w:hAnsi="宋体" w:eastAsia="仿宋_GB2312" w:cs="Times New Roman"/>
          <w:color w:val="000000"/>
          <w:kern w:val="2"/>
          <w:sz w:val="32"/>
          <w:szCs w:val="32"/>
          <w:highlight w:val="none"/>
          <w:lang w:eastAsia="zh-CN"/>
        </w:rPr>
        <w:t>综合目标管理绩效考核评定为优秀单位。</w:t>
      </w:r>
    </w:p>
    <w:p>
      <w:pPr>
        <w:pStyle w:val="6"/>
        <w:keepNext w:val="0"/>
        <w:keepLines w:val="0"/>
        <w:pageBreakBefore w:val="0"/>
        <w:shd w:val="clear" w:color="auto" w:fill="FFFFFF"/>
        <w:kinsoku/>
        <w:overflowPunct/>
        <w:topLinePunct w:val="0"/>
        <w:bidi w:val="0"/>
        <w:spacing w:beforeAutospacing="0" w:afterAutospacing="0" w:line="560" w:lineRule="exact"/>
        <w:ind w:firstLine="480"/>
        <w:outlineLvl w:val="1"/>
        <w:rPr>
          <w:rFonts w:ascii="宋体" w:hAnsi="宋体" w:eastAsia="黑体" w:cs="Times New Roman"/>
          <w:color w:val="000000"/>
          <w:kern w:val="2"/>
          <w:sz w:val="32"/>
          <w:szCs w:val="32"/>
          <w:highlight w:val="none"/>
        </w:rPr>
      </w:pPr>
      <w:r>
        <w:rPr>
          <w:rFonts w:hint="eastAsia" w:ascii="宋体" w:hAnsi="宋体" w:eastAsia="黑体" w:cs="Times New Roman"/>
          <w:color w:val="000000"/>
          <w:kern w:val="2"/>
          <w:sz w:val="32"/>
          <w:szCs w:val="32"/>
          <w:highlight w:val="none"/>
        </w:rPr>
        <w:t>三、问题和建议</w:t>
      </w:r>
    </w:p>
    <w:p>
      <w:pPr>
        <w:pStyle w:val="6"/>
        <w:keepNext w:val="0"/>
        <w:keepLines w:val="0"/>
        <w:pageBreakBefore w:val="0"/>
        <w:shd w:val="clear" w:color="auto" w:fill="FFFFFF"/>
        <w:kinsoku/>
        <w:overflowPunct/>
        <w:topLinePunct w:val="0"/>
        <w:bidi w:val="0"/>
        <w:spacing w:beforeAutospacing="0" w:afterAutospacing="0" w:line="560" w:lineRule="exact"/>
        <w:ind w:firstLine="480"/>
        <w:rPr>
          <w:rFonts w:hint="eastAsia" w:ascii="宋体" w:hAnsi="宋体" w:eastAsia="仿宋_GB2312" w:cs="Times New Roman"/>
          <w:color w:val="000000"/>
          <w:kern w:val="2"/>
          <w:sz w:val="32"/>
          <w:szCs w:val="32"/>
          <w:highlight w:val="none"/>
        </w:rPr>
      </w:pPr>
      <w:r>
        <w:rPr>
          <w:rFonts w:hint="eastAsia" w:ascii="宋体" w:hAnsi="宋体" w:eastAsia="楷体_GB2312" w:cs="Times New Roman"/>
          <w:color w:val="000000"/>
          <w:kern w:val="2"/>
          <w:sz w:val="32"/>
          <w:szCs w:val="32"/>
          <w:highlight w:val="none"/>
        </w:rPr>
        <w:t>（一）存在的问题。</w:t>
      </w:r>
      <w:r>
        <w:rPr>
          <w:rFonts w:hint="eastAsia" w:ascii="宋体" w:hAnsi="宋体" w:eastAsia="仿宋_GB2312" w:cs="Times New Roman"/>
          <w:color w:val="000000"/>
          <w:kern w:val="2"/>
          <w:sz w:val="32"/>
          <w:szCs w:val="32"/>
          <w:highlight w:val="none"/>
        </w:rPr>
        <w:t>一是绩效评价管理制度尚不健全。二是绩效评价指标体系还不够完善、合理。三是对绩效评价工作的认识不够。四是评价效果有待进一步提高。</w:t>
      </w:r>
    </w:p>
    <w:p>
      <w:pPr>
        <w:pStyle w:val="6"/>
        <w:keepNext w:val="0"/>
        <w:keepLines w:val="0"/>
        <w:pageBreakBefore w:val="0"/>
        <w:shd w:val="clear" w:color="auto" w:fill="FFFFFF"/>
        <w:kinsoku/>
        <w:overflowPunct/>
        <w:topLinePunct w:val="0"/>
        <w:bidi w:val="0"/>
        <w:spacing w:beforeAutospacing="0" w:afterAutospacing="0" w:line="560" w:lineRule="exact"/>
        <w:ind w:firstLine="480"/>
        <w:rPr>
          <w:rFonts w:hint="eastAsia" w:ascii="宋体" w:hAnsi="宋体" w:eastAsia="仿宋_GB2312" w:cs="Times New Roman"/>
          <w:color w:val="000000"/>
          <w:kern w:val="2"/>
          <w:sz w:val="32"/>
          <w:szCs w:val="32"/>
          <w:highlight w:val="none"/>
        </w:rPr>
      </w:pPr>
      <w:r>
        <w:rPr>
          <w:rFonts w:hint="eastAsia" w:ascii="宋体" w:hAnsi="宋体" w:eastAsia="楷体_GB2312" w:cs="Times New Roman"/>
          <w:color w:val="000000"/>
          <w:kern w:val="2"/>
          <w:sz w:val="32"/>
          <w:szCs w:val="32"/>
          <w:highlight w:val="none"/>
        </w:rPr>
        <w:t>（二）改进措施</w:t>
      </w:r>
      <w:r>
        <w:rPr>
          <w:rFonts w:hint="eastAsia" w:ascii="宋体" w:hAnsi="宋体" w:eastAsia="仿宋_GB2312" w:cs="Times New Roman"/>
          <w:color w:val="000000"/>
          <w:kern w:val="2"/>
          <w:sz w:val="32"/>
          <w:szCs w:val="32"/>
          <w:highlight w:val="none"/>
        </w:rPr>
        <w:t>。一是强化绩效管理意识，提高绩效目标编报水平。二是加强队伍建设和机制创新。</w:t>
      </w:r>
    </w:p>
    <w:p>
      <w:pPr>
        <w:keepNext w:val="0"/>
        <w:keepLines w:val="0"/>
        <w:pageBreakBefore w:val="0"/>
        <w:kinsoku/>
        <w:overflowPunct/>
        <w:topLinePunct w:val="0"/>
        <w:bidi w:val="0"/>
        <w:spacing w:line="560" w:lineRule="exact"/>
        <w:jc w:val="center"/>
        <w:rPr>
          <w:rFonts w:ascii="宋体" w:hAnsi="宋体" w:eastAsia="方正小标宋_GBK"/>
          <w:kern w:val="0"/>
          <w:highlight w:val="none"/>
        </w:rPr>
      </w:pPr>
    </w:p>
    <w:p>
      <w:pPr>
        <w:keepNext w:val="0"/>
        <w:keepLines w:val="0"/>
        <w:pageBreakBefore w:val="0"/>
        <w:kinsoku/>
        <w:overflowPunct/>
        <w:topLinePunct w:val="0"/>
        <w:bidi w:val="0"/>
        <w:spacing w:line="560" w:lineRule="exact"/>
        <w:jc w:val="center"/>
        <w:outlineLvl w:val="0"/>
        <w:rPr>
          <w:rFonts w:ascii="宋体" w:hAnsi="宋体" w:eastAsia="方正小标宋_GBK"/>
          <w:kern w:val="0"/>
          <w:highlight w:val="none"/>
        </w:rPr>
      </w:pPr>
      <w:r>
        <w:rPr>
          <w:rFonts w:hint="eastAsia" w:ascii="宋体" w:hAnsi="宋体" w:eastAsia="方正小标宋_GBK"/>
          <w:kern w:val="0"/>
          <w:highlight w:val="none"/>
        </w:rPr>
        <w:t>第二部分 正文</w:t>
      </w:r>
      <w:bookmarkStart w:id="7" w:name="_Toc29744_WPSOffice_Level1"/>
      <w:bookmarkStart w:id="8" w:name="_Toc29706_WPSOffice_Level1"/>
      <w:bookmarkStart w:id="9" w:name="_Toc1357_WPSOffice_Level1"/>
      <w:bookmarkStart w:id="10" w:name="_Toc21096_WPSOffice_Level1"/>
    </w:p>
    <w:p>
      <w:pPr>
        <w:keepNext w:val="0"/>
        <w:keepLines w:val="0"/>
        <w:pageBreakBefore w:val="0"/>
        <w:kinsoku/>
        <w:overflowPunct/>
        <w:topLinePunct w:val="0"/>
        <w:bidi w:val="0"/>
        <w:spacing w:line="560" w:lineRule="exact"/>
        <w:ind w:firstLine="640" w:firstLineChars="200"/>
        <w:jc w:val="left"/>
        <w:outlineLvl w:val="1"/>
        <w:rPr>
          <w:rFonts w:ascii="宋体" w:hAnsi="宋体" w:eastAsia="黑体" w:cs="黑体"/>
          <w:bCs/>
          <w:highlight w:val="none"/>
        </w:rPr>
      </w:pPr>
      <w:r>
        <w:rPr>
          <w:rFonts w:hint="eastAsia" w:ascii="宋体" w:hAnsi="宋体" w:eastAsia="黑体" w:cs="黑体"/>
          <w:bCs/>
          <w:highlight w:val="none"/>
        </w:rPr>
        <w:t>一、部门概况</w:t>
      </w:r>
      <w:bookmarkEnd w:id="7"/>
      <w:bookmarkEnd w:id="8"/>
      <w:bookmarkEnd w:id="9"/>
      <w:bookmarkEnd w:id="10"/>
      <w:bookmarkStart w:id="11" w:name="_Toc8093_WPSOffice_Level2"/>
      <w:bookmarkStart w:id="12" w:name="_Toc4415_WPSOffice_Level2"/>
      <w:bookmarkStart w:id="13" w:name="_Toc20423_WPSOffice_Level2"/>
    </w:p>
    <w:p>
      <w:pPr>
        <w:keepNext w:val="0"/>
        <w:keepLines w:val="0"/>
        <w:pageBreakBefore w:val="0"/>
        <w:kinsoku/>
        <w:overflowPunct/>
        <w:topLinePunct w:val="0"/>
        <w:bidi w:val="0"/>
        <w:spacing w:line="560" w:lineRule="exact"/>
        <w:ind w:firstLine="640" w:firstLineChars="200"/>
        <w:jc w:val="left"/>
        <w:outlineLvl w:val="2"/>
        <w:rPr>
          <w:rFonts w:hint="eastAsia" w:ascii="楷体_GB2312" w:hAnsi="宋体" w:eastAsia="楷体_GB2312" w:cs="楷体_GB2312"/>
          <w:highlight w:val="none"/>
        </w:rPr>
      </w:pPr>
      <w:r>
        <w:rPr>
          <w:rFonts w:hint="eastAsia" w:ascii="楷体_GB2312" w:hAnsi="宋体" w:eastAsia="楷体_GB2312" w:cs="楷体_GB2312"/>
          <w:highlight w:val="none"/>
        </w:rPr>
        <w:t>（一）部门机构设置、编制</w:t>
      </w:r>
      <w:bookmarkEnd w:id="11"/>
      <w:bookmarkEnd w:id="12"/>
      <w:bookmarkEnd w:id="13"/>
    </w:p>
    <w:p>
      <w:pPr>
        <w:keepNext w:val="0"/>
        <w:keepLines w:val="0"/>
        <w:pageBreakBefore w:val="0"/>
        <w:kinsoku/>
        <w:overflowPunct/>
        <w:topLinePunct w:val="0"/>
        <w:bidi w:val="0"/>
        <w:spacing w:line="560" w:lineRule="exact"/>
        <w:ind w:firstLine="640" w:firstLineChars="200"/>
        <w:jc w:val="left"/>
        <w:rPr>
          <w:rFonts w:ascii="宋体" w:hAnsi="宋体" w:eastAsia="仿宋_GB2312" w:cs="仿宋_GB2312"/>
          <w:highlight w:val="none"/>
        </w:rPr>
      </w:pPr>
      <w:r>
        <w:rPr>
          <w:rFonts w:hint="eastAsia" w:ascii="宋体" w:hAnsi="宋体" w:eastAsia="仿宋_GB2312" w:cs="仿宋_GB2312"/>
          <w:highlight w:val="none"/>
        </w:rPr>
        <w:t>区</w:t>
      </w:r>
      <w:r>
        <w:rPr>
          <w:rFonts w:hint="eastAsia" w:ascii="宋体" w:hAnsi="宋体" w:eastAsia="仿宋_GB2312" w:cs="仿宋_GB2312"/>
          <w:highlight w:val="none"/>
          <w:lang w:eastAsia="zh-CN"/>
        </w:rPr>
        <w:t>财政局</w:t>
      </w:r>
      <w:r>
        <w:rPr>
          <w:rFonts w:hint="eastAsia" w:ascii="宋体" w:hAnsi="宋体" w:eastAsia="仿宋_GB2312" w:cs="仿宋_GB2312"/>
          <w:highlight w:val="none"/>
        </w:rPr>
        <w:t>编制</w:t>
      </w:r>
      <w:r>
        <w:rPr>
          <w:rFonts w:hint="eastAsia" w:ascii="仿宋_GB2312" w:hAnsi="仿宋" w:eastAsia="仿宋_GB2312"/>
          <w:highlight w:val="none"/>
        </w:rPr>
        <w:t>2020年部门整体支出绩效自评的单位共1</w:t>
      </w:r>
      <w:r>
        <w:rPr>
          <w:rFonts w:hint="eastAsia" w:ascii="宋体" w:hAnsi="宋体" w:eastAsia="仿宋_GB2312" w:cs="仿宋_GB2312"/>
          <w:highlight w:val="none"/>
        </w:rPr>
        <w:t>个，部门基本情况如下：</w:t>
      </w:r>
    </w:p>
    <w:p>
      <w:pPr>
        <w:keepNext w:val="0"/>
        <w:keepLines w:val="0"/>
        <w:pageBreakBefore w:val="0"/>
        <w:kinsoku/>
        <w:overflowPunct/>
        <w:topLinePunct w:val="0"/>
        <w:bidi w:val="0"/>
        <w:snapToGrid w:val="0"/>
        <w:spacing w:line="560" w:lineRule="exact"/>
        <w:ind w:firstLine="640" w:firstLineChars="200"/>
        <w:rPr>
          <w:rFonts w:hint="eastAsia" w:ascii="仿宋_GB2312" w:hAnsi="仿宋" w:eastAsia="仿宋_GB2312"/>
          <w:sz w:val="32"/>
          <w:szCs w:val="32"/>
          <w:highlight w:val="none"/>
          <w:lang w:eastAsia="zh-CN"/>
        </w:rPr>
      </w:pPr>
      <w:bookmarkStart w:id="14" w:name="_Toc20175_WPSOffice_Level2"/>
      <w:bookmarkStart w:id="15" w:name="_Toc10209_WPSOffice_Level2"/>
      <w:bookmarkStart w:id="16" w:name="_Toc29209_WPSOffice_Level2"/>
      <w:r>
        <w:rPr>
          <w:rFonts w:hint="eastAsia" w:ascii="仿宋_GB2312" w:hAnsi="仿宋" w:eastAsia="仿宋_GB2312"/>
          <w:sz w:val="32"/>
          <w:szCs w:val="32"/>
          <w:highlight w:val="none"/>
          <w:lang w:eastAsia="zh-CN"/>
        </w:rPr>
        <w:t>根据</w:t>
      </w:r>
      <w:r>
        <w:rPr>
          <w:rFonts w:hint="eastAsia" w:ascii="仿宋_GB2312" w:hAnsi="仿宋" w:eastAsia="仿宋_GB2312"/>
          <w:sz w:val="32"/>
          <w:szCs w:val="32"/>
          <w:highlight w:val="none"/>
        </w:rPr>
        <w:t>中共昆明市东川区委办公室</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昆明市东川区人民政府办公室关于印发《昆明市东川区财政局职能配置、内设机构和人员编制规定》的通知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东办</w:t>
      </w:r>
      <w:r>
        <w:rPr>
          <w:rFonts w:hint="eastAsia" w:ascii="仿宋_GB2312" w:hAnsi="仿宋" w:eastAsia="仿宋_GB2312"/>
          <w:sz w:val="32"/>
          <w:szCs w:val="32"/>
          <w:highlight w:val="none"/>
          <w:lang w:eastAsia="zh-CN"/>
        </w:rPr>
        <w:t>通</w:t>
      </w:r>
      <w:r>
        <w:rPr>
          <w:rFonts w:hint="eastAsia" w:ascii="仿宋_GB2312" w:hAnsi="仿宋" w:eastAsia="仿宋_GB2312"/>
          <w:sz w:val="32"/>
          <w:szCs w:val="32"/>
          <w:highlight w:val="none"/>
        </w:rPr>
        <w:t>〔2019〕</w:t>
      </w:r>
      <w:r>
        <w:rPr>
          <w:rFonts w:hint="eastAsia" w:ascii="仿宋_GB2312" w:hAnsi="仿宋" w:eastAsia="仿宋_GB2312"/>
          <w:sz w:val="32"/>
          <w:szCs w:val="32"/>
          <w:highlight w:val="none"/>
          <w:lang w:val="en-US" w:eastAsia="zh-CN"/>
        </w:rPr>
        <w:t>43</w:t>
      </w:r>
      <w:r>
        <w:rPr>
          <w:rFonts w:hint="eastAsia" w:ascii="仿宋_GB2312" w:hAnsi="仿宋" w:eastAsia="仿宋_GB2312"/>
          <w:sz w:val="32"/>
          <w:szCs w:val="32"/>
          <w:highlight w:val="none"/>
        </w:rPr>
        <w:t>号</w:t>
      </w:r>
      <w:r>
        <w:rPr>
          <w:rFonts w:hint="eastAsia" w:ascii="仿宋_GB2312" w:hAnsi="仿宋" w:eastAsia="仿宋_GB2312"/>
          <w:sz w:val="32"/>
          <w:szCs w:val="32"/>
          <w:highlight w:val="none"/>
          <w:lang w:eastAsia="zh-CN"/>
        </w:rPr>
        <w:t>），我单位</w:t>
      </w:r>
      <w:r>
        <w:rPr>
          <w:rFonts w:hint="eastAsia" w:ascii="仿宋_GB2312" w:hAnsi="仿宋" w:eastAsia="仿宋_GB2312"/>
          <w:sz w:val="32"/>
          <w:szCs w:val="32"/>
          <w:highlight w:val="none"/>
        </w:rPr>
        <w:t>是昆明市东川区人民政府工作部门，为正科级。加挂昆明市东川区人民政府国有资产监督管理委员会、昆明市东川区人民政府金融办公室牌子。设13个内设机构</w:t>
      </w:r>
      <w:r>
        <w:rPr>
          <w:rFonts w:hint="eastAsia" w:ascii="仿宋_GB2312" w:hAnsi="仿宋" w:eastAsia="仿宋_GB2312"/>
          <w:sz w:val="32"/>
          <w:szCs w:val="32"/>
          <w:highlight w:val="none"/>
          <w:lang w:eastAsia="zh-CN"/>
        </w:rPr>
        <w:t>，分别为：</w:t>
      </w:r>
      <w:r>
        <w:rPr>
          <w:rFonts w:hint="eastAsia" w:ascii="仿宋_GB2312" w:hAnsi="仿宋" w:eastAsia="仿宋_GB2312"/>
          <w:sz w:val="32"/>
          <w:szCs w:val="32"/>
          <w:highlight w:val="none"/>
        </w:rPr>
        <w:t>办公室</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预算科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绩效管理科国库科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文教行政科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社会保障科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企业财务科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农业财务科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监督检查科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综合科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债务管理科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国有资产管理科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金融科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独立核算机构数1个</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纳入20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年部门决算编报的</w:t>
      </w:r>
      <w:r>
        <w:rPr>
          <w:rFonts w:hint="eastAsia" w:ascii="仿宋_GB2312" w:hAnsi="仿宋" w:eastAsia="仿宋_GB2312"/>
          <w:sz w:val="32"/>
          <w:szCs w:val="32"/>
          <w:highlight w:val="none"/>
          <w:lang w:eastAsia="zh-CN"/>
        </w:rPr>
        <w:t>独立编制机构数</w:t>
      </w:r>
      <w:r>
        <w:rPr>
          <w:rFonts w:hint="eastAsia" w:ascii="仿宋_GB2312" w:hAnsi="仿宋" w:eastAsia="仿宋_GB2312"/>
          <w:sz w:val="32"/>
          <w:szCs w:val="32"/>
          <w:highlight w:val="none"/>
        </w:rPr>
        <w:t>共</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个，其中：</w:t>
      </w:r>
      <w:r>
        <w:rPr>
          <w:rFonts w:hint="eastAsia" w:ascii="仿宋_GB2312" w:hAnsi="仿宋" w:eastAsia="仿宋_GB2312"/>
          <w:sz w:val="32"/>
          <w:szCs w:val="32"/>
          <w:highlight w:val="none"/>
          <w:lang w:eastAsia="zh-CN"/>
        </w:rPr>
        <w:t>行政单位</w:t>
      </w:r>
      <w:r>
        <w:rPr>
          <w:rFonts w:hint="eastAsia" w:ascii="仿宋_GB2312" w:hAnsi="仿宋" w:eastAsia="仿宋_GB2312"/>
          <w:sz w:val="32"/>
          <w:szCs w:val="32"/>
          <w:highlight w:val="none"/>
          <w:lang w:val="en-US" w:eastAsia="zh-CN"/>
        </w:rPr>
        <w:t>1个，为昆明市东川区财政局；事业单位4个，分别为</w:t>
      </w:r>
      <w:r>
        <w:rPr>
          <w:rFonts w:hint="eastAsia" w:ascii="仿宋_GB2312" w:hAnsi="仿宋" w:eastAsia="仿宋_GB2312"/>
          <w:sz w:val="32"/>
          <w:szCs w:val="32"/>
          <w:highlight w:val="none"/>
        </w:rPr>
        <w:t>昆明市东川区</w:t>
      </w:r>
      <w:r>
        <w:rPr>
          <w:rFonts w:hint="eastAsia" w:ascii="仿宋_GB2312" w:hAnsi="仿宋" w:eastAsia="仿宋_GB2312"/>
          <w:sz w:val="32"/>
          <w:szCs w:val="32"/>
          <w:highlight w:val="none"/>
          <w:lang w:eastAsia="zh-CN"/>
        </w:rPr>
        <w:t>国资服务中心、</w:t>
      </w:r>
      <w:r>
        <w:rPr>
          <w:rFonts w:hint="eastAsia" w:ascii="仿宋_GB2312" w:hAnsi="仿宋" w:eastAsia="仿宋_GB2312"/>
          <w:sz w:val="32"/>
          <w:szCs w:val="32"/>
          <w:highlight w:val="none"/>
        </w:rPr>
        <w:t>昆明市东川区</w:t>
      </w:r>
      <w:r>
        <w:rPr>
          <w:rFonts w:hint="eastAsia" w:ascii="仿宋_GB2312" w:hAnsi="仿宋" w:eastAsia="仿宋_GB2312"/>
          <w:sz w:val="32"/>
          <w:szCs w:val="32"/>
          <w:highlight w:val="none"/>
          <w:lang w:eastAsia="zh-CN"/>
        </w:rPr>
        <w:t>金融管理服务站、昆明市东川区财政局国库支付中心、</w:t>
      </w:r>
      <w:r>
        <w:rPr>
          <w:rFonts w:hint="eastAsia" w:ascii="宋体" w:hAnsi="宋体" w:eastAsia="仿宋_GB2312"/>
          <w:sz w:val="32"/>
          <w:szCs w:val="32"/>
          <w:highlight w:val="none"/>
        </w:rPr>
        <w:t>昆明市东川区财务服务中心</w:t>
      </w:r>
      <w:r>
        <w:rPr>
          <w:rFonts w:hint="eastAsia" w:ascii="仿宋_GB2312" w:hAnsi="仿宋" w:eastAsia="仿宋_GB2312"/>
          <w:sz w:val="32"/>
          <w:szCs w:val="32"/>
          <w:highlight w:val="none"/>
          <w:lang w:eastAsia="zh-CN"/>
        </w:rPr>
        <w:t>。</w:t>
      </w:r>
    </w:p>
    <w:p>
      <w:pPr>
        <w:keepNext w:val="0"/>
        <w:keepLines w:val="0"/>
        <w:pageBreakBefore w:val="0"/>
        <w:kinsoku/>
        <w:overflowPunct/>
        <w:topLinePunct w:val="0"/>
        <w:bidi w:val="0"/>
        <w:spacing w:line="560" w:lineRule="exact"/>
        <w:ind w:firstLine="640" w:firstLineChars="200"/>
        <w:jc w:val="left"/>
        <w:outlineLvl w:val="2"/>
        <w:rPr>
          <w:rFonts w:ascii="宋体" w:hAnsi="宋体" w:eastAsia="楷体_GB2312" w:cs="楷体_GB2312"/>
          <w:highlight w:val="none"/>
        </w:rPr>
      </w:pPr>
      <w:r>
        <w:rPr>
          <w:rFonts w:hint="eastAsia" w:ascii="宋体" w:hAnsi="宋体" w:eastAsia="楷体_GB2312" w:cs="楷体_GB2312"/>
          <w:highlight w:val="none"/>
        </w:rPr>
        <w:t>（二）主要职能职责</w:t>
      </w:r>
      <w:bookmarkEnd w:id="14"/>
      <w:bookmarkEnd w:id="15"/>
      <w:bookmarkEnd w:id="16"/>
      <w:bookmarkStart w:id="17" w:name="_Toc10838_WPSOffice_Level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bookmarkStart w:id="18" w:name="_Toc20068_WPSOffice_Level2"/>
      <w:bookmarkStart w:id="19" w:name="_Toc27837_WPSOffice_Level2"/>
      <w:r>
        <w:rPr>
          <w:rFonts w:hint="eastAsia" w:ascii="仿宋_GB2312" w:hAnsi="仿宋" w:eastAsia="仿宋_GB2312"/>
          <w:sz w:val="32"/>
          <w:szCs w:val="32"/>
          <w:highlight w:val="none"/>
        </w:rPr>
        <w:t>昆明市东川区财政局贯彻落实党中央、省委、市委关于财经工作的方针政策、决策部署和区委的工作要求，在履行职责过程中坚持和加强党对财政工作的集中统一领导。主要职责：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贯彻执行国家和省、市财税的发展战略、方针、政策，拟订财税发展规划、政策和改革方案并组织实施。分析预测综合经济形势，参与制定各项宏观经济政策，提出加强财源建设和运用财税政策实施宏观调控、综合平衡社会财力的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）拟订财政、财务、会计管理的规范性文件。承担财税法规和政策的执行情况、预算管理有关监督工作。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）承担各项财政收支管理的职责。编制年度地方财政预决算草案并组织执行。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）按照分工负责地方税收和政府非税收入管理。拟订政府非税收入规范性文件，提出地方税收政策调整及有关税收优惠政策建议。按规定管理行政事业性收费。管理财政票据。按规定管理彩票资金。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）组织拟订国库管理制度、国库集中收付制度并组织实施；承担国库现金管理职责。组织编制政府财务报告。负责贯彻执行政府采购制度并监督管理。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）执行地方政府债务管理的制度和政策。拟订地方政府债务管理的实施办法。承担地方政府性债务的日常管理职责，提出全区政府性债务规模控制和债务结构调整建议。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）拟订行政事业单位国有资产管理制度并组织实施。组织编制年度全区国有资产管理情况报告。根据区人民政府授权，集中统一履行区级国有金融资本出资人职责。拟订国有金融资本管理制度。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）拟订政府性基金管理制度，监督管理政府性基金收支活动。审核并汇总编制区级政府性基金预决算草案，提出政府性基金与一般公共预算统筹安排的建议。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）拟订国有资本经营预算制度和办法。负责审核和汇总编制国有资本经营预决算草案，监缴区本级国有资本收益。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）负责审核并汇总编制社会保险基金预决算草案，承担社会保险基金的财政监管工作。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）参与拟订区级基建投资有关政策。拟订基建财务管理有关实施办法并监督实施。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）负责管理会计工作。拟订会计管理制度和办法并组织实施，监督和规范会计行为。指导和监督管理委托代理记账机构的备案审核工作。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13</w:t>
      </w:r>
      <w:r>
        <w:rPr>
          <w:rFonts w:hint="eastAsia" w:ascii="仿宋_GB2312" w:hAnsi="仿宋" w:eastAsia="仿宋_GB2312"/>
          <w:sz w:val="32"/>
          <w:szCs w:val="32"/>
          <w:highlight w:val="none"/>
        </w:rPr>
        <w:t>）组织、指导和协调全区财政信息化建设工作。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根据东川区人民政府授权，依照《中华人民共和国公司法》《中华人民共和国企业国有资产法》等法律和行政法规，代表区政府履行国有资产出资人职责，对区属企业（不含金融类企业）的国有资产和区本级行政事业单位经营性国有资产实施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15</w:t>
      </w:r>
      <w:r>
        <w:rPr>
          <w:rFonts w:hint="eastAsia" w:ascii="仿宋_GB2312" w:hAnsi="仿宋" w:eastAsia="仿宋_GB2312"/>
          <w:sz w:val="32"/>
          <w:szCs w:val="32"/>
          <w:highlight w:val="none"/>
        </w:rPr>
        <w:t>）研究拟订全区金融业发展规划，研究提出服务和促进金融业发展的意见和政策建议，引导和鼓励东川区金融机构加大服务支持地方经济社会发展的力度，组织有关考核和奖励工作。</w:t>
      </w:r>
    </w:p>
    <w:p>
      <w:pPr>
        <w:keepNext w:val="0"/>
        <w:keepLines w:val="0"/>
        <w:pageBreakBefore w:val="0"/>
        <w:kinsoku/>
        <w:overflowPunct/>
        <w:topLinePunct w:val="0"/>
        <w:bidi w:val="0"/>
        <w:snapToGrid w:val="0"/>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）完成区委、区政府和上级部门交办的其他任务。</w:t>
      </w:r>
    </w:p>
    <w:p>
      <w:pPr>
        <w:keepNext w:val="0"/>
        <w:keepLines w:val="0"/>
        <w:pageBreakBefore w:val="0"/>
        <w:kinsoku/>
        <w:overflowPunct/>
        <w:topLinePunct w:val="0"/>
        <w:bidi w:val="0"/>
        <w:spacing w:line="560" w:lineRule="exact"/>
        <w:ind w:firstLine="640" w:firstLineChars="200"/>
        <w:jc w:val="left"/>
        <w:outlineLvl w:val="2"/>
        <w:rPr>
          <w:rFonts w:ascii="楷体_GB2312" w:hAnsi="宋体" w:eastAsia="楷体_GB2312" w:cs="楷体_GB2312"/>
          <w:highlight w:val="none"/>
        </w:rPr>
      </w:pPr>
      <w:r>
        <w:rPr>
          <w:rFonts w:hint="eastAsia" w:ascii="楷体_GB2312" w:hAnsi="宋体" w:eastAsia="楷体_GB2312" w:cs="楷体_GB2312"/>
          <w:highlight w:val="none"/>
        </w:rPr>
        <w:t>（三）部门工作完成情况</w:t>
      </w:r>
      <w:bookmarkEnd w:id="17"/>
      <w:bookmarkEnd w:id="18"/>
      <w:bookmarkEnd w:id="19"/>
      <w:bookmarkStart w:id="20" w:name="_Toc19792_WPSOffice_Level2"/>
      <w:bookmarkStart w:id="21" w:name="_Toc30384_WPSOffice_Level2"/>
      <w:bookmarkStart w:id="22" w:name="_Toc32594_WPSOffice_Level2"/>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default" w:ascii="Times New Roman" w:hAnsi="Times New Roman" w:eastAsia="仿宋_GB2312" w:cs="Times New Roman"/>
          <w:spacing w:val="0"/>
          <w:w w:val="100"/>
          <w:sz w:val="32"/>
          <w:szCs w:val="32"/>
          <w:highlight w:val="none"/>
        </w:rPr>
      </w:pPr>
      <w:r>
        <w:rPr>
          <w:rFonts w:hint="default" w:ascii="Times New Roman" w:hAnsi="Times New Roman" w:eastAsia="仿宋_GB2312" w:cs="Times New Roman"/>
          <w:spacing w:val="0"/>
          <w:w w:val="100"/>
          <w:sz w:val="32"/>
          <w:szCs w:val="32"/>
          <w:highlight w:val="none"/>
          <w:lang w:val="en-US" w:eastAsia="zh-CN"/>
        </w:rPr>
        <w:t>2020年，面对突如其来的“新冠肺炎”疫情，</w:t>
      </w:r>
      <w:r>
        <w:rPr>
          <w:rFonts w:hint="default" w:ascii="Times New Roman" w:hAnsi="Times New Roman" w:eastAsia="仿宋_GB2312" w:cs="Times New Roman"/>
          <w:spacing w:val="0"/>
          <w:w w:val="100"/>
          <w:sz w:val="32"/>
          <w:szCs w:val="32"/>
          <w:highlight w:val="none"/>
        </w:rPr>
        <w:t>面</w:t>
      </w:r>
      <w:r>
        <w:rPr>
          <w:rFonts w:hint="default" w:ascii="Times New Roman" w:hAnsi="Times New Roman" w:eastAsia="仿宋_GB2312" w:cs="Times New Roman"/>
          <w:spacing w:val="0"/>
          <w:w w:val="100"/>
          <w:sz w:val="32"/>
          <w:szCs w:val="32"/>
          <w:highlight w:val="none"/>
          <w:lang w:val="en-US" w:eastAsia="zh-CN"/>
        </w:rPr>
        <w:t>对</w:t>
      </w:r>
      <w:r>
        <w:rPr>
          <w:rFonts w:hint="default" w:ascii="Times New Roman" w:hAnsi="Times New Roman" w:eastAsia="仿宋_GB2312" w:cs="Times New Roman"/>
          <w:spacing w:val="0"/>
          <w:w w:val="100"/>
          <w:sz w:val="32"/>
          <w:szCs w:val="32"/>
          <w:highlight w:val="none"/>
        </w:rPr>
        <w:t>税收减收严重、收支矛盾异常突出的严峻形势，区财政局在区委、区政府的坚强领导下，</w:t>
      </w:r>
      <w:r>
        <w:rPr>
          <w:rFonts w:hint="default" w:ascii="Times New Roman" w:hAnsi="Times New Roman" w:eastAsia="仿宋_GB2312" w:cs="Times New Roman"/>
          <w:spacing w:val="0"/>
          <w:w w:val="100"/>
          <w:sz w:val="32"/>
          <w:szCs w:val="32"/>
          <w:highlight w:val="none"/>
          <w:lang w:val="en-US" w:eastAsia="zh-CN"/>
        </w:rPr>
        <w:t>在省、市财政部门的大力支持下，紧紧围绕年初确定的目标任务，坚决落实积极的财政政策，认真落实“六稳”“六保”工作要求，为疫情防控和决战决胜脱贫攻坚提供坚实财力保障。</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b w:val="0"/>
          <w:bCs w:val="0"/>
          <w:spacing w:val="0"/>
          <w:w w:val="100"/>
          <w:sz w:val="32"/>
          <w:szCs w:val="32"/>
          <w:highlight w:val="none"/>
          <w:lang w:val="en-US" w:eastAsia="zh-CN"/>
        </w:rPr>
      </w:pPr>
      <w:r>
        <w:rPr>
          <w:rFonts w:hint="default" w:ascii="Times New Roman" w:hAnsi="Times New Roman" w:eastAsia="仿宋_GB2312" w:cs="Times New Roman"/>
          <w:b/>
          <w:bCs/>
          <w:spacing w:val="0"/>
          <w:w w:val="100"/>
          <w:sz w:val="32"/>
          <w:szCs w:val="32"/>
          <w:highlight w:val="none"/>
          <w:lang w:val="en-US" w:eastAsia="zh-CN"/>
        </w:rPr>
        <w:t>1.</w:t>
      </w:r>
      <w:r>
        <w:rPr>
          <w:rFonts w:hint="default" w:ascii="Times New Roman" w:hAnsi="Times New Roman" w:eastAsia="仿宋_GB2312" w:cs="Times New Roman"/>
          <w:b/>
          <w:bCs/>
          <w:spacing w:val="0"/>
          <w:w w:val="100"/>
          <w:sz w:val="32"/>
          <w:szCs w:val="32"/>
          <w:highlight w:val="none"/>
          <w:lang w:eastAsia="zh-CN"/>
        </w:rPr>
        <w:t>聚力克难保防控。</w:t>
      </w:r>
      <w:r>
        <w:rPr>
          <w:rFonts w:hint="default" w:ascii="Times New Roman" w:hAnsi="Times New Roman" w:eastAsia="仿宋_GB2312" w:cs="Times New Roman"/>
          <w:spacing w:val="0"/>
          <w:w w:val="100"/>
          <w:sz w:val="32"/>
          <w:szCs w:val="32"/>
          <w:highlight w:val="none"/>
          <w:lang w:val="en-US" w:eastAsia="zh-CN"/>
        </w:rPr>
        <w:t>把疫情防控投入保障抓牢实，认真落实各类财政支持政策，通过压减一般性支出、其他一般性专项资金支出和库款调度等多种形式多渠道筹集防疫资金，开通资金拨付绿色通道，确保其经费保障支出政策不折不扣落实，确保不因资金问题影响疫情防</w:t>
      </w:r>
      <w:r>
        <w:rPr>
          <w:rFonts w:hint="default" w:ascii="Times New Roman" w:hAnsi="Times New Roman" w:eastAsia="仿宋_GB2312" w:cs="Times New Roman"/>
          <w:b w:val="0"/>
          <w:bCs w:val="0"/>
          <w:spacing w:val="0"/>
          <w:w w:val="100"/>
          <w:sz w:val="32"/>
          <w:szCs w:val="32"/>
          <w:highlight w:val="none"/>
          <w:lang w:val="en-US" w:eastAsia="zh-CN"/>
        </w:rPr>
        <w:t>控。目前，累计拨付疫情防控资金2247.96万元，其中：中央资金1560.68万元，省级资金101.08万元，市级资金82万元，区级资金504.2万元。</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b/>
          <w:bCs/>
          <w:spacing w:val="0"/>
          <w:w w:val="100"/>
          <w:sz w:val="32"/>
          <w:szCs w:val="32"/>
          <w:highlight w:val="none"/>
          <w:lang w:val="en-US" w:eastAsia="zh-CN"/>
        </w:rPr>
        <w:t>2.多措并举抓收入。强化</w:t>
      </w:r>
      <w:r>
        <w:rPr>
          <w:rFonts w:hint="default" w:ascii="Times New Roman" w:hAnsi="Times New Roman" w:eastAsia="仿宋_GB2312" w:cs="Times New Roman"/>
          <w:spacing w:val="0"/>
          <w:w w:val="100"/>
          <w:sz w:val="32"/>
          <w:szCs w:val="32"/>
          <w:highlight w:val="none"/>
          <w:lang w:val="en-US" w:eastAsia="zh-CN"/>
        </w:rPr>
        <w:t>收入分析。加强与税务部门的沟通协调，加强对重点行业、重点税源和重点税种的分析预测，强化跟踪服务，及时掌握税收动态。预判分析税收形势，及时提出应对措施，应收尽收。</w:t>
      </w:r>
      <w:r>
        <w:rPr>
          <w:rFonts w:hint="default" w:ascii="Times New Roman" w:hAnsi="Times New Roman" w:eastAsia="仿宋_GB2312" w:cs="Times New Roman"/>
          <w:b/>
          <w:bCs/>
          <w:spacing w:val="0"/>
          <w:w w:val="100"/>
          <w:sz w:val="32"/>
          <w:szCs w:val="32"/>
          <w:highlight w:val="none"/>
          <w:lang w:val="en-US" w:eastAsia="zh-CN"/>
        </w:rPr>
        <w:t>规范</w:t>
      </w:r>
      <w:r>
        <w:rPr>
          <w:rFonts w:hint="default" w:ascii="Times New Roman" w:hAnsi="Times New Roman" w:eastAsia="仿宋_GB2312" w:cs="Times New Roman"/>
          <w:spacing w:val="0"/>
          <w:w w:val="100"/>
          <w:sz w:val="32"/>
          <w:szCs w:val="32"/>
          <w:highlight w:val="none"/>
          <w:lang w:val="en-US" w:eastAsia="zh-CN"/>
        </w:rPr>
        <w:t>非税收入管理。强化非税票据的源头控管功能，提高非税收入质量，加快土地出让进度。加强国有资本经营收入管理，实现国有企业资本经营收益最大限度上缴。</w:t>
      </w:r>
      <w:r>
        <w:rPr>
          <w:rFonts w:hint="default" w:ascii="Times New Roman" w:hAnsi="Times New Roman" w:eastAsia="仿宋_GB2312" w:cs="Times New Roman"/>
          <w:b/>
          <w:bCs/>
          <w:spacing w:val="0"/>
          <w:w w:val="100"/>
          <w:sz w:val="32"/>
          <w:szCs w:val="32"/>
          <w:highlight w:val="none"/>
          <w:lang w:val="en-US" w:eastAsia="zh-CN"/>
        </w:rPr>
        <w:t>压实</w:t>
      </w:r>
      <w:r>
        <w:rPr>
          <w:rFonts w:hint="default" w:ascii="Times New Roman" w:hAnsi="Times New Roman" w:eastAsia="仿宋_GB2312" w:cs="Times New Roman"/>
          <w:spacing w:val="0"/>
          <w:w w:val="100"/>
          <w:sz w:val="32"/>
          <w:szCs w:val="32"/>
          <w:highlight w:val="none"/>
          <w:lang w:val="en-US" w:eastAsia="zh-CN"/>
        </w:rPr>
        <w:t>目标责任。严格按照时间节点，紧盯收入、支出和向上争取目标任务，努力促收入、保增长，三季度以来首次实现正增长。</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spacing w:val="0"/>
          <w:w w:val="100"/>
          <w:sz w:val="32"/>
          <w:szCs w:val="32"/>
          <w:highlight w:val="none"/>
        </w:rPr>
      </w:pPr>
      <w:r>
        <w:rPr>
          <w:rFonts w:hint="default" w:ascii="Times New Roman" w:hAnsi="Times New Roman" w:eastAsia="仿宋_GB2312" w:cs="Times New Roman"/>
          <w:b/>
          <w:bCs/>
          <w:spacing w:val="0"/>
          <w:w w:val="100"/>
          <w:sz w:val="32"/>
          <w:szCs w:val="32"/>
          <w:highlight w:val="none"/>
          <w:lang w:val="en-US" w:eastAsia="zh-CN"/>
        </w:rPr>
        <w:t>3.硬化预算提质效。</w:t>
      </w:r>
      <w:r>
        <w:rPr>
          <w:rFonts w:hint="default" w:ascii="Times New Roman" w:hAnsi="Times New Roman" w:eastAsia="仿宋_GB2312" w:cs="Times New Roman"/>
          <w:b/>
          <w:bCs/>
          <w:snapToGrid w:val="0"/>
          <w:spacing w:val="0"/>
          <w:w w:val="100"/>
          <w:sz w:val="32"/>
          <w:szCs w:val="32"/>
          <w:highlight w:val="none"/>
        </w:rPr>
        <w:t>完善</w:t>
      </w:r>
      <w:r>
        <w:rPr>
          <w:rFonts w:hint="default" w:ascii="Times New Roman" w:hAnsi="Times New Roman" w:eastAsia="仿宋_GB2312" w:cs="Times New Roman"/>
          <w:snapToGrid w:val="0"/>
          <w:spacing w:val="0"/>
          <w:w w:val="100"/>
          <w:sz w:val="32"/>
          <w:szCs w:val="32"/>
          <w:highlight w:val="none"/>
        </w:rPr>
        <w:t>预算编制。深化零基预算改革，完善财政资金“能进能出”机制，按照扭转基数+增长的固化思维模式，预算安排与预算项目细化、预算执行进度、项目绩效评价、监督检查等挂钩编制预算；</w:t>
      </w:r>
      <w:r>
        <w:rPr>
          <w:rFonts w:hint="default" w:ascii="Times New Roman" w:hAnsi="Times New Roman" w:eastAsia="仿宋_GB2312" w:cs="Times New Roman"/>
          <w:b/>
          <w:bCs/>
          <w:snapToGrid w:val="0"/>
          <w:spacing w:val="0"/>
          <w:w w:val="100"/>
          <w:sz w:val="32"/>
          <w:szCs w:val="32"/>
          <w:highlight w:val="none"/>
        </w:rPr>
        <w:t>加强</w:t>
      </w:r>
      <w:r>
        <w:rPr>
          <w:rFonts w:hint="default" w:ascii="Times New Roman" w:hAnsi="Times New Roman" w:eastAsia="仿宋_GB2312" w:cs="Times New Roman"/>
          <w:snapToGrid w:val="0"/>
          <w:spacing w:val="0"/>
          <w:w w:val="100"/>
          <w:sz w:val="32"/>
          <w:szCs w:val="32"/>
          <w:highlight w:val="none"/>
        </w:rPr>
        <w:t>预算统筹，切实兜牢“三保”底线；</w:t>
      </w:r>
      <w:r>
        <w:rPr>
          <w:rFonts w:hint="default" w:ascii="Times New Roman" w:hAnsi="Times New Roman" w:eastAsia="仿宋_GB2312" w:cs="Times New Roman"/>
          <w:b/>
          <w:bCs/>
          <w:snapToGrid w:val="0"/>
          <w:spacing w:val="0"/>
          <w:w w:val="100"/>
          <w:sz w:val="32"/>
          <w:szCs w:val="32"/>
          <w:highlight w:val="none"/>
        </w:rPr>
        <w:t>完善</w:t>
      </w:r>
      <w:r>
        <w:rPr>
          <w:rFonts w:hint="default" w:ascii="Times New Roman" w:hAnsi="Times New Roman" w:eastAsia="仿宋_GB2312" w:cs="Times New Roman"/>
          <w:snapToGrid w:val="0"/>
          <w:spacing w:val="0"/>
          <w:w w:val="100"/>
          <w:sz w:val="32"/>
          <w:szCs w:val="32"/>
          <w:highlight w:val="none"/>
        </w:rPr>
        <w:t>中期财政规划编制。</w:t>
      </w:r>
      <w:r>
        <w:rPr>
          <w:rFonts w:hint="default" w:ascii="Times New Roman" w:hAnsi="Times New Roman" w:eastAsia="仿宋_GB2312" w:cs="Times New Roman"/>
          <w:snapToGrid w:val="0"/>
          <w:spacing w:val="0"/>
          <w:w w:val="100"/>
          <w:sz w:val="32"/>
          <w:szCs w:val="32"/>
          <w:highlight w:val="none"/>
          <w:lang w:eastAsia="zh-CN"/>
        </w:rPr>
        <w:t>实现</w:t>
      </w:r>
      <w:r>
        <w:rPr>
          <w:rFonts w:hint="default" w:ascii="Times New Roman" w:hAnsi="Times New Roman" w:eastAsia="仿宋_GB2312" w:cs="Times New Roman"/>
          <w:snapToGrid w:val="0"/>
          <w:spacing w:val="0"/>
          <w:w w:val="100"/>
          <w:sz w:val="32"/>
          <w:szCs w:val="32"/>
          <w:highlight w:val="none"/>
        </w:rPr>
        <w:t>年度项目支出预算从滚动规划中选择。</w:t>
      </w:r>
      <w:r>
        <w:rPr>
          <w:rFonts w:hint="default" w:ascii="Times New Roman" w:hAnsi="Times New Roman" w:eastAsia="仿宋_GB2312" w:cs="Times New Roman"/>
          <w:b/>
          <w:bCs/>
          <w:spacing w:val="0"/>
          <w:w w:val="100"/>
          <w:sz w:val="32"/>
          <w:szCs w:val="32"/>
          <w:highlight w:val="none"/>
        </w:rPr>
        <w:t>严格</w:t>
      </w:r>
      <w:r>
        <w:rPr>
          <w:rFonts w:hint="default" w:ascii="Times New Roman" w:hAnsi="Times New Roman" w:eastAsia="仿宋_GB2312" w:cs="Times New Roman"/>
          <w:b w:val="0"/>
          <w:bCs w:val="0"/>
          <w:spacing w:val="0"/>
          <w:w w:val="100"/>
          <w:sz w:val="32"/>
          <w:szCs w:val="32"/>
          <w:highlight w:val="none"/>
        </w:rPr>
        <w:t>预算执行。</w:t>
      </w:r>
      <w:r>
        <w:rPr>
          <w:rFonts w:hint="default" w:ascii="Times New Roman" w:hAnsi="Times New Roman" w:eastAsia="仿宋_GB2312" w:cs="Times New Roman"/>
          <w:spacing w:val="0"/>
          <w:w w:val="100"/>
          <w:sz w:val="32"/>
          <w:szCs w:val="32"/>
          <w:highlight w:val="none"/>
        </w:rPr>
        <w:t>严格执行政府“一支笔”审批制度，严控预算追加和调整，未经审批同意的预算追加事项一律不予受理。</w:t>
      </w:r>
      <w:r>
        <w:rPr>
          <w:rFonts w:hint="default" w:ascii="Times New Roman" w:hAnsi="Times New Roman" w:eastAsia="仿宋_GB2312" w:cs="Times New Roman"/>
          <w:b/>
          <w:bCs/>
          <w:spacing w:val="0"/>
          <w:w w:val="100"/>
          <w:sz w:val="32"/>
          <w:szCs w:val="32"/>
          <w:highlight w:val="none"/>
        </w:rPr>
        <w:t>强化</w:t>
      </w:r>
      <w:r>
        <w:rPr>
          <w:rFonts w:hint="default" w:ascii="Times New Roman" w:hAnsi="Times New Roman" w:eastAsia="仿宋_GB2312" w:cs="Times New Roman"/>
          <w:b w:val="0"/>
          <w:bCs w:val="0"/>
          <w:spacing w:val="0"/>
          <w:w w:val="100"/>
          <w:sz w:val="32"/>
          <w:szCs w:val="32"/>
          <w:highlight w:val="none"/>
        </w:rPr>
        <w:t>结余结转资金管理。</w:t>
      </w:r>
      <w:r>
        <w:rPr>
          <w:rFonts w:hint="default" w:ascii="Times New Roman" w:hAnsi="Times New Roman" w:eastAsia="仿宋_GB2312" w:cs="Times New Roman"/>
          <w:spacing w:val="0"/>
          <w:w w:val="100"/>
          <w:sz w:val="32"/>
          <w:szCs w:val="32"/>
          <w:highlight w:val="none"/>
        </w:rPr>
        <w:t>动态监控部门结余结转资金消化进度，每月通报资金消化情况，提高部门支出责任意识，加快结转资金消化进度；</w:t>
      </w:r>
      <w:r>
        <w:rPr>
          <w:rFonts w:hint="default" w:ascii="Times New Roman" w:hAnsi="Times New Roman" w:eastAsia="仿宋_GB2312" w:cs="Times New Roman"/>
          <w:b/>
          <w:bCs/>
          <w:spacing w:val="0"/>
          <w:w w:val="100"/>
          <w:sz w:val="32"/>
          <w:szCs w:val="32"/>
          <w:highlight w:val="none"/>
        </w:rPr>
        <w:t>加大</w:t>
      </w:r>
      <w:r>
        <w:rPr>
          <w:rFonts w:hint="default" w:ascii="Times New Roman" w:hAnsi="Times New Roman" w:eastAsia="仿宋_GB2312" w:cs="Times New Roman"/>
          <w:spacing w:val="0"/>
          <w:w w:val="100"/>
          <w:sz w:val="32"/>
          <w:szCs w:val="32"/>
          <w:highlight w:val="none"/>
        </w:rPr>
        <w:t>存量盘活力度，</w:t>
      </w:r>
      <w:r>
        <w:rPr>
          <w:rFonts w:hint="default" w:ascii="Times New Roman" w:hAnsi="Times New Roman" w:eastAsia="仿宋_GB2312" w:cs="Times New Roman"/>
          <w:spacing w:val="0"/>
          <w:w w:val="100"/>
          <w:sz w:val="32"/>
          <w:szCs w:val="32"/>
          <w:highlight w:val="none"/>
          <w:lang w:eastAsia="zh-CN"/>
        </w:rPr>
        <w:t>全年累计</w:t>
      </w:r>
      <w:r>
        <w:rPr>
          <w:rFonts w:hint="default" w:ascii="Times New Roman" w:hAnsi="Times New Roman" w:eastAsia="仿宋_GB2312" w:cs="Times New Roman"/>
          <w:spacing w:val="0"/>
          <w:w w:val="100"/>
          <w:sz w:val="32"/>
          <w:szCs w:val="32"/>
          <w:highlight w:val="none"/>
        </w:rPr>
        <w:t>清理上缴财政存量资金8,453元，避免资金“二次沉淀”，提高使用效益。</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b/>
          <w:bCs/>
          <w:spacing w:val="0"/>
          <w:w w:val="100"/>
          <w:sz w:val="32"/>
          <w:szCs w:val="32"/>
          <w:highlight w:val="none"/>
          <w:lang w:val="en-US" w:eastAsia="zh-CN"/>
        </w:rPr>
        <w:t>4.推进绩效促成效。</w:t>
      </w:r>
      <w:r>
        <w:rPr>
          <w:rFonts w:hint="default" w:ascii="Times New Roman" w:hAnsi="Times New Roman" w:eastAsia="仿宋_GB2312" w:cs="Times New Roman"/>
          <w:spacing w:val="0"/>
          <w:w w:val="100"/>
          <w:sz w:val="32"/>
          <w:szCs w:val="32"/>
          <w:highlight w:val="none"/>
          <w:lang w:val="en-US" w:eastAsia="zh-CN"/>
        </w:rPr>
        <w:t>组织预算单位全面设置部门整体绩效目标、项目绩效目标，加强绩效目标审核，预算绩效目标批复率达100%，绩效目标公开率达100%。加大扶贫资金绩效管理，对2019年度140个扶贫项目绩效自评信息和2020年扶贫项目绩效目标填报情况，组织开展绩效核查并指导部门修改完善。实施绩效运行监控21项目，涉及资金21,372.78万元。强化业务指导。举办2021年部门预算绩效目标编审培训，对部门事前绩效评估进行业务操作指导。</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b/>
          <w:bCs/>
          <w:spacing w:val="0"/>
          <w:w w:val="100"/>
          <w:sz w:val="32"/>
          <w:szCs w:val="32"/>
          <w:highlight w:val="none"/>
          <w:lang w:val="en-US" w:eastAsia="zh-CN"/>
        </w:rPr>
        <w:t>5.直达资金快拨付。</w:t>
      </w:r>
      <w:r>
        <w:rPr>
          <w:rFonts w:hint="default" w:ascii="Times New Roman" w:hAnsi="Times New Roman" w:eastAsia="仿宋_GB2312" w:cs="Times New Roman"/>
          <w:spacing w:val="0"/>
          <w:w w:val="100"/>
          <w:sz w:val="32"/>
          <w:szCs w:val="32"/>
          <w:highlight w:val="none"/>
          <w:lang w:val="en-US" w:eastAsia="zh-CN"/>
        </w:rPr>
        <w:t>为充分发挥好中央直达资金的效益，准确把握监控工作总体要求，积极采取务实有效措施，极力克服时间紧、任务重、系统新等问题，以做好直达资金台账管理为基础，以强化直达资金动态监控系统为支撑，确保接收指标、流转、分配流畅，确保资金落实到位、规范使用、惠企利民。截止11月9日，累计收到直达资金34,084.78万元，其中，特殊转移支付13,536.76万元，抗疫特别国债1,373万元，正常转移支付的直达资金7,660.56万元，参照直达资金11,514.46万元，调整标识为直达资金的转移支付10,730.65万元。累计拨付直达资金28,544.85万元，其中，特殊转移支付12,163.76万元，抗疫特别国债1,176.48万元，正常转移支付的直达资金7,660.56万元；参照直达资金7,594.05万元。调整标识为直达资金的转移支付10,730.65万元，支出进度100%。</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bCs/>
          <w:spacing w:val="0"/>
          <w:w w:val="100"/>
          <w:sz w:val="32"/>
          <w:szCs w:val="32"/>
          <w:highlight w:val="none"/>
          <w:lang w:val="en-US" w:eastAsia="zh-CN"/>
        </w:rPr>
        <w:t>6.统筹财力惠民生。</w:t>
      </w:r>
      <w:r>
        <w:rPr>
          <w:rFonts w:hint="default" w:ascii="Times New Roman" w:hAnsi="Times New Roman" w:eastAsia="仿宋_GB2312" w:cs="Times New Roman"/>
          <w:spacing w:val="0"/>
          <w:w w:val="100"/>
          <w:kern w:val="0"/>
          <w:sz w:val="32"/>
          <w:szCs w:val="32"/>
          <w:highlight w:val="none"/>
          <w:lang w:val="en-US" w:eastAsia="zh-CN" w:bidi="ar"/>
        </w:rPr>
        <w:t>1—10月，民生支出248,564万元，占一般公共预算财政支出的80.5%；其中：教育支出60,722万元，卫生健康支出20,099万元。</w:t>
      </w:r>
      <w:r>
        <w:rPr>
          <w:rFonts w:hint="default" w:ascii="Times New Roman" w:hAnsi="Times New Roman" w:eastAsia="仿宋_GB2312" w:cs="Times New Roman"/>
          <w:b/>
          <w:bCs/>
          <w:spacing w:val="0"/>
          <w:w w:val="100"/>
          <w:kern w:val="0"/>
          <w:sz w:val="32"/>
          <w:szCs w:val="32"/>
          <w:highlight w:val="none"/>
          <w:lang w:val="en-US" w:eastAsia="zh-CN" w:bidi="ar"/>
        </w:rPr>
        <w:t>做好</w:t>
      </w:r>
      <w:r>
        <w:rPr>
          <w:rFonts w:hint="default" w:ascii="Times New Roman" w:hAnsi="Times New Roman" w:eastAsia="仿宋_GB2312" w:cs="Times New Roman"/>
          <w:spacing w:val="0"/>
          <w:w w:val="100"/>
          <w:kern w:val="0"/>
          <w:sz w:val="32"/>
          <w:szCs w:val="32"/>
          <w:highlight w:val="none"/>
          <w:lang w:val="en-US" w:eastAsia="zh-CN" w:bidi="ar"/>
        </w:rPr>
        <w:t>重点群体就业保障。拨付就业专项、沪滇劳务协作、转移培训、农村地区贫困家庭及边缘户劳动力稳就业保收入等各项补助资金8100万元；拨付一次性稳岗就业补贴105万元；返还失业保险稳岗补贴308.45万元，惠及9517人。</w:t>
      </w:r>
      <w:r>
        <w:rPr>
          <w:rFonts w:hint="default" w:ascii="Times New Roman" w:hAnsi="Times New Roman" w:eastAsia="仿宋_GB2312" w:cs="Times New Roman"/>
          <w:b/>
          <w:bCs/>
          <w:spacing w:val="0"/>
          <w:w w:val="100"/>
          <w:kern w:val="0"/>
          <w:sz w:val="32"/>
          <w:szCs w:val="32"/>
          <w:highlight w:val="none"/>
          <w:lang w:val="en-US" w:eastAsia="zh-CN" w:bidi="ar"/>
        </w:rPr>
        <w:t>推进</w:t>
      </w:r>
      <w:r>
        <w:rPr>
          <w:rFonts w:hint="default" w:ascii="Times New Roman" w:hAnsi="Times New Roman" w:eastAsia="仿宋_GB2312" w:cs="Times New Roman"/>
          <w:spacing w:val="0"/>
          <w:w w:val="100"/>
          <w:kern w:val="0"/>
          <w:sz w:val="32"/>
          <w:szCs w:val="32"/>
          <w:highlight w:val="none"/>
          <w:lang w:val="en-US" w:eastAsia="zh-CN" w:bidi="ar"/>
        </w:rPr>
        <w:t>医疗卫生事业发展。拨付城乡医疗救助资金5087.05万元，建档立卡贫困人员医疗救助资金984.49万元，提高医疗保障水平；拨付基本公共卫生服务补助2007.1万元，免费向城乡居民提供基本公共卫生服务；拨付医疗服务与保障能力提升补助资金340万元，提升医疗卫生机构能力建设；拨付肺炎疫苗免疫接种费55.61万元，免费为60岁以上老年人接种23价肺炎疫苗。</w:t>
      </w:r>
      <w:r>
        <w:rPr>
          <w:rFonts w:hint="default" w:ascii="Times New Roman" w:hAnsi="Times New Roman" w:eastAsia="仿宋_GB2312" w:cs="Times New Roman"/>
          <w:b/>
          <w:bCs/>
          <w:spacing w:val="0"/>
          <w:w w:val="100"/>
          <w:kern w:val="0"/>
          <w:sz w:val="32"/>
          <w:szCs w:val="32"/>
          <w:highlight w:val="none"/>
          <w:lang w:val="en-US" w:eastAsia="zh-CN" w:bidi="ar"/>
        </w:rPr>
        <w:t>兑付</w:t>
      </w:r>
      <w:r>
        <w:rPr>
          <w:rFonts w:hint="default" w:ascii="Times New Roman" w:hAnsi="Times New Roman" w:eastAsia="仿宋_GB2312" w:cs="Times New Roman"/>
          <w:spacing w:val="0"/>
          <w:w w:val="100"/>
          <w:kern w:val="0"/>
          <w:sz w:val="32"/>
          <w:szCs w:val="32"/>
          <w:highlight w:val="none"/>
          <w:lang w:val="en-US" w:eastAsia="zh-CN" w:bidi="ar"/>
        </w:rPr>
        <w:t>东川区第六批机关事业单位退休职工住房补贴667.544万元。</w:t>
      </w:r>
      <w:r>
        <w:rPr>
          <w:rFonts w:hint="default" w:ascii="Times New Roman" w:hAnsi="Times New Roman" w:eastAsia="仿宋_GB2312" w:cs="Times New Roman"/>
          <w:b/>
          <w:bCs/>
          <w:spacing w:val="0"/>
          <w:w w:val="100"/>
          <w:kern w:val="0"/>
          <w:sz w:val="32"/>
          <w:szCs w:val="32"/>
          <w:highlight w:val="none"/>
          <w:lang w:val="en-US" w:eastAsia="zh-CN" w:bidi="ar"/>
        </w:rPr>
        <w:t>分配</w:t>
      </w:r>
      <w:r>
        <w:rPr>
          <w:rFonts w:hint="default" w:ascii="Times New Roman" w:hAnsi="Times New Roman" w:eastAsia="仿宋_GB2312" w:cs="Times New Roman"/>
          <w:spacing w:val="0"/>
          <w:w w:val="100"/>
          <w:kern w:val="0"/>
          <w:sz w:val="32"/>
          <w:szCs w:val="32"/>
          <w:highlight w:val="none"/>
          <w:lang w:val="en-US" w:eastAsia="zh-CN" w:bidi="ar"/>
        </w:rPr>
        <w:t>下达惠农补贴资金 6,935.02 万元。</w:t>
      </w:r>
      <w:r>
        <w:rPr>
          <w:rFonts w:hint="default" w:ascii="Times New Roman" w:hAnsi="Times New Roman" w:eastAsia="仿宋_GB2312" w:cs="Times New Roman"/>
          <w:b/>
          <w:bCs w:val="0"/>
          <w:color w:val="000000"/>
          <w:sz w:val="32"/>
          <w:szCs w:val="32"/>
          <w:highlight w:val="none"/>
          <w:lang w:val="en-US" w:eastAsia="zh-CN"/>
        </w:rPr>
        <w:t>落实</w:t>
      </w:r>
      <w:r>
        <w:rPr>
          <w:rFonts w:hint="default" w:ascii="Times New Roman" w:hAnsi="Times New Roman" w:eastAsia="仿宋_GB2312" w:cs="Times New Roman"/>
          <w:b w:val="0"/>
          <w:bCs/>
          <w:color w:val="000000"/>
          <w:sz w:val="32"/>
          <w:szCs w:val="32"/>
          <w:highlight w:val="none"/>
          <w:lang w:val="en-US" w:eastAsia="zh-CN"/>
        </w:rPr>
        <w:t>困难群体救助。拨付城乡困难群众救助补助资金2.45亿元，拨付特殊困难群体爱心消费券补贴资金370.36万元，用于为特殊困难群体每人发放80元的爱心消费券，帮助低收入群体度过生活难关。</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bCs/>
          <w:spacing w:val="0"/>
          <w:w w:val="100"/>
          <w:kern w:val="0"/>
          <w:sz w:val="32"/>
          <w:szCs w:val="32"/>
          <w:highlight w:val="none"/>
          <w:lang w:val="en-US" w:eastAsia="zh-CN" w:bidi="ar"/>
        </w:rPr>
        <w:t>7.纾困惠企见实效</w:t>
      </w:r>
      <w:r>
        <w:rPr>
          <w:rFonts w:hint="default" w:ascii="Times New Roman" w:hAnsi="Times New Roman" w:eastAsia="仿宋_GB2312" w:cs="Times New Roman"/>
          <w:spacing w:val="0"/>
          <w:w w:val="100"/>
          <w:kern w:val="0"/>
          <w:sz w:val="32"/>
          <w:szCs w:val="32"/>
          <w:highlight w:val="none"/>
          <w:lang w:val="en-US" w:eastAsia="zh-CN" w:bidi="ar"/>
        </w:rPr>
        <w:t>。认真落实“省22条、市20条、区24条”应对疫情支持企业健康发展措施，落实落细财税政策支持和财政资金保障，推进企业降本减负。积极帮助企业向上申报项目，争取财政专项资金支持，共向上级部门申报11类财政专项资金，涉及企业67家，上级已下达资金939万元。拨付4,321.53万元用于支持农业特色产业,拨付3,375万元用于支持第三产产业发展。</w:t>
      </w:r>
      <w:r>
        <w:rPr>
          <w:rFonts w:hint="default" w:ascii="Times New Roman" w:hAnsi="Times New Roman" w:eastAsia="仿宋_GB2312" w:cs="Times New Roman"/>
          <w:b w:val="0"/>
          <w:bCs/>
          <w:color w:val="000000"/>
          <w:sz w:val="32"/>
          <w:szCs w:val="32"/>
          <w:highlight w:val="none"/>
          <w:lang w:val="en-US" w:eastAsia="zh-CN"/>
        </w:rPr>
        <w:t>累计阶段减免企业社会保险费6430.99万元。对全区企业职工医保单位缴费部分阶段性减半征收1171万元。为149家中小企业减免房租</w:t>
      </w:r>
      <w:r>
        <w:rPr>
          <w:rFonts w:hint="default" w:ascii="Times New Roman" w:hAnsi="Times New Roman" w:eastAsia="仿宋_GB2312" w:cs="Times New Roman"/>
          <w:kern w:val="0"/>
          <w:sz w:val="32"/>
          <w:szCs w:val="32"/>
          <w:highlight w:val="none"/>
          <w:lang w:val="en-US" w:eastAsia="zh-CN"/>
        </w:rPr>
        <w:t>91.25</w:t>
      </w:r>
      <w:r>
        <w:rPr>
          <w:rFonts w:hint="default" w:ascii="Times New Roman" w:hAnsi="Times New Roman" w:eastAsia="仿宋_GB2312" w:cs="Times New Roman"/>
          <w:b w:val="0"/>
          <w:bCs/>
          <w:color w:val="000000"/>
          <w:sz w:val="32"/>
          <w:szCs w:val="32"/>
          <w:highlight w:val="none"/>
          <w:lang w:val="en-US" w:eastAsia="zh-CN"/>
        </w:rPr>
        <w:t>万元。加大金融机构持续对名单制管理企业的资金支持力度，向9户名单制管理企业新增贷款2,445万元；向中小微企业发放贷款23,670万元。</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8.合力攻坚助脱贫。</w:t>
      </w:r>
      <w:r>
        <w:rPr>
          <w:rFonts w:hint="default" w:ascii="Times New Roman" w:hAnsi="Times New Roman" w:eastAsia="仿宋_GB2312" w:cs="Times New Roman"/>
          <w:b w:val="0"/>
          <w:bCs w:val="0"/>
          <w:sz w:val="32"/>
          <w:szCs w:val="32"/>
          <w:highlight w:val="none"/>
          <w:lang w:val="en-US" w:eastAsia="zh-CN"/>
        </w:rPr>
        <w:t>紧扣精准扶贫、精准脱贫方略，以“两不愁三保障”为根本，紧紧围绕“筹资金、用资金、管资金”三个重点，创新机制，健全制度，严格监管，全力强化脱贫攻坚资金保障服务工作。截止目前，共投入各级财政扶贫资金11.94亿元，用于发展教育、社会保障兜底脱贫、健康救助、产业扶贫、基础设施建设和易地扶贫搬迁等扶贫项目，其中区级统筹整合资金38,551.72万元，支持花椒产业、小额信贷、扶贫车间、发展壮大村集体经济和农村饮水安全等。</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default" w:ascii="Times New Roman" w:hAnsi="Times New Roman" w:eastAsia="仿宋_GB2312" w:cs="Times New Roman"/>
          <w:b w:val="0"/>
          <w:bCs w:val="0"/>
          <w:spacing w:val="0"/>
          <w:w w:val="100"/>
          <w:sz w:val="32"/>
          <w:szCs w:val="32"/>
          <w:highlight w:val="none"/>
          <w:lang w:val="en-US" w:eastAsia="zh-CN"/>
        </w:rPr>
      </w:pPr>
      <w:r>
        <w:rPr>
          <w:rFonts w:hint="default" w:ascii="Times New Roman" w:hAnsi="Times New Roman" w:eastAsia="仿宋_GB2312" w:cs="Times New Roman"/>
          <w:b/>
          <w:bCs/>
          <w:spacing w:val="0"/>
          <w:w w:val="100"/>
          <w:sz w:val="32"/>
          <w:szCs w:val="32"/>
          <w:highlight w:val="none"/>
          <w:lang w:val="en-US" w:eastAsia="zh-CN"/>
        </w:rPr>
        <w:t>9.管控风险保安全。</w:t>
      </w:r>
      <w:r>
        <w:rPr>
          <w:rFonts w:hint="default" w:ascii="Times New Roman" w:hAnsi="Times New Roman" w:eastAsia="仿宋_GB2312" w:cs="Times New Roman"/>
          <w:b w:val="0"/>
          <w:bCs w:val="0"/>
          <w:spacing w:val="0"/>
          <w:w w:val="100"/>
          <w:sz w:val="32"/>
          <w:szCs w:val="32"/>
          <w:highlight w:val="none"/>
          <w:lang w:val="en-US" w:eastAsia="zh-CN"/>
        </w:rPr>
        <w:t>健全领导机构、制定化债计划、完善工作考核机制，把目标任务分解到各具体债务责任单位。建立预警提示督办机制。根据债务到期情况，按照提前3个月提示，提前2个月预警，提前1个月督办的工作机制，督促各责任主体加大资金、资源统筹力度，提前落实偿债资金安排，确保到期债务及时偿还，避免出现违约风险。2020年积极向上争取专项债券资金2亿元，再融资债券资金2.55亿元，缓解重点项目筹资压力和偿还到期债务压力。做好2021年新增债券项目储备、遴选和推送工作，目前，按照省市返回的项目清单，共上报2021年债券需求37个项目，资金61.85亿元。</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（四）部门管理制度</w:t>
      </w:r>
      <w:bookmarkEnd w:id="20"/>
      <w:bookmarkEnd w:id="21"/>
      <w:bookmarkEnd w:id="22"/>
      <w:bookmarkStart w:id="23" w:name="_Toc31328_WPSOffice_Level2"/>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4" w:firstLineChars="200"/>
        <w:jc w:val="both"/>
        <w:textAlignment w:val="baseline"/>
        <w:outlineLvl w:val="0"/>
        <w:rPr>
          <w:rFonts w:hint="eastAsia" w:ascii="宋体" w:hAnsi="宋体" w:eastAsia="仿宋_GB2312"/>
          <w:spacing w:val="6"/>
          <w:highlight w:val="none"/>
        </w:rPr>
      </w:pPr>
      <w:r>
        <w:rPr>
          <w:rFonts w:hint="eastAsia" w:ascii="宋体" w:hAnsi="宋体" w:eastAsia="仿宋_GB2312" w:cs="仿宋_GB2312"/>
          <w:spacing w:val="6"/>
          <w:highlight w:val="none"/>
        </w:rPr>
        <w:t>区</w:t>
      </w:r>
      <w:r>
        <w:rPr>
          <w:rFonts w:hint="eastAsia" w:ascii="宋体" w:hAnsi="宋体" w:eastAsia="仿宋_GB2312" w:cs="仿宋_GB2312"/>
          <w:spacing w:val="6"/>
          <w:highlight w:val="none"/>
          <w:lang w:eastAsia="zh-CN"/>
        </w:rPr>
        <w:t>财政局</w:t>
      </w:r>
      <w:r>
        <w:rPr>
          <w:rFonts w:hint="eastAsia" w:ascii="宋体" w:hAnsi="宋体" w:eastAsia="仿宋_GB2312" w:cs="仿宋_GB2312"/>
          <w:spacing w:val="6"/>
          <w:highlight w:val="none"/>
        </w:rPr>
        <w:t>根据《中华人民共和国会计法》、《行政单位会计制度》、</w:t>
      </w:r>
      <w:r>
        <w:rPr>
          <w:rFonts w:hint="eastAsia" w:ascii="宋体" w:hAnsi="宋体" w:eastAsia="仿宋_GB2312" w:cs="宋体"/>
          <w:color w:val="000000"/>
          <w:highlight w:val="none"/>
        </w:rPr>
        <w:t>《会计基础工作规范》</w:t>
      </w:r>
      <w:r>
        <w:rPr>
          <w:rFonts w:hint="eastAsia" w:ascii="宋体" w:hAnsi="宋体" w:eastAsia="仿宋_GB2312" w:cs="宋体"/>
          <w:highlight w:val="none"/>
        </w:rPr>
        <w:t>、《党政机关厉行节约反对浪费条例》等规定</w:t>
      </w:r>
      <w:r>
        <w:rPr>
          <w:rFonts w:hint="eastAsia" w:ascii="宋体" w:hAnsi="宋体" w:eastAsia="仿宋_GB2312" w:cs="仿宋_GB2312"/>
          <w:spacing w:val="6"/>
          <w:highlight w:val="none"/>
        </w:rPr>
        <w:t>，制定</w:t>
      </w:r>
      <w:r>
        <w:rPr>
          <w:rFonts w:hint="eastAsia" w:ascii="宋体" w:hAnsi="宋体" w:eastAsia="仿宋_GB2312" w:cs="仿宋_GB2312"/>
          <w:spacing w:val="6"/>
          <w:highlight w:val="none"/>
          <w:lang w:eastAsia="zh-CN"/>
        </w:rPr>
        <w:t>《昆明市东川区财政</w:t>
      </w:r>
      <w:r>
        <w:rPr>
          <w:rFonts w:hint="eastAsia" w:ascii="宋体" w:hAnsi="宋体" w:eastAsia="仿宋_GB2312" w:cs="宋体"/>
          <w:highlight w:val="none"/>
          <w:lang w:eastAsia="zh-CN"/>
        </w:rPr>
        <w:t>局</w:t>
      </w:r>
      <w:r>
        <w:rPr>
          <w:rFonts w:hint="eastAsia" w:ascii="宋体" w:hAnsi="宋体" w:eastAsia="仿宋_GB2312" w:cs="宋体"/>
          <w:highlight w:val="none"/>
        </w:rPr>
        <w:t>目标管理绩效考核制度</w:t>
      </w:r>
      <w:r>
        <w:rPr>
          <w:rFonts w:hint="eastAsia" w:ascii="宋体" w:hAnsi="宋体" w:eastAsia="仿宋_GB2312" w:cs="宋体"/>
          <w:highlight w:val="none"/>
          <w:lang w:eastAsia="zh-CN"/>
        </w:rPr>
        <w:t>》、</w:t>
      </w:r>
      <w:r>
        <w:rPr>
          <w:rFonts w:hint="eastAsia" w:ascii="宋体" w:hAnsi="宋体" w:eastAsia="仿宋_GB2312" w:cs="仿宋_GB2312"/>
          <w:spacing w:val="6"/>
          <w:highlight w:val="none"/>
        </w:rPr>
        <w:t>《昆明市东川区</w:t>
      </w:r>
      <w:r>
        <w:rPr>
          <w:rFonts w:hint="eastAsia" w:ascii="宋体" w:hAnsi="宋体" w:eastAsia="仿宋_GB2312" w:cs="仿宋_GB2312"/>
          <w:spacing w:val="6"/>
          <w:highlight w:val="none"/>
          <w:lang w:eastAsia="zh-CN"/>
        </w:rPr>
        <w:t>财政局</w:t>
      </w:r>
      <w:r>
        <w:rPr>
          <w:rFonts w:hint="eastAsia" w:ascii="仿宋_GB2312" w:eastAsia="仿宋_GB2312"/>
          <w:sz w:val="32"/>
          <w:szCs w:val="32"/>
          <w:highlight w:val="none"/>
        </w:rPr>
        <w:t>机关财务管理制度</w:t>
      </w:r>
      <w:r>
        <w:rPr>
          <w:rFonts w:hint="eastAsia" w:ascii="宋体" w:hAnsi="宋体" w:eastAsia="仿宋_GB2312" w:cs="仿宋_GB2312"/>
          <w:spacing w:val="6"/>
          <w:highlight w:val="none"/>
        </w:rPr>
        <w:t>》、《昆明市东川区</w:t>
      </w:r>
      <w:r>
        <w:rPr>
          <w:rFonts w:hint="eastAsia" w:ascii="宋体" w:hAnsi="宋体" w:eastAsia="仿宋_GB2312" w:cs="仿宋_GB2312"/>
          <w:spacing w:val="6"/>
          <w:highlight w:val="none"/>
          <w:lang w:eastAsia="zh-CN"/>
        </w:rPr>
        <w:t>财政局</w:t>
      </w:r>
      <w:r>
        <w:rPr>
          <w:rFonts w:hint="eastAsia" w:ascii="仿宋_GB2312" w:eastAsia="仿宋_GB2312"/>
          <w:sz w:val="32"/>
          <w:szCs w:val="32"/>
          <w:highlight w:val="none"/>
        </w:rPr>
        <w:t>办公用品采购和领用管理制度</w:t>
      </w:r>
      <w:r>
        <w:rPr>
          <w:rFonts w:hint="eastAsia" w:ascii="宋体" w:hAnsi="宋体" w:eastAsia="仿宋_GB2312" w:cs="仿宋_GB2312"/>
          <w:spacing w:val="6"/>
          <w:highlight w:val="none"/>
        </w:rPr>
        <w:t>》、《昆明市东川区</w:t>
      </w:r>
      <w:r>
        <w:rPr>
          <w:rFonts w:hint="eastAsia" w:ascii="宋体" w:hAnsi="宋体" w:eastAsia="仿宋_GB2312" w:cs="仿宋_GB2312"/>
          <w:spacing w:val="6"/>
          <w:highlight w:val="none"/>
          <w:lang w:eastAsia="zh-CN"/>
        </w:rPr>
        <w:t>财政局</w:t>
      </w:r>
      <w:r>
        <w:rPr>
          <w:rFonts w:hint="eastAsia" w:ascii="仿宋_GB2312" w:eastAsia="仿宋_GB2312"/>
          <w:sz w:val="32"/>
          <w:szCs w:val="32"/>
          <w:highlight w:val="none"/>
        </w:rPr>
        <w:t>公务用车管理制度</w:t>
      </w:r>
      <w:r>
        <w:rPr>
          <w:rFonts w:hint="eastAsia" w:ascii="宋体" w:hAnsi="宋体" w:eastAsia="仿宋_GB2312" w:cs="仿宋_GB2312"/>
          <w:spacing w:val="6"/>
          <w:highlight w:val="none"/>
        </w:rPr>
        <w:t>》等，严格把控资金支出，</w:t>
      </w:r>
      <w:r>
        <w:rPr>
          <w:rFonts w:hint="eastAsia" w:ascii="宋体" w:hAnsi="宋体" w:eastAsia="仿宋_GB2312"/>
          <w:spacing w:val="6"/>
          <w:highlight w:val="none"/>
        </w:rPr>
        <w:t>执行资金审批程序，</w:t>
      </w:r>
      <w:r>
        <w:rPr>
          <w:rFonts w:hint="eastAsia" w:ascii="宋体" w:hAnsi="宋体" w:eastAsia="仿宋_GB2312" w:cs="仿宋_GB2312"/>
          <w:spacing w:val="6"/>
          <w:highlight w:val="none"/>
        </w:rPr>
        <w:t>规范费用报销手续，</w:t>
      </w:r>
      <w:r>
        <w:rPr>
          <w:rFonts w:hint="eastAsia" w:ascii="宋体" w:hAnsi="宋体" w:eastAsia="仿宋_GB2312"/>
          <w:spacing w:val="6"/>
          <w:highlight w:val="none"/>
        </w:rPr>
        <w:t>加强资金监管力度，保障了安全性，提高了资金使用效率。</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4" w:firstLineChars="200"/>
        <w:jc w:val="both"/>
        <w:textAlignment w:val="baseline"/>
        <w:outlineLvl w:val="0"/>
        <w:rPr>
          <w:rFonts w:hint="eastAsia" w:ascii="宋体" w:hAnsi="宋体" w:eastAsia="仿宋_GB2312" w:cs="仿宋_GB2312"/>
          <w:spacing w:val="6"/>
          <w:highlight w:val="none"/>
        </w:rPr>
      </w:pPr>
      <w:r>
        <w:rPr>
          <w:rFonts w:hint="eastAsia" w:ascii="宋体" w:hAnsi="宋体" w:eastAsia="仿宋_GB2312" w:cs="仿宋_GB2312"/>
          <w:spacing w:val="6"/>
          <w:highlight w:val="none"/>
        </w:rPr>
        <w:t>账务报账审批流程：由经办人</w:t>
      </w:r>
      <w:r>
        <w:rPr>
          <w:rFonts w:hint="eastAsia" w:ascii="仿宋_GB2312" w:hAnsi="宋体" w:eastAsia="仿宋_GB2312"/>
          <w:sz w:val="32"/>
          <w:szCs w:val="32"/>
          <w:highlight w:val="none"/>
        </w:rPr>
        <w:t>按要求填制报销凭证</w:t>
      </w:r>
      <w:r>
        <w:rPr>
          <w:rFonts w:hint="eastAsia" w:ascii="宋体" w:hAnsi="宋体" w:eastAsia="仿宋_GB2312" w:cs="仿宋_GB2312"/>
          <w:spacing w:val="6"/>
          <w:highlight w:val="none"/>
        </w:rPr>
        <w:t>，按规定填写项目名称、支出内容、支出金额等，并附有相关原始凭证，由科室负责人和业务分管领导审核签字后，报由财务处审核，最后报领导审批后方能报销。</w:t>
      </w:r>
      <w:bookmarkStart w:id="24" w:name="_Toc471_WPSOffice_Level2"/>
      <w:bookmarkStart w:id="25" w:name="_Toc6134_WPSOffice_Level2"/>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（五）部门资金来源及使用情况</w:t>
      </w:r>
      <w:bookmarkEnd w:id="23"/>
      <w:bookmarkEnd w:id="24"/>
      <w:bookmarkEnd w:id="25"/>
      <w:bookmarkStart w:id="26" w:name="_Toc30321_WPSOffice_Level2"/>
      <w:bookmarkStart w:id="27" w:name="_Toc7500_WPSOffice_Level2"/>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7" w:firstLineChars="200"/>
        <w:jc w:val="both"/>
        <w:textAlignment w:val="baseline"/>
        <w:outlineLvl w:val="0"/>
        <w:rPr>
          <w:rFonts w:hint="eastAsia" w:ascii="仿宋_GB2312" w:eastAsia="仿宋_GB2312"/>
          <w:sz w:val="32"/>
          <w:szCs w:val="32"/>
          <w:highlight w:val="none"/>
        </w:rPr>
      </w:pPr>
      <w:r>
        <w:rPr>
          <w:rFonts w:hint="eastAsia" w:ascii="宋体" w:hAnsi="宋体" w:eastAsia="仿宋_GB2312"/>
          <w:b/>
          <w:bCs/>
          <w:spacing w:val="6"/>
          <w:highlight w:val="none"/>
        </w:rPr>
        <w:t>1.资金来源：</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年区财政局收入年初预算</w:t>
      </w:r>
      <w:r>
        <w:rPr>
          <w:rFonts w:hint="eastAsia" w:ascii="仿宋_GB2312" w:hAnsi="仿宋" w:eastAsia="仿宋_GB2312"/>
          <w:sz w:val="32"/>
          <w:szCs w:val="32"/>
          <w:highlight w:val="none"/>
          <w:lang w:val="en-US" w:eastAsia="zh-CN"/>
        </w:rPr>
        <w:t>825.19</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调整预算数</w:t>
      </w:r>
      <w:r>
        <w:rPr>
          <w:rFonts w:hint="eastAsia" w:ascii="仿宋_GB2312" w:hAnsi="仿宋" w:eastAsia="仿宋_GB2312"/>
          <w:sz w:val="32"/>
          <w:szCs w:val="32"/>
          <w:highlight w:val="none"/>
          <w:lang w:val="en-US" w:eastAsia="zh-CN"/>
        </w:rPr>
        <w:t>1057.06</w:t>
      </w:r>
      <w:r>
        <w:rPr>
          <w:rFonts w:hint="eastAsia" w:ascii="仿宋_GB2312" w:hAnsi="仿宋" w:eastAsia="仿宋_GB2312"/>
          <w:sz w:val="32"/>
          <w:szCs w:val="32"/>
          <w:highlight w:val="none"/>
        </w:rPr>
        <w:t>万元，</w:t>
      </w:r>
      <w:r>
        <w:rPr>
          <w:rFonts w:hint="eastAsia" w:ascii="仿宋_GB2312" w:eastAsia="仿宋_GB2312"/>
          <w:sz w:val="32"/>
          <w:szCs w:val="32"/>
          <w:highlight w:val="none"/>
        </w:rPr>
        <w:t>款项来源</w:t>
      </w:r>
      <w:r>
        <w:rPr>
          <w:rFonts w:hint="eastAsia" w:ascii="仿宋_GB2312" w:eastAsia="仿宋_GB2312"/>
          <w:sz w:val="32"/>
          <w:szCs w:val="32"/>
          <w:highlight w:val="none"/>
          <w:lang w:eastAsia="zh-CN"/>
        </w:rPr>
        <w:t>为</w:t>
      </w:r>
      <w:r>
        <w:rPr>
          <w:rFonts w:hint="eastAsia" w:ascii="仿宋_GB2312" w:hAnsi="仿宋" w:eastAsia="仿宋_GB2312"/>
          <w:sz w:val="32"/>
          <w:szCs w:val="32"/>
          <w:highlight w:val="none"/>
        </w:rPr>
        <w:t>一般公共预算财政拨款收入</w:t>
      </w:r>
      <w:r>
        <w:rPr>
          <w:rFonts w:hint="eastAsia" w:ascii="仿宋_GB2312" w:hAnsi="仿宋" w:eastAsia="仿宋_GB2312"/>
          <w:sz w:val="32"/>
          <w:szCs w:val="32"/>
          <w:highlight w:val="none"/>
          <w:lang w:val="en-US" w:eastAsia="zh-CN"/>
        </w:rPr>
        <w:t>1057.06万元，非同级财政拨款的其他收入30.57万元</w:t>
      </w:r>
      <w:r>
        <w:rPr>
          <w:rFonts w:hint="eastAsia" w:ascii="仿宋_GB2312" w:eastAsia="仿宋_GB2312"/>
          <w:sz w:val="32"/>
          <w:szCs w:val="32"/>
          <w:highlight w:val="none"/>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仿宋_GB2312" w:eastAsia="仿宋_GB2312"/>
          <w:sz w:val="32"/>
          <w:szCs w:val="32"/>
          <w:highlight w:val="none"/>
        </w:rPr>
      </w:pPr>
      <w:r>
        <w:rPr>
          <w:rFonts w:hint="eastAsia" w:ascii="仿宋_GB2312" w:eastAsia="仿宋_GB2312"/>
          <w:sz w:val="32"/>
          <w:szCs w:val="32"/>
          <w:highlight w:val="none"/>
          <w:lang w:eastAsia="zh-CN"/>
        </w:rPr>
        <w:t>一般公共预算</w:t>
      </w:r>
      <w:r>
        <w:rPr>
          <w:rFonts w:hint="eastAsia" w:ascii="仿宋_GB2312" w:eastAsia="仿宋_GB2312"/>
          <w:sz w:val="32"/>
          <w:szCs w:val="32"/>
          <w:highlight w:val="none"/>
        </w:rPr>
        <w:t>拨款按收支款项分</w:t>
      </w:r>
      <w:r>
        <w:rPr>
          <w:rFonts w:hint="eastAsia" w:ascii="仿宋_GB2312" w:eastAsia="仿宋_GB2312"/>
          <w:sz w:val="32"/>
          <w:szCs w:val="32"/>
          <w:highlight w:val="none"/>
          <w:lang w:eastAsia="zh-CN"/>
        </w:rPr>
        <w:t>别</w:t>
      </w:r>
      <w:r>
        <w:rPr>
          <w:rFonts w:hint="eastAsia" w:ascii="仿宋_GB2312" w:eastAsia="仿宋_GB2312"/>
          <w:sz w:val="32"/>
          <w:szCs w:val="32"/>
          <w:highlight w:val="none"/>
        </w:rPr>
        <w:t>为：财政行政运行</w:t>
      </w:r>
      <w:r>
        <w:rPr>
          <w:rFonts w:hint="eastAsia" w:ascii="仿宋_GB2312" w:eastAsia="仿宋_GB2312"/>
          <w:sz w:val="32"/>
          <w:szCs w:val="32"/>
          <w:highlight w:val="none"/>
          <w:lang w:val="en-US" w:eastAsia="zh-CN"/>
        </w:rPr>
        <w:t>978.11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，占总收入的</w:t>
      </w:r>
      <w:r>
        <w:rPr>
          <w:rFonts w:hint="eastAsia" w:ascii="仿宋_GB2312" w:eastAsia="仿宋_GB2312"/>
          <w:sz w:val="32"/>
          <w:szCs w:val="32"/>
          <w:highlight w:val="none"/>
          <w:lang w:val="en-US" w:eastAsia="zh-CN"/>
        </w:rPr>
        <w:t>92.53%、信息化建设6.23万元，占总收入的0.59%</w:t>
      </w:r>
      <w:r>
        <w:rPr>
          <w:rFonts w:hint="eastAsia" w:ascii="仿宋_GB2312" w:eastAsia="仿宋_GB2312"/>
          <w:sz w:val="32"/>
          <w:szCs w:val="32"/>
          <w:highlight w:val="none"/>
        </w:rPr>
        <w:t>;其他财政事务支出</w:t>
      </w:r>
      <w:r>
        <w:rPr>
          <w:rFonts w:hint="eastAsia" w:ascii="仿宋_GB2312" w:eastAsia="仿宋_GB2312"/>
          <w:sz w:val="32"/>
          <w:szCs w:val="32"/>
          <w:highlight w:val="none"/>
          <w:lang w:val="en-US" w:eastAsia="zh-CN"/>
        </w:rPr>
        <w:t>63.17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,占总收入的5.98%</w:t>
      </w:r>
      <w:r>
        <w:rPr>
          <w:rFonts w:hint="eastAsia" w:ascii="仿宋_GB2312" w:eastAsia="仿宋_GB2312"/>
          <w:sz w:val="32"/>
          <w:szCs w:val="32"/>
          <w:highlight w:val="none"/>
        </w:rPr>
        <w:t>;社会保障和就业支出</w:t>
      </w:r>
      <w:r>
        <w:rPr>
          <w:rFonts w:hint="eastAsia" w:ascii="仿宋_GB2312" w:eastAsia="仿宋_GB2312"/>
          <w:sz w:val="32"/>
          <w:szCs w:val="32"/>
          <w:highlight w:val="none"/>
          <w:lang w:val="en-US" w:eastAsia="zh-CN"/>
        </w:rPr>
        <w:t>90.52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，占总收入的</w:t>
      </w:r>
      <w:r>
        <w:rPr>
          <w:rFonts w:hint="eastAsia" w:ascii="仿宋_GB2312" w:eastAsia="仿宋_GB2312"/>
          <w:sz w:val="32"/>
          <w:szCs w:val="32"/>
          <w:highlight w:val="none"/>
          <w:lang w:val="en-US" w:eastAsia="zh-CN"/>
        </w:rPr>
        <w:t>0.85%，</w:t>
      </w:r>
      <w:r>
        <w:rPr>
          <w:rFonts w:hint="eastAsia" w:ascii="仿宋_GB2312" w:eastAsia="仿宋_GB2312"/>
          <w:sz w:val="32"/>
          <w:szCs w:val="32"/>
          <w:highlight w:val="none"/>
          <w:lang w:eastAsia="zh-CN"/>
        </w:rPr>
        <w:t>其中：行政事业单位离退休</w:t>
      </w:r>
      <w:r>
        <w:rPr>
          <w:rFonts w:hint="eastAsia" w:ascii="仿宋_GB2312" w:eastAsia="仿宋_GB2312"/>
          <w:sz w:val="32"/>
          <w:szCs w:val="32"/>
          <w:highlight w:val="none"/>
          <w:lang w:val="en-US" w:eastAsia="zh-CN"/>
        </w:rPr>
        <w:t>7.85万元,</w:t>
      </w:r>
      <w:r>
        <w:rPr>
          <w:rFonts w:hint="eastAsia" w:ascii="仿宋_GB2312" w:eastAsia="仿宋_GB2312"/>
          <w:sz w:val="32"/>
          <w:szCs w:val="32"/>
          <w:highlight w:val="none"/>
          <w:lang w:eastAsia="zh-CN"/>
        </w:rPr>
        <w:t>占总收入的</w:t>
      </w:r>
      <w:r>
        <w:rPr>
          <w:rFonts w:hint="eastAsia" w:ascii="仿宋_GB2312" w:eastAsia="仿宋_GB2312"/>
          <w:sz w:val="32"/>
          <w:szCs w:val="32"/>
          <w:highlight w:val="none"/>
          <w:lang w:val="en-US" w:eastAsia="zh-CN"/>
        </w:rPr>
        <w:t>0.74%、</w:t>
      </w:r>
      <w:r>
        <w:rPr>
          <w:rFonts w:hint="eastAsia" w:ascii="仿宋_GB2312" w:eastAsia="仿宋_GB2312"/>
          <w:sz w:val="32"/>
          <w:szCs w:val="32"/>
          <w:highlight w:val="none"/>
          <w:lang w:eastAsia="zh-CN"/>
        </w:rPr>
        <w:t>事业单位离退休</w:t>
      </w:r>
      <w:r>
        <w:rPr>
          <w:rFonts w:hint="eastAsia" w:ascii="仿宋_GB2312" w:eastAsia="仿宋_GB2312"/>
          <w:sz w:val="32"/>
          <w:szCs w:val="32"/>
          <w:highlight w:val="none"/>
          <w:lang w:val="en-US" w:eastAsia="zh-CN"/>
        </w:rPr>
        <w:t>1.2万元，</w:t>
      </w:r>
      <w:r>
        <w:rPr>
          <w:rFonts w:hint="eastAsia" w:ascii="仿宋_GB2312" w:eastAsia="仿宋_GB2312"/>
          <w:sz w:val="32"/>
          <w:szCs w:val="32"/>
          <w:highlight w:val="none"/>
          <w:lang w:eastAsia="zh-CN"/>
        </w:rPr>
        <w:t>占总收入的</w:t>
      </w:r>
      <w:r>
        <w:rPr>
          <w:rFonts w:hint="eastAsia" w:ascii="仿宋_GB2312" w:eastAsia="仿宋_GB2312"/>
          <w:sz w:val="32"/>
          <w:szCs w:val="32"/>
          <w:highlight w:val="none"/>
          <w:lang w:val="en-US" w:eastAsia="zh-CN"/>
        </w:rPr>
        <w:t>0.11%、中小企业发展专项0.5万元，占总收入的0.05%</w:t>
      </w:r>
      <w:r>
        <w:rPr>
          <w:rFonts w:hint="eastAsia" w:ascii="仿宋_GB2312" w:eastAsia="仿宋_GB2312"/>
          <w:sz w:val="32"/>
          <w:szCs w:val="32"/>
          <w:highlight w:val="none"/>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非同级财政拨款的其他收入30.57万元分别为：区委组织部拨入2020年离退休人员生活补助29.52万元，2020年预算绩效管理业务培训经费0.75万元，2020年度离退休干部党建工作和党员教育培训补助经费0.3万元</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7" w:firstLineChars="200"/>
        <w:jc w:val="both"/>
        <w:textAlignment w:val="baseline"/>
        <w:outlineLvl w:val="0"/>
        <w:rPr>
          <w:rFonts w:hint="eastAsia" w:ascii="宋体" w:hAnsi="宋体" w:eastAsia="仿宋_GB2312"/>
          <w:b/>
          <w:bCs/>
          <w:spacing w:val="6"/>
          <w:highlight w:val="none"/>
        </w:rPr>
      </w:pPr>
      <w:r>
        <w:rPr>
          <w:rFonts w:hint="eastAsia" w:ascii="宋体" w:hAnsi="宋体" w:eastAsia="仿宋_GB2312"/>
          <w:b/>
          <w:bCs/>
          <w:spacing w:val="6"/>
          <w:highlight w:val="none"/>
        </w:rPr>
        <w:t>2.资金使用情况。</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7" w:firstLineChars="200"/>
        <w:jc w:val="both"/>
        <w:textAlignment w:val="baseline"/>
        <w:outlineLvl w:val="0"/>
        <w:rPr>
          <w:rFonts w:hint="eastAsia" w:ascii="仿宋_GB2312" w:hAnsi="仿宋" w:eastAsia="仿宋_GB2312"/>
          <w:sz w:val="32"/>
          <w:szCs w:val="32"/>
          <w:highlight w:val="none"/>
        </w:rPr>
      </w:pPr>
      <w:r>
        <w:rPr>
          <w:rFonts w:hint="eastAsia" w:ascii="宋体" w:hAnsi="宋体" w:eastAsia="仿宋_GB2312"/>
          <w:b/>
          <w:bCs/>
          <w:spacing w:val="6"/>
          <w:highlight w:val="none"/>
        </w:rPr>
        <w:t>（1）基本支出情况。</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年基本支出</w:t>
      </w:r>
      <w:r>
        <w:rPr>
          <w:rFonts w:hint="eastAsia" w:ascii="仿宋_GB2312" w:hAnsi="仿宋" w:eastAsia="仿宋_GB2312"/>
          <w:sz w:val="32"/>
          <w:szCs w:val="32"/>
          <w:highlight w:val="none"/>
          <w:lang w:val="en-US" w:eastAsia="zh-CN"/>
        </w:rPr>
        <w:t>1017.73</w:t>
      </w:r>
      <w:r>
        <w:rPr>
          <w:rFonts w:hint="eastAsia" w:ascii="仿宋_GB2312" w:hAnsi="仿宋" w:eastAsia="仿宋_GB2312"/>
          <w:sz w:val="32"/>
          <w:szCs w:val="32"/>
          <w:highlight w:val="none"/>
        </w:rPr>
        <w:t>万元。占总支出的</w:t>
      </w:r>
      <w:r>
        <w:rPr>
          <w:rFonts w:hint="eastAsia" w:ascii="仿宋_GB2312" w:hAnsi="仿宋" w:eastAsia="仿宋_GB2312"/>
          <w:sz w:val="32"/>
          <w:szCs w:val="32"/>
          <w:highlight w:val="none"/>
          <w:lang w:val="en-US" w:eastAsia="zh-CN"/>
        </w:rPr>
        <w:t>93.79</w:t>
      </w:r>
      <w:r>
        <w:rPr>
          <w:rFonts w:hint="eastAsia" w:ascii="仿宋_GB2312" w:hAnsi="仿宋" w:eastAsia="仿宋_GB2312"/>
          <w:sz w:val="32"/>
          <w:szCs w:val="32"/>
          <w:highlight w:val="none"/>
        </w:rPr>
        <w:t>%，其中：人员经费</w:t>
      </w:r>
      <w:r>
        <w:rPr>
          <w:rFonts w:hint="eastAsia" w:ascii="仿宋_GB2312" w:hAnsi="仿宋" w:eastAsia="仿宋_GB2312"/>
          <w:sz w:val="32"/>
          <w:szCs w:val="32"/>
          <w:highlight w:val="none"/>
          <w:lang w:val="en-US" w:eastAsia="zh-CN"/>
        </w:rPr>
        <w:t>901.58万元，其中：</w:t>
      </w:r>
      <w:r>
        <w:rPr>
          <w:rFonts w:hint="eastAsia" w:ascii="仿宋_GB2312" w:hAnsi="仿宋" w:eastAsia="仿宋_GB2312"/>
          <w:sz w:val="32"/>
          <w:szCs w:val="32"/>
          <w:highlight w:val="none"/>
        </w:rPr>
        <w:t>工资福利支出</w:t>
      </w:r>
      <w:r>
        <w:rPr>
          <w:rFonts w:hint="eastAsia" w:ascii="仿宋_GB2312" w:hAnsi="仿宋" w:eastAsia="仿宋_GB2312"/>
          <w:sz w:val="32"/>
          <w:szCs w:val="32"/>
          <w:highlight w:val="none"/>
          <w:lang w:val="en-US" w:eastAsia="zh-CN"/>
        </w:rPr>
        <w:t>864.21万元</w:t>
      </w:r>
      <w:r>
        <w:rPr>
          <w:rFonts w:hint="eastAsia" w:ascii="仿宋_GB2312" w:hAnsi="仿宋" w:eastAsia="仿宋_GB2312"/>
          <w:sz w:val="32"/>
          <w:szCs w:val="32"/>
          <w:highlight w:val="none"/>
        </w:rPr>
        <w:t>、对个人和家庭的补助支出</w:t>
      </w:r>
      <w:r>
        <w:rPr>
          <w:rFonts w:hint="eastAsia" w:ascii="仿宋_GB2312" w:hAnsi="仿宋" w:eastAsia="仿宋_GB2312"/>
          <w:sz w:val="32"/>
          <w:szCs w:val="32"/>
          <w:highlight w:val="none"/>
          <w:lang w:val="en-US" w:eastAsia="zh-CN"/>
        </w:rPr>
        <w:t>37.37万元</w:t>
      </w:r>
      <w:r>
        <w:rPr>
          <w:rFonts w:hint="eastAsia" w:ascii="仿宋_GB2312" w:hAnsi="仿宋" w:eastAsia="仿宋_GB2312"/>
          <w:sz w:val="32"/>
          <w:szCs w:val="32"/>
          <w:highlight w:val="none"/>
        </w:rPr>
        <w:t>，占基本支出的</w:t>
      </w:r>
      <w:r>
        <w:rPr>
          <w:rFonts w:hint="eastAsia" w:ascii="仿宋_GB2312" w:hAnsi="仿宋" w:eastAsia="仿宋_GB2312"/>
          <w:sz w:val="32"/>
          <w:szCs w:val="32"/>
          <w:highlight w:val="none"/>
          <w:lang w:val="en-US" w:eastAsia="zh-CN"/>
        </w:rPr>
        <w:t>88.59</w:t>
      </w:r>
      <w:r>
        <w:rPr>
          <w:rFonts w:hint="eastAsia" w:ascii="仿宋_GB2312" w:hAnsi="仿宋" w:eastAsia="仿宋_GB2312"/>
          <w:sz w:val="32"/>
          <w:szCs w:val="32"/>
          <w:highlight w:val="none"/>
        </w:rPr>
        <w:t>％，日常公用支出等（商品和服务支出、办公设备购置</w:t>
      </w:r>
      <w:r>
        <w:rPr>
          <w:rFonts w:hint="eastAsia" w:ascii="仿宋_GB2312" w:hAnsi="仿宋" w:eastAsia="仿宋_GB2312"/>
          <w:sz w:val="32"/>
          <w:szCs w:val="32"/>
          <w:highlight w:val="none"/>
          <w:lang w:eastAsia="zh-CN"/>
        </w:rPr>
        <w:t>等</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116.17</w:t>
      </w:r>
      <w:r>
        <w:rPr>
          <w:rFonts w:hint="eastAsia" w:ascii="仿宋_GB2312" w:hAnsi="仿宋" w:eastAsia="仿宋_GB2312"/>
          <w:sz w:val="32"/>
          <w:szCs w:val="32"/>
          <w:highlight w:val="none"/>
        </w:rPr>
        <w:t>万元,占基本支出的</w:t>
      </w:r>
      <w:r>
        <w:rPr>
          <w:rFonts w:hint="eastAsia" w:ascii="仿宋_GB2312" w:hAnsi="仿宋" w:eastAsia="仿宋_GB2312"/>
          <w:sz w:val="32"/>
          <w:szCs w:val="32"/>
          <w:highlight w:val="none"/>
          <w:lang w:val="en-US" w:eastAsia="zh-CN"/>
        </w:rPr>
        <w:t>11.41</w:t>
      </w:r>
      <w:r>
        <w:rPr>
          <w:rFonts w:hint="eastAsia" w:ascii="仿宋_GB2312" w:hAnsi="仿宋" w:eastAsia="仿宋_GB2312"/>
          <w:sz w:val="32"/>
          <w:szCs w:val="32"/>
          <w:highlight w:val="none"/>
        </w:rPr>
        <w:t xml:space="preserve">％。 </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7" w:firstLineChars="200"/>
        <w:jc w:val="both"/>
        <w:textAlignment w:val="baseline"/>
        <w:outlineLvl w:val="0"/>
        <w:rPr>
          <w:rFonts w:hint="eastAsia" w:ascii="仿宋_GB2312" w:hAnsi="仿宋" w:eastAsia="仿宋_GB2312"/>
          <w:sz w:val="32"/>
          <w:szCs w:val="32"/>
          <w:highlight w:val="none"/>
        </w:rPr>
      </w:pPr>
      <w:r>
        <w:rPr>
          <w:rFonts w:hint="eastAsia" w:ascii="宋体" w:hAnsi="宋体" w:eastAsia="仿宋_GB2312"/>
          <w:b/>
          <w:bCs/>
          <w:spacing w:val="6"/>
          <w:highlight w:val="none"/>
        </w:rPr>
        <w:t>（2）项目支出情况。</w:t>
      </w:r>
      <w:r>
        <w:rPr>
          <w:rFonts w:hint="eastAsia" w:ascii="仿宋_GB2312" w:hAnsi="仿宋" w:eastAsia="仿宋_GB2312"/>
          <w:sz w:val="32"/>
          <w:szCs w:val="32"/>
          <w:highlight w:val="none"/>
          <w:lang w:val="en-US" w:eastAsia="zh-CN"/>
        </w:rPr>
        <w:t>2020年</w:t>
      </w:r>
      <w:r>
        <w:rPr>
          <w:rFonts w:hint="eastAsia" w:ascii="仿宋_GB2312" w:hAnsi="仿宋" w:eastAsia="仿宋_GB2312"/>
          <w:sz w:val="32"/>
          <w:szCs w:val="32"/>
          <w:highlight w:val="none"/>
          <w:lang w:eastAsia="zh-CN"/>
        </w:rPr>
        <w:t>项目支出</w:t>
      </w:r>
      <w:r>
        <w:rPr>
          <w:rFonts w:hint="eastAsia" w:ascii="仿宋_GB2312" w:hAnsi="仿宋" w:eastAsia="仿宋_GB2312"/>
          <w:sz w:val="32"/>
          <w:szCs w:val="32"/>
          <w:highlight w:val="none"/>
          <w:lang w:val="en-US" w:eastAsia="zh-CN"/>
        </w:rPr>
        <w:t>234.22万元，</w:t>
      </w:r>
      <w:r>
        <w:rPr>
          <w:rFonts w:hint="eastAsia" w:ascii="仿宋_GB2312" w:hAnsi="仿宋" w:eastAsia="仿宋_GB2312"/>
          <w:sz w:val="32"/>
          <w:szCs w:val="32"/>
          <w:highlight w:val="none"/>
        </w:rPr>
        <w:t>日常公用支出等（商品和服务支出、办公设备购置</w:t>
      </w:r>
      <w:r>
        <w:rPr>
          <w:rFonts w:hint="eastAsia" w:ascii="仿宋_GB2312" w:hAnsi="仿宋" w:eastAsia="仿宋_GB2312"/>
          <w:sz w:val="32"/>
          <w:szCs w:val="32"/>
          <w:highlight w:val="none"/>
          <w:lang w:eastAsia="zh-CN"/>
        </w:rPr>
        <w:t>等</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234.22</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eastAsia="zh-CN"/>
        </w:rPr>
        <w:t>项目</w:t>
      </w:r>
      <w:r>
        <w:rPr>
          <w:rFonts w:hint="eastAsia" w:ascii="仿宋_GB2312" w:hAnsi="仿宋" w:eastAsia="仿宋_GB2312"/>
          <w:sz w:val="32"/>
          <w:szCs w:val="32"/>
          <w:highlight w:val="none"/>
        </w:rPr>
        <w:t>支出的</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67" w:firstLineChars="200"/>
        <w:jc w:val="both"/>
        <w:textAlignment w:val="baseline"/>
        <w:outlineLvl w:val="0"/>
        <w:rPr>
          <w:rFonts w:hint="eastAsia" w:ascii="仿宋_GB2312" w:hAnsi="仿宋" w:eastAsia="仿宋_GB2312"/>
          <w:sz w:val="32"/>
          <w:szCs w:val="32"/>
          <w:highlight w:val="none"/>
          <w:lang w:eastAsia="zh-CN"/>
        </w:rPr>
      </w:pPr>
      <w:r>
        <w:rPr>
          <w:rFonts w:hint="eastAsia" w:ascii="宋体" w:hAnsi="宋体" w:eastAsia="仿宋_GB2312"/>
          <w:b/>
          <w:bCs/>
          <w:spacing w:val="6"/>
          <w:highlight w:val="none"/>
        </w:rPr>
        <w:t>3.年末结转和结余情况。</w:t>
      </w:r>
      <w:bookmarkStart w:id="28" w:name="_Toc23667_WPSOffice_Level2"/>
      <w:r>
        <w:rPr>
          <w:rFonts w:hint="eastAsia" w:ascii="仿宋_GB2312" w:hAnsi="仿宋" w:eastAsia="仿宋_GB2312"/>
          <w:sz w:val="32"/>
          <w:szCs w:val="32"/>
          <w:highlight w:val="none"/>
        </w:rPr>
        <w:t>1．20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年年末结转和结余</w:t>
      </w:r>
      <w:r>
        <w:rPr>
          <w:rFonts w:hint="eastAsia" w:ascii="仿宋_GB2312" w:hAnsi="仿宋" w:eastAsia="仿宋_GB2312"/>
          <w:sz w:val="32"/>
          <w:szCs w:val="32"/>
          <w:highlight w:val="none"/>
          <w:lang w:val="en-US" w:eastAsia="zh-CN"/>
        </w:rPr>
        <w:t>12.63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，均为项目结转资金。</w:t>
      </w:r>
      <w:r>
        <w:rPr>
          <w:rFonts w:hint="eastAsia" w:ascii="仿宋_GB2312" w:hAnsi="仿宋" w:eastAsia="仿宋_GB2312"/>
          <w:sz w:val="32"/>
          <w:szCs w:val="32"/>
          <w:highlight w:val="none"/>
        </w:rPr>
        <w:t>其中</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其他财政事务支出结转资金</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信息化建设</w:t>
      </w:r>
      <w:r>
        <w:rPr>
          <w:rFonts w:hint="eastAsia" w:ascii="仿宋_GB2312" w:hAnsi="仿宋" w:eastAsia="仿宋_GB2312"/>
          <w:sz w:val="32"/>
          <w:szCs w:val="32"/>
          <w:highlight w:val="none"/>
        </w:rPr>
        <w:t>支出结转资金</w:t>
      </w:r>
      <w:r>
        <w:rPr>
          <w:rFonts w:hint="eastAsia" w:ascii="仿宋_GB2312" w:hAnsi="仿宋" w:eastAsia="仿宋_GB2312"/>
          <w:sz w:val="32"/>
          <w:szCs w:val="32"/>
          <w:highlight w:val="none"/>
          <w:lang w:val="en-US" w:eastAsia="zh-CN"/>
        </w:rPr>
        <w:t>0.63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2．结转和结余</w:t>
      </w:r>
      <w:r>
        <w:rPr>
          <w:rFonts w:hint="eastAsia" w:ascii="仿宋_GB2312" w:hAnsi="仿宋" w:eastAsia="仿宋_GB2312"/>
          <w:sz w:val="32"/>
          <w:szCs w:val="32"/>
          <w:highlight w:val="none"/>
          <w:lang w:eastAsia="zh-CN"/>
        </w:rPr>
        <w:t>资金</w:t>
      </w:r>
      <w:r>
        <w:rPr>
          <w:rFonts w:hint="eastAsia" w:ascii="仿宋_GB2312" w:hAnsi="仿宋" w:eastAsia="仿宋_GB2312"/>
          <w:sz w:val="32"/>
          <w:szCs w:val="32"/>
          <w:highlight w:val="none"/>
        </w:rPr>
        <w:t>的原因</w:t>
      </w:r>
      <w:r>
        <w:rPr>
          <w:rFonts w:hint="eastAsia" w:ascii="仿宋_GB2312" w:hAnsi="仿宋" w:eastAsia="仿宋_GB2312"/>
          <w:sz w:val="32"/>
          <w:szCs w:val="32"/>
          <w:highlight w:val="none"/>
          <w:lang w:eastAsia="zh-CN"/>
        </w:rPr>
        <w:t>主要为需按项目进度及项目安排拨付资金。</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（六）政府采购情况</w:t>
      </w:r>
      <w:bookmarkEnd w:id="26"/>
      <w:bookmarkEnd w:id="27"/>
      <w:bookmarkEnd w:id="28"/>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ascii="宋体" w:hAnsi="宋体" w:eastAsia="仿宋_GB2312" w:cs="仿宋_GB2312"/>
          <w:sz w:val="32"/>
          <w:szCs w:val="32"/>
          <w:highlight w:val="none"/>
        </w:rPr>
      </w:pPr>
      <w:r>
        <w:rPr>
          <w:rFonts w:ascii="宋体" w:hAnsi="宋体" w:eastAsia="仿宋_GB2312" w:cs="仿宋_GB2312"/>
          <w:sz w:val="32"/>
          <w:szCs w:val="32"/>
          <w:highlight w:val="none"/>
        </w:rPr>
        <w:t>2020</w:t>
      </w:r>
      <w:r>
        <w:rPr>
          <w:rFonts w:hint="eastAsia" w:ascii="宋体" w:hAnsi="宋体" w:eastAsia="仿宋_GB2312" w:cs="仿宋_GB2312"/>
          <w:sz w:val="32"/>
          <w:szCs w:val="32"/>
          <w:highlight w:val="none"/>
        </w:rPr>
        <w:t>年东川区</w:t>
      </w:r>
      <w:r>
        <w:rPr>
          <w:rFonts w:hint="eastAsia" w:ascii="宋体" w:hAnsi="宋体" w:eastAsia="仿宋_GB2312" w:cs="仿宋_GB2312"/>
          <w:sz w:val="32"/>
          <w:szCs w:val="32"/>
          <w:highlight w:val="none"/>
          <w:lang w:eastAsia="zh-CN"/>
        </w:rPr>
        <w:t>财政</w:t>
      </w:r>
      <w:r>
        <w:rPr>
          <w:rFonts w:hint="eastAsia" w:ascii="宋体" w:hAnsi="宋体" w:eastAsia="仿宋_GB2312" w:cs="仿宋_GB2312"/>
          <w:sz w:val="32"/>
          <w:szCs w:val="32"/>
          <w:highlight w:val="none"/>
        </w:rPr>
        <w:t>局结合实际工作需要，根据《中华人民共和国政府采购法》〔财政部令</w:t>
      </w:r>
      <w:r>
        <w:rPr>
          <w:rFonts w:ascii="宋体" w:hAnsi="宋体" w:eastAsia="仿宋_GB2312" w:cs="仿宋_GB2312"/>
          <w:sz w:val="32"/>
          <w:szCs w:val="32"/>
          <w:highlight w:val="none"/>
        </w:rPr>
        <w:t>18</w:t>
      </w:r>
      <w:r>
        <w:rPr>
          <w:rFonts w:hint="eastAsia" w:ascii="宋体" w:hAnsi="宋体" w:eastAsia="仿宋_GB2312" w:cs="仿宋_GB2312"/>
          <w:sz w:val="32"/>
          <w:szCs w:val="32"/>
          <w:highlight w:val="none"/>
        </w:rPr>
        <w:t>号〕、《云南省人民政府办公厅关于印发云南省</w:t>
      </w:r>
      <w:r>
        <w:rPr>
          <w:rFonts w:ascii="宋体" w:hAnsi="宋体" w:eastAsia="仿宋_GB2312" w:cs="仿宋_GB2312"/>
          <w:sz w:val="32"/>
          <w:szCs w:val="32"/>
          <w:highlight w:val="none"/>
        </w:rPr>
        <w:t>2019</w:t>
      </w:r>
      <w:r>
        <w:rPr>
          <w:rFonts w:hint="eastAsia" w:ascii="宋体" w:hAnsi="宋体" w:eastAsia="仿宋_GB2312" w:cs="仿宋_GB2312"/>
          <w:sz w:val="32"/>
          <w:szCs w:val="32"/>
          <w:highlight w:val="none"/>
        </w:rPr>
        <w:t>年政府集中采购目录及标准的通知》（云政办函〔</w:t>
      </w:r>
      <w:r>
        <w:rPr>
          <w:rFonts w:ascii="宋体" w:hAnsi="宋体" w:eastAsia="仿宋_GB2312" w:cs="仿宋_GB2312"/>
          <w:sz w:val="32"/>
          <w:szCs w:val="32"/>
          <w:highlight w:val="none"/>
        </w:rPr>
        <w:t>2019</w:t>
      </w:r>
      <w:r>
        <w:rPr>
          <w:rFonts w:hint="eastAsia" w:ascii="宋体" w:hAnsi="宋体" w:eastAsia="仿宋_GB2312" w:cs="仿宋_GB2312"/>
          <w:sz w:val="32"/>
          <w:szCs w:val="32"/>
          <w:highlight w:val="none"/>
        </w:rPr>
        <w:t>〕</w:t>
      </w:r>
      <w:r>
        <w:rPr>
          <w:rFonts w:ascii="宋体" w:hAnsi="宋体" w:eastAsia="仿宋_GB2312" w:cs="仿宋_GB2312"/>
          <w:sz w:val="32"/>
          <w:szCs w:val="32"/>
          <w:highlight w:val="none"/>
        </w:rPr>
        <w:t>23</w:t>
      </w:r>
      <w:r>
        <w:rPr>
          <w:rFonts w:hint="eastAsia" w:ascii="宋体" w:hAnsi="宋体" w:eastAsia="仿宋_GB2312" w:cs="仿宋_GB2312"/>
          <w:sz w:val="32"/>
          <w:szCs w:val="32"/>
          <w:highlight w:val="none"/>
        </w:rPr>
        <w:t>号）、《昆明市财政局关于印发昆明市市本级行政事业单位通用办公设备、办公家具配置标准</w:t>
      </w:r>
      <w:r>
        <w:rPr>
          <w:rFonts w:ascii="宋体" w:hAnsi="宋体" w:eastAsia="仿宋_GB2312" w:cs="仿宋_GB2312"/>
          <w:sz w:val="32"/>
          <w:szCs w:val="32"/>
          <w:highlight w:val="none"/>
        </w:rPr>
        <w:t>(2018</w:t>
      </w:r>
      <w:r>
        <w:rPr>
          <w:rFonts w:hint="eastAsia" w:ascii="宋体" w:hAnsi="宋体" w:eastAsia="仿宋_GB2312" w:cs="仿宋_GB2312"/>
          <w:sz w:val="32"/>
          <w:szCs w:val="32"/>
          <w:highlight w:val="none"/>
        </w:rPr>
        <w:t>版</w:t>
      </w:r>
      <w:r>
        <w:rPr>
          <w:rFonts w:ascii="宋体" w:hAnsi="宋体" w:eastAsia="仿宋_GB2312" w:cs="仿宋_GB2312"/>
          <w:sz w:val="32"/>
          <w:szCs w:val="32"/>
          <w:highlight w:val="none"/>
        </w:rPr>
        <w:t>)</w:t>
      </w:r>
      <w:r>
        <w:rPr>
          <w:rFonts w:hint="eastAsia" w:ascii="宋体" w:hAnsi="宋体" w:eastAsia="仿宋_GB2312" w:cs="仿宋_GB2312"/>
          <w:sz w:val="32"/>
          <w:szCs w:val="32"/>
          <w:highlight w:val="none"/>
        </w:rPr>
        <w:t>的通知》（昆财资〔</w:t>
      </w:r>
      <w:r>
        <w:rPr>
          <w:rFonts w:ascii="宋体" w:hAnsi="宋体" w:eastAsia="仿宋_GB2312" w:cs="仿宋_GB2312"/>
          <w:sz w:val="32"/>
          <w:szCs w:val="32"/>
          <w:highlight w:val="none"/>
        </w:rPr>
        <w:t>2018</w:t>
      </w:r>
      <w:r>
        <w:rPr>
          <w:rFonts w:hint="eastAsia" w:ascii="宋体" w:hAnsi="宋体" w:eastAsia="仿宋_GB2312" w:cs="仿宋_GB2312"/>
          <w:sz w:val="32"/>
          <w:szCs w:val="32"/>
          <w:highlight w:val="none"/>
        </w:rPr>
        <w:t>〕</w:t>
      </w:r>
      <w:r>
        <w:rPr>
          <w:rFonts w:ascii="宋体" w:hAnsi="宋体" w:eastAsia="仿宋_GB2312" w:cs="仿宋_GB2312"/>
          <w:sz w:val="32"/>
          <w:szCs w:val="32"/>
          <w:highlight w:val="none"/>
        </w:rPr>
        <w:t>453</w:t>
      </w:r>
      <w:r>
        <w:rPr>
          <w:rFonts w:hint="eastAsia" w:ascii="宋体" w:hAnsi="宋体" w:eastAsia="仿宋_GB2312" w:cs="仿宋_GB2312"/>
          <w:sz w:val="32"/>
          <w:szCs w:val="32"/>
          <w:highlight w:val="none"/>
        </w:rPr>
        <w:t>号）等</w:t>
      </w:r>
      <w:r>
        <w:rPr>
          <w:rFonts w:ascii="宋体" w:hAnsi="宋体" w:eastAsia="仿宋_GB2312" w:cs="仿宋_GB2312"/>
          <w:sz w:val="32"/>
          <w:szCs w:val="32"/>
          <w:highlight w:val="none"/>
        </w:rPr>
        <w:t>等政府采购相关规定开展实施并完成了相关项目的采购工作。</w:t>
      </w:r>
      <w:bookmarkStart w:id="29" w:name="_Toc29101_WPSOffice_Level2"/>
      <w:bookmarkStart w:id="30" w:name="_Toc12806_WPSOffice_Level2"/>
      <w:bookmarkStart w:id="31" w:name="_Toc25414_WPSOffice_Level2"/>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楷体_GB2312" w:cs="仿宋_GB2312"/>
          <w:b w:val="0"/>
          <w:bCs w:val="0"/>
          <w:highlight w:val="none"/>
        </w:rPr>
      </w:pPr>
      <w:r>
        <w:rPr>
          <w:rFonts w:hint="eastAsia" w:ascii="宋体" w:hAnsi="宋体" w:eastAsia="楷体_GB2312" w:cs="仿宋_GB2312"/>
          <w:b w:val="0"/>
          <w:bCs w:val="0"/>
          <w:highlight w:val="none"/>
        </w:rPr>
        <w:t>（七）固定资产情况</w:t>
      </w:r>
      <w:bookmarkEnd w:id="29"/>
      <w:bookmarkEnd w:id="30"/>
      <w:bookmarkEnd w:id="31"/>
      <w:bookmarkStart w:id="32" w:name="_Toc9483_WPSOffice_Level1"/>
      <w:bookmarkStart w:id="33" w:name="_Toc31049_WPSOffice_Level1"/>
      <w:bookmarkStart w:id="34" w:name="_Toc17604_WPSOffice_Level1"/>
      <w:bookmarkStart w:id="35" w:name="_Toc8222_WPSOffice_Level1"/>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截止</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年12月31日，我单位</w:t>
      </w:r>
      <w:r>
        <w:rPr>
          <w:rFonts w:hint="eastAsia" w:ascii="仿宋_GB2312" w:hAnsi="仿宋" w:eastAsia="仿宋_GB2312"/>
          <w:sz w:val="32"/>
          <w:szCs w:val="32"/>
          <w:highlight w:val="none"/>
          <w:lang w:eastAsia="zh-CN"/>
        </w:rPr>
        <w:t>固定</w:t>
      </w:r>
      <w:r>
        <w:rPr>
          <w:rFonts w:hint="eastAsia" w:ascii="仿宋_GB2312" w:hAnsi="仿宋" w:eastAsia="仿宋_GB2312"/>
          <w:sz w:val="32"/>
          <w:szCs w:val="32"/>
          <w:highlight w:val="none"/>
        </w:rPr>
        <w:t>资产</w:t>
      </w:r>
      <w:r>
        <w:rPr>
          <w:rFonts w:hint="eastAsia" w:ascii="仿宋_GB2312" w:hAnsi="仿宋" w:eastAsia="仿宋_GB2312"/>
          <w:sz w:val="32"/>
          <w:szCs w:val="32"/>
          <w:highlight w:val="none"/>
          <w:lang w:eastAsia="zh-CN"/>
        </w:rPr>
        <w:t>原值</w:t>
      </w:r>
      <w:r>
        <w:rPr>
          <w:rFonts w:hint="eastAsia" w:ascii="仿宋_GB2312" w:hAnsi="仿宋" w:eastAsia="仿宋_GB2312"/>
          <w:sz w:val="32"/>
          <w:szCs w:val="32"/>
          <w:highlight w:val="none"/>
          <w:lang w:val="en-US" w:eastAsia="zh-CN"/>
        </w:rPr>
        <w:t>769.28</w:t>
      </w:r>
      <w:r>
        <w:rPr>
          <w:rFonts w:hint="eastAsia" w:ascii="仿宋_GB2312" w:hAnsi="仿宋" w:eastAsia="仿宋_GB2312"/>
          <w:sz w:val="32"/>
          <w:szCs w:val="32"/>
          <w:highlight w:val="none"/>
        </w:rPr>
        <w:t>万元，按政府会计制度有关规定，</w:t>
      </w:r>
      <w:r>
        <w:rPr>
          <w:rFonts w:hint="eastAsia" w:ascii="仿宋_GB2312" w:hAnsi="仿宋" w:eastAsia="仿宋_GB2312"/>
          <w:sz w:val="32"/>
          <w:szCs w:val="32"/>
          <w:highlight w:val="none"/>
          <w:lang w:eastAsia="zh-CN"/>
        </w:rPr>
        <w:t>累计提</w:t>
      </w:r>
      <w:r>
        <w:rPr>
          <w:rFonts w:hint="eastAsia" w:ascii="仿宋_GB2312" w:hAnsi="仿宋" w:eastAsia="仿宋_GB2312"/>
          <w:sz w:val="32"/>
          <w:szCs w:val="32"/>
          <w:highlight w:val="none"/>
        </w:rPr>
        <w:t>固定资产折旧</w:t>
      </w:r>
      <w:r>
        <w:rPr>
          <w:rFonts w:hint="eastAsia" w:ascii="仿宋_GB2312" w:hAnsi="仿宋" w:eastAsia="仿宋_GB2312"/>
          <w:sz w:val="32"/>
          <w:szCs w:val="32"/>
          <w:highlight w:val="none"/>
          <w:lang w:val="en-US" w:eastAsia="zh-CN"/>
        </w:rPr>
        <w:t>404.83万元，净值364.45万元。无形资产原值1.13万元，累计</w:t>
      </w:r>
      <w:r>
        <w:rPr>
          <w:rFonts w:hint="eastAsia" w:ascii="仿宋_GB2312" w:hAnsi="仿宋" w:eastAsia="仿宋_GB2312"/>
          <w:sz w:val="32"/>
          <w:szCs w:val="32"/>
          <w:highlight w:val="none"/>
        </w:rPr>
        <w:t>无形资产摊销</w:t>
      </w:r>
      <w:r>
        <w:rPr>
          <w:rFonts w:hint="eastAsia" w:ascii="仿宋_GB2312" w:hAnsi="仿宋" w:eastAsia="仿宋_GB2312"/>
          <w:sz w:val="32"/>
          <w:szCs w:val="32"/>
          <w:highlight w:val="none"/>
          <w:lang w:val="en-US" w:eastAsia="zh-CN"/>
        </w:rPr>
        <w:t>0.28万元，净值0.85万元。</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ascii="宋体" w:hAnsi="宋体" w:eastAsia="仿宋_GB2312"/>
          <w:highlight w:val="none"/>
        </w:rPr>
      </w:pPr>
      <w:r>
        <w:rPr>
          <w:rFonts w:hint="eastAsia" w:ascii="宋体" w:hAnsi="宋体" w:eastAsia="仿宋_GB2312"/>
          <w:highlight w:val="none"/>
        </w:rPr>
        <w:t>区</w:t>
      </w:r>
      <w:r>
        <w:rPr>
          <w:rFonts w:hint="eastAsia" w:ascii="宋体" w:hAnsi="宋体" w:eastAsia="仿宋_GB2312"/>
          <w:highlight w:val="none"/>
          <w:lang w:eastAsia="zh-CN"/>
        </w:rPr>
        <w:t>财政局</w:t>
      </w:r>
      <w:r>
        <w:rPr>
          <w:rFonts w:hint="eastAsia" w:ascii="宋体" w:hAnsi="宋体" w:eastAsia="仿宋_GB2312"/>
          <w:highlight w:val="none"/>
        </w:rPr>
        <w:t>制定了</w:t>
      </w:r>
      <w:r>
        <w:rPr>
          <w:rFonts w:hint="eastAsia" w:ascii="仿宋_GB2312" w:eastAsia="仿宋_GB2312"/>
          <w:sz w:val="32"/>
          <w:szCs w:val="32"/>
          <w:highlight w:val="none"/>
        </w:rPr>
        <w:t>机关财务管理制度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办公用品采购和领用管理制度，资产保存完整、处置规范、账务管理</w:t>
      </w:r>
      <w:r>
        <w:rPr>
          <w:rFonts w:hint="eastAsia" w:ascii="宋体" w:hAnsi="宋体" w:eastAsia="仿宋_GB2312"/>
          <w:highlight w:val="none"/>
        </w:rPr>
        <w:t>合规。建立资产管理与责任落实相结合的管理机制，建立固定资产问责制，做到在资产配置、资产使用、资产处置等各个环节都有人管理、有人负责，能及时发现问题、解决问题，</w:t>
      </w:r>
      <w:r>
        <w:rPr>
          <w:rFonts w:ascii="宋体" w:hAnsi="宋体" w:eastAsia="仿宋_GB2312"/>
          <w:highlight w:val="none"/>
        </w:rPr>
        <w:t>使资产得到有效应用,保证了资产的安全性。</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黑体" w:cs="黑体"/>
          <w:bCs/>
          <w:highlight w:val="none"/>
        </w:rPr>
      </w:pPr>
      <w:r>
        <w:rPr>
          <w:rFonts w:hint="eastAsia" w:ascii="宋体" w:hAnsi="宋体" w:eastAsia="黑体" w:cs="黑体"/>
          <w:bCs/>
          <w:highlight w:val="none"/>
        </w:rPr>
        <w:t>二、绩效目标</w:t>
      </w:r>
      <w:bookmarkEnd w:id="32"/>
      <w:bookmarkEnd w:id="33"/>
      <w:bookmarkEnd w:id="34"/>
      <w:bookmarkEnd w:id="35"/>
      <w:bookmarkStart w:id="36" w:name="_Toc18393_WPSOffice_Level2"/>
      <w:bookmarkStart w:id="37" w:name="_Toc31568_WPSOffice_Level2"/>
      <w:bookmarkStart w:id="38" w:name="_Toc11369_WPSOffice_Level2"/>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楷体_GB2312"/>
          <w:highlight w:val="none"/>
        </w:rPr>
      </w:pPr>
      <w:r>
        <w:rPr>
          <w:rFonts w:hint="eastAsia" w:ascii="宋体" w:hAnsi="宋体" w:eastAsia="楷体_GB2312"/>
          <w:highlight w:val="none"/>
        </w:rPr>
        <w:t>（一）部门总目标</w:t>
      </w:r>
      <w:bookmarkEnd w:id="36"/>
      <w:bookmarkEnd w:id="37"/>
      <w:bookmarkEnd w:id="38"/>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highlight w:val="none"/>
        </w:rPr>
      </w:pPr>
      <w:r>
        <w:rPr>
          <w:rFonts w:hint="eastAsia" w:ascii="仿宋_GB2312" w:hAnsi="仿宋" w:eastAsia="仿宋_GB2312"/>
          <w:highlight w:val="none"/>
        </w:rPr>
        <w:t>2020年是全面建成小康社会目标实现之年，是脱贫攻坚收官之年。区</w:t>
      </w:r>
      <w:r>
        <w:rPr>
          <w:rFonts w:hint="eastAsia" w:ascii="仿宋_GB2312" w:hAnsi="仿宋" w:eastAsia="仿宋_GB2312"/>
          <w:highlight w:val="none"/>
          <w:lang w:eastAsia="zh-CN"/>
        </w:rPr>
        <w:t>财政局</w:t>
      </w:r>
      <w:r>
        <w:rPr>
          <w:rFonts w:hint="eastAsia" w:ascii="宋体" w:hAnsi="宋体" w:eastAsia="仿宋_GB2312"/>
          <w:highlight w:val="none"/>
        </w:rPr>
        <w:t>在区委、区政府的正确领导下，以习近平新时代中国特色社会主义思想为指导,贯彻落实党中央、省委、市委关于财经工作的方针政策、决策部署和区委的工作要求，在履行职责过程中坚持和加强党对财政工作的集中统一领导。</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ascii="宋体" w:hAnsi="宋体" w:eastAsia="楷体_GB2312" w:cs="楷体_GB2312"/>
          <w:highlight w:val="none"/>
        </w:rPr>
      </w:pPr>
      <w:r>
        <w:rPr>
          <w:rFonts w:hint="eastAsia" w:ascii="宋体" w:hAnsi="宋体" w:eastAsia="楷体_GB2312"/>
          <w:highlight w:val="none"/>
        </w:rPr>
        <w:t>（二）</w:t>
      </w:r>
      <w:r>
        <w:rPr>
          <w:rFonts w:hint="eastAsia" w:ascii="宋体" w:hAnsi="宋体" w:eastAsia="楷体_GB2312" w:cs="楷体_GB2312"/>
          <w:highlight w:val="none"/>
        </w:rPr>
        <w:t>部门项目具体计划目标</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cs="楷体_GB2312"/>
          <w:highlight w:val="none"/>
          <w:lang w:eastAsia="zh-CN"/>
        </w:rPr>
      </w:pPr>
      <w:r>
        <w:rPr>
          <w:rFonts w:hint="eastAsia" w:ascii="宋体" w:hAnsi="宋体" w:eastAsia="仿宋_GB2312" w:cs="楷体_GB2312"/>
          <w:highlight w:val="none"/>
        </w:rPr>
        <w:t>区</w:t>
      </w:r>
      <w:r>
        <w:rPr>
          <w:rFonts w:hint="eastAsia" w:ascii="宋体" w:hAnsi="宋体" w:eastAsia="仿宋_GB2312" w:cs="楷体_GB2312"/>
          <w:highlight w:val="none"/>
          <w:lang w:eastAsia="zh-CN"/>
        </w:rPr>
        <w:t>财政局根据2020年重要指标、重大项目、年度重点工作和主要目标要求进行细化分解。具体计划目标为：一是全力支持保障疫情防控阻击战。把疫情防控投入保障抓牢实，认真落实各类财政支持政策，通过压减一般性支出、其他一般性专项资金支出和库款调度等多种形式多渠道筹集防疫资金，开通资金拨付绿色通道，确保其经费保障支出政策不折不扣落实，确保不因资金问题影响疫情防控。二是抓好惠企利民政策落实。认真落实“省22条、市20条、区24条”应对疫情支持企业健康发展措施，落实落细财税政策支持和财政资金保障。三是全力支持打好三大攻坚战。助力脱贫攻坚。以“两不愁三保障”为根本，紧紧围绕“筹资金、用资金、管资金”三个重点，创新机制，健全制度，严格监管，全力强化脱贫攻坚资金保障服务工作。</w:t>
      </w:r>
      <w:r>
        <w:rPr>
          <w:rFonts w:hint="eastAsia" w:ascii="宋体" w:hAnsi="宋体" w:eastAsia="仿宋_GB2312" w:cs="楷体_GB2312"/>
          <w:highlight w:val="none"/>
          <w:lang w:val="en-US" w:eastAsia="zh-CN"/>
        </w:rPr>
        <w:t>四是扎实推进直达资金管理使用。</w:t>
      </w:r>
      <w:r>
        <w:rPr>
          <w:rFonts w:hint="eastAsia" w:ascii="宋体" w:hAnsi="宋体" w:eastAsia="仿宋_GB2312" w:cs="楷体_GB2312"/>
          <w:highlight w:val="none"/>
          <w:lang w:eastAsia="zh-CN"/>
        </w:rPr>
        <w:t>五是切实兜牢兜实“三保”支出。六是加强预算执行管理。进一步规范和加强了预算执行管理。</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黑体" w:cs="黑体"/>
          <w:bCs/>
          <w:highlight w:val="none"/>
        </w:rPr>
      </w:pPr>
      <w:r>
        <w:rPr>
          <w:rFonts w:hint="eastAsia" w:ascii="宋体" w:hAnsi="宋体" w:eastAsia="黑体" w:cs="黑体"/>
          <w:bCs/>
          <w:highlight w:val="none"/>
        </w:rPr>
        <w:t>三、评价思路和过程</w:t>
      </w:r>
      <w:bookmarkStart w:id="39" w:name="_Toc32132_WPSOffice_Level2"/>
      <w:bookmarkStart w:id="40" w:name="_Toc17348_WPSOffice_Level2"/>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（一）评价思路</w:t>
      </w:r>
      <w:bookmarkEnd w:id="39"/>
      <w:bookmarkEnd w:id="40"/>
      <w:bookmarkStart w:id="41" w:name="_Toc1931_WPSOffice_Level2"/>
      <w:bookmarkStart w:id="42" w:name="_Toc4570_WPSOffice_Level2"/>
      <w:bookmarkStart w:id="43" w:name="_Toc24207_WPSOffice_Level2"/>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highlight w:val="none"/>
        </w:rPr>
      </w:pPr>
      <w:r>
        <w:rPr>
          <w:rFonts w:hint="eastAsia" w:ascii="宋体" w:hAnsi="宋体" w:eastAsia="仿宋_GB2312"/>
          <w:highlight w:val="none"/>
        </w:rPr>
        <w:t>本次评价的内容主要是针对区</w:t>
      </w:r>
      <w:r>
        <w:rPr>
          <w:rFonts w:hint="eastAsia" w:ascii="宋体" w:hAnsi="宋体" w:eastAsia="仿宋_GB2312"/>
          <w:highlight w:val="none"/>
          <w:lang w:eastAsia="zh-CN"/>
        </w:rPr>
        <w:t>财政局</w:t>
      </w:r>
      <w:r>
        <w:rPr>
          <w:rFonts w:hint="eastAsia" w:ascii="宋体" w:hAnsi="宋体" w:eastAsia="仿宋_GB2312"/>
          <w:highlight w:val="none"/>
        </w:rPr>
        <w:t>为实现</w:t>
      </w:r>
      <w:r>
        <w:rPr>
          <w:rFonts w:hint="eastAsia" w:ascii="仿宋_GB2312" w:hAnsi="仿宋" w:eastAsia="仿宋_GB2312"/>
          <w:highlight w:val="none"/>
        </w:rPr>
        <w:t>2020年度的职能目标所支出财政资金的经济性、效率性和效益性，包括绩效目标的设定情况、资金投入和使用情况、为实现绩效目标制定的制度和采取的措施，以及绩效目标的实现程度及效果等；主要从部门决策、部门管理、部门绩效3个方面</w:t>
      </w:r>
      <w:r>
        <w:rPr>
          <w:rFonts w:hint="eastAsia" w:ascii="宋体" w:hAnsi="宋体" w:eastAsia="仿宋_GB2312"/>
          <w:highlight w:val="none"/>
        </w:rPr>
        <w:t>构建评价指标体系。</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highlight w:val="none"/>
        </w:rPr>
      </w:pPr>
      <w:r>
        <w:rPr>
          <w:rFonts w:hint="eastAsia" w:ascii="宋体" w:hAnsi="宋体" w:eastAsia="仿宋_GB2312"/>
          <w:highlight w:val="none"/>
        </w:rPr>
        <w:t>本次评价指标分为</w:t>
      </w:r>
      <w:r>
        <w:rPr>
          <w:rFonts w:hint="eastAsia" w:ascii="仿宋_GB2312" w:hAnsi="仿宋" w:eastAsia="仿宋_GB2312"/>
          <w:highlight w:val="none"/>
        </w:rPr>
        <w:t>3级，包括3个一级指标，11个二级指标，4</w:t>
      </w:r>
      <w:r>
        <w:rPr>
          <w:rFonts w:hint="eastAsia" w:ascii="仿宋_GB2312" w:hAnsi="仿宋" w:eastAsia="仿宋_GB2312"/>
          <w:highlight w:val="none"/>
          <w:lang w:val="en-US" w:eastAsia="zh-CN"/>
        </w:rPr>
        <w:t>1</w:t>
      </w:r>
      <w:r>
        <w:rPr>
          <w:rFonts w:hint="eastAsia" w:ascii="仿宋_GB2312" w:hAnsi="仿宋" w:eastAsia="仿宋_GB2312"/>
          <w:highlight w:val="none"/>
        </w:rPr>
        <w:t>个三级指标。三个一级指标所占权重分别为35%、20%、45%，分值分别为35分、20分、45</w:t>
      </w:r>
      <w:r>
        <w:rPr>
          <w:rFonts w:hint="eastAsia" w:ascii="宋体" w:hAnsi="宋体" w:eastAsia="仿宋_GB2312"/>
          <w:highlight w:val="none"/>
        </w:rPr>
        <w:t>分。</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（二）评价目的</w:t>
      </w:r>
      <w:bookmarkEnd w:id="41"/>
      <w:bookmarkEnd w:id="42"/>
      <w:bookmarkEnd w:id="43"/>
      <w:bookmarkStart w:id="44" w:name="_Toc18389_WPSOffice_Level2"/>
      <w:bookmarkStart w:id="45" w:name="_Toc23639_WPSOffice_Level2"/>
      <w:bookmarkStart w:id="46" w:name="_Toc3752_WPSOffice_Level2"/>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highlight w:val="none"/>
        </w:rPr>
      </w:pPr>
      <w:r>
        <w:rPr>
          <w:rFonts w:hint="eastAsia" w:ascii="宋体" w:hAnsi="宋体" w:eastAsia="仿宋_GB2312"/>
          <w:highlight w:val="none"/>
        </w:rPr>
        <w:t>通过绩效评价掌握区</w:t>
      </w:r>
      <w:r>
        <w:rPr>
          <w:rFonts w:hint="eastAsia" w:ascii="宋体" w:hAnsi="宋体" w:eastAsia="仿宋_GB2312"/>
          <w:highlight w:val="none"/>
          <w:lang w:eastAsia="zh-CN"/>
        </w:rPr>
        <w:t>财政局</w:t>
      </w:r>
      <w:r>
        <w:rPr>
          <w:rFonts w:hint="eastAsia" w:ascii="宋体" w:hAnsi="宋体" w:eastAsia="仿宋_GB2312"/>
          <w:highlight w:val="none"/>
        </w:rPr>
        <w:t>整体支出情况，从部门决策、部门管理、部门履职情况及部门绩效等方面找出单位行政运行中存在的问题，紧扣提高行政效能的主题，提出相应的改进意见和建议，以提高部门绩效管理意识，切实推进绩效管理，完善预算管理制度、创新机制、加强管理、强化监督，保证单位整体运行及资金使用管理的规范性、安全性和有效性，提高部门的工作效率和资金使用效益。</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（三）评价依据</w:t>
      </w:r>
      <w:bookmarkEnd w:id="44"/>
      <w:bookmarkEnd w:id="45"/>
      <w:bookmarkEnd w:id="46"/>
      <w:bookmarkStart w:id="47" w:name="_Toc1320_WPSOffice_Level2"/>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cs="仿宋_GB2312"/>
          <w:highlight w:val="none"/>
        </w:rPr>
      </w:pPr>
      <w:r>
        <w:rPr>
          <w:rFonts w:hint="eastAsia" w:ascii="宋体" w:hAnsi="宋体" w:eastAsia="仿宋_GB2312" w:cs="仿宋_GB2312"/>
          <w:highlight w:val="none"/>
        </w:rPr>
        <w:t>1</w:t>
      </w:r>
      <w:r>
        <w:rPr>
          <w:rFonts w:ascii="宋体" w:hAnsi="宋体" w:eastAsia="仿宋_GB2312" w:cs="仿宋_GB2312"/>
          <w:highlight w:val="none"/>
        </w:rPr>
        <w:t>.</w:t>
      </w:r>
      <w:r>
        <w:rPr>
          <w:rFonts w:hint="eastAsia" w:ascii="宋体" w:hAnsi="宋体" w:eastAsia="仿宋_GB2312" w:cs="仿宋_GB2312"/>
          <w:highlight w:val="none"/>
        </w:rPr>
        <w:t>《中</w:t>
      </w:r>
      <w:r>
        <w:rPr>
          <w:rFonts w:hint="eastAsia" w:ascii="宋体" w:hAnsi="宋体" w:cs="仿宋_GB2312"/>
          <w:highlight w:val="none"/>
          <w:lang w:val="en-US" w:eastAsia="zh-Hans"/>
        </w:rPr>
        <w:t>华</w:t>
      </w:r>
      <w:bookmarkStart w:id="76" w:name="_GoBack"/>
      <w:bookmarkEnd w:id="76"/>
      <w:r>
        <w:rPr>
          <w:rFonts w:hint="eastAsia" w:ascii="宋体" w:hAnsi="宋体" w:eastAsia="仿宋_GB2312" w:cs="仿宋_GB2312"/>
          <w:highlight w:val="none"/>
        </w:rPr>
        <w:t>人民共和国预算法》。</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仿宋_GB2312" w:hAnsi="仿宋" w:eastAsia="仿宋_GB2312"/>
          <w:highlight w:val="none"/>
        </w:rPr>
      </w:pPr>
      <w:r>
        <w:rPr>
          <w:rFonts w:hint="eastAsia" w:ascii="宋体" w:hAnsi="宋体" w:eastAsia="仿宋_GB2312" w:cs="仿宋_GB2312"/>
          <w:highlight w:val="none"/>
        </w:rPr>
        <w:t>2</w:t>
      </w:r>
      <w:r>
        <w:rPr>
          <w:rFonts w:ascii="宋体" w:hAnsi="宋体" w:eastAsia="仿宋_GB2312" w:cs="仿宋_GB2312"/>
          <w:highlight w:val="none"/>
        </w:rPr>
        <w:t>.</w:t>
      </w:r>
      <w:r>
        <w:rPr>
          <w:rFonts w:hint="eastAsia" w:ascii="宋体" w:hAnsi="宋体" w:eastAsia="仿宋_GB2312" w:cs="仿宋_GB2312"/>
          <w:highlight w:val="none"/>
        </w:rPr>
        <w:t>《东川区预算绩效管理暂行办法》（东政发</w:t>
      </w:r>
      <w:r>
        <w:rPr>
          <w:rFonts w:hint="eastAsia" w:ascii="仿宋_GB2312" w:hAnsi="仿宋" w:eastAsia="仿宋_GB2312"/>
          <w:highlight w:val="none"/>
        </w:rPr>
        <w:fldChar w:fldCharType="begin" w:fldLock="1"/>
      </w:r>
      <w:r>
        <w:rPr>
          <w:rFonts w:hint="eastAsia" w:ascii="仿宋_GB2312" w:hAnsi="仿宋" w:eastAsia="仿宋_GB2312"/>
          <w:highlight w:val="none"/>
        </w:rPr>
        <w:instrText xml:space="preserve"> fillin"输入发文性质"</w:instrText>
      </w:r>
      <w:r>
        <w:rPr>
          <w:rFonts w:hint="eastAsia" w:ascii="仿宋_GB2312" w:hAnsi="仿宋" w:eastAsia="仿宋_GB2312"/>
          <w:highlight w:val="none"/>
        </w:rPr>
        <w:fldChar w:fldCharType="end"/>
      </w:r>
      <w:r>
        <w:rPr>
          <w:rFonts w:hint="eastAsia" w:ascii="仿宋_GB2312" w:hAnsi="仿宋" w:eastAsia="仿宋_GB2312"/>
          <w:highlight w:val="none"/>
        </w:rPr>
        <w:t>〔2015〕104</w:t>
      </w:r>
      <w:r>
        <w:rPr>
          <w:rFonts w:hint="eastAsia" w:ascii="仿宋_GB2312" w:hAnsi="仿宋" w:eastAsia="仿宋_GB2312"/>
          <w:highlight w:val="none"/>
        </w:rPr>
        <w:fldChar w:fldCharType="begin" w:fldLock="1"/>
      </w:r>
      <w:r>
        <w:rPr>
          <w:rFonts w:hint="eastAsia" w:ascii="仿宋_GB2312" w:hAnsi="仿宋" w:eastAsia="仿宋_GB2312"/>
          <w:highlight w:val="none"/>
        </w:rPr>
        <w:instrText xml:space="preserve"> fillin"输入文件号"</w:instrText>
      </w:r>
      <w:r>
        <w:rPr>
          <w:rFonts w:hint="eastAsia" w:ascii="仿宋_GB2312" w:hAnsi="仿宋" w:eastAsia="仿宋_GB2312"/>
          <w:highlight w:val="none"/>
        </w:rPr>
        <w:fldChar w:fldCharType="end"/>
      </w:r>
      <w:r>
        <w:rPr>
          <w:rFonts w:hint="eastAsia" w:ascii="仿宋_GB2312" w:hAnsi="仿宋" w:eastAsia="仿宋_GB2312"/>
          <w:highlight w:val="none"/>
        </w:rPr>
        <w:t>号）。</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cs="仿宋_GB2312"/>
          <w:highlight w:val="none"/>
        </w:rPr>
      </w:pPr>
      <w:r>
        <w:rPr>
          <w:rFonts w:hint="eastAsia" w:ascii="宋体" w:hAnsi="宋体" w:eastAsia="仿宋_GB2312" w:cs="仿宋_GB2312"/>
          <w:highlight w:val="none"/>
        </w:rPr>
        <w:t>3</w:t>
      </w:r>
      <w:r>
        <w:rPr>
          <w:rFonts w:ascii="宋体" w:hAnsi="宋体" w:eastAsia="仿宋_GB2312" w:cs="仿宋_GB2312"/>
          <w:highlight w:val="none"/>
        </w:rPr>
        <w:t>.</w:t>
      </w:r>
      <w:r>
        <w:rPr>
          <w:rFonts w:hint="eastAsia" w:ascii="宋体" w:hAnsi="宋体" w:eastAsia="仿宋_GB2312" w:cs="仿宋_GB2312"/>
          <w:highlight w:val="none"/>
        </w:rPr>
        <w:t>《昆明市东川区人民政府办公室关于印发全面推进预算绩效管理改革实施方案的通知》（东政办发〔</w:t>
      </w:r>
      <w:r>
        <w:rPr>
          <w:rFonts w:hint="eastAsia" w:ascii="仿宋_GB2312" w:hAnsi="仿宋" w:eastAsia="仿宋_GB2312"/>
          <w:highlight w:val="none"/>
        </w:rPr>
        <w:t>2016〕169号</w:t>
      </w:r>
      <w:r>
        <w:rPr>
          <w:rFonts w:hint="eastAsia" w:ascii="宋体" w:hAnsi="宋体" w:eastAsia="仿宋_GB2312" w:cs="仿宋_GB2312"/>
          <w:highlight w:val="none"/>
        </w:rPr>
        <w:t>）。</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cs="仿宋_GB2312"/>
          <w:highlight w:val="none"/>
        </w:rPr>
      </w:pPr>
      <w:r>
        <w:rPr>
          <w:rFonts w:hint="eastAsia" w:ascii="宋体" w:hAnsi="宋体" w:eastAsia="仿宋_GB2312" w:cs="仿宋_GB2312"/>
          <w:highlight w:val="none"/>
        </w:rPr>
        <w:t>4</w:t>
      </w:r>
      <w:r>
        <w:rPr>
          <w:rFonts w:ascii="宋体" w:hAnsi="宋体" w:eastAsia="仿宋_GB2312" w:cs="仿宋_GB2312"/>
          <w:highlight w:val="none"/>
        </w:rPr>
        <w:t>.</w:t>
      </w:r>
      <w:r>
        <w:rPr>
          <w:rFonts w:hint="eastAsia" w:ascii="宋体" w:hAnsi="宋体" w:eastAsia="仿宋_GB2312" w:cs="仿宋_GB2312"/>
          <w:highlight w:val="none"/>
        </w:rPr>
        <w:t>《东川区预算绩效管理工作考核办法（试行）》（东政办发〔</w:t>
      </w:r>
      <w:r>
        <w:rPr>
          <w:rFonts w:hint="eastAsia" w:ascii="仿宋_GB2312" w:hAnsi="仿宋" w:eastAsia="仿宋_GB2312"/>
          <w:highlight w:val="none"/>
        </w:rPr>
        <w:t>2017〕24号</w:t>
      </w:r>
      <w:r>
        <w:rPr>
          <w:rFonts w:hint="eastAsia" w:ascii="宋体" w:hAnsi="宋体" w:eastAsia="仿宋_GB2312" w:cs="仿宋_GB2312"/>
          <w:highlight w:val="none"/>
        </w:rPr>
        <w:t>）。</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仿宋_GB2312" w:hAnsi="仿宋" w:eastAsia="仿宋_GB2312"/>
          <w:highlight w:val="none"/>
        </w:rPr>
      </w:pPr>
      <w:r>
        <w:rPr>
          <w:rFonts w:hint="eastAsia" w:ascii="宋体" w:hAnsi="宋体" w:eastAsia="仿宋_GB2312" w:cs="仿宋_GB2312"/>
          <w:highlight w:val="none"/>
        </w:rPr>
        <w:t>5</w:t>
      </w:r>
      <w:r>
        <w:rPr>
          <w:rFonts w:ascii="宋体" w:hAnsi="宋体" w:eastAsia="仿宋_GB2312" w:cs="仿宋_GB2312"/>
          <w:highlight w:val="none"/>
        </w:rPr>
        <w:t>.</w:t>
      </w:r>
      <w:r>
        <w:rPr>
          <w:rFonts w:hint="eastAsia" w:ascii="宋体" w:hAnsi="宋体" w:eastAsia="仿宋_GB2312" w:cs="仿宋_GB2312"/>
          <w:highlight w:val="none"/>
        </w:rPr>
        <w:t>《东川区部门预算绩效目标管理办法》（东政发</w:t>
      </w:r>
      <w:r>
        <w:rPr>
          <w:rFonts w:hint="eastAsia" w:ascii="仿宋_GB2312" w:hAnsi="仿宋" w:eastAsia="仿宋_GB2312"/>
          <w:highlight w:val="none"/>
        </w:rPr>
        <w:t>〔2017〕110号）。</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仿宋_GB2312" w:hAnsi="仿宋" w:eastAsia="仿宋_GB2312"/>
          <w:highlight w:val="none"/>
        </w:rPr>
      </w:pPr>
      <w:r>
        <w:rPr>
          <w:rFonts w:ascii="宋体" w:hAnsi="宋体" w:eastAsia="仿宋_GB2312" w:cs="仿宋_GB2312"/>
          <w:spacing w:val="6"/>
          <w:highlight w:val="none"/>
        </w:rPr>
        <w:t>6.</w:t>
      </w:r>
      <w:r>
        <w:rPr>
          <w:rFonts w:hint="eastAsia" w:ascii="宋体" w:hAnsi="宋体" w:eastAsia="仿宋_GB2312" w:cs="仿宋_GB2312"/>
          <w:highlight w:val="none"/>
        </w:rPr>
        <w:t>《东川区预算绩效管理结果应用暂行办法》（东政发</w:t>
      </w:r>
      <w:r>
        <w:rPr>
          <w:rFonts w:hint="eastAsia" w:ascii="仿宋_GB2312" w:hAnsi="仿宋" w:eastAsia="仿宋_GB2312"/>
          <w:highlight w:val="none"/>
        </w:rPr>
        <w:t>〔2017〕111号）。</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仿宋_GB2312" w:hAnsi="仿宋" w:eastAsia="仿宋_GB2312"/>
          <w:highlight w:val="none"/>
        </w:rPr>
      </w:pPr>
      <w:r>
        <w:rPr>
          <w:rFonts w:hint="eastAsia" w:ascii="宋体" w:hAnsi="宋体" w:eastAsia="仿宋_GB2312" w:cs="仿宋_GB2312"/>
          <w:spacing w:val="6"/>
          <w:highlight w:val="none"/>
        </w:rPr>
        <w:t>7</w:t>
      </w:r>
      <w:r>
        <w:rPr>
          <w:rFonts w:ascii="宋体" w:hAnsi="宋体" w:eastAsia="仿宋_GB2312" w:cs="仿宋_GB2312"/>
          <w:spacing w:val="6"/>
          <w:highlight w:val="none"/>
        </w:rPr>
        <w:t>.</w:t>
      </w:r>
      <w:r>
        <w:rPr>
          <w:rFonts w:hint="eastAsia" w:ascii="宋体" w:hAnsi="宋体" w:eastAsia="仿宋_GB2312" w:cs="仿宋_GB2312"/>
          <w:highlight w:val="none"/>
        </w:rPr>
        <w:t>《昆明市东川区财政局关于开展东川区</w:t>
      </w:r>
      <w:r>
        <w:rPr>
          <w:rFonts w:hint="eastAsia" w:ascii="仿宋_GB2312" w:hAnsi="仿宋" w:eastAsia="仿宋_GB2312"/>
          <w:highlight w:val="none"/>
        </w:rPr>
        <w:t>2020年度绩效自评工作的通知》（东财绩〔2021〕4号）。</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宋体" w:hAnsi="宋体" w:eastAsia="仿宋_GB2312" w:cs="仿宋_GB2312"/>
          <w:spacing w:val="6"/>
          <w:highlight w:val="none"/>
        </w:rPr>
      </w:pPr>
      <w:r>
        <w:rPr>
          <w:rFonts w:hint="eastAsia" w:ascii="宋体" w:hAnsi="宋体" w:eastAsia="仿宋_GB2312" w:cs="仿宋_GB2312"/>
          <w:spacing w:val="6"/>
          <w:highlight w:val="none"/>
        </w:rPr>
        <w:t>8</w:t>
      </w:r>
      <w:r>
        <w:rPr>
          <w:rFonts w:ascii="宋体" w:hAnsi="宋体" w:eastAsia="仿宋_GB2312" w:cs="仿宋_GB2312"/>
          <w:spacing w:val="6"/>
          <w:highlight w:val="none"/>
        </w:rPr>
        <w:t>.</w:t>
      </w:r>
      <w:r>
        <w:rPr>
          <w:rFonts w:hint="eastAsia" w:ascii="宋体" w:hAnsi="宋体" w:eastAsia="仿宋_GB2312" w:cs="仿宋_GB2312"/>
          <w:spacing w:val="6"/>
          <w:highlight w:val="none"/>
        </w:rPr>
        <w:t>《政府会计制度》和《</w:t>
      </w:r>
      <w:r>
        <w:rPr>
          <w:rFonts w:hint="eastAsia" w:ascii="宋体" w:hAnsi="宋体" w:eastAsia="仿宋_GB2312" w:cs="宋体"/>
          <w:color w:val="000000"/>
          <w:highlight w:val="none"/>
        </w:rPr>
        <w:t>会计基础工作规范</w:t>
      </w:r>
      <w:r>
        <w:rPr>
          <w:rFonts w:hint="eastAsia" w:ascii="宋体" w:hAnsi="宋体" w:eastAsia="仿宋_GB2312" w:cs="仿宋_GB2312"/>
          <w:spacing w:val="6"/>
          <w:highlight w:val="none"/>
        </w:rPr>
        <w:t>》。</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cs="仿宋_GB2312"/>
          <w:highlight w:val="none"/>
        </w:rPr>
      </w:pPr>
      <w:r>
        <w:rPr>
          <w:rFonts w:hint="eastAsia" w:ascii="宋体" w:hAnsi="宋体" w:eastAsia="仿宋_GB2312" w:cs="仿宋_GB2312"/>
          <w:highlight w:val="none"/>
          <w:lang w:val="en-US" w:eastAsia="zh-CN"/>
        </w:rPr>
        <w:t>9.</w:t>
      </w:r>
      <w:r>
        <w:rPr>
          <w:rFonts w:hint="eastAsia" w:ascii="宋体" w:hAnsi="宋体" w:eastAsia="仿宋_GB2312" w:cs="仿宋_GB2312"/>
          <w:highlight w:val="none"/>
        </w:rPr>
        <w:t>区委办和政府办《关于印发《东川区区级机关会议费管理办法（试行）》和《东川区区级机关培训费管理办法（试行）》的通知（东办通〔2015〕70号）；</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宋体" w:hAnsi="宋体" w:eastAsia="仿宋_GB2312" w:cs="仿宋_GB2312"/>
          <w:spacing w:val="6"/>
          <w:highlight w:val="none"/>
        </w:rPr>
      </w:pPr>
      <w:r>
        <w:rPr>
          <w:rFonts w:hint="eastAsia" w:ascii="宋体" w:hAnsi="宋体" w:eastAsia="仿宋_GB2312" w:cs="仿宋_GB2312"/>
          <w:spacing w:val="6"/>
          <w:highlight w:val="none"/>
          <w:lang w:val="en-US" w:eastAsia="zh-CN"/>
        </w:rPr>
        <w:t>10</w:t>
      </w:r>
      <w:r>
        <w:rPr>
          <w:rFonts w:hint="eastAsia" w:ascii="宋体" w:hAnsi="宋体" w:eastAsia="仿宋_GB2312" w:cs="仿宋_GB2312"/>
          <w:spacing w:val="6"/>
          <w:highlight w:val="none"/>
        </w:rPr>
        <w:t>.《昆明市东川区全口径预算编制管理办法》；</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宋体" w:hAnsi="宋体" w:eastAsia="仿宋_GB2312" w:cs="仿宋_GB2312"/>
          <w:spacing w:val="6"/>
          <w:highlight w:val="none"/>
          <w:lang w:eastAsia="zh-CN"/>
        </w:rPr>
      </w:pPr>
      <w:r>
        <w:rPr>
          <w:rFonts w:hint="eastAsia" w:ascii="宋体" w:hAnsi="宋体" w:eastAsia="仿宋_GB2312" w:cs="仿宋_GB2312"/>
          <w:spacing w:val="6"/>
          <w:highlight w:val="none"/>
          <w:lang w:val="en-US" w:eastAsia="zh-CN"/>
        </w:rPr>
        <w:t>11.</w:t>
      </w:r>
      <w:r>
        <w:rPr>
          <w:rFonts w:hint="eastAsia" w:ascii="宋体" w:hAnsi="宋体" w:eastAsia="仿宋_GB2312" w:cs="仿宋_GB2312"/>
          <w:spacing w:val="6"/>
          <w:highlight w:val="none"/>
          <w:lang w:eastAsia="zh-CN"/>
        </w:rPr>
        <w:t>《昆明市东川区财政局</w:t>
      </w:r>
      <w:r>
        <w:rPr>
          <w:rFonts w:hint="eastAsia" w:ascii="宋体" w:hAnsi="宋体" w:eastAsia="仿宋_GB2312" w:cs="仿宋_GB2312"/>
          <w:spacing w:val="6"/>
          <w:highlight w:val="none"/>
        </w:rPr>
        <w:t>目标管理绩效考核制度</w:t>
      </w:r>
      <w:r>
        <w:rPr>
          <w:rFonts w:hint="eastAsia" w:ascii="宋体" w:hAnsi="宋体" w:eastAsia="仿宋_GB2312" w:cs="仿宋_GB2312"/>
          <w:spacing w:val="6"/>
          <w:highlight w:val="none"/>
          <w:lang w:eastAsia="zh-CN"/>
        </w:rPr>
        <w:t>》</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宋体" w:hAnsi="宋体" w:eastAsia="仿宋_GB2312" w:cs="仿宋_GB2312"/>
          <w:spacing w:val="6"/>
          <w:highlight w:val="none"/>
        </w:rPr>
      </w:pPr>
      <w:r>
        <w:rPr>
          <w:rFonts w:hint="eastAsia" w:ascii="宋体" w:hAnsi="宋体" w:eastAsia="仿宋_GB2312" w:cs="仿宋_GB2312"/>
          <w:spacing w:val="6"/>
          <w:highlight w:val="none"/>
          <w:lang w:val="en-US" w:eastAsia="zh-CN"/>
        </w:rPr>
        <w:t>12.</w:t>
      </w:r>
      <w:r>
        <w:rPr>
          <w:rFonts w:hint="eastAsia" w:ascii="宋体" w:hAnsi="宋体" w:eastAsia="仿宋_GB2312" w:cs="仿宋_GB2312"/>
          <w:spacing w:val="6"/>
          <w:highlight w:val="none"/>
        </w:rPr>
        <w:t>《昆明市东川区</w:t>
      </w:r>
      <w:r>
        <w:rPr>
          <w:rFonts w:hint="eastAsia" w:ascii="宋体" w:hAnsi="宋体" w:eastAsia="仿宋_GB2312" w:cs="仿宋_GB2312"/>
          <w:spacing w:val="6"/>
          <w:highlight w:val="none"/>
          <w:lang w:eastAsia="zh-CN"/>
        </w:rPr>
        <w:t>财政局</w:t>
      </w:r>
      <w:r>
        <w:rPr>
          <w:rFonts w:hint="eastAsia" w:ascii="宋体" w:hAnsi="宋体" w:eastAsia="仿宋_GB2312" w:cs="仿宋_GB2312"/>
          <w:spacing w:val="6"/>
          <w:highlight w:val="none"/>
        </w:rPr>
        <w:t>机关财务管理制度》</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宋体" w:hAnsi="宋体" w:eastAsia="仿宋_GB2312" w:cs="仿宋_GB2312"/>
          <w:spacing w:val="6"/>
          <w:highlight w:val="none"/>
          <w:lang w:val="en-US" w:eastAsia="zh-CN"/>
        </w:rPr>
      </w:pPr>
      <w:r>
        <w:rPr>
          <w:rFonts w:hint="eastAsia" w:ascii="宋体" w:hAnsi="宋体" w:eastAsia="仿宋_GB2312" w:cs="仿宋_GB2312"/>
          <w:spacing w:val="6"/>
          <w:highlight w:val="none"/>
          <w:lang w:val="en-US" w:eastAsia="zh-CN"/>
        </w:rPr>
        <w:t>13.</w:t>
      </w:r>
      <w:r>
        <w:rPr>
          <w:rFonts w:hint="eastAsia" w:ascii="宋体" w:hAnsi="宋体" w:eastAsia="仿宋_GB2312" w:cs="仿宋_GB2312"/>
          <w:spacing w:val="6"/>
          <w:highlight w:val="none"/>
        </w:rPr>
        <w:t>《昆明市东川区</w:t>
      </w:r>
      <w:r>
        <w:rPr>
          <w:rFonts w:hint="eastAsia" w:ascii="宋体" w:hAnsi="宋体" w:eastAsia="仿宋_GB2312" w:cs="仿宋_GB2312"/>
          <w:spacing w:val="6"/>
          <w:highlight w:val="none"/>
          <w:lang w:eastAsia="zh-CN"/>
        </w:rPr>
        <w:t>财政局</w:t>
      </w:r>
      <w:r>
        <w:rPr>
          <w:rFonts w:hint="eastAsia" w:ascii="宋体" w:hAnsi="宋体" w:eastAsia="仿宋_GB2312" w:cs="仿宋_GB2312"/>
          <w:spacing w:val="6"/>
          <w:highlight w:val="none"/>
        </w:rPr>
        <w:t>办公用品采购和领用管理制度》</w:t>
      </w:r>
      <w:r>
        <w:rPr>
          <w:rFonts w:hint="eastAsia" w:ascii="宋体" w:hAnsi="宋体" w:eastAsia="仿宋_GB2312" w:cs="仿宋_GB2312"/>
          <w:spacing w:val="6"/>
          <w:highlight w:val="none"/>
          <w:lang w:val="en-US" w:eastAsia="zh-CN"/>
        </w:rPr>
        <w:t xml:space="preserve"> </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64" w:firstLineChars="200"/>
        <w:textAlignment w:val="baseline"/>
        <w:outlineLvl w:val="0"/>
        <w:rPr>
          <w:rFonts w:hint="eastAsia" w:ascii="宋体" w:hAnsi="宋体" w:eastAsia="仿宋_GB2312" w:cs="仿宋_GB2312"/>
          <w:spacing w:val="6"/>
          <w:highlight w:val="none"/>
        </w:rPr>
      </w:pPr>
      <w:r>
        <w:rPr>
          <w:rFonts w:hint="eastAsia" w:ascii="宋体" w:hAnsi="宋体" w:eastAsia="仿宋_GB2312" w:cs="仿宋_GB2312"/>
          <w:spacing w:val="6"/>
          <w:highlight w:val="none"/>
          <w:lang w:val="en-US" w:eastAsia="zh-CN"/>
        </w:rPr>
        <w:t>14.</w:t>
      </w:r>
      <w:r>
        <w:rPr>
          <w:rFonts w:hint="eastAsia" w:ascii="宋体" w:hAnsi="宋体" w:eastAsia="仿宋_GB2312" w:cs="仿宋_GB2312"/>
          <w:spacing w:val="6"/>
          <w:highlight w:val="none"/>
        </w:rPr>
        <w:t>《昆明市东川区</w:t>
      </w:r>
      <w:r>
        <w:rPr>
          <w:rFonts w:hint="eastAsia" w:ascii="宋体" w:hAnsi="宋体" w:eastAsia="仿宋_GB2312" w:cs="仿宋_GB2312"/>
          <w:spacing w:val="6"/>
          <w:highlight w:val="none"/>
          <w:lang w:eastAsia="zh-CN"/>
        </w:rPr>
        <w:t>财政局</w:t>
      </w:r>
      <w:r>
        <w:rPr>
          <w:rFonts w:hint="eastAsia" w:ascii="宋体" w:hAnsi="宋体" w:eastAsia="仿宋_GB2312" w:cs="仿宋_GB2312"/>
          <w:spacing w:val="6"/>
          <w:highlight w:val="none"/>
        </w:rPr>
        <w:t>公务用车管理制度》</w:t>
      </w:r>
      <w:bookmarkStart w:id="48" w:name="_Toc28970_WPSOffice_Level2"/>
      <w:bookmarkStart w:id="49" w:name="_Toc223_WPSOffice_Level2"/>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（四）评价对象及评价时段</w:t>
      </w:r>
      <w:bookmarkEnd w:id="47"/>
      <w:bookmarkEnd w:id="48"/>
      <w:bookmarkEnd w:id="49"/>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3" w:firstLineChars="200"/>
        <w:textAlignment w:val="baseline"/>
        <w:outlineLvl w:val="0"/>
        <w:rPr>
          <w:rFonts w:hint="eastAsia" w:ascii="宋体" w:hAnsi="宋体" w:eastAsia="仿宋_GB2312" w:cs="仿宋_GB2312"/>
          <w:spacing w:val="6"/>
          <w:highlight w:val="none"/>
          <w:lang w:eastAsia="zh-CN"/>
        </w:rPr>
      </w:pPr>
      <w:r>
        <w:rPr>
          <w:rFonts w:hint="eastAsia" w:ascii="宋体" w:hAnsi="宋体" w:eastAsia="仿宋_GB2312" w:cs="仿宋_GB2312"/>
          <w:b/>
          <w:bCs/>
          <w:highlight w:val="none"/>
        </w:rPr>
        <w:t>1.评价对象。</w:t>
      </w:r>
      <w:r>
        <w:rPr>
          <w:rFonts w:hint="eastAsia" w:ascii="宋体" w:hAnsi="宋体" w:eastAsia="仿宋_GB2312" w:cs="仿宋_GB2312"/>
          <w:spacing w:val="6"/>
          <w:highlight w:val="none"/>
          <w:lang w:eastAsia="zh-CN"/>
        </w:rPr>
        <w:t>纳入区级部门预算管理的全部资金。</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3" w:firstLineChars="200"/>
        <w:textAlignment w:val="baseline"/>
        <w:outlineLvl w:val="0"/>
        <w:rPr>
          <w:rFonts w:hint="eastAsia" w:ascii="仿宋_GB2312" w:hAnsi="仿宋" w:eastAsia="仿宋_GB2312"/>
          <w:highlight w:val="none"/>
        </w:rPr>
      </w:pPr>
      <w:r>
        <w:rPr>
          <w:rFonts w:hint="eastAsia" w:ascii="宋体" w:hAnsi="宋体" w:eastAsia="仿宋_GB2312" w:cs="仿宋_GB2312"/>
          <w:b/>
          <w:bCs/>
          <w:highlight w:val="none"/>
        </w:rPr>
        <w:t>2</w:t>
      </w:r>
      <w:r>
        <w:rPr>
          <w:rFonts w:ascii="宋体" w:hAnsi="宋体" w:eastAsia="仿宋_GB2312" w:cs="仿宋_GB2312"/>
          <w:b/>
          <w:bCs/>
          <w:highlight w:val="none"/>
        </w:rPr>
        <w:t>.</w:t>
      </w:r>
      <w:r>
        <w:rPr>
          <w:rFonts w:hint="eastAsia" w:ascii="宋体" w:hAnsi="宋体" w:eastAsia="仿宋_GB2312" w:cs="仿宋_GB2312"/>
          <w:b/>
          <w:bCs/>
          <w:highlight w:val="none"/>
        </w:rPr>
        <w:t>评价时段。</w:t>
      </w:r>
      <w:r>
        <w:rPr>
          <w:rFonts w:hint="eastAsia" w:ascii="仿宋_GB2312" w:hAnsi="仿宋" w:eastAsia="仿宋_GB2312"/>
          <w:highlight w:val="none"/>
        </w:rPr>
        <w:t>2020年1月1日至2020年12月31日。</w:t>
      </w:r>
      <w:bookmarkStart w:id="50" w:name="_Toc16811_WPSOffice_Level1"/>
      <w:bookmarkStart w:id="51" w:name="_Toc29855_WPSOffice_Level1"/>
      <w:bookmarkStart w:id="52" w:name="_Toc26879_WPSOffice_Level1"/>
      <w:bookmarkStart w:id="53" w:name="_Toc21637_WPSOffice_Level1"/>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黑体" w:cs="黑体"/>
          <w:bCs/>
          <w:highlight w:val="none"/>
        </w:rPr>
      </w:pPr>
      <w:r>
        <w:rPr>
          <w:rFonts w:hint="eastAsia" w:ascii="宋体" w:hAnsi="宋体" w:eastAsia="黑体" w:cs="黑体"/>
          <w:bCs/>
          <w:highlight w:val="none"/>
        </w:rPr>
        <w:t>四、评价结论和绩效分析</w:t>
      </w:r>
      <w:bookmarkEnd w:id="50"/>
      <w:bookmarkEnd w:id="51"/>
      <w:bookmarkEnd w:id="52"/>
      <w:bookmarkEnd w:id="53"/>
      <w:bookmarkStart w:id="54" w:name="_Toc29310_WPSOffice_Level2"/>
      <w:bookmarkStart w:id="55" w:name="_Toc19029_WPSOffice_Level2"/>
      <w:bookmarkStart w:id="56" w:name="_Toc20207_WPSOffice_Level2"/>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楷体_GB2312" w:cs="楷体_GB2312"/>
          <w:highlight w:val="none"/>
        </w:rPr>
      </w:pPr>
      <w:r>
        <w:rPr>
          <w:rFonts w:hint="eastAsia" w:ascii="宋体" w:hAnsi="宋体" w:eastAsia="楷体_GB2312" w:cs="楷体_GB2312"/>
          <w:highlight w:val="none"/>
        </w:rPr>
        <w:t>（一）评价结论</w:t>
      </w:r>
      <w:bookmarkEnd w:id="54"/>
      <w:bookmarkEnd w:id="55"/>
      <w:bookmarkEnd w:id="56"/>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3" w:firstLineChars="200"/>
        <w:textAlignment w:val="baseline"/>
        <w:outlineLvl w:val="0"/>
        <w:rPr>
          <w:rFonts w:hint="eastAsia" w:ascii="宋体" w:hAnsi="宋体" w:eastAsia="仿宋_GB2312" w:cs="仿宋_GB2312"/>
          <w:b/>
          <w:bCs/>
          <w:highlight w:val="none"/>
        </w:rPr>
      </w:pPr>
      <w:r>
        <w:rPr>
          <w:rFonts w:hint="eastAsia" w:ascii="宋体" w:hAnsi="宋体" w:eastAsia="仿宋_GB2312" w:cs="仿宋_GB2312"/>
          <w:b/>
          <w:bCs/>
          <w:highlight w:val="none"/>
        </w:rPr>
        <w:t>1.评价结果</w:t>
      </w:r>
    </w:p>
    <w:p>
      <w:pPr>
        <w:keepNext w:val="0"/>
        <w:keepLines w:val="0"/>
        <w:pageBreakBefore w:val="0"/>
        <w:pBdr>
          <w:top w:val="single" w:color="FFFFFF" w:sz="4" w:space="2"/>
          <w:left w:val="single" w:color="FFFFFF" w:sz="4" w:space="0"/>
          <w:bottom w:val="single" w:color="FFFFFF" w:sz="4" w:space="15"/>
          <w:right w:val="single" w:color="FFFFFF" w:sz="4" w:space="11"/>
        </w:pBdr>
        <w:kinsoku/>
        <w:overflowPunct/>
        <w:topLinePunct w:val="0"/>
        <w:autoSpaceDE w:val="0"/>
        <w:autoSpaceDN w:val="0"/>
        <w:bidi w:val="0"/>
        <w:spacing w:line="560" w:lineRule="exact"/>
        <w:ind w:firstLine="640" w:firstLineChars="200"/>
        <w:textAlignment w:val="baseline"/>
        <w:outlineLvl w:val="0"/>
        <w:rPr>
          <w:rFonts w:hint="eastAsia" w:ascii="宋体" w:hAnsi="宋体" w:eastAsia="仿宋_GB2312" w:cs="仿宋_GB2312"/>
          <w:highlight w:val="none"/>
        </w:rPr>
      </w:pPr>
      <w:r>
        <w:rPr>
          <w:rFonts w:hint="eastAsia" w:ascii="宋体" w:hAnsi="宋体" w:eastAsia="仿宋_GB2312" w:cs="仿宋_GB2312"/>
          <w:highlight w:val="none"/>
        </w:rPr>
        <w:t>东川区</w:t>
      </w:r>
      <w:r>
        <w:rPr>
          <w:rFonts w:hint="eastAsia" w:ascii="宋体" w:hAnsi="宋体" w:eastAsia="仿宋_GB2312" w:cs="仿宋_GB2312"/>
          <w:highlight w:val="none"/>
          <w:lang w:eastAsia="zh-CN"/>
        </w:rPr>
        <w:t>财政</w:t>
      </w:r>
      <w:r>
        <w:rPr>
          <w:rFonts w:hint="eastAsia" w:ascii="宋体" w:hAnsi="宋体" w:eastAsia="仿宋_GB2312" w:cs="仿宋_GB2312"/>
          <w:highlight w:val="none"/>
        </w:rPr>
        <w:t>局2020年部门整体绩效评价综合得分：100分，等级为“优”。</w:t>
      </w:r>
    </w:p>
    <w:p>
      <w:pPr>
        <w:keepNext w:val="0"/>
        <w:keepLines w:val="0"/>
        <w:pageBreakBefore w:val="0"/>
        <w:kinsoku/>
        <w:overflowPunct/>
        <w:topLinePunct w:val="0"/>
        <w:bidi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评价得分简表</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评价内容</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部门决策</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部门管理</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部门绩效</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总分</w:t>
            </w:r>
          </w:p>
        </w:tc>
        <w:tc>
          <w:tcPr>
            <w:tcW w:w="1511"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评分等级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标准分</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35</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20</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45</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100</w:t>
            </w:r>
          </w:p>
        </w:tc>
        <w:tc>
          <w:tcPr>
            <w:tcW w:w="1511"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left"/>
              <w:rPr>
                <w:rFonts w:hint="eastAsia" w:ascii="宋体" w:hAnsi="宋体" w:eastAsia="仿宋_GB2312" w:cs="仿宋_GB2312"/>
                <w:highlight w:val="none"/>
              </w:rPr>
            </w:pPr>
            <w:r>
              <w:rPr>
                <w:rFonts w:hint="eastAsia" w:ascii="宋体" w:hAnsi="宋体" w:eastAsia="仿宋_GB2312" w:cs="仿宋_GB2312"/>
                <w:highlight w:val="none"/>
              </w:rPr>
              <w:t>实际得分</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35</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ascii="宋体" w:hAnsi="宋体" w:eastAsia="仿宋_GB2312" w:cs="仿宋_GB2312"/>
                <w:highlight w:val="none"/>
              </w:rPr>
            </w:pPr>
            <w:r>
              <w:rPr>
                <w:rFonts w:hint="eastAsia" w:ascii="宋体" w:hAnsi="宋体" w:eastAsia="仿宋_GB2312" w:cs="仿宋_GB2312"/>
                <w:highlight w:val="none"/>
              </w:rPr>
              <w:t>20</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default" w:ascii="宋体" w:hAnsi="宋体" w:eastAsia="仿宋_GB2312" w:cs="仿宋_GB2312"/>
                <w:highlight w:val="none"/>
                <w:lang w:val="en-US" w:eastAsia="zh-CN"/>
              </w:rPr>
            </w:pPr>
            <w:r>
              <w:rPr>
                <w:rFonts w:hint="eastAsia" w:ascii="宋体" w:hAnsi="宋体" w:eastAsia="仿宋_GB2312" w:cs="仿宋_GB2312"/>
                <w:highlight w:val="none"/>
                <w:lang w:val="en-US" w:eastAsia="zh-CN"/>
              </w:rPr>
              <w:t>45</w:t>
            </w:r>
          </w:p>
        </w:tc>
        <w:tc>
          <w:tcPr>
            <w:tcW w:w="1510"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default" w:ascii="宋体" w:hAnsi="宋体" w:eastAsia="仿宋_GB2312" w:cs="仿宋_GB2312"/>
                <w:highlight w:val="none"/>
                <w:lang w:val="en-US" w:eastAsia="zh-CN"/>
              </w:rPr>
            </w:pPr>
            <w:r>
              <w:rPr>
                <w:rFonts w:hint="eastAsia" w:ascii="宋体" w:hAnsi="宋体" w:eastAsia="仿宋_GB2312" w:cs="仿宋_GB2312"/>
                <w:highlight w:val="none"/>
                <w:lang w:val="en-US" w:eastAsia="zh-CN"/>
              </w:rPr>
              <w:t>100</w:t>
            </w:r>
          </w:p>
        </w:tc>
        <w:tc>
          <w:tcPr>
            <w:tcW w:w="1511" w:type="dxa"/>
            <w:noWrap w:val="0"/>
            <w:vAlign w:val="top"/>
          </w:tcPr>
          <w:p>
            <w:pPr>
              <w:keepNext w:val="0"/>
              <w:keepLines w:val="0"/>
              <w:pageBreakBefore w:val="0"/>
              <w:widowControl/>
              <w:kinsoku/>
              <w:overflowPunct/>
              <w:topLinePunct w:val="0"/>
              <w:bidi w:val="0"/>
              <w:adjustRightInd w:val="0"/>
              <w:snapToGrid w:val="0"/>
              <w:spacing w:line="560" w:lineRule="exact"/>
              <w:jc w:val="center"/>
              <w:rPr>
                <w:rFonts w:hint="eastAsia" w:ascii="宋体" w:hAnsi="宋体" w:eastAsia="仿宋_GB2312" w:cs="仿宋_GB2312"/>
                <w:highlight w:val="none"/>
              </w:rPr>
            </w:pPr>
            <w:r>
              <w:rPr>
                <w:rFonts w:hint="eastAsia" w:ascii="宋体" w:hAnsi="宋体" w:eastAsia="仿宋_GB2312" w:cs="仿宋_GB2312"/>
                <w:highlight w:val="none"/>
              </w:rPr>
              <w:t>优</w:t>
            </w:r>
          </w:p>
        </w:tc>
      </w:tr>
    </w:tbl>
    <w:p>
      <w:pPr>
        <w:keepNext w:val="0"/>
        <w:keepLines w:val="0"/>
        <w:pageBreakBefore w:val="0"/>
        <w:widowControl/>
        <w:kinsoku/>
        <w:overflowPunct/>
        <w:topLinePunct w:val="0"/>
        <w:bidi w:val="0"/>
        <w:adjustRightInd w:val="0"/>
        <w:snapToGrid w:val="0"/>
        <w:spacing w:line="560" w:lineRule="exact"/>
        <w:ind w:firstLine="643" w:firstLineChars="200"/>
        <w:jc w:val="left"/>
        <w:rPr>
          <w:rFonts w:ascii="宋体" w:hAnsi="宋体" w:eastAsia="仿宋_GB2312"/>
          <w:highlight w:val="none"/>
        </w:rPr>
      </w:pPr>
      <w:r>
        <w:rPr>
          <w:rFonts w:hint="eastAsia" w:ascii="宋体" w:hAnsi="宋体" w:eastAsia="仿宋_GB2312" w:cs="仿宋_GB2312"/>
          <w:b/>
          <w:bCs/>
          <w:highlight w:val="none"/>
        </w:rPr>
        <w:t>2</w:t>
      </w:r>
      <w:r>
        <w:rPr>
          <w:rFonts w:ascii="宋体" w:hAnsi="宋体" w:eastAsia="仿宋_GB2312" w:cs="仿宋_GB2312"/>
          <w:b/>
          <w:bCs/>
          <w:highlight w:val="none"/>
        </w:rPr>
        <w:t>.</w:t>
      </w:r>
      <w:r>
        <w:rPr>
          <w:rFonts w:hint="eastAsia" w:ascii="宋体" w:hAnsi="宋体" w:eastAsia="仿宋_GB2312" w:cs="仿宋_GB2312"/>
          <w:b/>
          <w:bCs/>
          <w:highlight w:val="none"/>
        </w:rPr>
        <w:t>主要绩效。</w:t>
      </w:r>
      <w:r>
        <w:rPr>
          <w:rFonts w:hint="eastAsia" w:ascii="仿宋_GB2312" w:hAnsi="仿宋" w:eastAsia="仿宋_GB2312"/>
          <w:highlight w:val="none"/>
        </w:rPr>
        <w:t>2020年度，区</w:t>
      </w:r>
      <w:r>
        <w:rPr>
          <w:rFonts w:hint="eastAsia" w:ascii="仿宋_GB2312" w:hAnsi="仿宋" w:eastAsia="仿宋_GB2312"/>
          <w:highlight w:val="none"/>
          <w:lang w:eastAsia="zh-CN"/>
        </w:rPr>
        <w:t>财政局</w:t>
      </w:r>
      <w:r>
        <w:rPr>
          <w:rFonts w:hint="eastAsia" w:ascii="仿宋_GB2312" w:hAnsi="仿宋" w:eastAsia="仿宋_GB2312"/>
          <w:highlight w:val="none"/>
        </w:rPr>
        <w:t>按照《部门（单位）整体支出绩效目标申报表（2020年度）》中设定年度主要工作内容开展工作，完成了东川区2020年</w:t>
      </w:r>
      <w:r>
        <w:rPr>
          <w:rFonts w:hint="eastAsia" w:ascii="宋体" w:hAnsi="宋体" w:eastAsia="仿宋_GB2312"/>
          <w:highlight w:val="none"/>
        </w:rPr>
        <w:t>主要工作目标责任书中规定的主要工作。实现年度目标，预算配置合理，管理规范，职责履职良好。主要表现在以下方面：</w:t>
      </w:r>
    </w:p>
    <w:p>
      <w:pPr>
        <w:keepNext w:val="0"/>
        <w:keepLines w:val="0"/>
        <w:pageBreakBefore w:val="0"/>
        <w:widowControl/>
        <w:kinsoku/>
        <w:overflowPunct/>
        <w:topLinePunct w:val="0"/>
        <w:bidi w:val="0"/>
        <w:adjustRightInd w:val="0"/>
        <w:snapToGrid w:val="0"/>
        <w:spacing w:line="560" w:lineRule="exact"/>
        <w:ind w:firstLine="643" w:firstLineChars="200"/>
        <w:jc w:val="left"/>
        <w:rPr>
          <w:rFonts w:ascii="宋体" w:hAnsi="宋体" w:eastAsia="仿宋_GB2312"/>
          <w:highlight w:val="none"/>
        </w:rPr>
      </w:pPr>
      <w:r>
        <w:rPr>
          <w:rFonts w:hint="eastAsia" w:ascii="宋体" w:hAnsi="宋体" w:eastAsia="仿宋_GB2312"/>
          <w:b/>
          <w:bCs/>
          <w:highlight w:val="none"/>
        </w:rPr>
        <w:t>（1）部门决策方面：</w:t>
      </w:r>
      <w:r>
        <w:rPr>
          <w:rFonts w:hint="eastAsia" w:ascii="宋体" w:hAnsi="宋体" w:eastAsia="仿宋_GB2312"/>
          <w:highlight w:val="none"/>
        </w:rPr>
        <w:t>部门中长期规划目标明确合理，年度工作计划与年度工作目标相一致，并与部门中长期规划目标相结合；部门职能科学合理，与年度工作计划与年度工作目标互相衔接；预算配置合理；人力资源和办公资源得到有效保证；预算绩效管理有效实施。</w:t>
      </w:r>
    </w:p>
    <w:p>
      <w:pPr>
        <w:keepNext w:val="0"/>
        <w:keepLines w:val="0"/>
        <w:pageBreakBefore w:val="0"/>
        <w:widowControl/>
        <w:kinsoku/>
        <w:overflowPunct/>
        <w:topLinePunct w:val="0"/>
        <w:bidi w:val="0"/>
        <w:adjustRightInd w:val="0"/>
        <w:snapToGrid w:val="0"/>
        <w:spacing w:line="560" w:lineRule="exact"/>
        <w:ind w:firstLine="643" w:firstLineChars="200"/>
        <w:jc w:val="left"/>
        <w:rPr>
          <w:rFonts w:ascii="宋体" w:hAnsi="宋体" w:eastAsia="仿宋_GB2312"/>
          <w:highlight w:val="none"/>
        </w:rPr>
      </w:pPr>
      <w:r>
        <w:rPr>
          <w:rFonts w:hint="eastAsia" w:ascii="宋体" w:hAnsi="宋体" w:eastAsia="仿宋_GB2312"/>
          <w:b/>
          <w:bCs/>
          <w:highlight w:val="none"/>
        </w:rPr>
        <w:t>（2）部门管理方面：</w:t>
      </w:r>
      <w:r>
        <w:rPr>
          <w:rFonts w:hint="eastAsia" w:ascii="宋体" w:hAnsi="宋体" w:eastAsia="仿宋_GB2312"/>
          <w:highlight w:val="none"/>
        </w:rPr>
        <w:t>预算管理规范，预算完成率达到要求；预算管理制度完善，规范了财务管理工作；“三公经费”实际执行数有效控制在预算内；管理制度健全且有效执行；政府采购合理规范。</w:t>
      </w:r>
    </w:p>
    <w:p>
      <w:pPr>
        <w:keepNext w:val="0"/>
        <w:keepLines w:val="0"/>
        <w:pageBreakBefore w:val="0"/>
        <w:widowControl/>
        <w:kinsoku/>
        <w:overflowPunct/>
        <w:topLinePunct w:val="0"/>
        <w:bidi w:val="0"/>
        <w:adjustRightInd w:val="0"/>
        <w:snapToGrid w:val="0"/>
        <w:spacing w:line="560" w:lineRule="exact"/>
        <w:ind w:firstLine="643" w:firstLineChars="200"/>
        <w:jc w:val="left"/>
        <w:rPr>
          <w:rFonts w:ascii="宋体" w:hAnsi="宋体" w:eastAsia="仿宋_GB2312"/>
          <w:highlight w:val="none"/>
        </w:rPr>
      </w:pPr>
      <w:r>
        <w:rPr>
          <w:rFonts w:hint="eastAsia" w:ascii="宋体" w:hAnsi="宋体" w:eastAsia="仿宋_GB2312"/>
          <w:b/>
          <w:bCs/>
          <w:highlight w:val="none"/>
        </w:rPr>
        <w:t>（3）部门绩效方面：</w:t>
      </w:r>
      <w:r>
        <w:rPr>
          <w:rFonts w:hint="eastAsia" w:ascii="宋体" w:hAnsi="宋体" w:eastAsia="仿宋_GB2312"/>
          <w:highlight w:val="none"/>
        </w:rPr>
        <w:t>紧紧围绕年初确定的目标，进一步强化组织领导，较好的完成了年度工作任务，职责履行良好；社会公众和服务对象满意度良好，目标群体对部门职责履行及履职效果普遍持肯定态度；但在工作完成及时率方面还有待加强。</w:t>
      </w:r>
      <w:bookmarkStart w:id="57" w:name="_Toc26537_WPSOffice_Level2"/>
      <w:bookmarkStart w:id="58" w:name="_Toc7905_WPSOffice_Level2"/>
      <w:bookmarkStart w:id="59" w:name="_Toc18025_WPSOffice_Level2"/>
    </w:p>
    <w:p>
      <w:pPr>
        <w:keepNext w:val="0"/>
        <w:keepLines w:val="0"/>
        <w:pageBreakBefore w:val="0"/>
        <w:widowControl/>
        <w:kinsoku/>
        <w:overflowPunct/>
        <w:topLinePunct w:val="0"/>
        <w:bidi w:val="0"/>
        <w:adjustRightInd w:val="0"/>
        <w:snapToGrid w:val="0"/>
        <w:spacing w:line="560" w:lineRule="exact"/>
        <w:ind w:firstLine="640" w:firstLineChars="200"/>
        <w:jc w:val="left"/>
        <w:outlineLvl w:val="2"/>
        <w:rPr>
          <w:rFonts w:ascii="宋体" w:hAnsi="宋体" w:eastAsia="楷体_GB2312" w:cs="楷体_GB2312"/>
          <w:highlight w:val="none"/>
        </w:rPr>
      </w:pPr>
      <w:r>
        <w:rPr>
          <w:rFonts w:hint="eastAsia" w:ascii="宋体" w:hAnsi="宋体" w:eastAsia="楷体_GB2312" w:cs="楷体_GB2312"/>
          <w:highlight w:val="none"/>
        </w:rPr>
        <w:t>（二）具体绩效分析</w:t>
      </w:r>
      <w:bookmarkEnd w:id="57"/>
      <w:bookmarkEnd w:id="58"/>
      <w:bookmarkEnd w:id="59"/>
    </w:p>
    <w:p>
      <w:pPr>
        <w:keepNext w:val="0"/>
        <w:keepLines w:val="0"/>
        <w:pageBreakBefore w:val="0"/>
        <w:widowControl/>
        <w:kinsoku/>
        <w:overflowPunct/>
        <w:topLinePunct w:val="0"/>
        <w:bidi w:val="0"/>
        <w:adjustRightInd w:val="0"/>
        <w:snapToGrid w:val="0"/>
        <w:spacing w:line="560" w:lineRule="exact"/>
        <w:ind w:firstLine="640" w:firstLineChars="200"/>
        <w:jc w:val="left"/>
        <w:rPr>
          <w:rFonts w:ascii="宋体" w:hAnsi="宋体" w:eastAsia="仿宋_GB2312" w:cs="仿宋_GB2312"/>
          <w:highlight w:val="none"/>
        </w:rPr>
      </w:pPr>
      <w:r>
        <w:rPr>
          <w:rFonts w:hint="eastAsia" w:ascii="宋体" w:hAnsi="宋体" w:eastAsia="仿宋_GB2312" w:cs="仿宋_GB2312"/>
          <w:highlight w:val="none"/>
        </w:rPr>
        <w:t>1.经济性分析</w:t>
      </w:r>
    </w:p>
    <w:p>
      <w:pPr>
        <w:keepNext w:val="0"/>
        <w:keepLines w:val="0"/>
        <w:pageBreakBefore w:val="0"/>
        <w:widowControl/>
        <w:kinsoku/>
        <w:overflowPunct/>
        <w:topLinePunct w:val="0"/>
        <w:bidi w:val="0"/>
        <w:adjustRightInd w:val="0"/>
        <w:snapToGrid w:val="0"/>
        <w:spacing w:line="560" w:lineRule="exact"/>
        <w:ind w:firstLine="640" w:firstLineChars="200"/>
        <w:jc w:val="left"/>
        <w:rPr>
          <w:rFonts w:hint="eastAsia" w:ascii="仿宋_GB2312" w:hAnsi="仿宋" w:eastAsia="仿宋_GB2312"/>
          <w:highlight w:val="none"/>
        </w:rPr>
      </w:pPr>
      <w:r>
        <w:rPr>
          <w:rFonts w:hint="eastAsia" w:ascii="宋体" w:hAnsi="宋体" w:eastAsia="仿宋_GB2312" w:cs="Arial Unicode MS"/>
          <w:highlight w:val="none"/>
        </w:rPr>
        <w:t>（1</w:t>
      </w:r>
      <w:r>
        <w:rPr>
          <w:rFonts w:ascii="宋体" w:hAnsi="宋体" w:eastAsia="仿宋_GB2312" w:cs="Arial Unicode MS"/>
          <w:highlight w:val="none"/>
        </w:rPr>
        <w:t>）</w:t>
      </w:r>
      <w:r>
        <w:rPr>
          <w:rFonts w:hint="eastAsia" w:ascii="宋体" w:hAnsi="宋体" w:eastAsia="仿宋_GB2312"/>
          <w:highlight w:val="none"/>
        </w:rPr>
        <w:t>本年预算配置控制较好。财政供养人员控制在预算编制以内，</w:t>
      </w:r>
      <w:r>
        <w:rPr>
          <w:rFonts w:hint="eastAsia" w:ascii="仿宋_GB2312" w:hAnsi="仿宋" w:eastAsia="仿宋_GB2312"/>
          <w:highlight w:val="none"/>
        </w:rPr>
        <w:t>“三公”经费支出额控制得当，有效降低了支出。</w:t>
      </w:r>
    </w:p>
    <w:p>
      <w:pPr>
        <w:keepNext w:val="0"/>
        <w:keepLines w:val="0"/>
        <w:pageBreakBefore w:val="0"/>
        <w:widowControl/>
        <w:kinsoku/>
        <w:overflowPunct/>
        <w:topLinePunct w:val="0"/>
        <w:bidi w:val="0"/>
        <w:adjustRightInd w:val="0"/>
        <w:snapToGrid w:val="0"/>
        <w:spacing w:line="560" w:lineRule="exact"/>
        <w:ind w:firstLine="640" w:firstLineChars="200"/>
        <w:jc w:val="left"/>
        <w:rPr>
          <w:rFonts w:ascii="宋体" w:hAnsi="宋体" w:eastAsia="仿宋_GB2312"/>
          <w:highlight w:val="none"/>
        </w:rPr>
      </w:pPr>
      <w:r>
        <w:rPr>
          <w:rFonts w:hint="eastAsia" w:ascii="宋体" w:hAnsi="宋体" w:eastAsia="仿宋_GB2312" w:cs="Arial Unicode MS"/>
          <w:highlight w:val="none"/>
        </w:rPr>
        <w:t>（2）</w:t>
      </w:r>
      <w:r>
        <w:rPr>
          <w:rFonts w:hint="eastAsia" w:ascii="宋体" w:hAnsi="宋体" w:eastAsia="仿宋_GB2312"/>
          <w:highlight w:val="none"/>
        </w:rPr>
        <w:t>预算执行方面。支出总额控制在预算总额以内，基本支出中，财政政策性工资和对个人和家庭的补助支出有所追加（主要为工资提标所致），我</w:t>
      </w:r>
      <w:r>
        <w:rPr>
          <w:rFonts w:hint="eastAsia" w:ascii="宋体" w:hAnsi="宋体" w:eastAsia="仿宋_GB2312"/>
          <w:highlight w:val="none"/>
          <w:lang w:eastAsia="zh-CN"/>
        </w:rPr>
        <w:t>局</w:t>
      </w:r>
      <w:r>
        <w:rPr>
          <w:rFonts w:hint="eastAsia" w:ascii="宋体" w:hAnsi="宋体" w:eastAsia="仿宋_GB2312"/>
          <w:highlight w:val="none"/>
        </w:rPr>
        <w:t>预算资金按照规定管理使用。</w:t>
      </w:r>
    </w:p>
    <w:p>
      <w:pPr>
        <w:keepNext w:val="0"/>
        <w:keepLines w:val="0"/>
        <w:pageBreakBefore w:val="0"/>
        <w:widowControl/>
        <w:kinsoku/>
        <w:overflowPunct/>
        <w:topLinePunct w:val="0"/>
        <w:bidi w:val="0"/>
        <w:adjustRightInd w:val="0"/>
        <w:snapToGrid w:val="0"/>
        <w:spacing w:line="560" w:lineRule="exact"/>
        <w:ind w:firstLine="640" w:firstLineChars="200"/>
        <w:jc w:val="left"/>
        <w:rPr>
          <w:rFonts w:ascii="宋体" w:hAnsi="宋体" w:eastAsia="仿宋_GB2312"/>
          <w:highlight w:val="none"/>
        </w:rPr>
      </w:pPr>
      <w:r>
        <w:rPr>
          <w:rFonts w:hint="eastAsia" w:ascii="宋体" w:hAnsi="宋体" w:eastAsia="仿宋_GB2312" w:cs="Arial Unicode MS"/>
          <w:highlight w:val="none"/>
        </w:rPr>
        <w:t>（3）</w:t>
      </w:r>
      <w:r>
        <w:rPr>
          <w:rFonts w:hint="eastAsia" w:ascii="宋体" w:hAnsi="宋体" w:eastAsia="仿宋_GB2312"/>
          <w:highlight w:val="none"/>
        </w:rPr>
        <w:t>预算管理方面。我</w:t>
      </w:r>
      <w:r>
        <w:rPr>
          <w:rFonts w:hint="eastAsia" w:ascii="宋体" w:hAnsi="宋体" w:eastAsia="仿宋_GB2312"/>
          <w:highlight w:val="none"/>
          <w:lang w:eastAsia="zh-CN"/>
        </w:rPr>
        <w:t>局</w:t>
      </w:r>
      <w:r>
        <w:rPr>
          <w:rFonts w:hint="eastAsia" w:ascii="宋体" w:hAnsi="宋体" w:eastAsia="仿宋_GB2312"/>
          <w:highlight w:val="none"/>
        </w:rPr>
        <w:t>制定了切实有效的内部管理制度和经费支出控制方案，有较强的内控风险管理意识、各项经费支出得到了有效控制。</w:t>
      </w:r>
    </w:p>
    <w:p>
      <w:pPr>
        <w:keepNext w:val="0"/>
        <w:keepLines w:val="0"/>
        <w:pageBreakBefore w:val="0"/>
        <w:widowControl/>
        <w:kinsoku/>
        <w:overflowPunct/>
        <w:topLinePunct w:val="0"/>
        <w:bidi w:val="0"/>
        <w:adjustRightInd w:val="0"/>
        <w:snapToGrid w:val="0"/>
        <w:spacing w:line="560" w:lineRule="exact"/>
        <w:ind w:firstLine="640" w:firstLineChars="200"/>
        <w:jc w:val="left"/>
        <w:rPr>
          <w:rFonts w:hint="eastAsia" w:ascii="宋体" w:hAnsi="宋体" w:eastAsia="仿宋_GB2312" w:cs="仿宋_GB2312"/>
          <w:highlight w:val="none"/>
        </w:rPr>
      </w:pPr>
      <w:r>
        <w:rPr>
          <w:rFonts w:hint="eastAsia" w:ascii="宋体" w:hAnsi="宋体" w:eastAsia="仿宋_GB2312" w:cs="仿宋_GB2312"/>
          <w:highlight w:val="none"/>
        </w:rPr>
        <w:t>2.效率性分析</w:t>
      </w:r>
    </w:p>
    <w:p>
      <w:pPr>
        <w:keepNext w:val="0"/>
        <w:keepLines w:val="0"/>
        <w:pageBreakBefore w:val="0"/>
        <w:widowControl/>
        <w:kinsoku/>
        <w:overflowPunct/>
        <w:topLinePunct w:val="0"/>
        <w:bidi w:val="0"/>
        <w:adjustRightInd w:val="0"/>
        <w:snapToGrid w:val="0"/>
        <w:spacing w:line="560" w:lineRule="exact"/>
        <w:ind w:firstLine="640" w:firstLineChars="200"/>
        <w:jc w:val="left"/>
        <w:rPr>
          <w:rFonts w:hint="eastAsia"/>
          <w:highlight w:val="none"/>
        </w:rPr>
      </w:pPr>
      <w:r>
        <w:rPr>
          <w:rFonts w:hint="eastAsia" w:ascii="宋体" w:hAnsi="宋体" w:eastAsia="仿宋_GB2312" w:cs="仿宋_GB2312"/>
          <w:highlight w:val="none"/>
        </w:rPr>
        <w:t>区</w:t>
      </w:r>
      <w:r>
        <w:rPr>
          <w:rFonts w:hint="eastAsia" w:ascii="宋体" w:hAnsi="宋体" w:eastAsia="仿宋_GB2312" w:cs="仿宋_GB2312"/>
          <w:highlight w:val="none"/>
          <w:lang w:eastAsia="zh-CN"/>
        </w:rPr>
        <w:t>财政局</w:t>
      </w:r>
      <w:r>
        <w:rPr>
          <w:rFonts w:hint="eastAsia" w:ascii="仿宋_GB2312" w:hAnsi="仿宋" w:eastAsia="仿宋_GB2312"/>
          <w:highlight w:val="none"/>
        </w:rPr>
        <w:t>2020</w:t>
      </w:r>
      <w:r>
        <w:rPr>
          <w:rFonts w:hint="eastAsia" w:ascii="宋体" w:hAnsi="宋体" w:eastAsia="仿宋_GB2312" w:cs="仿宋_GB2312"/>
          <w:highlight w:val="none"/>
        </w:rPr>
        <w:t>年部门整体支出绩效情况良好，各</w:t>
      </w:r>
      <w:r>
        <w:rPr>
          <w:rFonts w:hint="eastAsia" w:ascii="宋体" w:hAnsi="宋体" w:eastAsia="仿宋_GB2312" w:cs="仿宋_GB2312"/>
          <w:highlight w:val="none"/>
          <w:lang w:eastAsia="zh-CN"/>
        </w:rPr>
        <w:t>中心</w:t>
      </w:r>
      <w:r>
        <w:rPr>
          <w:rFonts w:hint="eastAsia" w:ascii="宋体" w:hAnsi="宋体" w:eastAsia="仿宋_GB2312" w:cs="仿宋_GB2312"/>
          <w:highlight w:val="none"/>
        </w:rPr>
        <w:t>、各科室均按年初设定的目标任务执行效率完成各项工作</w:t>
      </w:r>
      <w:r>
        <w:rPr>
          <w:rFonts w:ascii="宋体" w:hAnsi="宋体" w:eastAsia="仿宋_GB2312"/>
          <w:highlight w:val="none"/>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3" w:firstLineChars="200"/>
        <w:jc w:val="both"/>
        <w:textAlignment w:val="baseline"/>
        <w:outlineLvl w:val="0"/>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一是全力支持保障疫情防控阻击战</w:t>
      </w:r>
      <w:r>
        <w:rPr>
          <w:rFonts w:ascii="Times New Roman" w:hAnsi="Times New Roman" w:eastAsia="仿宋_GB2312"/>
          <w:b/>
          <w:bCs/>
          <w:sz w:val="32"/>
          <w:szCs w:val="32"/>
          <w:highlight w:val="none"/>
        </w:rPr>
        <w:t>。</w:t>
      </w:r>
      <w:r>
        <w:rPr>
          <w:rFonts w:ascii="Times New Roman" w:hAnsi="Times New Roman" w:eastAsia="仿宋_GB2312"/>
          <w:sz w:val="32"/>
          <w:szCs w:val="32"/>
          <w:highlight w:val="none"/>
        </w:rPr>
        <w:t>把疫情防控投入保障抓牢实，认真落实各类财政支持政策，通过压减一般性支出、其他一般性专项资金支出和库款调度等多种形式多渠道筹集防疫资金，开通资金拨付绿色通道，确保其经费保障支出政策不折不扣落实，确保不因资金问题影响疫情防控。累计拨付疫情防控资金2247.96万元，其中：中央资金1560.68万元，省级资金101.08万元，市级资金82万元，区级资金504.2万元。</w:t>
      </w:r>
      <w:r>
        <w:rPr>
          <w:rFonts w:hint="eastAsia" w:ascii="Times New Roman" w:hAnsi="Times New Roman" w:eastAsia="仿宋_GB2312"/>
          <w:b/>
          <w:bCs/>
          <w:sz w:val="32"/>
          <w:szCs w:val="32"/>
          <w:highlight w:val="none"/>
        </w:rPr>
        <w:t>二是</w:t>
      </w:r>
      <w:r>
        <w:rPr>
          <w:rFonts w:hint="eastAsia" w:ascii="仿宋_GB2312" w:hAnsi="仿宋_GB2312" w:eastAsia="仿宋_GB2312" w:cs="仿宋_GB2312"/>
          <w:b/>
          <w:bCs/>
          <w:sz w:val="32"/>
          <w:szCs w:val="32"/>
          <w:highlight w:val="none"/>
        </w:rPr>
        <w:t>抓好惠企利民政策落实</w:t>
      </w:r>
      <w:r>
        <w:rPr>
          <w:rFonts w:hint="eastAsia" w:ascii="Times New Roman" w:hAnsi="Times New Roman" w:eastAsia="仿宋_GB2312"/>
          <w:b/>
          <w:bCs/>
          <w:sz w:val="32"/>
          <w:szCs w:val="32"/>
          <w:highlight w:val="none"/>
        </w:rPr>
        <w:t>。</w:t>
      </w:r>
      <w:r>
        <w:rPr>
          <w:rFonts w:hint="eastAsia" w:ascii="Times New Roman" w:hAnsi="Times New Roman" w:eastAsia="仿宋_GB2312"/>
          <w:sz w:val="32"/>
          <w:szCs w:val="32"/>
          <w:highlight w:val="none"/>
        </w:rPr>
        <w:t>认真落实“省22条、市20条、区24条”应对疫情支持企业健康发展措施，落实落细财税政策支持和财政资金保障。目前，通过“阳光云财一网通”平台（云南省财政资金支持市场主体综合服务平台）等方式，积极帮助企业向上申报项目，争取财政专项资金支持，共向上级部门申报11类财政专项资金，涉及企业67家，上级已下达资金939万元。</w:t>
      </w:r>
      <w:r>
        <w:rPr>
          <w:rFonts w:hint="eastAsia" w:ascii="Times New Roman" w:hAnsi="Times New Roman" w:eastAsia="仿宋_GB2312"/>
          <w:sz w:val="32"/>
          <w:szCs w:val="32"/>
          <w:highlight w:val="none"/>
          <w:lang w:eastAsia="zh-CN"/>
        </w:rPr>
        <w:t>统筹整合产业发展资金</w:t>
      </w:r>
      <w:r>
        <w:rPr>
          <w:rFonts w:hint="eastAsia" w:ascii="Times New Roman" w:hAnsi="Times New Roman" w:eastAsia="仿宋_GB2312"/>
          <w:sz w:val="32"/>
          <w:szCs w:val="32"/>
          <w:highlight w:val="none"/>
          <w:lang w:val="en-US" w:eastAsia="zh-CN"/>
        </w:rPr>
        <w:t>1亿元，</w:t>
      </w:r>
      <w:r>
        <w:rPr>
          <w:rFonts w:hint="eastAsia" w:ascii="Times New Roman" w:hAnsi="Times New Roman" w:eastAsia="仿宋_GB2312"/>
          <w:sz w:val="32"/>
          <w:szCs w:val="32"/>
          <w:highlight w:val="none"/>
        </w:rPr>
        <w:t>对全区企业职工医保单位缴费部分阶段性减半征收1171万元。为149家中小企业减免房租91.25万元。加大金融机构持续对名单制管理企业的资金支持力度，向9户名单制管理企业新增贷款2,445万元；向中小微企业发放贷款23,670万元。</w:t>
      </w:r>
      <w:r>
        <w:rPr>
          <w:rFonts w:hint="eastAsia" w:ascii="Times New Roman" w:hAnsi="Times New Roman" w:eastAsia="仿宋_GB2312"/>
          <w:b/>
          <w:bCs/>
          <w:sz w:val="32"/>
          <w:szCs w:val="32"/>
          <w:highlight w:val="none"/>
        </w:rPr>
        <w:t>三是全力支持打好三大攻坚战。</w:t>
      </w:r>
      <w:r>
        <w:rPr>
          <w:rFonts w:ascii="Times New Roman" w:hAnsi="Times New Roman" w:eastAsia="仿宋_GB2312"/>
          <w:b/>
          <w:bCs/>
          <w:sz w:val="32"/>
          <w:szCs w:val="32"/>
          <w:highlight w:val="none"/>
        </w:rPr>
        <w:t>助</w:t>
      </w:r>
      <w:r>
        <w:rPr>
          <w:rFonts w:hint="eastAsia" w:ascii="Times New Roman" w:hAnsi="Times New Roman" w:eastAsia="仿宋_GB2312"/>
          <w:b/>
          <w:bCs/>
          <w:sz w:val="32"/>
          <w:szCs w:val="32"/>
          <w:highlight w:val="none"/>
        </w:rPr>
        <w:t>力</w:t>
      </w:r>
      <w:r>
        <w:rPr>
          <w:rFonts w:ascii="Times New Roman" w:hAnsi="Times New Roman" w:eastAsia="仿宋_GB2312"/>
          <w:sz w:val="32"/>
          <w:szCs w:val="32"/>
          <w:highlight w:val="none"/>
        </w:rPr>
        <w:t>脱贫</w:t>
      </w:r>
      <w:r>
        <w:rPr>
          <w:rFonts w:hint="eastAsia" w:ascii="Times New Roman" w:hAnsi="Times New Roman" w:eastAsia="仿宋_GB2312"/>
          <w:sz w:val="32"/>
          <w:szCs w:val="32"/>
          <w:highlight w:val="none"/>
        </w:rPr>
        <w:t>攻坚</w:t>
      </w:r>
      <w:r>
        <w:rPr>
          <w:rFonts w:ascii="Times New Roman" w:hAnsi="Times New Roman" w:eastAsia="仿宋_GB2312"/>
          <w:sz w:val="32"/>
          <w:szCs w:val="32"/>
          <w:highlight w:val="none"/>
        </w:rPr>
        <w:t>。以“两不愁三保障”为根本，紧紧围绕“筹资金、用资金、管资金”三个重点，创新机制，健全制度，严格监管，全力强化脱贫攻坚资金保障服务工作。截止目前，共投入各级财政扶贫资金11.94亿元，用于发展教育、社会保障兜底脱贫、健康救助、产业扶贫、基础设施建设和易地扶贫搬迁等扶贫项目，其中区级统筹整合资金38,551.72万元，支持花椒产业、小额信贷、扶贫车间、发展壮大村集体经济和农村饮水安全等。</w:t>
      </w:r>
      <w:r>
        <w:rPr>
          <w:rFonts w:ascii="Times New Roman" w:hAnsi="Times New Roman" w:eastAsia="仿宋_GB2312"/>
          <w:b/>
          <w:bCs/>
          <w:sz w:val="32"/>
          <w:szCs w:val="32"/>
          <w:highlight w:val="none"/>
        </w:rPr>
        <w:t>管控</w:t>
      </w:r>
      <w:r>
        <w:rPr>
          <w:rFonts w:hint="eastAsia" w:ascii="Times New Roman" w:hAnsi="Times New Roman" w:eastAsia="仿宋_GB2312"/>
          <w:sz w:val="32"/>
          <w:szCs w:val="32"/>
          <w:highlight w:val="none"/>
        </w:rPr>
        <w:t>债务</w:t>
      </w:r>
      <w:r>
        <w:rPr>
          <w:rFonts w:ascii="Times New Roman" w:hAnsi="Times New Roman" w:eastAsia="仿宋_GB2312"/>
          <w:sz w:val="32"/>
          <w:szCs w:val="32"/>
          <w:highlight w:val="none"/>
        </w:rPr>
        <w:t>风险。健全领导机构、制定化债计划、完善工作考核机制，把目标任务分解到各具体债务责任单位。建立预警提示督办机制。根据债务到期情况，按照提前3个月提示，提前2个月预警，提前1个月督办的工作机制，督促各责任主体加大资金、资源统筹力度，提前落实偿债资金安排，确保到期债务及时偿还，避免出现违约风险。建立军令状目标任务落实情况和专项债券资金使用情况专报制度，对发现问题和存在困难及时梳理报区政府性债务和投资管理委员会主要领导和相关单位。抓好专项债券资金争取和新增债券项目申报。2020年积极向上争取专项债券资金2亿元，再融资债券资金2.55亿元，缓解重点项目筹资压力和偿还到期债务压力。做好2021年新增债券项目储备、遴选和推送工作，共上报2021年债券需求37个项目，资金61.85亿元。</w:t>
      </w:r>
      <w:r>
        <w:rPr>
          <w:rFonts w:hint="eastAsia" w:ascii="Times New Roman" w:hAnsi="Times New Roman" w:eastAsia="仿宋_GB2312" w:cs="Times New Roman"/>
          <w:b/>
          <w:bCs/>
          <w:spacing w:val="0"/>
          <w:w w:val="100"/>
          <w:sz w:val="32"/>
          <w:szCs w:val="32"/>
          <w:highlight w:val="none"/>
          <w:lang w:val="en-US" w:eastAsia="zh-CN"/>
        </w:rPr>
        <w:t>四是扎实推进直达资金管理使用。</w:t>
      </w:r>
      <w:r>
        <w:rPr>
          <w:rFonts w:hint="default" w:ascii="Times New Roman" w:hAnsi="Times New Roman" w:eastAsia="仿宋_GB2312" w:cs="Times New Roman"/>
          <w:spacing w:val="0"/>
          <w:w w:val="100"/>
          <w:sz w:val="32"/>
          <w:szCs w:val="32"/>
          <w:highlight w:val="none"/>
          <w:lang w:val="en-US" w:eastAsia="zh-CN"/>
        </w:rPr>
        <w:t>截止11月9日，累计收到直达资金34,084.78万元，其中，特殊转移支付13,536.76万元，抗疫特别国债1,373万元，正常转移支付的直达资金7,660.56万元，参照直达资金11,514.46万元，调整标识为直达资金的转移支付10,730.65万元。累计拨付直达资金28,544.85万元，其中，特殊转移支付12,163.76万元，抗疫特别国债1,176.48万元，正常转移支付的直达资金7,660.56万元；参照直达资金7,594.05万元。调整标识为直达资金的转移支付10,730.65万元，支出进度100%。</w:t>
      </w:r>
      <w:r>
        <w:rPr>
          <w:rFonts w:ascii="Times New Roman" w:hAnsi="Times New Roman" w:eastAsia="仿宋_GB2312"/>
          <w:sz w:val="32"/>
          <w:szCs w:val="32"/>
          <w:highlight w:val="none"/>
        </w:rPr>
        <w:t>所有资金都严格</w:t>
      </w:r>
      <w:r>
        <w:rPr>
          <w:rFonts w:ascii="Times New Roman" w:hAnsi="Times New Roman" w:eastAsia="仿宋_GB2312"/>
          <w:sz w:val="32"/>
          <w:szCs w:val="32"/>
          <w:highlight w:val="none"/>
          <w:lang w:val="zh-CN"/>
        </w:rPr>
        <w:t>按照国库集中支付制度和直达资金使用要求，</w:t>
      </w:r>
      <w:r>
        <w:rPr>
          <w:rFonts w:ascii="Times New Roman" w:hAnsi="Times New Roman" w:eastAsia="仿宋_GB2312"/>
          <w:sz w:val="32"/>
          <w:szCs w:val="32"/>
          <w:highlight w:val="none"/>
        </w:rPr>
        <w:t>及时将资金收支信息录入监控系统，</w:t>
      </w:r>
      <w:r>
        <w:rPr>
          <w:rFonts w:ascii="Times New Roman" w:hAnsi="Times New Roman" w:eastAsia="仿宋_GB2312"/>
          <w:sz w:val="32"/>
          <w:szCs w:val="32"/>
          <w:highlight w:val="none"/>
          <w:lang w:val="zh-CN"/>
        </w:rPr>
        <w:t>点对点将资金支付到最终收款人，未发生现金方式支付、将资金转至预算单位实有资金账户的情况。</w:t>
      </w:r>
      <w:r>
        <w:rPr>
          <w:rFonts w:hint="eastAsia" w:ascii="Times New Roman" w:hAnsi="Times New Roman" w:eastAsia="仿宋_GB2312"/>
          <w:b/>
          <w:bCs/>
          <w:sz w:val="32"/>
          <w:szCs w:val="32"/>
          <w:highlight w:val="none"/>
        </w:rPr>
        <w:t>五是切实兜牢兜实“三保”支出。</w:t>
      </w:r>
      <w:r>
        <w:rPr>
          <w:rFonts w:ascii="Times New Roman" w:hAnsi="Times New Roman" w:eastAsia="仿宋_GB2312"/>
          <w:sz w:val="32"/>
          <w:szCs w:val="32"/>
          <w:highlight w:val="none"/>
        </w:rPr>
        <w:t>拟定《东川区2020年“三保”支出化解方案》、《昆明市东川区“三保”风险应急处置预案》、《东川区保基层运转工作方案》，结合各部门职责，从组织机构、预警监测、应急响应及后期处置等方面明确了我区各部门应对“三保”风险的权责划分和工作流程，完善了我区应对“三保”风险的制度机制。</w:t>
      </w:r>
      <w:r>
        <w:rPr>
          <w:rFonts w:hint="eastAsia" w:ascii="Times New Roman" w:hAnsi="Times New Roman" w:eastAsia="仿宋_GB2312"/>
          <w:b/>
          <w:bCs/>
          <w:sz w:val="32"/>
          <w:szCs w:val="32"/>
          <w:highlight w:val="none"/>
        </w:rPr>
        <w:t>六是</w:t>
      </w:r>
      <w:r>
        <w:rPr>
          <w:rFonts w:ascii="Times New Roman" w:hAnsi="Times New Roman" w:eastAsia="仿宋_GB2312"/>
          <w:b/>
          <w:bCs/>
          <w:sz w:val="32"/>
          <w:szCs w:val="32"/>
          <w:highlight w:val="none"/>
        </w:rPr>
        <w:t>加强预算执行管理。</w:t>
      </w:r>
      <w:r>
        <w:rPr>
          <w:rFonts w:hint="default" w:ascii="Times New Roman" w:hAnsi="Times New Roman" w:eastAsia="仿宋_GB2312" w:cs="Times New Roman"/>
          <w:sz w:val="32"/>
          <w:szCs w:val="32"/>
          <w:highlight w:val="none"/>
          <w:lang w:val="en-US" w:eastAsia="zh-CN"/>
        </w:rPr>
        <w:t>抓好</w:t>
      </w:r>
      <w:r>
        <w:rPr>
          <w:rFonts w:hint="default" w:ascii="Times New Roman" w:hAnsi="Times New Roman" w:eastAsia="仿宋_GB2312" w:cs="Times New Roman"/>
          <w:sz w:val="32"/>
          <w:szCs w:val="32"/>
          <w:highlight w:val="none"/>
          <w:lang w:eastAsia="zh-CN"/>
        </w:rPr>
        <w:t>新修订的《预算法实施条例》</w:t>
      </w:r>
      <w:r>
        <w:rPr>
          <w:rFonts w:hint="default" w:ascii="Times New Roman" w:hAnsi="Times New Roman" w:eastAsia="仿宋_GB2312" w:cs="Times New Roman"/>
          <w:sz w:val="32"/>
          <w:szCs w:val="32"/>
          <w:highlight w:val="none"/>
          <w:lang w:val="en-US" w:eastAsia="zh-CN"/>
        </w:rPr>
        <w:t>宣传培训和</w:t>
      </w:r>
      <w:r>
        <w:rPr>
          <w:rFonts w:hint="default" w:ascii="Times New Roman" w:hAnsi="Times New Roman" w:eastAsia="仿宋_GB2312" w:cs="Times New Roman"/>
          <w:sz w:val="32"/>
          <w:szCs w:val="32"/>
          <w:highlight w:val="none"/>
          <w:lang w:eastAsia="zh-CN"/>
        </w:rPr>
        <w:t>贯彻落实要求，</w:t>
      </w:r>
      <w:r>
        <w:rPr>
          <w:rFonts w:hint="eastAsia" w:ascii="Times New Roman" w:hAnsi="Times New Roman" w:eastAsia="仿宋_GB2312"/>
          <w:sz w:val="32"/>
          <w:szCs w:val="32"/>
          <w:highlight w:val="none"/>
        </w:rPr>
        <w:t>制定《东川区贯彻落实进一步加强支出预算管理实施方案》《关于进一步规范指标管理的通知》，进一步规范和加强了预算执行管理。</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仿宋_GB2312" w:hAnsi="仿宋" w:eastAsia="仿宋_GB2312"/>
          <w:highlight w:val="none"/>
        </w:rPr>
      </w:pPr>
      <w:r>
        <w:rPr>
          <w:rFonts w:hint="eastAsia" w:ascii="宋体" w:hAnsi="宋体" w:eastAsia="仿宋_GB2312" w:cs="仿宋_GB2312"/>
          <w:highlight w:val="none"/>
        </w:rPr>
        <w:t>3.效益性分析。区</w:t>
      </w:r>
      <w:r>
        <w:rPr>
          <w:rFonts w:hint="eastAsia" w:ascii="宋体" w:hAnsi="宋体" w:eastAsia="仿宋_GB2312" w:cs="仿宋_GB2312"/>
          <w:highlight w:val="none"/>
          <w:lang w:eastAsia="zh-CN"/>
        </w:rPr>
        <w:t>财政局</w:t>
      </w:r>
      <w:r>
        <w:rPr>
          <w:rFonts w:hint="eastAsia" w:ascii="宋体" w:hAnsi="宋体" w:eastAsia="仿宋_GB2312" w:cs="仿宋_GB2312"/>
          <w:highlight w:val="none"/>
        </w:rPr>
        <w:t>较好地完成了</w:t>
      </w:r>
      <w:r>
        <w:rPr>
          <w:rFonts w:hint="eastAsia" w:ascii="仿宋_GB2312" w:hAnsi="仿宋" w:eastAsia="仿宋_GB2312"/>
          <w:highlight w:val="none"/>
        </w:rPr>
        <w:t>2020年</w:t>
      </w:r>
      <w:r>
        <w:rPr>
          <w:rFonts w:hint="eastAsia" w:ascii="宋体" w:hAnsi="宋体" w:eastAsia="仿宋_GB2312" w:cs="仿宋_GB2312"/>
          <w:highlight w:val="none"/>
        </w:rPr>
        <w:t>初设定的工作任务，</w:t>
      </w:r>
      <w:r>
        <w:rPr>
          <w:rFonts w:hint="eastAsia" w:ascii="仿宋_GB2312" w:hAnsi="仿宋" w:eastAsia="仿宋_GB2312"/>
          <w:highlight w:val="none"/>
        </w:rPr>
        <w:t>2020年</w:t>
      </w:r>
      <w:r>
        <w:rPr>
          <w:rFonts w:hint="eastAsia" w:ascii="宋体" w:hAnsi="宋体" w:eastAsia="仿宋_GB2312" w:cs="仿宋_GB2312"/>
          <w:highlight w:val="none"/>
        </w:rPr>
        <w:t>专项经费实际支出未超出预算规定。区</w:t>
      </w:r>
      <w:r>
        <w:rPr>
          <w:rFonts w:hint="eastAsia" w:ascii="宋体" w:hAnsi="宋体" w:eastAsia="仿宋_GB2312" w:cs="仿宋_GB2312"/>
          <w:highlight w:val="none"/>
          <w:lang w:eastAsia="zh-CN"/>
        </w:rPr>
        <w:t>财政局</w:t>
      </w:r>
      <w:r>
        <w:rPr>
          <w:rFonts w:hint="eastAsia" w:ascii="宋体" w:hAnsi="宋体" w:eastAsia="仿宋_GB2312" w:cs="仿宋_GB2312"/>
          <w:highlight w:val="none"/>
        </w:rPr>
        <w:t>认真履行工作职责，及时完成年初制定的各项工作任务</w:t>
      </w:r>
      <w:r>
        <w:rPr>
          <w:rFonts w:hint="eastAsia" w:ascii="仿宋_GB2312" w:hAnsi="仿宋" w:eastAsia="仿宋_GB2312"/>
          <w:highlight w:val="none"/>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黑体"/>
          <w:szCs w:val="32"/>
          <w:highlight w:val="none"/>
        </w:rPr>
      </w:pPr>
      <w:r>
        <w:rPr>
          <w:rFonts w:hint="eastAsia" w:ascii="宋体" w:hAnsi="宋体" w:eastAsia="黑体"/>
          <w:szCs w:val="32"/>
          <w:highlight w:val="none"/>
        </w:rPr>
        <w:t>五、主要经验做法</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cs="仿宋_GB2312"/>
          <w:highlight w:val="none"/>
        </w:rPr>
      </w:pPr>
      <w:r>
        <w:rPr>
          <w:rFonts w:hint="eastAsia" w:ascii="宋体" w:hAnsi="宋体" w:eastAsia="仿宋_GB2312" w:cs="仿宋_GB2312"/>
          <w:highlight w:val="none"/>
        </w:rPr>
        <w:t>2020年，东川区</w:t>
      </w:r>
      <w:r>
        <w:rPr>
          <w:rFonts w:hint="eastAsia" w:ascii="宋体" w:hAnsi="宋体" w:eastAsia="仿宋_GB2312" w:cs="仿宋_GB2312"/>
          <w:highlight w:val="none"/>
          <w:lang w:eastAsia="zh-CN"/>
        </w:rPr>
        <w:t>财政</w:t>
      </w:r>
      <w:r>
        <w:rPr>
          <w:rFonts w:hint="eastAsia" w:ascii="宋体" w:hAnsi="宋体" w:eastAsia="仿宋_GB2312" w:cs="仿宋_GB2312"/>
          <w:highlight w:val="none"/>
        </w:rPr>
        <w:t>局以实现绩效目标为导向，进一步加强制度建设，提升自评质量，预算绩效管理取得新成效。一是抓好绩效目标编制，及时报送绩效目标。二是探索绩效跟踪监控，按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绩效管理工作水平，确保工作有序开展。</w:t>
      </w:r>
      <w:bookmarkStart w:id="60" w:name="_Toc27884_WPSOffice_Level1"/>
      <w:bookmarkStart w:id="61" w:name="_Toc13238_WPSOffice_Level1"/>
      <w:bookmarkStart w:id="62" w:name="_Toc8854_WPSOffice_Level1"/>
      <w:bookmarkStart w:id="63" w:name="_Toc32044_WPSOffice_Level1"/>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1" w:firstLineChars="200"/>
        <w:jc w:val="both"/>
        <w:textAlignment w:val="baseline"/>
        <w:outlineLvl w:val="0"/>
        <w:rPr>
          <w:rFonts w:hint="eastAsia" w:ascii="宋体" w:hAnsi="宋体" w:eastAsia="黑体" w:cs="黑体"/>
          <w:b/>
          <w:highlight w:val="none"/>
        </w:rPr>
      </w:pPr>
      <w:r>
        <w:rPr>
          <w:rFonts w:hint="eastAsia" w:ascii="宋体" w:hAnsi="宋体" w:eastAsia="黑体" w:cs="黑体"/>
          <w:b/>
          <w:highlight w:val="none"/>
          <w:lang w:eastAsia="zh-CN"/>
        </w:rPr>
        <w:t>六</w:t>
      </w:r>
      <w:r>
        <w:rPr>
          <w:rFonts w:hint="eastAsia" w:ascii="宋体" w:hAnsi="宋体" w:eastAsia="黑体" w:cs="黑体"/>
          <w:b/>
          <w:highlight w:val="none"/>
        </w:rPr>
        <w:t>、存在的问题</w:t>
      </w:r>
      <w:bookmarkEnd w:id="60"/>
      <w:bookmarkEnd w:id="61"/>
      <w:bookmarkEnd w:id="62"/>
      <w:bookmarkEnd w:id="63"/>
      <w:bookmarkStart w:id="64" w:name="_Toc11881_WPSOffice_Level1"/>
      <w:bookmarkStart w:id="65" w:name="_Toc32557_WPSOffice_Level1"/>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highlight w:val="none"/>
        </w:rPr>
      </w:pPr>
      <w:r>
        <w:rPr>
          <w:rFonts w:hint="eastAsia" w:ascii="宋体" w:hAnsi="宋体" w:eastAsia="仿宋_GB2312"/>
          <w:highlight w:val="none"/>
        </w:rPr>
        <w:t>（一）绩效评价管理制度尚不健全。</w:t>
      </w:r>
      <w:r>
        <w:rPr>
          <w:rFonts w:hint="eastAsia" w:ascii="宋体" w:hAnsi="宋体" w:eastAsia="仿宋_GB2312" w:cs="宋体"/>
          <w:highlight w:val="none"/>
        </w:rPr>
        <w:t>办公室内部的绩效</w:t>
      </w:r>
      <w:r>
        <w:rPr>
          <w:rFonts w:hint="eastAsia" w:ascii="宋体" w:hAnsi="宋体" w:eastAsia="仿宋_GB2312"/>
          <w:highlight w:val="none"/>
        </w:rPr>
        <w:t>管理办法和实施细则待进一步完善，绩效评价开展缺乏强健全的制度保障。</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highlight w:val="none"/>
        </w:rPr>
      </w:pPr>
      <w:r>
        <w:rPr>
          <w:rFonts w:hint="eastAsia" w:ascii="宋体" w:hAnsi="宋体" w:eastAsia="仿宋_GB2312"/>
          <w:highlight w:val="none"/>
        </w:rPr>
        <w:t>（二）绩效评价指标体系还不够完善、合理。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highlight w:val="none"/>
        </w:rPr>
      </w:pPr>
      <w:r>
        <w:rPr>
          <w:rFonts w:hint="eastAsia" w:ascii="宋体" w:hAnsi="宋体" w:eastAsia="仿宋_GB2312"/>
          <w:highlight w:val="none"/>
        </w:rPr>
        <w:t>（三）对绩效评价工作的认识不够。相关项目职责部门配合不够，往往只能提供有限的财经资料或简单的工作计划、工作总结，绩效评价工作资料有限，对绩效评价工作造成一定影响。</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highlight w:val="none"/>
        </w:rPr>
      </w:pPr>
      <w:r>
        <w:rPr>
          <w:rFonts w:hint="eastAsia" w:ascii="宋体" w:hAnsi="宋体" w:eastAsia="仿宋_GB2312"/>
          <w:highlight w:val="none"/>
        </w:rPr>
        <w:t>（四）评价效果有待进一步提高。由于预算绩效管理工作开展时间短，涉及面广，专业性强，加上缺乏系统的培训，单位对预算绩效管理理解不充分，对预算绩效管理业务不精通，在一定程度上影响了绩效评价工作效果。</w:t>
      </w:r>
      <w:bookmarkStart w:id="66" w:name="_Toc20169_WPSOffice_Level1"/>
      <w:bookmarkStart w:id="67" w:name="_Toc31454_WPSOffice_Level1"/>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黑体" w:cs="黑体"/>
          <w:bCs/>
          <w:color w:val="000000"/>
          <w:kern w:val="0"/>
          <w:highlight w:val="none"/>
        </w:rPr>
      </w:pPr>
      <w:r>
        <w:rPr>
          <w:rFonts w:hint="eastAsia" w:ascii="宋体" w:hAnsi="宋体" w:eastAsia="黑体" w:cs="黑体"/>
          <w:bCs/>
          <w:kern w:val="0"/>
          <w:highlight w:val="none"/>
          <w:lang w:eastAsia="zh-CN"/>
        </w:rPr>
        <w:t>七</w:t>
      </w:r>
      <w:r>
        <w:rPr>
          <w:rFonts w:hint="eastAsia" w:ascii="宋体" w:hAnsi="宋体" w:eastAsia="黑体" w:cs="黑体"/>
          <w:bCs/>
          <w:color w:val="000000"/>
          <w:kern w:val="0"/>
          <w:highlight w:val="none"/>
        </w:rPr>
        <w:t>、改进措施</w:t>
      </w:r>
      <w:bookmarkEnd w:id="64"/>
      <w:bookmarkEnd w:id="65"/>
      <w:bookmarkEnd w:id="66"/>
      <w:bookmarkEnd w:id="67"/>
      <w:bookmarkStart w:id="68" w:name="_Toc15570_WPSOffice_Level1"/>
      <w:bookmarkStart w:id="69" w:name="_Toc2700_WPSOffice_Level1"/>
      <w:bookmarkStart w:id="70" w:name="_Toc9401_WPSOffice_Level1"/>
      <w:bookmarkStart w:id="71" w:name="_Toc28500_WPSOffice_Level1"/>
      <w:bookmarkStart w:id="72" w:name="_Toc15360_WPSOffice_Level1"/>
      <w:bookmarkStart w:id="73" w:name="_Toc10555_WPSOffice_Level1"/>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1" w:firstLineChars="200"/>
        <w:jc w:val="both"/>
        <w:textAlignment w:val="baseline"/>
        <w:outlineLvl w:val="0"/>
        <w:rPr>
          <w:rFonts w:hint="eastAsia" w:ascii="宋体" w:hAnsi="宋体" w:eastAsia="仿宋_GB2312" w:cs="仿宋_GB2312"/>
          <w:bCs/>
          <w:highlight w:val="none"/>
        </w:rPr>
      </w:pPr>
      <w:r>
        <w:rPr>
          <w:rStyle w:val="8"/>
          <w:rFonts w:hint="eastAsia" w:ascii="宋体" w:hAnsi="宋体" w:eastAsia="楷体_GB2312"/>
          <w:color w:val="000000"/>
          <w:highlight w:val="none"/>
        </w:rPr>
        <w:t>（</w:t>
      </w:r>
      <w:r>
        <w:rPr>
          <w:rFonts w:hint="eastAsia" w:ascii="宋体" w:hAnsi="宋体" w:eastAsia="楷体_GB2312" w:cs="仿宋_GB2312"/>
          <w:bCs/>
          <w:color w:val="000000"/>
          <w:highlight w:val="none"/>
        </w:rPr>
        <w:t>一）</w:t>
      </w:r>
      <w:r>
        <w:rPr>
          <w:rFonts w:hint="eastAsia" w:ascii="宋体" w:hAnsi="宋体" w:eastAsia="楷体_GB2312" w:cs="仿宋_GB2312"/>
          <w:bCs/>
          <w:highlight w:val="none"/>
        </w:rPr>
        <w:t>强化绩效管理意识，提高绩效目标编报水平。</w:t>
      </w:r>
      <w:r>
        <w:rPr>
          <w:rFonts w:hint="eastAsia" w:ascii="宋体" w:hAnsi="宋体" w:eastAsia="仿宋_GB2312" w:cs="仿宋_GB2312"/>
          <w:bCs/>
          <w:highlight w:val="none"/>
        </w:rPr>
        <w:t>一是加快绩效管理制度的建立工作。对绩效目标设定、绩效跟踪、绩效评价、绩效评价结果应用等流程形成完整的管理制度文件。二是加强部门绩效目标申报基础工作，不断提高绩效目标表编报水平，加大部门绩效目标申报基础工作力度，不断提高绩效目标表编报水平。把加强预算绩效管理作为一项重要的基础工作来抓，加强财政预算前期管理，理清本单位预算管理的总体思路、具体方案和阶段目标。在编报绩效目标申报表时，要注意所细化分解的绩效指标的完整性，确保绩效指标能充分支撑绩效目标；同时，要关注绩效指标的可考核性，可考虑从数量、质量、成本、进度等方面来设置绩效指标。</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firstLine="640" w:firstLineChars="200"/>
        <w:jc w:val="both"/>
        <w:textAlignment w:val="baseline"/>
        <w:outlineLvl w:val="0"/>
        <w:rPr>
          <w:rFonts w:hint="eastAsia" w:ascii="宋体" w:hAnsi="宋体" w:eastAsia="仿宋_GB2312" w:cs="仿宋_GB2312"/>
          <w:bCs/>
          <w:highlight w:val="none"/>
        </w:rPr>
      </w:pPr>
      <w:r>
        <w:rPr>
          <w:rFonts w:hint="eastAsia" w:ascii="宋体" w:hAnsi="宋体" w:eastAsia="楷体_GB2312" w:cs="仿宋_GB2312"/>
          <w:bCs/>
          <w:highlight w:val="none"/>
        </w:rPr>
        <w:t>（二）加强队伍建设和机制创新。</w:t>
      </w:r>
      <w:r>
        <w:rPr>
          <w:rFonts w:hint="eastAsia" w:ascii="宋体" w:hAnsi="宋体" w:eastAsia="仿宋_GB2312" w:cs="仿宋_GB2312"/>
          <w:bCs/>
          <w:highlight w:val="none"/>
        </w:rPr>
        <w:t>在以后的工作中加强队伍建设，每年至少对部门全体人员开展一次业务或政策等培训，提升部门人员的业务能力；同时，将已建立的人员绩效考核机制、信息化建设、数据库管理等相应的管理创新机制和措施，进一步细化和量化，使得相关考核措施更加科学合理。</w:t>
      </w:r>
      <w:bookmarkStart w:id="74" w:name="_Toc15626_WPSOffice_Level1"/>
      <w:bookmarkStart w:id="75" w:name="_Toc19681_WPSOffice_Level1"/>
    </w:p>
    <w:p>
      <w:pPr>
        <w:pStyle w:val="2"/>
        <w:rPr>
          <w:highlight w:val="none"/>
        </w:rPr>
      </w:pPr>
      <w:bookmarkEnd w:id="68"/>
      <w:bookmarkEnd w:id="69"/>
      <w:bookmarkEnd w:id="70"/>
      <w:bookmarkEnd w:id="71"/>
      <w:bookmarkEnd w:id="72"/>
      <w:bookmarkEnd w:id="73"/>
      <w:bookmarkEnd w:id="74"/>
      <w:bookmarkEnd w:id="75"/>
    </w:p>
    <w:p>
      <w:pPr>
        <w:widowControl/>
        <w:adjustRightInd w:val="0"/>
        <w:snapToGrid w:val="0"/>
        <w:spacing w:line="560" w:lineRule="exact"/>
        <w:ind w:firstLine="640" w:firstLineChars="200"/>
        <w:jc w:val="left"/>
        <w:rPr>
          <w:rFonts w:hint="eastAsia" w:ascii="宋体" w:hAnsi="宋体" w:eastAsia="仿宋_GB2312" w:cs="仿宋_GB2312"/>
          <w:bCs/>
          <w:highlight w:val="none"/>
        </w:rPr>
      </w:pPr>
      <w:r>
        <w:rPr>
          <w:rFonts w:hint="eastAsia" w:ascii="宋体" w:hAnsi="宋体" w:eastAsia="仿宋_GB2312" w:cs="仿宋_GB2312"/>
          <w:bCs/>
          <w:highlight w:val="none"/>
        </w:rPr>
        <w:t>附：2020年部门整体支出绩效自评共性指标体系</w:t>
      </w:r>
    </w:p>
    <w:p>
      <w:pPr>
        <w:spacing w:line="560" w:lineRule="exact"/>
        <w:ind w:firstLine="640" w:firstLineChars="200"/>
        <w:rPr>
          <w:rFonts w:hint="eastAsia" w:ascii="仿宋_GB2312" w:hAnsi="仿宋" w:eastAsia="仿宋_GB2312"/>
          <w:highlight w:val="none"/>
        </w:rPr>
      </w:pPr>
      <w:r>
        <w:rPr>
          <w:rFonts w:hint="eastAsia" w:ascii="宋体" w:hAnsi="宋体" w:eastAsia="仿宋_GB2312" w:cs="仿宋_GB2312"/>
          <w:kern w:val="0"/>
          <w:highlight w:val="none"/>
        </w:rPr>
        <w:t xml:space="preserve">                  </w:t>
      </w:r>
      <w:r>
        <w:rPr>
          <w:rFonts w:hint="eastAsia" w:ascii="宋体" w:hAnsi="宋体" w:eastAsia="仿宋_GB2312" w:cs="仿宋_GB2312"/>
          <w:kern w:val="0"/>
          <w:highlight w:val="none"/>
          <w:lang w:val="en-US" w:eastAsia="zh-CN"/>
        </w:rPr>
        <w:t xml:space="preserve">  </w:t>
      </w:r>
    </w:p>
    <w:tbl>
      <w:tblPr>
        <w:tblStyle w:val="11"/>
        <w:tblW w:w="8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1065"/>
        <w:gridCol w:w="1080"/>
        <w:gridCol w:w="825"/>
        <w:gridCol w:w="2053"/>
        <w:gridCol w:w="172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8998" w:type="dxa"/>
            <w:gridSpan w:val="7"/>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highlight w:val="none"/>
                <w:u w:val="none"/>
              </w:rPr>
            </w:pPr>
            <w:r>
              <w:rPr>
                <w:rFonts w:hint="default" w:ascii="Times New Roman" w:hAnsi="Times New Roman" w:eastAsia="仿宋_GB2312" w:cs="Times New Roman"/>
                <w:b/>
                <w:i w:val="0"/>
                <w:color w:val="000000"/>
                <w:kern w:val="0"/>
                <w:sz w:val="28"/>
                <w:szCs w:val="28"/>
                <w:highlight w:val="none"/>
                <w:u w:val="none"/>
                <w:lang w:val="en-US" w:eastAsia="zh-CN" w:bidi="ar"/>
              </w:rPr>
              <w:t>2020</w:t>
            </w:r>
            <w:r>
              <w:rPr>
                <w:rFonts w:hint="eastAsia" w:ascii="仿宋_GB2312" w:hAnsi="宋体" w:eastAsia="仿宋_GB2312" w:cs="仿宋_GB2312"/>
                <w:b/>
                <w:i w:val="0"/>
                <w:color w:val="000000"/>
                <w:kern w:val="0"/>
                <w:sz w:val="28"/>
                <w:szCs w:val="28"/>
                <w:highlight w:val="none"/>
                <w:u w:val="none"/>
                <w:lang w:val="en-US" w:eastAsia="zh-CN" w:bidi="ar"/>
              </w:rPr>
              <w:t>年部门整体支出绩效自评共性指标体系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得分</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指标解释</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指标评分细则</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A部门决策（35分）</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A1部门目标（12分）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A11部门中长期规划目标的明确性与合理性（2分）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部门（单位）中长期规划目标的设定情况；中长期规划目标应设定明确，应与政府中长期规划目标相适应，且应与部门职能相适应。</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①设定了部门中长期规划目标，得0.25分；②设定的部门中长期规划目标明确，得0.5分；③能够适应《东川区“十XX五”规划》，得0.25分；④能够与部门职能相适应，得0.5分。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部门中长期规划目标、区政府相关规划、部门“三定”方案、部门职能文件。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2"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A12年度工作目标的明确性与合理性（2分）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部门年度工作目标的设定是否明确合理</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①部门年度工作目标是否明确设定，得1分；②年度工作目标与部门中长期规划目标一致，得1分。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年度工作目标与部门中长期规划文件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A13年度工作计划与年度工作目标的一致性（2分）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部门年度工作计划是否与部门年度工作目标相一致。</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将部门详细工作计划与年度工作目标对应匹配，视匹配情况酌情得0-2分。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年度工作计划与年度工作目标文件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A14绩效目标合理性（3分）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用以反映和考核部门整体绩效目标与部门职能、年度工作目标的一致性。</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①符合部门制定的中长期实施规划计1分；②符合部门“三定”方案确定的职责计1分；③与部门年度工作目标、任务相一致计1分。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部门中长期规划、部门“三定”方案、年度重点工作任务与工作计划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7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A15绩效指标明确性（3分）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整体绩效目标所设定的绩效指标是否依据部门工作目标和工作任务进行细化、量化，绩效指标是否可衡量。</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①将部门整体的绩效目标细化分解为具体的工作任务计1分；②通过清晰、可衡量的指标值予以体现计0.5分。③与部门年度的任务数或计划数相对应计0.5分；④与本年度部门预算资金相匹配计1分。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部门年度重点工作任务与工作计划。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A2部门职能（10分）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A21部门职能的明确性与科学性（1分）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考察部门职能界定是否明确科学，是否有相关文件。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①职能明确、设定依据充分，得1分；②有“三定”文件，但职能描述不明确，得0.5分;③没有职能设定的文件依据且职能不清，得0分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部门职能描述、“三定”文件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A22年度工作目标与部门职能的适应性（4分）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部门所设定的具体目标是否与部门职能相适应。</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将部门详细工作目标与部门职能对应匹配，视匹配情况酌情得0-4分。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部门年度工作目标、部门职能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A23年度具体工作与部门职能的匹配性（4分）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部门年度各类具体工作是否与部门职能相匹配。</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将部门年度具体工作与部门职能对应匹配，视匹配情况酌情得0-4分。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部门年度各项具体工作，部门职能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A24部门内设科室及下属单位职责的明确性（1分）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部门内设科室及下属单位具体职责是否明确</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①有职责文件制度规定部门各科室及下属单位具体职责，得0.5分；②具体职责明确，得0.5分。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内设科室及下属单位职责文件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A3资源配置（13分）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A31基本支出预算合理性（2分）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用以反映部门年度基本支出预算是否根据人员经费、公用经费标准进行合理编制。</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①如实核定人员基数，得1分；②根据基本预算标准进行编制，得1分。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部门基本支出预算标准、基本支出预算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A32项目支出预算合理性（4分）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用以反映部门年度项目支出预算程序、预算依据、适用范围的合理性。</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①预算程序合理，得1分；②预算依据充分，得2分；③符合资金使用范围，得1分。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部门项目支出预算编制详细资料，访谈、文件梳理等、其他资料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A33人力资源投入合理性（2分）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用以反映部门核定人员的编制与部门工作内容的合理性</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通过问卷及访谈调研,分析人员的工作量和工作时长，视匹配情况得0-2分。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人员编制文件、调研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A34办公资源投入合理性（2分）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用以反映部门现有办公资源能否满足部门日常工作需求。</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①办公资源经费保障充足，得1分；②办公资源配置合理，得1分。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部门办公资源配置情况、调研等资料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A35重点项目资源分配合理性（3分）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部门本年度预算安排的重点项目支出与部门项目总支出的比率，用以反映和考核部门对履行主要职责或完成重点任务的保障程度。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重点项目资源分配，对重点项目完成实施的保障程度进行评分。能够保障重点项目顺利实施、全面完成当年工作目标任务的得满分，每有一项重点项目因资金不足无法完成，则权重（3分）的1/3扣分，扣完为止。</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重点项目相关资料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8"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B部门管理（20分）</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B1预算管理（7分）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B11基本支出预算执行率（1分）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部门基本支出本年度决算数与预算数的比率，用以反映和考核部门（单位）基本支出预算执行程度。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部门基本支出决算/部门基本支出预算×100%。决算数：部门本年度基本支出实际支出资金数。预算数：财政部门批复的本年度部门基本支出预算数以及当年批复的调整数。预算完成率≥95%得满分，未达到的按权重进行扣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基本支出预算批复，预算调整批复、预算编制等其他资料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B12项目支出预算执行率（4分）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部门项目支出本年度决算数与预算数的比率，用以反映和考核部门项目支出预算执行程度。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部门项目支出决算/部门项目支出预算×100%。决算数：部门（单位）本年度项目支出实际支出资金数。预算数：财政部门批复的本年度部门（单位）项目支出预算数以及当年批复的调整数。预算完成率≥95%得满分，未到按权重进行扣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项目支出预算批复，预算调整批复、预算编制等其他资料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B13“三公经费”控制率（1分）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部门本年度“三公”经费预算数与上年度“三公”经费预算数的变动比率，用以反映和考核部门（单位）对控制行政成本的努力程度。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三公经费使用情况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B14预算调整情况（1分）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用以反映预算单位是否根据年中预算实际执行情况及时合规进行预算调整。</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①根据年中预算执行情况及时申请预算调整，得0.5分；②按规定程序进行预算调整，得0.5分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预算调整相关资料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B2财务管理（6分）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B21财务管理制度健全性及执行情况（1分）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部门为加强预算管理、规范财务行为而制定的财务管理制度是否健全完整。用以反映和考核部门预算管理制度对完成主要职责或促进事业发展的保障情况。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①是否已制定预算资金管理办法、内部财务管理制度、会计核算制度等管理制度；②相关管理制度是否合法、合规、完整；③相关管理制度是否得到有效执行。</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财务管理相关制度及执行情况调研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B22资金使用合规性（4分）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部门使用预算资金是否符合相关财务管理制度的规定，用以反映和考核部门预算资金的规范运行情况。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符合国家财经法规和财务管理制度规定以及有关专项资金管理办法的规定,1分；②资金的拨付有完整的审批程序和手续，1分；③项目的重大开支经过专题论证，1分；④符合部门预算批复的用途，1分；⑤是否存在截留、挤占、挪用、虚列支出等情况，一旦存在该指标不得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资金支出相关凭证、流程梳理等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B23财务监控的有效性（1分）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用以反映部门财务监控监督工作的有效性，包括监控、监督措施的制定及执行等方面。</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①制定明确的财务监控监督措施，得0.5分；②监控、监督措施执行有效，得0.5分；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财务监控监督相关办法及条款，实际执行情况资料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B3人力资源管理（2分）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B31在职人员控制率（1分）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部门本年度实际在职人员数与编制数的比率，用以反映和考核部门对人员成本的控制程度。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部门编制数、在职人数、年内变化情况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B32人力资源管理执行情况（1分）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考察部门人力资源管理的健全性及执行规范性，包括在编、派遣、临时员工的管理，包括招聘、培训、工资发放及考核等。</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①有具体的人力资源管理制度文件或参照文件，得0.5分；②严格按照相关文件对各类型人员进行管理和考核，得0.5分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人力资源管理相关文件及实施情况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B4资产管理（2分）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B41资产管理制度健全性及执行情况（1分）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部门为加强资产管理、规范资产使用而制定的资产管理制度是否健全完整，用以反映和考核部门资产管理制度对完成主要职责或促进事业发展的保障情况。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①是否已制定或具有固定资产管理办法、资产使用办法等管理制度，得0.25分；②相关管理制度是否合法、合规、完整，得0.25分；③相关管理制度是否得到有效执行，得0.5分。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资产管理相关办法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B42固定资产在用率（1分）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部门实际在用固定资产总额与所有固定资产总额的比率，用以反映和考核部门固定资产使用效率及程度。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固定资产在用率=（实际在用固定资产总额/所有固定资产总额）×100%。固定资产在用率达到95%以上得满分.每降低1%扣权重分（1分）5%，扣完为止。</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固定资产卡片、固定资产使用信息等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B5业务管理（3分）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B51业务管理制度健全性及执行情况（1分）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部门为加强业务管理、规范业务执行而制定的管理制度是否健全完整，用以反映和考核部门业务管理制度对完成主要职责或促进事业发展的保障情况。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①已制定或具有业务管理、项目管理等管理制度，得0.25分；②相关管理制度合法、合规、完整，得0.25分；③相关管理制度得到有效执行，得0.5分。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业务管理相关办法及执行情况资料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B52政府采购规范性（1分）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考察政府采购项目的采购程序、采购方式的规范性</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①政府采购方式、程序都规范，得满分；②采购方式、程序中每有一点不规范，扣0.5分，扣完为止。</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政府采购相关资料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B53监督考核情况（1分）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考察部门是否对各所属单位或项目实施主体进行工作监督和定期考核。</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有定期指导记录、考核结果，得1分，缺少项按权重进行扣分。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监督考核记录等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C部门绩效（45分）</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C1部门产出（18分）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C11重点项目完成情况（4分）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部门年度重点工作实际完成数与交办或下达数的比率，用以反映部门对重点工作的办理落实程度。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重点工作完成率=（重点工作实际完成数/交办或下达数）×100%；全部完成得4分，没未完成一项重点工作扣1分，扣完为止。</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重点项目指标及完成情况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8"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C12党建工作情况（3分）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严格贯彻落实新时代党的建设总要求，持之以恒推动全面从严治党向纵深发展，打造风清气正的政治生态环境，为经济社会高质量发展提供坚强保障。</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按全区党建工作要求完成党建活动，根据党建工作完成情况打分，完成得分，没有完成不得分。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党建工作考核目标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C13防疫工作完成情况（2分）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坚决贯彻落实习近平总书记关于疫情防控工作的重要指示精神，举全区之力做好疫情防控各项工作。</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防疫工作开展情况，按要求完成工作得分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财政局工作总结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C142020年会计核算系统实施及运维经费（3分）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2020年会计核算系统实施及运维。</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全区财务核算统一按规定使用会计核算系统。</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全区财务核算标准化。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C1东川区财务服务中心筹建（4分）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完成东川区财务服务中心筹建工作。</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完成东川区财务服务中心筹建工，确保人员、办公设备及时到位，财务服务工作优质高效开展。全部完成得4分，未按计划完成得，缺少一个人员和一件设备，扣0.5分，扣完为止。</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《东川区财务服务中心筹建工作方案》、《东川区财政局关于下达东川区财务服务中心办公运行经费的通知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C16考核任务完成率（2分）</w:t>
            </w:r>
          </w:p>
        </w:tc>
        <w:tc>
          <w:tcPr>
            <w:tcW w:w="82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达到考核标准的实际工作数与计划工作数的比率,用以反映和考核部门履职质量目标的实现程度。</w:t>
            </w:r>
          </w:p>
        </w:tc>
        <w:tc>
          <w:tcPr>
            <w:tcW w:w="1725"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核完成率=（考核达标实际工作数/计划工作数）×100%。考核达标实际工作数：一定时期（年度或规划期）内部门实际完成工作数中达到上级部门（或同级政府）目标要求（绩效标准值）的工作任务数量。考核完成率达到100%得满分，未达到按权重进行扣分。</w:t>
            </w:r>
          </w:p>
        </w:tc>
        <w:tc>
          <w:tcPr>
            <w:tcW w:w="1530"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部门考核数与实际完成情况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C2部门效果（21分）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C21工作实际完成率（8分）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考察部门履行职责而实际完成工作数与计划工作数的比率，用以反映和考核部门履职工作任务目标的实现程度。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实际完成率得分=完成市委市政府绩效考核得分或上级主管部门考核指标得分/指标分值*8分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部门履职实际工作完成情况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C22工作完成及时率（4分）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部门在规定时限内及时完成的实际工作数与计划工作数的比率,用以反映和考核部门履职时效目标的实现程度。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完成及时率=（及时完成实际工作数/计划工作数）×100%。1-4季度各得1分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工作完成及时情况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C23工作质量达标率（5分）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达到质量标准（绩效标准值）的实际工作数与计划工作数的比率,用以反映和考核部门履职质量目标的实现程度。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质量达标率=（质量达标实际工作数/计划工作数）×100%。实际得分=达标率*5分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工作质量达标情况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C24群众对区委工作的满意度（4分）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社会群众对区委办工作的满意情况。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根据满意度线性统计取加权平均分值。满意度达到85%，得满分；满意度低于85%，每降低1%，扣权重分5%。</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问卷调查、访谈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C3部门可持续发展（6分）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C31队伍建设情况（2分）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考察部门管理人员是否定期接受培训，熟悉政策、提高业务能力。</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部门全体人员每年至少接受一次业务或政策等培训，酌情得0-2分。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培训记录、培训效果调研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C32信息共享、公开情况（2分）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部门是否按照政府信息公开有关规定公开相关预决算信息、绩效信息及其他信息，是否相关部门信息共享，用以反映和考核部门信息公开透明及信息共享情况。</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①按规定内容公开预决算信息、绩效信息及其他信息，得0.5分；②按规定时限公开预决算信息、绩效信息及其他信息，得0.5分。③各处室、下属单位及相关部门信息共享，得1分。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信息公开、信息共享情况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6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C33长效管理创新情况（2分）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考察部门是否在鼓励处室改进管理、提高效率方面建立了新举措，比如人员绩效考核机制、信息化建设、数据库管理等，是部门工作长期可持续发展的保障。</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管理创新机制和措施明确，且有相应工作及产出。酌情得0-2分。</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管理创新情况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100分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100</w:t>
            </w:r>
          </w:p>
        </w:tc>
        <w:tc>
          <w:tcPr>
            <w:tcW w:w="2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both"/>
              <w:rPr>
                <w:rFonts w:hint="eastAsia" w:ascii="宋体" w:hAnsi="宋体" w:eastAsia="宋体" w:cs="宋体"/>
                <w:b/>
                <w:i w:val="0"/>
                <w:color w:val="000000"/>
                <w:sz w:val="18"/>
                <w:szCs w:val="18"/>
                <w:highlight w:val="none"/>
                <w:u w:val="none"/>
              </w:rPr>
            </w:pPr>
          </w:p>
        </w:tc>
      </w:tr>
    </w:tbl>
    <w:p>
      <w:pPr>
        <w:keepNext w:val="0"/>
        <w:keepLines w:val="0"/>
        <w:pageBreakBefore w:val="0"/>
        <w:widowControl w:val="0"/>
        <w:kinsoku/>
        <w:wordWrap/>
        <w:overflowPunct/>
        <w:topLinePunct w:val="0"/>
        <w:autoSpaceDE/>
        <w:autoSpaceDN/>
        <w:bidi w:val="0"/>
        <w:adjustRightInd/>
        <w:snapToGrid/>
        <w:spacing w:line="960" w:lineRule="exact"/>
        <w:ind w:left="0" w:leftChars="0" w:firstLine="0" w:firstLineChars="0"/>
        <w:jc w:val="left"/>
        <w:textAlignment w:val="auto"/>
        <w:rPr>
          <w:rFonts w:hint="eastAsia" w:ascii="仿宋_GB2312"/>
          <w:szCs w:val="32"/>
        </w:rPr>
      </w:pPr>
    </w:p>
    <w:p>
      <w:pPr>
        <w:pStyle w:val="2"/>
        <w:rPr>
          <w:rFonts w:hint="eastAsia"/>
        </w:rPr>
      </w:pPr>
    </w:p>
    <w:p>
      <w:pPr>
        <w:pStyle w:val="13"/>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tbl>
      <w:tblPr>
        <w:tblStyle w:val="12"/>
        <w:tblpPr w:leftFromText="180" w:rightFromText="180" w:vertAnchor="text" w:horzAnchor="page" w:tblpX="1683" w:tblpY="645"/>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5</w:t>
            </w:r>
            <w:r>
              <w:rPr>
                <w:rFonts w:hint="eastAsia" w:ascii="仿宋_GB2312" w:hAnsi="宋体"/>
                <w:sz w:val="28"/>
                <w:szCs w:val="28"/>
              </w:rPr>
              <w:t>月</w:t>
            </w:r>
            <w:r>
              <w:rPr>
                <w:rFonts w:hint="eastAsia" w:ascii="仿宋_GB2312" w:hAnsi="宋体"/>
                <w:sz w:val="28"/>
                <w:szCs w:val="28"/>
                <w:lang w:val="en-US" w:eastAsia="zh-CN"/>
              </w:rPr>
              <w:t>26</w:t>
            </w:r>
            <w:r>
              <w:rPr>
                <w:rFonts w:hint="eastAsia" w:ascii="仿宋_GB2312" w:hAnsi="宋体"/>
                <w:sz w:val="28"/>
                <w:szCs w:val="28"/>
              </w:rPr>
              <w:t>日印发</w:t>
            </w:r>
          </w:p>
        </w:tc>
      </w:tr>
    </w:tbl>
    <w:p>
      <w:pPr>
        <w:spacing w:line="560" w:lineRule="exact"/>
        <w:ind w:firstLine="0" w:firstLineChars="0"/>
        <w:jc w:val="left"/>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方正小标宋_GBK">
    <w:altName w:val="苹方-简"/>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gLLyuAQAASwMAAA4AAABkcnMv&#10;ZTJvRG9jLnhtbK1TzWobMRC+F/IOQvdYawe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NvQC0octzii/Y+X/c/f+1/PZJrb04dY&#10;Y9ZTwLw0XPsBxzz6Izqz6kGBzV/UQzCOjd6dmiuHRER+NJ/N5xWGBMbGC+Kz1+cBYrqT3pJsNBRw&#10;eqWpfPslpkPqmJKrOX+rjSkTNO4fB2JmD8vcDxyzlYbVcBS08u0O9fQ4+IY63ExKzL3DvuYdGQ0Y&#10;jdVobALodVeWKNeL4WqTkEThliscYI+FcWJF3XG78kr8fS9Zr//A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yAsvK4BAABLAwAADgAAAAAAAAABACAAAAA0AQAAZHJzL2Uyb0RvYy54bWxQ&#10;SwUGAAAAAAYABgBZAQAAVA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360"/>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B6"/>
    <w:rsid w:val="00142F4F"/>
    <w:rsid w:val="00197B0D"/>
    <w:rsid w:val="00256B99"/>
    <w:rsid w:val="004126D8"/>
    <w:rsid w:val="00480AB6"/>
    <w:rsid w:val="005D5755"/>
    <w:rsid w:val="005E35F5"/>
    <w:rsid w:val="00631250"/>
    <w:rsid w:val="006F4339"/>
    <w:rsid w:val="0076308A"/>
    <w:rsid w:val="007B5247"/>
    <w:rsid w:val="00BC6C5B"/>
    <w:rsid w:val="00EF20AA"/>
    <w:rsid w:val="00F00BC6"/>
    <w:rsid w:val="00FA395D"/>
    <w:rsid w:val="00FE4FCE"/>
    <w:rsid w:val="02D01271"/>
    <w:rsid w:val="034627D8"/>
    <w:rsid w:val="03955066"/>
    <w:rsid w:val="06AA4A1C"/>
    <w:rsid w:val="0A9D0B56"/>
    <w:rsid w:val="0D414093"/>
    <w:rsid w:val="0F152FD6"/>
    <w:rsid w:val="0FAA6122"/>
    <w:rsid w:val="0FD01F7E"/>
    <w:rsid w:val="120462B8"/>
    <w:rsid w:val="1C8706C1"/>
    <w:rsid w:val="204A07CA"/>
    <w:rsid w:val="259A24EE"/>
    <w:rsid w:val="25D158B7"/>
    <w:rsid w:val="27493DD1"/>
    <w:rsid w:val="28F76CEC"/>
    <w:rsid w:val="2A7B3911"/>
    <w:rsid w:val="2AA64313"/>
    <w:rsid w:val="2B7E2628"/>
    <w:rsid w:val="318057FA"/>
    <w:rsid w:val="360E7714"/>
    <w:rsid w:val="38234E26"/>
    <w:rsid w:val="3E7C14F3"/>
    <w:rsid w:val="43104D85"/>
    <w:rsid w:val="4539242A"/>
    <w:rsid w:val="4D426B25"/>
    <w:rsid w:val="5CFD5315"/>
    <w:rsid w:val="5DB95B21"/>
    <w:rsid w:val="5FED6EA1"/>
    <w:rsid w:val="62DB441B"/>
    <w:rsid w:val="69EA2D87"/>
    <w:rsid w:val="6BE3476F"/>
    <w:rsid w:val="72560CE8"/>
    <w:rsid w:val="740F56C5"/>
    <w:rsid w:val="75764FFF"/>
    <w:rsid w:val="7821000D"/>
    <w:rsid w:val="7BED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方正小标宋简体"/>
      <w:sz w:val="44"/>
    </w:rPr>
  </w:style>
  <w:style w:type="paragraph" w:styleId="3">
    <w:name w:val="Body Text Indent"/>
    <w:basedOn w:val="1"/>
    <w:link w:val="14"/>
    <w:qFormat/>
    <w:uiPriority w:val="0"/>
    <w:pPr>
      <w:ind w:firstLine="1440"/>
      <w:jc w:val="center"/>
    </w:pPr>
    <w:rPr>
      <w:sz w:val="72"/>
    </w:rPr>
  </w:style>
  <w:style w:type="paragraph" w:styleId="4">
    <w:name w:val="footer"/>
    <w:basedOn w:val="1"/>
    <w:link w:val="15"/>
    <w:unhideWhenUsed/>
    <w:qFormat/>
    <w:uiPriority w:val="0"/>
    <w:pPr>
      <w:widowControl w:val="0"/>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5">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6">
    <w:name w:val="Normal (Web)"/>
    <w:basedOn w:val="1"/>
    <w:qFormat/>
    <w:uiPriority w:val="0"/>
    <w:pPr>
      <w:spacing w:beforeAutospacing="1" w:afterAutospacing="1"/>
      <w:jc w:val="left"/>
    </w:pPr>
    <w:rPr>
      <w:rFonts w:eastAsia="宋体"/>
      <w:kern w:val="0"/>
      <w:sz w:val="24"/>
      <w:szCs w:val="24"/>
    </w:rPr>
  </w:style>
  <w:style w:type="character" w:styleId="8">
    <w:name w:val="Strong"/>
    <w:qFormat/>
    <w:uiPriority w:val="0"/>
    <w:rPr>
      <w:b/>
      <w:bCs/>
    </w:rPr>
  </w:style>
  <w:style w:type="character" w:styleId="9">
    <w:name w:val="page number"/>
    <w:basedOn w:val="7"/>
    <w:qFormat/>
    <w:uiPriority w:val="0"/>
  </w:style>
  <w:style w:type="character" w:styleId="10">
    <w:name w:val="Hyperlink"/>
    <w:basedOn w:val="7"/>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实施方案正文"/>
    <w:basedOn w:val="1"/>
    <w:qFormat/>
    <w:uiPriority w:val="99"/>
    <w:pPr>
      <w:ind w:firstLine="566" w:firstLineChars="202"/>
    </w:pPr>
    <w:rPr>
      <w:szCs w:val="28"/>
    </w:rPr>
  </w:style>
  <w:style w:type="character" w:customStyle="1" w:styleId="14">
    <w:name w:val="正文文本缩进 Char"/>
    <w:basedOn w:val="7"/>
    <w:link w:val="3"/>
    <w:qFormat/>
    <w:uiPriority w:val="0"/>
    <w:rPr>
      <w:rFonts w:ascii="Times New Roman" w:hAnsi="Times New Roman" w:eastAsia="仿宋_GB2312" w:cs="Times New Roman"/>
      <w:sz w:val="72"/>
      <w:szCs w:val="24"/>
    </w:rPr>
  </w:style>
  <w:style w:type="character" w:customStyle="1" w:styleId="15">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62</Words>
  <Characters>360</Characters>
  <Lines>3</Lines>
  <Paragraphs>1</Paragraphs>
  <TotalTime>0</TotalTime>
  <ScaleCrop>false</ScaleCrop>
  <LinksUpToDate>false</LinksUpToDate>
  <CharactersWithSpaces>421</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2020-01-21T15:08:00Z</dcterms:created>
  <dc:creator>微软用户</dc:creator>
  <cp:lastModifiedBy>chenjie</cp:lastModifiedBy>
  <cp:lastPrinted>2020-04-16T15:13:00Z</cp:lastPrinted>
  <dcterms:modified xsi:type="dcterms:W3CDTF">2021-09-02T18:59:55Z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F02C7EE093844FEBB35045D8A33BD061</vt:lpwstr>
  </property>
</Properties>
</file>