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868" w:rsidRDefault="00294302">
      <w:pPr>
        <w:spacing w:line="540" w:lineRule="exact"/>
        <w:jc w:val="center"/>
        <w:rPr>
          <w:rFonts w:ascii="Vijaya" w:hAnsi="Vijaya" w:cs="Vijaya"/>
          <w:b/>
          <w:bCs/>
          <w:sz w:val="36"/>
          <w:szCs w:val="36"/>
        </w:rPr>
      </w:pPr>
      <w:r>
        <w:rPr>
          <w:rFonts w:ascii="Vijaya" w:hAnsi="Vijaya" w:cs="Vijaya"/>
          <w:b/>
          <w:bCs/>
          <w:sz w:val="36"/>
          <w:szCs w:val="36"/>
        </w:rPr>
        <w:t>人民医院整体改扩建工程项目支出绩效评价报告</w:t>
      </w:r>
    </w:p>
    <w:p w:rsidR="00896868" w:rsidRDefault="00294302">
      <w:pPr>
        <w:spacing w:line="540" w:lineRule="exact"/>
        <w:ind w:firstLine="640"/>
        <w:jc w:val="center"/>
        <w:rPr>
          <w:rFonts w:ascii="方正小标宋_GBK" w:eastAsia="方正小标宋_GBK" w:hAnsi="黑体"/>
          <w:szCs w:val="32"/>
        </w:rPr>
      </w:pPr>
      <w:r>
        <w:rPr>
          <w:rFonts w:ascii="方正小标宋_GBK" w:eastAsia="方正小标宋_GBK" w:hAnsi="黑体" w:hint="eastAsia"/>
          <w:szCs w:val="32"/>
        </w:rPr>
        <w:t>摘要</w:t>
      </w:r>
    </w:p>
    <w:p w:rsidR="00896868" w:rsidRDefault="00294302">
      <w:pPr>
        <w:pStyle w:val="1"/>
        <w:numPr>
          <w:ilvl w:val="0"/>
          <w:numId w:val="1"/>
        </w:numPr>
      </w:pPr>
      <w:r>
        <w:rPr>
          <w:rFonts w:hint="eastAsia"/>
        </w:rPr>
        <w:t>项目概况：</w:t>
      </w:r>
    </w:p>
    <w:p w:rsidR="00896868" w:rsidRDefault="00294302">
      <w:pPr>
        <w:pStyle w:val="2"/>
        <w:ind w:firstLine="640"/>
      </w:pPr>
      <w:r>
        <w:rPr>
          <w:rFonts w:hint="eastAsia"/>
        </w:rPr>
        <w:t>1.</w:t>
      </w:r>
      <w:r>
        <w:rPr>
          <w:rFonts w:hint="eastAsia"/>
        </w:rPr>
        <w:t>项目</w:t>
      </w:r>
      <w:r>
        <w:t>立项</w:t>
      </w:r>
      <w:r>
        <w:rPr>
          <w:rFonts w:hint="eastAsia"/>
        </w:rPr>
        <w:t>背景</w:t>
      </w:r>
      <w:r>
        <w:t>及目的</w:t>
      </w:r>
    </w:p>
    <w:p w:rsidR="00896868" w:rsidRDefault="00294302">
      <w:pPr>
        <w:ind w:firstLine="640"/>
      </w:pPr>
      <w:r>
        <w:rPr>
          <w:rFonts w:hint="eastAsia"/>
        </w:rPr>
        <w:t>东川区是国家深度贫困县，昆明市所辖七区之一，拥有人口</w:t>
      </w:r>
      <w:r>
        <w:rPr>
          <w:rFonts w:hint="eastAsia"/>
        </w:rPr>
        <w:t>32</w:t>
      </w:r>
      <w:r>
        <w:rPr>
          <w:rFonts w:hint="eastAsia"/>
        </w:rPr>
        <w:t>万人，国土面积</w:t>
      </w:r>
      <w:r>
        <w:rPr>
          <w:rFonts w:hint="eastAsia"/>
        </w:rPr>
        <w:t>1858.79</w:t>
      </w:r>
      <w:r>
        <w:rPr>
          <w:rFonts w:hint="eastAsia"/>
        </w:rPr>
        <w:t>平方公里，东邻会泽，南接寻甸，西连禄劝。境内最高海拔</w:t>
      </w:r>
      <w:r>
        <w:rPr>
          <w:rFonts w:hint="eastAsia"/>
        </w:rPr>
        <w:t>4344.1</w:t>
      </w:r>
      <w:r>
        <w:rPr>
          <w:rFonts w:hint="eastAsia"/>
        </w:rPr>
        <w:t>米，最低海拔</w:t>
      </w:r>
      <w:r>
        <w:rPr>
          <w:rFonts w:hint="eastAsia"/>
        </w:rPr>
        <w:t>695</w:t>
      </w:r>
      <w:r>
        <w:rPr>
          <w:rFonts w:hint="eastAsia"/>
        </w:rPr>
        <w:t>米，高差</w:t>
      </w:r>
      <w:r>
        <w:rPr>
          <w:rFonts w:hint="eastAsia"/>
        </w:rPr>
        <w:t>3649.1</w:t>
      </w:r>
      <w:r>
        <w:rPr>
          <w:rFonts w:hint="eastAsia"/>
        </w:rPr>
        <w:t>米。区政府所在地距昆明距离</w:t>
      </w:r>
      <w:r>
        <w:rPr>
          <w:rFonts w:hint="eastAsia"/>
        </w:rPr>
        <w:t>157</w:t>
      </w:r>
      <w:r>
        <w:rPr>
          <w:rFonts w:hint="eastAsia"/>
        </w:rPr>
        <w:t>公里，距四川西昌</w:t>
      </w:r>
      <w:r>
        <w:rPr>
          <w:rFonts w:hint="eastAsia"/>
        </w:rPr>
        <w:t>316</w:t>
      </w:r>
      <w:r>
        <w:rPr>
          <w:rFonts w:hint="eastAsia"/>
        </w:rPr>
        <w:t>公里。</w:t>
      </w:r>
      <w:r>
        <w:rPr>
          <w:rFonts w:hint="eastAsia"/>
        </w:rPr>
        <w:t>2017</w:t>
      </w:r>
      <w:r>
        <w:rPr>
          <w:rFonts w:hint="eastAsia"/>
        </w:rPr>
        <w:t>年地区生产总值达</w:t>
      </w:r>
      <w:r>
        <w:rPr>
          <w:rFonts w:hint="eastAsia"/>
        </w:rPr>
        <w:t>281405</w:t>
      </w:r>
      <w:r>
        <w:rPr>
          <w:rFonts w:hint="eastAsia"/>
        </w:rPr>
        <w:t>万元，比上年增长</w:t>
      </w:r>
      <w:r>
        <w:rPr>
          <w:rFonts w:hint="eastAsia"/>
        </w:rPr>
        <w:t>111.46</w:t>
      </w:r>
      <w:r>
        <w:rPr>
          <w:rFonts w:hint="eastAsia"/>
        </w:rPr>
        <w:t>％，是东川历史上较快的一年。三次产业全面发展，第一产业完成增加值</w:t>
      </w:r>
      <w:r>
        <w:rPr>
          <w:rFonts w:hint="eastAsia"/>
        </w:rPr>
        <w:t>24842</w:t>
      </w:r>
      <w:r>
        <w:rPr>
          <w:rFonts w:hint="eastAsia"/>
        </w:rPr>
        <w:t>万元，增长</w:t>
      </w:r>
      <w:r>
        <w:rPr>
          <w:rFonts w:hint="eastAsia"/>
        </w:rPr>
        <w:t>4.7</w:t>
      </w:r>
      <w:r>
        <w:rPr>
          <w:rFonts w:hint="eastAsia"/>
        </w:rPr>
        <w:t>％；第二产业完成增加值</w:t>
      </w:r>
      <w:r>
        <w:rPr>
          <w:rFonts w:hint="eastAsia"/>
        </w:rPr>
        <w:t>206877</w:t>
      </w:r>
      <w:r>
        <w:rPr>
          <w:rFonts w:hint="eastAsia"/>
        </w:rPr>
        <w:t>万元，增长</w:t>
      </w:r>
      <w:r>
        <w:rPr>
          <w:rFonts w:hint="eastAsia"/>
        </w:rPr>
        <w:t>273.3</w:t>
      </w:r>
      <w:r>
        <w:rPr>
          <w:rFonts w:hint="eastAsia"/>
        </w:rPr>
        <w:t>％；第三产业完成增加值</w:t>
      </w:r>
      <w:r>
        <w:rPr>
          <w:rFonts w:hint="eastAsia"/>
        </w:rPr>
        <w:t>49684</w:t>
      </w:r>
      <w:r>
        <w:rPr>
          <w:rFonts w:hint="eastAsia"/>
        </w:rPr>
        <w:t>万元，增长</w:t>
      </w:r>
      <w:r>
        <w:rPr>
          <w:rFonts w:hint="eastAsia"/>
        </w:rPr>
        <w:t>3.6</w:t>
      </w:r>
      <w:r>
        <w:rPr>
          <w:rFonts w:hint="eastAsia"/>
        </w:rPr>
        <w:t>％。虽然东</w:t>
      </w:r>
      <w:r>
        <w:rPr>
          <w:rFonts w:hint="eastAsia"/>
        </w:rPr>
        <w:t>川区经济发展增长较快，但社会经济发展中仍然存在着一些困难和问题。医疗卫生事业虽有了长足发展，却仍然无法满足现实需求，东川区人民医院新院区硬件设施（尤其是内科住院楼）缺乏已经严重制约了群众的需求，形成社会发展的瓶颈。因此，加快东川地区医疗事业发展</w:t>
      </w:r>
      <w:r>
        <w:rPr>
          <w:rFonts w:hint="eastAsia"/>
        </w:rPr>
        <w:t>的</w:t>
      </w:r>
      <w:r>
        <w:rPr>
          <w:rFonts w:hint="eastAsia"/>
        </w:rPr>
        <w:t>脚步，是促进当地社会经济平衡发展刻不容缓的要事。</w:t>
      </w:r>
    </w:p>
    <w:p w:rsidR="00896868" w:rsidRDefault="00294302">
      <w:pPr>
        <w:spacing w:line="540" w:lineRule="exact"/>
        <w:ind w:firstLine="640"/>
        <w:jc w:val="left"/>
      </w:pPr>
      <w:r>
        <w:rPr>
          <w:rFonts w:ascii="楷体_GB2312" w:eastAsia="楷体_GB2312" w:hAnsi="黑体" w:hint="eastAsia"/>
          <w:szCs w:val="32"/>
        </w:rPr>
        <w:t xml:space="preserve">2. </w:t>
      </w:r>
      <w:r>
        <w:rPr>
          <w:rFonts w:ascii="楷体_GB2312" w:eastAsia="楷体_GB2312" w:hAnsi="黑体" w:hint="eastAsia"/>
          <w:szCs w:val="32"/>
        </w:rPr>
        <w:t>预算收支情况</w:t>
      </w:r>
    </w:p>
    <w:p w:rsidR="00896868" w:rsidRDefault="00294302">
      <w:pPr>
        <w:ind w:firstLine="640"/>
      </w:pPr>
      <w:r>
        <w:rPr>
          <w:rFonts w:hint="eastAsia"/>
        </w:rPr>
        <w:t>东川区人民医院近三年成本费用明细汇总表：单位：人民币万元</w:t>
      </w:r>
    </w:p>
    <w:tbl>
      <w:tblPr>
        <w:tblpPr w:leftFromText="180" w:rightFromText="180" w:vertAnchor="text" w:horzAnchor="page" w:tblpX="1851" w:tblpY="145"/>
        <w:tblOverlap w:val="never"/>
        <w:tblW w:w="8699" w:type="dxa"/>
        <w:tblBorders>
          <w:top w:val="single" w:sz="8" w:space="0" w:color="000000"/>
          <w:bottom w:val="single" w:sz="8" w:space="0" w:color="000000"/>
          <w:insideH w:val="dotted" w:sz="4" w:space="0" w:color="000000"/>
          <w:insideV w:val="dotted" w:sz="4" w:space="0" w:color="000000"/>
        </w:tblBorders>
        <w:tblLayout w:type="fixed"/>
        <w:tblLook w:val="04A0" w:firstRow="1" w:lastRow="0" w:firstColumn="1" w:lastColumn="0" w:noHBand="0" w:noVBand="1"/>
      </w:tblPr>
      <w:tblGrid>
        <w:gridCol w:w="2560"/>
        <w:gridCol w:w="2001"/>
        <w:gridCol w:w="2099"/>
        <w:gridCol w:w="2039"/>
      </w:tblGrid>
      <w:tr w:rsidR="00896868">
        <w:trPr>
          <w:trHeight w:val="436"/>
        </w:trPr>
        <w:tc>
          <w:tcPr>
            <w:tcW w:w="2560" w:type="dxa"/>
            <w:vAlign w:val="center"/>
          </w:tcPr>
          <w:p w:rsidR="00896868" w:rsidRDefault="00294302">
            <w:pPr>
              <w:ind w:firstLine="420"/>
              <w:rPr>
                <w:sz w:val="21"/>
                <w:szCs w:val="21"/>
              </w:rPr>
            </w:pPr>
            <w:r>
              <w:rPr>
                <w:rFonts w:hint="eastAsia"/>
                <w:sz w:val="21"/>
                <w:szCs w:val="21"/>
              </w:rPr>
              <w:t>项目</w:t>
            </w:r>
          </w:p>
        </w:tc>
        <w:tc>
          <w:tcPr>
            <w:tcW w:w="2001" w:type="dxa"/>
            <w:vAlign w:val="center"/>
          </w:tcPr>
          <w:p w:rsidR="00896868" w:rsidRDefault="00294302">
            <w:pPr>
              <w:ind w:firstLine="420"/>
              <w:rPr>
                <w:sz w:val="21"/>
                <w:szCs w:val="21"/>
              </w:rPr>
            </w:pPr>
            <w:r>
              <w:rPr>
                <w:rFonts w:hint="eastAsia"/>
                <w:sz w:val="21"/>
                <w:szCs w:val="21"/>
              </w:rPr>
              <w:t>2017</w:t>
            </w:r>
            <w:r>
              <w:rPr>
                <w:rFonts w:hint="eastAsia"/>
                <w:sz w:val="21"/>
                <w:szCs w:val="21"/>
              </w:rPr>
              <w:t>年</w:t>
            </w:r>
          </w:p>
        </w:tc>
        <w:tc>
          <w:tcPr>
            <w:tcW w:w="2099" w:type="dxa"/>
            <w:vAlign w:val="center"/>
          </w:tcPr>
          <w:p w:rsidR="00896868" w:rsidRDefault="00294302">
            <w:pPr>
              <w:ind w:firstLine="420"/>
              <w:rPr>
                <w:sz w:val="21"/>
                <w:szCs w:val="21"/>
              </w:rPr>
            </w:pPr>
            <w:r>
              <w:rPr>
                <w:rFonts w:hint="eastAsia"/>
                <w:sz w:val="21"/>
                <w:szCs w:val="21"/>
              </w:rPr>
              <w:t>2018</w:t>
            </w:r>
            <w:r>
              <w:rPr>
                <w:rFonts w:hint="eastAsia"/>
                <w:sz w:val="21"/>
                <w:szCs w:val="21"/>
              </w:rPr>
              <w:t>年</w:t>
            </w:r>
          </w:p>
        </w:tc>
        <w:tc>
          <w:tcPr>
            <w:tcW w:w="2039" w:type="dxa"/>
            <w:vAlign w:val="center"/>
          </w:tcPr>
          <w:p w:rsidR="00896868" w:rsidRDefault="00294302">
            <w:pPr>
              <w:ind w:firstLine="420"/>
              <w:rPr>
                <w:sz w:val="21"/>
                <w:szCs w:val="21"/>
              </w:rPr>
            </w:pPr>
            <w:r>
              <w:rPr>
                <w:rFonts w:hint="eastAsia"/>
                <w:sz w:val="21"/>
                <w:szCs w:val="21"/>
              </w:rPr>
              <w:t>2019</w:t>
            </w:r>
            <w:r>
              <w:rPr>
                <w:rFonts w:hint="eastAsia"/>
                <w:sz w:val="21"/>
                <w:szCs w:val="21"/>
              </w:rPr>
              <w:t>年</w:t>
            </w:r>
          </w:p>
        </w:tc>
      </w:tr>
      <w:tr w:rsidR="00896868">
        <w:trPr>
          <w:trHeight w:val="426"/>
        </w:trPr>
        <w:tc>
          <w:tcPr>
            <w:tcW w:w="2560" w:type="dxa"/>
            <w:vAlign w:val="center"/>
          </w:tcPr>
          <w:p w:rsidR="00896868" w:rsidRDefault="00294302">
            <w:pPr>
              <w:ind w:firstLine="420"/>
              <w:rPr>
                <w:sz w:val="21"/>
                <w:szCs w:val="21"/>
              </w:rPr>
            </w:pPr>
            <w:r>
              <w:rPr>
                <w:rFonts w:hint="eastAsia"/>
                <w:sz w:val="21"/>
                <w:szCs w:val="21"/>
              </w:rPr>
              <w:t>卫生材料费</w:t>
            </w:r>
          </w:p>
        </w:tc>
        <w:tc>
          <w:tcPr>
            <w:tcW w:w="2001" w:type="dxa"/>
            <w:vAlign w:val="center"/>
          </w:tcPr>
          <w:p w:rsidR="00896868" w:rsidRDefault="00294302">
            <w:pPr>
              <w:ind w:firstLine="420"/>
              <w:rPr>
                <w:sz w:val="21"/>
                <w:szCs w:val="21"/>
              </w:rPr>
            </w:pPr>
            <w:r>
              <w:rPr>
                <w:rFonts w:hint="eastAsia"/>
                <w:sz w:val="21"/>
                <w:szCs w:val="21"/>
              </w:rPr>
              <w:t>2,765.29</w:t>
            </w:r>
          </w:p>
        </w:tc>
        <w:tc>
          <w:tcPr>
            <w:tcW w:w="2099" w:type="dxa"/>
            <w:vAlign w:val="center"/>
          </w:tcPr>
          <w:p w:rsidR="00896868" w:rsidRDefault="00294302">
            <w:pPr>
              <w:ind w:firstLine="420"/>
              <w:rPr>
                <w:sz w:val="21"/>
                <w:szCs w:val="21"/>
              </w:rPr>
            </w:pPr>
            <w:r>
              <w:rPr>
                <w:rFonts w:hint="eastAsia"/>
                <w:sz w:val="21"/>
                <w:szCs w:val="21"/>
              </w:rPr>
              <w:t>2,952.91</w:t>
            </w:r>
          </w:p>
        </w:tc>
        <w:tc>
          <w:tcPr>
            <w:tcW w:w="2039" w:type="dxa"/>
            <w:vAlign w:val="center"/>
          </w:tcPr>
          <w:p w:rsidR="00896868" w:rsidRDefault="00294302">
            <w:pPr>
              <w:ind w:firstLine="420"/>
              <w:rPr>
                <w:sz w:val="21"/>
                <w:szCs w:val="21"/>
              </w:rPr>
            </w:pPr>
            <w:r>
              <w:rPr>
                <w:rFonts w:hint="eastAsia"/>
                <w:sz w:val="21"/>
                <w:szCs w:val="21"/>
              </w:rPr>
              <w:t>3,167.39</w:t>
            </w:r>
          </w:p>
        </w:tc>
      </w:tr>
      <w:tr w:rsidR="00896868">
        <w:trPr>
          <w:trHeight w:val="426"/>
        </w:trPr>
        <w:tc>
          <w:tcPr>
            <w:tcW w:w="2560" w:type="dxa"/>
            <w:vAlign w:val="center"/>
          </w:tcPr>
          <w:p w:rsidR="00896868" w:rsidRDefault="00294302">
            <w:pPr>
              <w:ind w:firstLine="420"/>
              <w:rPr>
                <w:sz w:val="21"/>
                <w:szCs w:val="21"/>
              </w:rPr>
            </w:pPr>
            <w:r>
              <w:rPr>
                <w:rFonts w:hint="eastAsia"/>
                <w:sz w:val="21"/>
                <w:szCs w:val="21"/>
              </w:rPr>
              <w:t>药品费</w:t>
            </w:r>
          </w:p>
        </w:tc>
        <w:tc>
          <w:tcPr>
            <w:tcW w:w="2001" w:type="dxa"/>
            <w:vAlign w:val="center"/>
          </w:tcPr>
          <w:p w:rsidR="00896868" w:rsidRDefault="00294302">
            <w:pPr>
              <w:ind w:firstLine="420"/>
              <w:rPr>
                <w:sz w:val="21"/>
                <w:szCs w:val="21"/>
              </w:rPr>
            </w:pPr>
            <w:r>
              <w:rPr>
                <w:rFonts w:hint="eastAsia"/>
                <w:sz w:val="21"/>
                <w:szCs w:val="21"/>
              </w:rPr>
              <w:t>6,077.31</w:t>
            </w:r>
          </w:p>
        </w:tc>
        <w:tc>
          <w:tcPr>
            <w:tcW w:w="2099" w:type="dxa"/>
            <w:vAlign w:val="center"/>
          </w:tcPr>
          <w:p w:rsidR="00896868" w:rsidRDefault="00294302">
            <w:pPr>
              <w:ind w:firstLine="420"/>
              <w:rPr>
                <w:sz w:val="21"/>
                <w:szCs w:val="21"/>
              </w:rPr>
            </w:pPr>
            <w:r>
              <w:rPr>
                <w:rFonts w:hint="eastAsia"/>
                <w:sz w:val="21"/>
                <w:szCs w:val="21"/>
              </w:rPr>
              <w:t>6,332.43</w:t>
            </w:r>
          </w:p>
        </w:tc>
        <w:tc>
          <w:tcPr>
            <w:tcW w:w="2039" w:type="dxa"/>
            <w:vAlign w:val="center"/>
          </w:tcPr>
          <w:p w:rsidR="00896868" w:rsidRDefault="00294302">
            <w:pPr>
              <w:ind w:firstLine="420"/>
              <w:rPr>
                <w:sz w:val="21"/>
                <w:szCs w:val="21"/>
              </w:rPr>
            </w:pPr>
            <w:r>
              <w:rPr>
                <w:rFonts w:hint="eastAsia"/>
                <w:sz w:val="21"/>
                <w:szCs w:val="21"/>
              </w:rPr>
              <w:t>6,992.35</w:t>
            </w:r>
          </w:p>
        </w:tc>
      </w:tr>
      <w:tr w:rsidR="00896868">
        <w:trPr>
          <w:trHeight w:val="426"/>
        </w:trPr>
        <w:tc>
          <w:tcPr>
            <w:tcW w:w="2560" w:type="dxa"/>
            <w:vAlign w:val="center"/>
          </w:tcPr>
          <w:p w:rsidR="00896868" w:rsidRDefault="00294302">
            <w:pPr>
              <w:ind w:firstLine="420"/>
              <w:rPr>
                <w:sz w:val="21"/>
                <w:szCs w:val="21"/>
              </w:rPr>
            </w:pPr>
            <w:r>
              <w:rPr>
                <w:rFonts w:hint="eastAsia"/>
                <w:sz w:val="21"/>
                <w:szCs w:val="21"/>
              </w:rPr>
              <w:t>工资及福利费</w:t>
            </w:r>
          </w:p>
        </w:tc>
        <w:tc>
          <w:tcPr>
            <w:tcW w:w="2001" w:type="dxa"/>
            <w:vAlign w:val="center"/>
          </w:tcPr>
          <w:p w:rsidR="00896868" w:rsidRDefault="00294302">
            <w:pPr>
              <w:ind w:firstLine="420"/>
              <w:rPr>
                <w:sz w:val="21"/>
                <w:szCs w:val="21"/>
              </w:rPr>
            </w:pPr>
            <w:r>
              <w:rPr>
                <w:rFonts w:hint="eastAsia"/>
                <w:sz w:val="21"/>
                <w:szCs w:val="21"/>
              </w:rPr>
              <w:t>9,569.24</w:t>
            </w:r>
          </w:p>
        </w:tc>
        <w:tc>
          <w:tcPr>
            <w:tcW w:w="2099" w:type="dxa"/>
            <w:vAlign w:val="center"/>
          </w:tcPr>
          <w:p w:rsidR="00896868" w:rsidRDefault="00294302">
            <w:pPr>
              <w:ind w:firstLine="420"/>
              <w:rPr>
                <w:sz w:val="21"/>
                <w:szCs w:val="21"/>
              </w:rPr>
            </w:pPr>
            <w:r>
              <w:rPr>
                <w:rFonts w:hint="eastAsia"/>
                <w:sz w:val="21"/>
                <w:szCs w:val="21"/>
              </w:rPr>
              <w:t>9,923.34</w:t>
            </w:r>
          </w:p>
        </w:tc>
        <w:tc>
          <w:tcPr>
            <w:tcW w:w="2039" w:type="dxa"/>
            <w:vAlign w:val="center"/>
          </w:tcPr>
          <w:p w:rsidR="00896868" w:rsidRDefault="00294302">
            <w:pPr>
              <w:ind w:firstLine="420"/>
              <w:rPr>
                <w:sz w:val="21"/>
                <w:szCs w:val="21"/>
              </w:rPr>
            </w:pPr>
            <w:r>
              <w:rPr>
                <w:rFonts w:hint="eastAsia"/>
                <w:sz w:val="21"/>
                <w:szCs w:val="21"/>
              </w:rPr>
              <w:t>10,986.36</w:t>
            </w:r>
          </w:p>
        </w:tc>
      </w:tr>
      <w:tr w:rsidR="00896868">
        <w:trPr>
          <w:trHeight w:val="842"/>
        </w:trPr>
        <w:tc>
          <w:tcPr>
            <w:tcW w:w="2560" w:type="dxa"/>
            <w:vAlign w:val="center"/>
          </w:tcPr>
          <w:p w:rsidR="00896868" w:rsidRDefault="00294302">
            <w:pPr>
              <w:ind w:firstLine="420"/>
              <w:rPr>
                <w:sz w:val="21"/>
                <w:szCs w:val="21"/>
              </w:rPr>
            </w:pPr>
            <w:r>
              <w:rPr>
                <w:rFonts w:hint="eastAsia"/>
                <w:sz w:val="21"/>
                <w:szCs w:val="21"/>
              </w:rPr>
              <w:lastRenderedPageBreak/>
              <w:t>固定资产折旧和摊销</w:t>
            </w:r>
          </w:p>
        </w:tc>
        <w:tc>
          <w:tcPr>
            <w:tcW w:w="2001" w:type="dxa"/>
            <w:vAlign w:val="center"/>
          </w:tcPr>
          <w:p w:rsidR="00896868" w:rsidRDefault="00294302">
            <w:pPr>
              <w:ind w:firstLine="420"/>
              <w:rPr>
                <w:sz w:val="21"/>
                <w:szCs w:val="21"/>
              </w:rPr>
            </w:pPr>
            <w:r>
              <w:rPr>
                <w:rFonts w:hint="eastAsia"/>
                <w:sz w:val="21"/>
                <w:szCs w:val="21"/>
              </w:rPr>
              <w:t>378.91</w:t>
            </w:r>
          </w:p>
        </w:tc>
        <w:tc>
          <w:tcPr>
            <w:tcW w:w="2099" w:type="dxa"/>
            <w:vAlign w:val="center"/>
          </w:tcPr>
          <w:p w:rsidR="00896868" w:rsidRDefault="00294302">
            <w:pPr>
              <w:ind w:firstLine="420"/>
              <w:rPr>
                <w:sz w:val="21"/>
                <w:szCs w:val="21"/>
              </w:rPr>
            </w:pPr>
            <w:r>
              <w:rPr>
                <w:rFonts w:hint="eastAsia"/>
                <w:sz w:val="21"/>
                <w:szCs w:val="21"/>
              </w:rPr>
              <w:t>413.43</w:t>
            </w:r>
          </w:p>
        </w:tc>
        <w:tc>
          <w:tcPr>
            <w:tcW w:w="2039" w:type="dxa"/>
            <w:vAlign w:val="center"/>
          </w:tcPr>
          <w:p w:rsidR="00896868" w:rsidRDefault="00294302">
            <w:pPr>
              <w:ind w:firstLine="420"/>
              <w:rPr>
                <w:sz w:val="21"/>
                <w:szCs w:val="21"/>
              </w:rPr>
            </w:pPr>
            <w:r>
              <w:rPr>
                <w:rFonts w:hint="eastAsia"/>
                <w:sz w:val="21"/>
                <w:szCs w:val="21"/>
              </w:rPr>
              <w:t>447.18</w:t>
            </w:r>
          </w:p>
        </w:tc>
      </w:tr>
      <w:tr w:rsidR="00896868">
        <w:trPr>
          <w:trHeight w:val="426"/>
        </w:trPr>
        <w:tc>
          <w:tcPr>
            <w:tcW w:w="2560" w:type="dxa"/>
            <w:vAlign w:val="center"/>
          </w:tcPr>
          <w:p w:rsidR="00896868" w:rsidRDefault="00294302">
            <w:pPr>
              <w:ind w:firstLine="420"/>
              <w:rPr>
                <w:sz w:val="21"/>
                <w:szCs w:val="21"/>
              </w:rPr>
            </w:pPr>
            <w:r>
              <w:rPr>
                <w:rFonts w:hint="eastAsia"/>
                <w:sz w:val="21"/>
                <w:szCs w:val="21"/>
              </w:rPr>
              <w:t>医疗风险基金</w:t>
            </w:r>
          </w:p>
        </w:tc>
        <w:tc>
          <w:tcPr>
            <w:tcW w:w="2001" w:type="dxa"/>
            <w:vAlign w:val="center"/>
          </w:tcPr>
          <w:p w:rsidR="00896868" w:rsidRDefault="00294302">
            <w:pPr>
              <w:ind w:firstLine="420"/>
              <w:rPr>
                <w:sz w:val="21"/>
                <w:szCs w:val="21"/>
              </w:rPr>
            </w:pPr>
            <w:r>
              <w:rPr>
                <w:rFonts w:hint="eastAsia"/>
                <w:sz w:val="21"/>
                <w:szCs w:val="21"/>
              </w:rPr>
              <w:t>48.24</w:t>
            </w:r>
          </w:p>
        </w:tc>
        <w:tc>
          <w:tcPr>
            <w:tcW w:w="2099" w:type="dxa"/>
            <w:vAlign w:val="center"/>
          </w:tcPr>
          <w:p w:rsidR="00896868" w:rsidRDefault="00294302">
            <w:pPr>
              <w:ind w:firstLine="420"/>
              <w:rPr>
                <w:sz w:val="21"/>
                <w:szCs w:val="21"/>
              </w:rPr>
            </w:pPr>
            <w:r>
              <w:rPr>
                <w:rFonts w:hint="eastAsia"/>
                <w:sz w:val="21"/>
                <w:szCs w:val="21"/>
              </w:rPr>
              <w:t>53.11</w:t>
            </w:r>
          </w:p>
        </w:tc>
        <w:tc>
          <w:tcPr>
            <w:tcW w:w="2039" w:type="dxa"/>
            <w:vAlign w:val="center"/>
          </w:tcPr>
          <w:p w:rsidR="00896868" w:rsidRDefault="00294302">
            <w:pPr>
              <w:ind w:firstLine="420"/>
              <w:rPr>
                <w:sz w:val="21"/>
                <w:szCs w:val="21"/>
              </w:rPr>
            </w:pPr>
            <w:r>
              <w:rPr>
                <w:rFonts w:hint="eastAsia"/>
                <w:sz w:val="21"/>
                <w:szCs w:val="21"/>
              </w:rPr>
              <w:t>59.87</w:t>
            </w:r>
          </w:p>
        </w:tc>
      </w:tr>
      <w:tr w:rsidR="00896868">
        <w:trPr>
          <w:trHeight w:val="426"/>
        </w:trPr>
        <w:tc>
          <w:tcPr>
            <w:tcW w:w="2560" w:type="dxa"/>
            <w:vAlign w:val="center"/>
          </w:tcPr>
          <w:p w:rsidR="00896868" w:rsidRDefault="00294302">
            <w:pPr>
              <w:ind w:firstLine="420"/>
              <w:rPr>
                <w:sz w:val="21"/>
                <w:szCs w:val="21"/>
              </w:rPr>
            </w:pPr>
            <w:r>
              <w:rPr>
                <w:rFonts w:hint="eastAsia"/>
                <w:sz w:val="21"/>
                <w:szCs w:val="21"/>
              </w:rPr>
              <w:t>管理费用</w:t>
            </w:r>
          </w:p>
        </w:tc>
        <w:tc>
          <w:tcPr>
            <w:tcW w:w="2001" w:type="dxa"/>
            <w:vAlign w:val="center"/>
          </w:tcPr>
          <w:p w:rsidR="00896868" w:rsidRDefault="00294302">
            <w:pPr>
              <w:ind w:firstLine="420"/>
              <w:rPr>
                <w:sz w:val="21"/>
                <w:szCs w:val="21"/>
              </w:rPr>
            </w:pPr>
            <w:r>
              <w:rPr>
                <w:rFonts w:hint="eastAsia"/>
                <w:sz w:val="21"/>
                <w:szCs w:val="21"/>
              </w:rPr>
              <w:t>2,564.59</w:t>
            </w:r>
          </w:p>
        </w:tc>
        <w:tc>
          <w:tcPr>
            <w:tcW w:w="2099" w:type="dxa"/>
            <w:vAlign w:val="center"/>
          </w:tcPr>
          <w:p w:rsidR="00896868" w:rsidRDefault="00294302">
            <w:pPr>
              <w:ind w:firstLine="420"/>
              <w:rPr>
                <w:sz w:val="21"/>
                <w:szCs w:val="21"/>
              </w:rPr>
            </w:pPr>
            <w:r>
              <w:rPr>
                <w:rFonts w:hint="eastAsia"/>
                <w:sz w:val="21"/>
                <w:szCs w:val="21"/>
              </w:rPr>
              <w:t>2,766.10</w:t>
            </w:r>
          </w:p>
        </w:tc>
        <w:tc>
          <w:tcPr>
            <w:tcW w:w="2039" w:type="dxa"/>
            <w:vAlign w:val="center"/>
          </w:tcPr>
          <w:p w:rsidR="00896868" w:rsidRDefault="00294302">
            <w:pPr>
              <w:ind w:firstLine="420"/>
              <w:rPr>
                <w:sz w:val="21"/>
                <w:szCs w:val="21"/>
              </w:rPr>
            </w:pPr>
            <w:r>
              <w:rPr>
                <w:rFonts w:hint="eastAsia"/>
                <w:sz w:val="21"/>
                <w:szCs w:val="21"/>
              </w:rPr>
              <w:t>3,169.32</w:t>
            </w:r>
          </w:p>
        </w:tc>
      </w:tr>
      <w:tr w:rsidR="00896868">
        <w:trPr>
          <w:trHeight w:val="426"/>
        </w:trPr>
        <w:tc>
          <w:tcPr>
            <w:tcW w:w="2560" w:type="dxa"/>
            <w:vAlign w:val="center"/>
          </w:tcPr>
          <w:p w:rsidR="00896868" w:rsidRDefault="00294302">
            <w:pPr>
              <w:ind w:firstLine="420"/>
              <w:rPr>
                <w:sz w:val="21"/>
                <w:szCs w:val="21"/>
              </w:rPr>
            </w:pPr>
            <w:r>
              <w:rPr>
                <w:rFonts w:hint="eastAsia"/>
                <w:sz w:val="21"/>
                <w:szCs w:val="21"/>
              </w:rPr>
              <w:t>其他</w:t>
            </w:r>
          </w:p>
        </w:tc>
        <w:tc>
          <w:tcPr>
            <w:tcW w:w="2001" w:type="dxa"/>
            <w:vAlign w:val="center"/>
          </w:tcPr>
          <w:p w:rsidR="00896868" w:rsidRDefault="00294302">
            <w:pPr>
              <w:ind w:firstLine="420"/>
              <w:rPr>
                <w:sz w:val="21"/>
                <w:szCs w:val="21"/>
              </w:rPr>
            </w:pPr>
            <w:r>
              <w:rPr>
                <w:rFonts w:hint="eastAsia"/>
                <w:sz w:val="21"/>
                <w:szCs w:val="21"/>
              </w:rPr>
              <w:t>727.43</w:t>
            </w:r>
          </w:p>
        </w:tc>
        <w:tc>
          <w:tcPr>
            <w:tcW w:w="2099" w:type="dxa"/>
            <w:vAlign w:val="center"/>
          </w:tcPr>
          <w:p w:rsidR="00896868" w:rsidRDefault="00294302">
            <w:pPr>
              <w:ind w:firstLine="420"/>
              <w:rPr>
                <w:sz w:val="21"/>
                <w:szCs w:val="21"/>
              </w:rPr>
            </w:pPr>
            <w:r>
              <w:rPr>
                <w:rFonts w:hint="eastAsia"/>
                <w:sz w:val="21"/>
                <w:szCs w:val="21"/>
              </w:rPr>
              <w:t>778.09</w:t>
            </w:r>
          </w:p>
        </w:tc>
        <w:tc>
          <w:tcPr>
            <w:tcW w:w="2039" w:type="dxa"/>
            <w:vAlign w:val="center"/>
          </w:tcPr>
          <w:p w:rsidR="00896868" w:rsidRDefault="00294302">
            <w:pPr>
              <w:ind w:firstLine="420"/>
              <w:rPr>
                <w:sz w:val="21"/>
                <w:szCs w:val="21"/>
              </w:rPr>
            </w:pPr>
            <w:r>
              <w:rPr>
                <w:rFonts w:hint="eastAsia"/>
                <w:sz w:val="21"/>
                <w:szCs w:val="21"/>
              </w:rPr>
              <w:t>825.81</w:t>
            </w:r>
          </w:p>
        </w:tc>
      </w:tr>
      <w:tr w:rsidR="00896868">
        <w:trPr>
          <w:trHeight w:val="446"/>
        </w:trPr>
        <w:tc>
          <w:tcPr>
            <w:tcW w:w="2560" w:type="dxa"/>
            <w:vAlign w:val="center"/>
          </w:tcPr>
          <w:p w:rsidR="00896868" w:rsidRDefault="00294302">
            <w:pPr>
              <w:ind w:firstLine="420"/>
              <w:rPr>
                <w:sz w:val="21"/>
                <w:szCs w:val="21"/>
              </w:rPr>
            </w:pPr>
            <w:r>
              <w:rPr>
                <w:rFonts w:hint="eastAsia"/>
                <w:sz w:val="21"/>
                <w:szCs w:val="21"/>
              </w:rPr>
              <w:t>成本合计</w:t>
            </w:r>
          </w:p>
        </w:tc>
        <w:tc>
          <w:tcPr>
            <w:tcW w:w="2001" w:type="dxa"/>
            <w:vAlign w:val="center"/>
          </w:tcPr>
          <w:p w:rsidR="00896868" w:rsidRDefault="00294302">
            <w:pPr>
              <w:ind w:firstLine="420"/>
              <w:rPr>
                <w:sz w:val="21"/>
                <w:szCs w:val="21"/>
              </w:rPr>
            </w:pPr>
            <w:r>
              <w:rPr>
                <w:rFonts w:hint="eastAsia"/>
                <w:sz w:val="21"/>
                <w:szCs w:val="21"/>
              </w:rPr>
              <w:t>22,131.01</w:t>
            </w:r>
          </w:p>
        </w:tc>
        <w:tc>
          <w:tcPr>
            <w:tcW w:w="2099" w:type="dxa"/>
            <w:vAlign w:val="center"/>
          </w:tcPr>
          <w:p w:rsidR="00896868" w:rsidRDefault="00294302">
            <w:pPr>
              <w:ind w:firstLine="420"/>
              <w:rPr>
                <w:sz w:val="21"/>
                <w:szCs w:val="21"/>
              </w:rPr>
            </w:pPr>
            <w:r>
              <w:rPr>
                <w:rFonts w:hint="eastAsia"/>
                <w:sz w:val="21"/>
                <w:szCs w:val="21"/>
              </w:rPr>
              <w:t>23,219.41</w:t>
            </w:r>
          </w:p>
        </w:tc>
        <w:tc>
          <w:tcPr>
            <w:tcW w:w="2039" w:type="dxa"/>
            <w:vAlign w:val="center"/>
          </w:tcPr>
          <w:p w:rsidR="00896868" w:rsidRDefault="00294302">
            <w:pPr>
              <w:ind w:firstLine="420"/>
              <w:rPr>
                <w:sz w:val="21"/>
                <w:szCs w:val="21"/>
              </w:rPr>
            </w:pPr>
            <w:r>
              <w:rPr>
                <w:rFonts w:hint="eastAsia"/>
                <w:sz w:val="21"/>
                <w:szCs w:val="21"/>
              </w:rPr>
              <w:t>25,648.28</w:t>
            </w:r>
          </w:p>
        </w:tc>
      </w:tr>
    </w:tbl>
    <w:p w:rsidR="00896868" w:rsidRDefault="00896868">
      <w:pPr>
        <w:pStyle w:val="a1"/>
        <w:spacing w:line="560" w:lineRule="exact"/>
        <w:ind w:firstLineChars="100" w:firstLine="280"/>
        <w:jc w:val="center"/>
        <w:rPr>
          <w:rFonts w:ascii="仿宋_GB2312" w:hAnsi="仿宋_GB2312" w:cs="仿宋_GB2312"/>
          <w:szCs w:val="28"/>
        </w:rPr>
      </w:pPr>
    </w:p>
    <w:p w:rsidR="00896868" w:rsidRDefault="00896868">
      <w:pPr>
        <w:pStyle w:val="a1"/>
        <w:spacing w:line="560" w:lineRule="exact"/>
        <w:ind w:firstLineChars="100" w:firstLine="280"/>
        <w:jc w:val="center"/>
        <w:rPr>
          <w:rFonts w:ascii="仿宋_GB2312" w:hAnsi="仿宋_GB2312" w:cs="仿宋_GB2312"/>
          <w:szCs w:val="28"/>
        </w:rPr>
      </w:pPr>
    </w:p>
    <w:p w:rsidR="00896868" w:rsidRDefault="00896868">
      <w:pPr>
        <w:pStyle w:val="a1"/>
        <w:spacing w:line="560" w:lineRule="exact"/>
        <w:ind w:firstLineChars="100" w:firstLine="280"/>
        <w:jc w:val="center"/>
        <w:rPr>
          <w:rFonts w:ascii="仿宋_GB2312" w:hAnsi="仿宋_GB2312" w:cs="仿宋_GB2312"/>
          <w:szCs w:val="28"/>
        </w:rPr>
      </w:pPr>
    </w:p>
    <w:p w:rsidR="00896868" w:rsidRDefault="00896868">
      <w:pPr>
        <w:pStyle w:val="a1"/>
        <w:spacing w:line="560" w:lineRule="exact"/>
        <w:ind w:firstLineChars="100" w:firstLine="280"/>
        <w:jc w:val="center"/>
        <w:rPr>
          <w:rFonts w:ascii="仿宋_GB2312" w:hAnsi="仿宋_GB2312" w:cs="仿宋_GB2312"/>
          <w:szCs w:val="28"/>
        </w:rPr>
      </w:pPr>
    </w:p>
    <w:p w:rsidR="00896868" w:rsidRDefault="00896868">
      <w:pPr>
        <w:pStyle w:val="a1"/>
        <w:spacing w:line="560" w:lineRule="exact"/>
        <w:ind w:firstLineChars="100" w:firstLine="280"/>
        <w:jc w:val="center"/>
        <w:rPr>
          <w:rFonts w:ascii="仿宋_GB2312" w:hAnsi="仿宋_GB2312" w:cs="仿宋_GB2312"/>
          <w:szCs w:val="28"/>
        </w:rPr>
      </w:pPr>
    </w:p>
    <w:p w:rsidR="00896868" w:rsidRDefault="00896868">
      <w:pPr>
        <w:pStyle w:val="a1"/>
        <w:spacing w:line="560" w:lineRule="exact"/>
        <w:ind w:firstLineChars="100" w:firstLine="280"/>
        <w:jc w:val="center"/>
        <w:rPr>
          <w:rFonts w:ascii="仿宋_GB2312" w:hAnsi="仿宋_GB2312" w:cs="仿宋_GB2312"/>
          <w:szCs w:val="28"/>
        </w:rPr>
      </w:pPr>
    </w:p>
    <w:p w:rsidR="00896868" w:rsidRDefault="00294302">
      <w:pPr>
        <w:pStyle w:val="a1"/>
        <w:spacing w:line="560" w:lineRule="exact"/>
        <w:ind w:firstLine="560"/>
        <w:jc w:val="center"/>
        <w:rPr>
          <w:rFonts w:ascii="仿宋_GB2312" w:hAnsi="仿宋_GB2312" w:cs="仿宋_GB2312"/>
          <w:szCs w:val="28"/>
        </w:rPr>
      </w:pPr>
      <w:r>
        <w:rPr>
          <w:rFonts w:ascii="仿宋_GB2312" w:hAnsi="仿宋_GB2312" w:cs="仿宋_GB2312" w:hint="eastAsia"/>
          <w:szCs w:val="28"/>
        </w:rPr>
        <w:t>东川区人民医院近三年收入情况表</w:t>
      </w:r>
      <w:r>
        <w:rPr>
          <w:rFonts w:ascii="仿宋_GB2312" w:hAnsi="仿宋_GB2312" w:cs="仿宋_GB2312" w:hint="eastAsia"/>
          <w:szCs w:val="28"/>
        </w:rPr>
        <w:t xml:space="preserve">   </w:t>
      </w:r>
      <w:r>
        <w:rPr>
          <w:rFonts w:ascii="仿宋_GB2312" w:hAnsi="仿宋_GB2312" w:cs="仿宋_GB2312" w:hint="eastAsia"/>
          <w:szCs w:val="28"/>
        </w:rPr>
        <w:t>单位</w:t>
      </w:r>
      <w:r>
        <w:rPr>
          <w:rFonts w:ascii="仿宋_GB2312" w:hAnsi="仿宋_GB2312" w:cs="仿宋_GB2312" w:hint="eastAsia"/>
          <w:szCs w:val="28"/>
        </w:rPr>
        <w:t>:</w:t>
      </w:r>
      <w:r>
        <w:rPr>
          <w:rFonts w:ascii="仿宋_GB2312" w:hAnsi="仿宋_GB2312" w:cs="仿宋_GB2312" w:hint="eastAsia"/>
          <w:szCs w:val="28"/>
        </w:rPr>
        <w:t>万元</w:t>
      </w:r>
    </w:p>
    <w:tbl>
      <w:tblPr>
        <w:tblpPr w:leftFromText="180" w:rightFromText="180" w:vertAnchor="text" w:horzAnchor="page" w:tblpX="1663" w:tblpY="189"/>
        <w:tblOverlap w:val="never"/>
        <w:tblW w:w="10277" w:type="dxa"/>
        <w:tblLayout w:type="fixed"/>
        <w:tblCellMar>
          <w:top w:w="15" w:type="dxa"/>
          <w:left w:w="15" w:type="dxa"/>
          <w:bottom w:w="15" w:type="dxa"/>
          <w:right w:w="15" w:type="dxa"/>
        </w:tblCellMar>
        <w:tblLook w:val="04A0" w:firstRow="1" w:lastRow="0" w:firstColumn="1" w:lastColumn="0" w:noHBand="0" w:noVBand="1"/>
      </w:tblPr>
      <w:tblGrid>
        <w:gridCol w:w="2481"/>
        <w:gridCol w:w="1674"/>
        <w:gridCol w:w="2020"/>
        <w:gridCol w:w="2020"/>
        <w:gridCol w:w="2082"/>
      </w:tblGrid>
      <w:tr w:rsidR="00896868">
        <w:trPr>
          <w:trHeight w:val="456"/>
        </w:trPr>
        <w:tc>
          <w:tcPr>
            <w:tcW w:w="248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项目</w:t>
            </w:r>
          </w:p>
        </w:tc>
        <w:tc>
          <w:tcPr>
            <w:tcW w:w="167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201</w:t>
            </w:r>
            <w:r>
              <w:rPr>
                <w:sz w:val="21"/>
                <w:szCs w:val="21"/>
              </w:rPr>
              <w:t>7</w:t>
            </w:r>
            <w:r>
              <w:rPr>
                <w:rFonts w:hint="eastAsia"/>
                <w:sz w:val="21"/>
                <w:szCs w:val="21"/>
              </w:rPr>
              <w:t>年</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201</w:t>
            </w:r>
            <w:r>
              <w:rPr>
                <w:sz w:val="21"/>
                <w:szCs w:val="21"/>
              </w:rPr>
              <w:t>8</w:t>
            </w:r>
            <w:r>
              <w:rPr>
                <w:rFonts w:hint="eastAsia"/>
                <w:sz w:val="21"/>
                <w:szCs w:val="21"/>
              </w:rPr>
              <w:t>年</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201</w:t>
            </w:r>
            <w:r>
              <w:rPr>
                <w:sz w:val="21"/>
                <w:szCs w:val="21"/>
              </w:rPr>
              <w:t>9</w:t>
            </w:r>
            <w:r>
              <w:rPr>
                <w:rFonts w:hint="eastAsia"/>
                <w:sz w:val="21"/>
                <w:szCs w:val="21"/>
              </w:rPr>
              <w:t>年</w:t>
            </w:r>
          </w:p>
        </w:tc>
        <w:tc>
          <w:tcPr>
            <w:tcW w:w="208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增长率</w:t>
            </w:r>
          </w:p>
        </w:tc>
      </w:tr>
      <w:tr w:rsidR="00896868">
        <w:trPr>
          <w:trHeight w:val="456"/>
        </w:trPr>
        <w:tc>
          <w:tcPr>
            <w:tcW w:w="248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一、门诊收入</w:t>
            </w:r>
          </w:p>
        </w:tc>
        <w:tc>
          <w:tcPr>
            <w:tcW w:w="167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5,689.59</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6,322.83</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6,752.63</w:t>
            </w:r>
          </w:p>
        </w:tc>
        <w:tc>
          <w:tcPr>
            <w:tcW w:w="208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6.80%</w:t>
            </w:r>
          </w:p>
        </w:tc>
      </w:tr>
      <w:tr w:rsidR="00896868">
        <w:trPr>
          <w:trHeight w:val="456"/>
        </w:trPr>
        <w:tc>
          <w:tcPr>
            <w:tcW w:w="248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人次</w:t>
            </w:r>
          </w:p>
        </w:tc>
        <w:tc>
          <w:tcPr>
            <w:tcW w:w="167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29.84</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31.23</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31.95</w:t>
            </w:r>
          </w:p>
        </w:tc>
        <w:tc>
          <w:tcPr>
            <w:tcW w:w="208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2.31%</w:t>
            </w:r>
          </w:p>
        </w:tc>
      </w:tr>
      <w:tr w:rsidR="00896868">
        <w:trPr>
          <w:trHeight w:val="872"/>
        </w:trPr>
        <w:tc>
          <w:tcPr>
            <w:tcW w:w="248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人均门诊医疗费</w:t>
            </w:r>
          </w:p>
        </w:tc>
        <w:tc>
          <w:tcPr>
            <w:tcW w:w="167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190.67</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202.46</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211.35</w:t>
            </w:r>
          </w:p>
        </w:tc>
        <w:tc>
          <w:tcPr>
            <w:tcW w:w="208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4.39%</w:t>
            </w:r>
          </w:p>
        </w:tc>
      </w:tr>
      <w:tr w:rsidR="00896868">
        <w:trPr>
          <w:trHeight w:val="872"/>
        </w:trPr>
        <w:tc>
          <w:tcPr>
            <w:tcW w:w="248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二、住院收入</w:t>
            </w:r>
          </w:p>
        </w:tc>
        <w:tc>
          <w:tcPr>
            <w:tcW w:w="167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14.409.24</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15,781.65</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18,192.74</w:t>
            </w:r>
          </w:p>
        </w:tc>
        <w:tc>
          <w:tcPr>
            <w:tcW w:w="208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15.28%</w:t>
            </w:r>
          </w:p>
        </w:tc>
      </w:tr>
      <w:tr w:rsidR="00896868">
        <w:trPr>
          <w:trHeight w:val="456"/>
        </w:trPr>
        <w:tc>
          <w:tcPr>
            <w:tcW w:w="248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人次</w:t>
            </w:r>
          </w:p>
        </w:tc>
        <w:tc>
          <w:tcPr>
            <w:tcW w:w="167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2.88</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3.09</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3.48</w:t>
            </w:r>
          </w:p>
        </w:tc>
        <w:tc>
          <w:tcPr>
            <w:tcW w:w="208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12.62%</w:t>
            </w:r>
          </w:p>
        </w:tc>
      </w:tr>
      <w:tr w:rsidR="00896868">
        <w:trPr>
          <w:trHeight w:val="456"/>
        </w:trPr>
        <w:tc>
          <w:tcPr>
            <w:tcW w:w="248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床位数</w:t>
            </w:r>
          </w:p>
        </w:tc>
        <w:tc>
          <w:tcPr>
            <w:tcW w:w="167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812</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860</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900</w:t>
            </w:r>
          </w:p>
        </w:tc>
        <w:tc>
          <w:tcPr>
            <w:tcW w:w="208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4.65%</w:t>
            </w:r>
          </w:p>
        </w:tc>
      </w:tr>
      <w:tr w:rsidR="00896868">
        <w:trPr>
          <w:trHeight w:val="456"/>
        </w:trPr>
        <w:tc>
          <w:tcPr>
            <w:tcW w:w="248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人均住院费</w:t>
            </w:r>
          </w:p>
        </w:tc>
        <w:tc>
          <w:tcPr>
            <w:tcW w:w="167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5,003.21</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5,107.33</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5,227.80</w:t>
            </w:r>
          </w:p>
        </w:tc>
        <w:tc>
          <w:tcPr>
            <w:tcW w:w="208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2.36%</w:t>
            </w:r>
          </w:p>
        </w:tc>
      </w:tr>
      <w:tr w:rsidR="00896868">
        <w:trPr>
          <w:trHeight w:val="456"/>
        </w:trPr>
        <w:tc>
          <w:tcPr>
            <w:tcW w:w="248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三、其他收入</w:t>
            </w:r>
          </w:p>
        </w:tc>
        <w:tc>
          <w:tcPr>
            <w:tcW w:w="167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872</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870</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876</w:t>
            </w:r>
          </w:p>
        </w:tc>
        <w:tc>
          <w:tcPr>
            <w:tcW w:w="208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0.69%</w:t>
            </w:r>
          </w:p>
        </w:tc>
      </w:tr>
      <w:tr w:rsidR="00896868">
        <w:trPr>
          <w:trHeight w:val="466"/>
        </w:trPr>
        <w:tc>
          <w:tcPr>
            <w:tcW w:w="248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小计</w:t>
            </w:r>
          </w:p>
        </w:tc>
        <w:tc>
          <w:tcPr>
            <w:tcW w:w="167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20970.83</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22,974.48</w:t>
            </w:r>
          </w:p>
        </w:tc>
        <w:tc>
          <w:tcPr>
            <w:tcW w:w="202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25821.37</w:t>
            </w:r>
          </w:p>
        </w:tc>
        <w:tc>
          <w:tcPr>
            <w:tcW w:w="208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sz w:val="21"/>
                <w:szCs w:val="21"/>
              </w:rPr>
            </w:pPr>
            <w:r>
              <w:rPr>
                <w:rFonts w:hint="eastAsia"/>
                <w:sz w:val="21"/>
                <w:szCs w:val="21"/>
              </w:rPr>
              <w:t>12.39%</w:t>
            </w:r>
          </w:p>
        </w:tc>
      </w:tr>
    </w:tbl>
    <w:p w:rsidR="00896868" w:rsidRDefault="00896868">
      <w:pPr>
        <w:spacing w:line="540" w:lineRule="exact"/>
        <w:ind w:firstLine="640"/>
        <w:jc w:val="left"/>
        <w:rPr>
          <w:rFonts w:ascii="仿宋_GB2312" w:hAnsi="仿宋_GB2312" w:cs="仿宋_GB2312"/>
          <w:szCs w:val="32"/>
        </w:rPr>
      </w:pPr>
    </w:p>
    <w:p w:rsidR="00896868" w:rsidRDefault="00294302">
      <w:pPr>
        <w:pStyle w:val="1"/>
        <w:numPr>
          <w:ilvl w:val="0"/>
          <w:numId w:val="1"/>
        </w:numPr>
      </w:pPr>
      <w:r>
        <w:rPr>
          <w:rFonts w:hint="eastAsia"/>
        </w:rPr>
        <w:lastRenderedPageBreak/>
        <w:t>评价结论</w:t>
      </w:r>
      <w:bookmarkStart w:id="0" w:name="_Toc7386"/>
      <w:bookmarkStart w:id="1" w:name="_Toc28611"/>
    </w:p>
    <w:p w:rsidR="00896868" w:rsidRDefault="00294302">
      <w:pPr>
        <w:pStyle w:val="2"/>
        <w:ind w:firstLine="640"/>
      </w:pPr>
      <w:r>
        <w:rPr>
          <w:rFonts w:hint="eastAsia"/>
        </w:rPr>
        <w:t>1</w:t>
      </w:r>
      <w:r>
        <w:rPr>
          <w:rFonts w:hint="eastAsia"/>
        </w:rPr>
        <w:t>、项目解决医院运营问题</w:t>
      </w:r>
    </w:p>
    <w:bookmarkEnd w:id="0"/>
    <w:bookmarkEnd w:id="1"/>
    <w:p w:rsidR="00896868" w:rsidRDefault="00294302">
      <w:pPr>
        <w:numPr>
          <w:ilvl w:val="0"/>
          <w:numId w:val="2"/>
        </w:numPr>
        <w:ind w:firstLine="640"/>
      </w:pPr>
      <w:r>
        <w:rPr>
          <w:rFonts w:hint="eastAsia"/>
        </w:rPr>
        <w:t>昆明市东川区人民医院建设项目的实施将有助于改善昆明市东川区人民医院医疗条件，加强医疗资源整合，消除因内、外科住院分离而影响人民群众就医和存在的医疗安全隐患、运营成本高等问题。项目建设对提高东川区医疗服务质量有着很大的作用，促进东川区乃至昆明市医疗事业的发展。能够一定程度上解决群众“看大病贵”的情况，让每个群众“病有所医，病有所养”，让群众看得起病，发挥医疗机构在保障人民健康方面的基础作用。</w:t>
      </w:r>
    </w:p>
    <w:p w:rsidR="00896868" w:rsidRDefault="00294302">
      <w:pPr>
        <w:pStyle w:val="2"/>
        <w:ind w:firstLine="640"/>
      </w:pPr>
      <w:r>
        <w:rPr>
          <w:rFonts w:hint="eastAsia"/>
        </w:rPr>
        <w:t>2.</w:t>
      </w:r>
      <w:r>
        <w:rPr>
          <w:rFonts w:hint="eastAsia"/>
        </w:rPr>
        <w:t>项目建设为当地及周边人民群众就医提供基本保障</w:t>
      </w:r>
    </w:p>
    <w:p w:rsidR="00896868" w:rsidRDefault="00294302">
      <w:pPr>
        <w:ind w:firstLine="640"/>
      </w:pPr>
      <w:r>
        <w:rPr>
          <w:rFonts w:hint="eastAsia"/>
        </w:rPr>
        <w:t>昆明市东川区人民医院是东川区传染病治疗、危急孕产妇抢救定点医院，被省卫生厅授予“爱婴医院”。为保障当地群众身心健康及社会稳定起到了重要的作用。</w:t>
      </w:r>
      <w:r>
        <w:rPr>
          <w:rFonts w:hint="eastAsia"/>
        </w:rPr>
        <w:t>2018</w:t>
      </w:r>
      <w:r>
        <w:rPr>
          <w:rFonts w:hint="eastAsia"/>
        </w:rPr>
        <w:t>年门诊总人次</w:t>
      </w:r>
      <w:r>
        <w:rPr>
          <w:rFonts w:hint="eastAsia"/>
        </w:rPr>
        <w:t>31.81</w:t>
      </w:r>
      <w:r>
        <w:rPr>
          <w:rFonts w:hint="eastAsia"/>
        </w:rPr>
        <w:t>万，其中急诊人次</w:t>
      </w:r>
      <w:r>
        <w:rPr>
          <w:rFonts w:hint="eastAsia"/>
        </w:rPr>
        <w:t>6.73</w:t>
      </w:r>
      <w:r>
        <w:rPr>
          <w:rFonts w:hint="eastAsia"/>
        </w:rPr>
        <w:t>万；出院人次</w:t>
      </w:r>
      <w:r>
        <w:rPr>
          <w:rFonts w:hint="eastAsia"/>
        </w:rPr>
        <w:t>3.1</w:t>
      </w:r>
      <w:r>
        <w:rPr>
          <w:rFonts w:hint="eastAsia"/>
        </w:rPr>
        <w:t>万；住院手术量</w:t>
      </w:r>
      <w:r>
        <w:rPr>
          <w:rFonts w:hint="eastAsia"/>
        </w:rPr>
        <w:t>9012</w:t>
      </w:r>
      <w:r>
        <w:rPr>
          <w:rFonts w:hint="eastAsia"/>
        </w:rPr>
        <w:t>台次；药比</w:t>
      </w:r>
      <w:r>
        <w:rPr>
          <w:rFonts w:hint="eastAsia"/>
        </w:rPr>
        <w:t>28.47%</w:t>
      </w:r>
      <w:r>
        <w:rPr>
          <w:rFonts w:hint="eastAsia"/>
        </w:rPr>
        <w:t>，基药比</w:t>
      </w:r>
      <w:r>
        <w:rPr>
          <w:rFonts w:hint="eastAsia"/>
        </w:rPr>
        <w:t>52.6%</w:t>
      </w:r>
      <w:r>
        <w:rPr>
          <w:rFonts w:hint="eastAsia"/>
        </w:rPr>
        <w:t>；急危重抢救成功率</w:t>
      </w:r>
      <w:r>
        <w:rPr>
          <w:rFonts w:hint="eastAsia"/>
        </w:rPr>
        <w:t>92.62%</w:t>
      </w:r>
      <w:r>
        <w:rPr>
          <w:rFonts w:hint="eastAsia"/>
        </w:rPr>
        <w:t>。</w:t>
      </w:r>
    </w:p>
    <w:p w:rsidR="00896868" w:rsidRDefault="00294302">
      <w:pPr>
        <w:pStyle w:val="2"/>
        <w:ind w:firstLine="640"/>
      </w:pPr>
      <w:r>
        <w:rPr>
          <w:rFonts w:hint="eastAsia"/>
        </w:rPr>
        <w:t>3</w:t>
      </w:r>
      <w:r>
        <w:rPr>
          <w:rFonts w:hint="eastAsia"/>
        </w:rPr>
        <w:t>、</w:t>
      </w:r>
      <w:r>
        <w:rPr>
          <w:rFonts w:hint="eastAsia"/>
        </w:rPr>
        <w:t>项目建设有利于促进社会和经济发展</w:t>
      </w:r>
    </w:p>
    <w:p w:rsidR="00896868" w:rsidRDefault="00294302">
      <w:pPr>
        <w:ind w:firstLine="640"/>
      </w:pPr>
      <w:r>
        <w:rPr>
          <w:rFonts w:hint="eastAsia"/>
        </w:rPr>
        <w:t>内科住院楼的完善将使得东川区人民医院成为一所诊疗功能齐全，设备先进，技术力量雄厚的综合医院。医院承担着为人民服务，为社会主义现代化服务的特殊功能，其质量高低，功能强</w:t>
      </w:r>
      <w:r>
        <w:rPr>
          <w:rFonts w:hint="eastAsia"/>
        </w:rPr>
        <w:t>弱，效果好坏都直接关系到群众的安危和社会的发展与稳定。卫生医疗对增进人们健康水平，改善、提高人们生活质量，发挥着直接作用；也为增进人力资本提供了健康基础，随着人力资本的增加所产生广泛的扩散效应，将对整个社会、经济可持续发展起到巨大的促进作用。人类发展指数就是基于人类自身健康与社会经济发展关系提出来的，为更清楚地了解人类健康与社会经济发展</w:t>
      </w:r>
      <w:r>
        <w:rPr>
          <w:rFonts w:hint="eastAsia"/>
        </w:rPr>
        <w:lastRenderedPageBreak/>
        <w:t>的关系提供了一条重要线索。随着现代科学技术的发展和人们生活水平的提高，卫生保健功能将逐步从医院扩散到社会生产和生活各个领域，卫生防疫、医疗保健和家庭护理将成为人们日常生活的重</w:t>
      </w:r>
      <w:r>
        <w:rPr>
          <w:rFonts w:hint="eastAsia"/>
        </w:rPr>
        <w:t>要组成部分，健康状况已成为衡量社会进步和生活质量的最高标准。</w:t>
      </w:r>
    </w:p>
    <w:p w:rsidR="00896868" w:rsidRDefault="00294302">
      <w:pPr>
        <w:pStyle w:val="2"/>
        <w:numPr>
          <w:ilvl w:val="0"/>
          <w:numId w:val="3"/>
        </w:numPr>
        <w:ind w:firstLine="640"/>
      </w:pPr>
      <w:r>
        <w:rPr>
          <w:rFonts w:hint="eastAsia"/>
        </w:rPr>
        <w:t>项目在新型冠状病毒期间的作用</w:t>
      </w:r>
    </w:p>
    <w:p w:rsidR="00896868" w:rsidRDefault="00294302">
      <w:pPr>
        <w:ind w:firstLine="640"/>
      </w:pPr>
      <w:r>
        <w:rPr>
          <w:rFonts w:hint="eastAsia"/>
        </w:rPr>
        <w:t>项目的建设可改善目前东川区人民医院在病毒性感染疾病突发性事件中的应急能力及在一定程度上改善东川区人民医院的办公场所紧张的现状。</w:t>
      </w:r>
    </w:p>
    <w:p w:rsidR="00896868" w:rsidRDefault="00294302">
      <w:pPr>
        <w:ind w:firstLine="640"/>
      </w:pPr>
      <w:r>
        <w:rPr>
          <w:rFonts w:hint="eastAsia"/>
        </w:rPr>
        <w:t>由此可见，本项目的建设所带来的社会效益十分显著。</w:t>
      </w:r>
    </w:p>
    <w:p w:rsidR="00896868" w:rsidRDefault="00294302">
      <w:pPr>
        <w:pStyle w:val="1"/>
      </w:pPr>
      <w:r>
        <w:rPr>
          <w:rFonts w:hint="eastAsia"/>
        </w:rPr>
        <w:t>三、经验、问题和建议</w:t>
      </w:r>
    </w:p>
    <w:p w:rsidR="00896868" w:rsidRDefault="00294302">
      <w:pPr>
        <w:pStyle w:val="2"/>
        <w:ind w:firstLine="640"/>
      </w:pPr>
      <w:r>
        <w:rPr>
          <w:rFonts w:hint="eastAsia"/>
        </w:rPr>
        <w:t>1.</w:t>
      </w:r>
      <w:r>
        <w:rPr>
          <w:rFonts w:hint="eastAsia"/>
        </w:rPr>
        <w:t>主要经验及做法；</w:t>
      </w:r>
    </w:p>
    <w:p w:rsidR="00896868" w:rsidRDefault="00294302">
      <w:pPr>
        <w:ind w:firstLine="640"/>
      </w:pPr>
      <w:r>
        <w:rPr>
          <w:rFonts w:hint="eastAsia"/>
        </w:rPr>
        <w:t>（</w:t>
      </w:r>
      <w:r>
        <w:rPr>
          <w:rFonts w:hint="eastAsia"/>
        </w:rPr>
        <w:t>1</w:t>
      </w:r>
      <w:r>
        <w:rPr>
          <w:rFonts w:hint="eastAsia"/>
        </w:rPr>
        <w:t>）从基础工作的角度，要加强地方政府专项债券的通识教育与市场化引导</w:t>
      </w:r>
    </w:p>
    <w:p w:rsidR="00896868" w:rsidRDefault="00294302">
      <w:pPr>
        <w:ind w:firstLine="640"/>
      </w:pPr>
      <w:r>
        <w:rPr>
          <w:rFonts w:hint="eastAsia"/>
        </w:rPr>
        <w:t>（</w:t>
      </w:r>
      <w:r>
        <w:rPr>
          <w:rFonts w:hint="eastAsia"/>
        </w:rPr>
        <w:t>2</w:t>
      </w:r>
      <w:r>
        <w:rPr>
          <w:rFonts w:hint="eastAsia"/>
        </w:rPr>
        <w:t>）从财力的角度，要建构能够有规避市场风险的地方偿债保障机制。</w:t>
      </w:r>
    </w:p>
    <w:p w:rsidR="00896868" w:rsidRDefault="00294302">
      <w:pPr>
        <w:pStyle w:val="2"/>
        <w:ind w:firstLine="640"/>
      </w:pPr>
      <w:r>
        <w:rPr>
          <w:rFonts w:hint="eastAsia"/>
        </w:rPr>
        <w:t>2.</w:t>
      </w:r>
      <w:r>
        <w:rPr>
          <w:rFonts w:hint="eastAsia"/>
        </w:rPr>
        <w:t>存在的问题；</w:t>
      </w:r>
    </w:p>
    <w:p w:rsidR="00896868" w:rsidRDefault="00294302">
      <w:pPr>
        <w:ind w:firstLine="640"/>
      </w:pPr>
      <w:r>
        <w:rPr>
          <w:rFonts w:hint="eastAsia"/>
        </w:rPr>
        <w:t>项目收益专项债券条件较为严苛，公益类项目难以满足收支平衡的发债要求。</w:t>
      </w:r>
    </w:p>
    <w:p w:rsidR="00896868" w:rsidRDefault="00294302">
      <w:pPr>
        <w:pStyle w:val="2"/>
        <w:numPr>
          <w:ilvl w:val="0"/>
          <w:numId w:val="4"/>
        </w:numPr>
        <w:ind w:firstLine="640"/>
        <w:rPr>
          <w:rFonts w:ascii="楷体" w:hAnsi="楷体"/>
        </w:rPr>
      </w:pPr>
      <w:r>
        <w:rPr>
          <w:rFonts w:hint="eastAsia"/>
        </w:rPr>
        <w:t>改进措施及建议。</w:t>
      </w:r>
    </w:p>
    <w:p w:rsidR="00896868" w:rsidRDefault="00294302">
      <w:pPr>
        <w:ind w:firstLine="640"/>
      </w:pPr>
      <w:r>
        <w:rPr>
          <w:rFonts w:hint="eastAsia"/>
        </w:rPr>
        <w:t>提高医院运营效率的同时争取财政基本拨款收入达到</w:t>
      </w:r>
      <w:r>
        <w:rPr>
          <w:rFonts w:hint="eastAsia"/>
        </w:rPr>
        <w:t>60%</w:t>
      </w:r>
      <w:r>
        <w:rPr>
          <w:rFonts w:hint="eastAsia"/>
        </w:rPr>
        <w:t>。以此提升项目净收益达到收支平衡。</w:t>
      </w:r>
    </w:p>
    <w:p w:rsidR="00896868" w:rsidRDefault="00896868">
      <w:pPr>
        <w:spacing w:line="540" w:lineRule="exact"/>
        <w:ind w:firstLine="640"/>
        <w:jc w:val="left"/>
        <w:rPr>
          <w:rFonts w:ascii="楷体" w:eastAsia="楷体" w:hAnsi="楷体"/>
          <w:szCs w:val="32"/>
        </w:rPr>
      </w:pPr>
    </w:p>
    <w:p w:rsidR="00896868" w:rsidRDefault="00896868">
      <w:pPr>
        <w:spacing w:line="540" w:lineRule="exact"/>
        <w:ind w:firstLine="560"/>
        <w:jc w:val="center"/>
        <w:rPr>
          <w:rFonts w:ascii="黑体" w:eastAsia="黑体" w:hAnsi="黑体"/>
          <w:spacing w:val="-20"/>
          <w:szCs w:val="32"/>
        </w:rPr>
      </w:pPr>
    </w:p>
    <w:p w:rsidR="00896868" w:rsidRDefault="00896868" w:rsidP="00A94848">
      <w:pPr>
        <w:spacing w:line="540" w:lineRule="exact"/>
        <w:ind w:firstLineChars="0" w:firstLine="0"/>
        <w:rPr>
          <w:rFonts w:ascii="黑体" w:eastAsia="黑体" w:hAnsi="黑体"/>
          <w:spacing w:val="-20"/>
          <w:szCs w:val="32"/>
        </w:rPr>
      </w:pPr>
    </w:p>
    <w:p w:rsidR="00896868" w:rsidRDefault="00294302">
      <w:pPr>
        <w:pStyle w:val="4"/>
        <w:ind w:firstLine="643"/>
        <w:jc w:val="center"/>
      </w:pPr>
      <w:r>
        <w:rPr>
          <w:rFonts w:hint="eastAsia"/>
        </w:rPr>
        <w:lastRenderedPageBreak/>
        <w:t>正文：东川区人民医院整体改扩建项目支出绩效评价报告</w:t>
      </w:r>
    </w:p>
    <w:p w:rsidR="00896868" w:rsidRDefault="00896868">
      <w:pPr>
        <w:pStyle w:val="4"/>
        <w:ind w:firstLine="643"/>
      </w:pPr>
    </w:p>
    <w:p w:rsidR="00896868" w:rsidRDefault="00294302">
      <w:pPr>
        <w:pStyle w:val="4"/>
        <w:ind w:firstLine="643"/>
      </w:pPr>
      <w:r>
        <w:rPr>
          <w:rFonts w:hint="eastAsia"/>
        </w:rPr>
        <w:t>一、项目基本情况</w:t>
      </w:r>
    </w:p>
    <w:p w:rsidR="00896868" w:rsidRDefault="00294302">
      <w:pPr>
        <w:pStyle w:val="5"/>
        <w:ind w:firstLine="640"/>
      </w:pPr>
      <w:r>
        <w:rPr>
          <w:rFonts w:hint="eastAsia"/>
        </w:rPr>
        <w:t>（一）项目概况。</w:t>
      </w:r>
    </w:p>
    <w:p w:rsidR="00896868" w:rsidRDefault="00294302">
      <w:pPr>
        <w:ind w:firstLine="640"/>
      </w:pPr>
      <w:r>
        <w:rPr>
          <w:rFonts w:hint="eastAsia"/>
        </w:rPr>
        <w:t>1.</w:t>
      </w:r>
      <w:r>
        <w:rPr>
          <w:rFonts w:hint="eastAsia"/>
        </w:rPr>
        <w:t>立项背景及目的。</w:t>
      </w:r>
    </w:p>
    <w:p w:rsidR="00896868" w:rsidRDefault="00294302">
      <w:pPr>
        <w:ind w:firstLine="640"/>
      </w:pPr>
      <w:r>
        <w:rPr>
          <w:rFonts w:hint="eastAsia"/>
        </w:rPr>
        <w:t>（</w:t>
      </w:r>
      <w:r>
        <w:rPr>
          <w:rFonts w:hint="eastAsia"/>
        </w:rPr>
        <w:t>1</w:t>
      </w:r>
      <w:r>
        <w:rPr>
          <w:rFonts w:hint="eastAsia"/>
        </w:rPr>
        <w:t>）昆明市东川区人民医院本着一切从实际出发、实事求是的态度，建设内容及规模符合国家及云南省发展医疗卫生事业的要求，符合项目地区域规划和基础设施建设规划。项目建设意义重大，政策性强，必要性充分。</w:t>
      </w:r>
    </w:p>
    <w:p w:rsidR="00896868" w:rsidRDefault="00294302">
      <w:pPr>
        <w:ind w:firstLine="640"/>
      </w:pPr>
      <w:r>
        <w:rPr>
          <w:rFonts w:hint="eastAsia"/>
        </w:rPr>
        <w:t>（</w:t>
      </w:r>
      <w:r>
        <w:rPr>
          <w:rFonts w:hint="eastAsia"/>
        </w:rPr>
        <w:t>2</w:t>
      </w:r>
      <w:r>
        <w:rPr>
          <w:rFonts w:hint="eastAsia"/>
        </w:rPr>
        <w:t>）随着国家城乡居民医保制度的实施，病人就诊数量剧增，东川区人民医院</w:t>
      </w:r>
      <w:r>
        <w:rPr>
          <w:rFonts w:hint="eastAsia"/>
        </w:rPr>
        <w:t>2018</w:t>
      </w:r>
      <w:r>
        <w:rPr>
          <w:rFonts w:hint="eastAsia"/>
        </w:rPr>
        <w:t>年与</w:t>
      </w:r>
      <w:r>
        <w:rPr>
          <w:rFonts w:hint="eastAsia"/>
        </w:rPr>
        <w:t>2017</w:t>
      </w:r>
      <w:r>
        <w:rPr>
          <w:rFonts w:hint="eastAsia"/>
        </w:rPr>
        <w:t>年业务指标相比均为增长：</w:t>
      </w:r>
      <w:r>
        <w:rPr>
          <w:rFonts w:hint="eastAsia"/>
        </w:rPr>
        <w:t>2017</w:t>
      </w:r>
      <w:r>
        <w:rPr>
          <w:rFonts w:hint="eastAsia"/>
        </w:rPr>
        <w:t>年门诊总人次</w:t>
      </w:r>
      <w:r>
        <w:rPr>
          <w:rFonts w:hint="eastAsia"/>
        </w:rPr>
        <w:t>30.3</w:t>
      </w:r>
      <w:r>
        <w:rPr>
          <w:rFonts w:hint="eastAsia"/>
        </w:rPr>
        <w:t>万，其中急诊人次</w:t>
      </w:r>
      <w:r>
        <w:rPr>
          <w:rFonts w:hint="eastAsia"/>
        </w:rPr>
        <w:t>6.66</w:t>
      </w:r>
      <w:r>
        <w:rPr>
          <w:rFonts w:hint="eastAsia"/>
        </w:rPr>
        <w:t>万，健康体检</w:t>
      </w:r>
      <w:r>
        <w:rPr>
          <w:rFonts w:hint="eastAsia"/>
        </w:rPr>
        <w:t>2.69</w:t>
      </w:r>
      <w:r>
        <w:rPr>
          <w:rFonts w:hint="eastAsia"/>
        </w:rPr>
        <w:t>万；</w:t>
      </w:r>
      <w:r>
        <w:rPr>
          <w:rFonts w:hint="eastAsia"/>
        </w:rPr>
        <w:t>2018</w:t>
      </w:r>
      <w:r>
        <w:rPr>
          <w:rFonts w:hint="eastAsia"/>
        </w:rPr>
        <w:t>年门诊总人次</w:t>
      </w:r>
      <w:r>
        <w:rPr>
          <w:rFonts w:hint="eastAsia"/>
        </w:rPr>
        <w:t>31.81</w:t>
      </w:r>
      <w:r>
        <w:rPr>
          <w:rFonts w:hint="eastAsia"/>
        </w:rPr>
        <w:t>万，其中急诊人次</w:t>
      </w:r>
      <w:r>
        <w:rPr>
          <w:rFonts w:hint="eastAsia"/>
        </w:rPr>
        <w:t>6.73</w:t>
      </w:r>
      <w:r>
        <w:rPr>
          <w:rFonts w:hint="eastAsia"/>
        </w:rPr>
        <w:t>万，健康体检</w:t>
      </w:r>
      <w:r>
        <w:rPr>
          <w:rFonts w:hint="eastAsia"/>
        </w:rPr>
        <w:t>3.54</w:t>
      </w:r>
      <w:r>
        <w:rPr>
          <w:rFonts w:hint="eastAsia"/>
        </w:rPr>
        <w:t>万。目前东川区人民医院内、外科分离的实际情况，远远满</w:t>
      </w:r>
      <w:r>
        <w:rPr>
          <w:rFonts w:hint="eastAsia"/>
        </w:rPr>
        <w:t>足不了群众多层次、人性化的就医需求。所以本项目的建设凸显国家优惠政策，惠及广大群众。</w:t>
      </w:r>
    </w:p>
    <w:p w:rsidR="00896868" w:rsidRDefault="00294302">
      <w:pPr>
        <w:ind w:firstLine="640"/>
      </w:pPr>
      <w:r>
        <w:rPr>
          <w:rFonts w:hint="eastAsia"/>
        </w:rPr>
        <w:t>（</w:t>
      </w:r>
      <w:r>
        <w:rPr>
          <w:rFonts w:hint="eastAsia"/>
        </w:rPr>
        <w:t>3</w:t>
      </w:r>
      <w:r>
        <w:rPr>
          <w:rFonts w:hint="eastAsia"/>
        </w:rPr>
        <w:t>）东川区人民医院是区属唯一的一家综合性公立医院，承担着全区</w:t>
      </w:r>
      <w:r>
        <w:rPr>
          <w:rFonts w:hint="eastAsia"/>
        </w:rPr>
        <w:t>32.5</w:t>
      </w:r>
      <w:r>
        <w:rPr>
          <w:rFonts w:hint="eastAsia"/>
        </w:rPr>
        <w:t>万人口的医疗健康保障工作，东川区是国家深度贫困县，东川区人民医院作为东川区的定点扶贫医院，在开展基本医疗服务工作的同时还承担着东川区的健康扶贫、贫困人口大病救治、慢病管理等工作。现在医院分两个院区运行，新院区主要是外系科室，老院区主要是内系科室。两个院区分开，群众就医不方便，医疗安全隐患大，运行成本高，特别是老院区内科住院楼，办公楼建设年代长，门诊楼已被</w:t>
      </w:r>
      <w:r>
        <w:rPr>
          <w:rFonts w:hint="eastAsia"/>
        </w:rPr>
        <w:t>鉴定为</w:t>
      </w:r>
      <w:r>
        <w:rPr>
          <w:rFonts w:hint="eastAsia"/>
        </w:rPr>
        <w:t>D</w:t>
      </w:r>
      <w:r>
        <w:rPr>
          <w:rFonts w:hint="eastAsia"/>
        </w:rPr>
        <w:lastRenderedPageBreak/>
        <w:t>级危房，就医环境差，医疗设备、电器、线路等已老化，存在较大安全隐患，老院区现有的医疗设施已不能满足广大群众日益增长的需求。其次为了今后应对病毒感染性突发事件，为了</w:t>
      </w:r>
      <w:hyperlink r:id="rId10" w:tgtFrame="_blank" w:history="1">
        <w:r>
          <w:rPr>
            <w:rFonts w:hint="eastAsia"/>
          </w:rPr>
          <w:t>不断满足人民群众日益增长的卫生健康需求</w:t>
        </w:r>
      </w:hyperlink>
      <w:r>
        <w:rPr>
          <w:rFonts w:hint="eastAsia"/>
        </w:rPr>
        <w:t>，进一步提高东</w:t>
      </w:r>
      <w:r>
        <w:rPr>
          <w:rFonts w:hint="eastAsia"/>
        </w:rPr>
        <w:t>川区人民健康水平，改善医疗环境条件，更好地服务全区人民群众，需尽快在新院区预留地块上建设内科住院大楼，综合办公楼及传染病楼以提供便捷良好的就医环境，提高运行效率，降低管理成本，改善医疗服务水平，最大限度缓解看大病难、看大病贵问题，切实维护群众利益，因此，有必要加快东川区人民医院整体改扩建工程。</w:t>
      </w:r>
    </w:p>
    <w:p w:rsidR="00896868" w:rsidRDefault="00294302">
      <w:pPr>
        <w:ind w:firstLine="640"/>
      </w:pPr>
      <w:r>
        <w:rPr>
          <w:rFonts w:hint="eastAsia"/>
        </w:rPr>
        <w:t>综上所述，建好办好昆明市东川区人民医院是全区卫生事业的重点工作，是昆明市社会事业的主要内容，是党和人民政府为人民谋幸福的具体内容，是保障社会稳定的重要举措，是健康扶贫的重要体现，其意义重大而深远。</w:t>
      </w:r>
    </w:p>
    <w:p w:rsidR="00896868" w:rsidRDefault="00294302">
      <w:pPr>
        <w:pStyle w:val="5"/>
        <w:numPr>
          <w:ilvl w:val="0"/>
          <w:numId w:val="5"/>
        </w:numPr>
        <w:ind w:firstLine="640"/>
      </w:pPr>
      <w:r>
        <w:rPr>
          <w:rFonts w:hint="eastAsia"/>
        </w:rPr>
        <w:t>项目实施情况。</w:t>
      </w:r>
    </w:p>
    <w:p w:rsidR="00896868" w:rsidRDefault="00294302">
      <w:pPr>
        <w:ind w:firstLine="640"/>
      </w:pPr>
      <w:r>
        <w:rPr>
          <w:rFonts w:hint="eastAsia"/>
        </w:rPr>
        <w:t>自</w:t>
      </w:r>
      <w:r>
        <w:rPr>
          <w:rFonts w:hint="eastAsia"/>
        </w:rPr>
        <w:t>2020</w:t>
      </w:r>
      <w:r>
        <w:rPr>
          <w:rFonts w:hint="eastAsia"/>
        </w:rPr>
        <w:t>年</w:t>
      </w:r>
      <w:r>
        <w:rPr>
          <w:rFonts w:hint="eastAsia"/>
        </w:rPr>
        <w:t>6</w:t>
      </w:r>
      <w:r>
        <w:rPr>
          <w:rFonts w:hint="eastAsia"/>
        </w:rPr>
        <w:t>月</w:t>
      </w:r>
      <w:r>
        <w:rPr>
          <w:rFonts w:hint="eastAsia"/>
        </w:rPr>
        <w:t>28</w:t>
      </w:r>
      <w:r>
        <w:rPr>
          <w:rFonts w:hint="eastAsia"/>
        </w:rPr>
        <w:t>日开工以来，医院领导班子高度重视，精心组织、抢抓进度，经过</w:t>
      </w:r>
      <w:r>
        <w:rPr>
          <w:rFonts w:hint="eastAsia"/>
        </w:rPr>
        <w:t>6</w:t>
      </w:r>
      <w:r>
        <w:rPr>
          <w:rFonts w:hint="eastAsia"/>
        </w:rPr>
        <w:t>个多月的努力奋战，由江西省城建房屋建筑工程公司承建的内科住院楼顺利完成了主体封顶断水工作。内科住院楼建筑面积</w:t>
      </w:r>
      <w:r>
        <w:rPr>
          <w:rFonts w:hint="eastAsia"/>
        </w:rPr>
        <w:t>22715.19</w:t>
      </w:r>
      <w:r>
        <w:rPr>
          <w:rFonts w:hint="eastAsia"/>
        </w:rPr>
        <w:t>㎡，地下一层，地上六层，设有心内科、呼吸内科、感染科、消化内科、老年病科、中医科、血透中心，拟建病房床位数</w:t>
      </w:r>
      <w:r>
        <w:rPr>
          <w:rFonts w:hint="eastAsia"/>
        </w:rPr>
        <w:t>482</w:t>
      </w:r>
      <w:r>
        <w:rPr>
          <w:rFonts w:hint="eastAsia"/>
        </w:rPr>
        <w:t>床。内科住院楼封顶后，工程将全面进入装修阶段，预计</w:t>
      </w:r>
      <w:r>
        <w:rPr>
          <w:rFonts w:hint="eastAsia"/>
        </w:rPr>
        <w:t>2021</w:t>
      </w:r>
      <w:r>
        <w:rPr>
          <w:rFonts w:hint="eastAsia"/>
        </w:rPr>
        <w:t>年</w:t>
      </w:r>
      <w:r>
        <w:rPr>
          <w:rFonts w:hint="eastAsia"/>
        </w:rPr>
        <w:t>12</w:t>
      </w:r>
      <w:r>
        <w:rPr>
          <w:rFonts w:hint="eastAsia"/>
        </w:rPr>
        <w:t>月底竣工投入使用，届时，将为东川区的老百姓提供更好的就医环境和更优质的医疗服务。</w:t>
      </w:r>
    </w:p>
    <w:p w:rsidR="00896868" w:rsidRDefault="00294302">
      <w:pPr>
        <w:ind w:firstLine="640"/>
      </w:pPr>
      <w:r>
        <w:rPr>
          <w:rFonts w:hint="eastAsia"/>
        </w:rPr>
        <w:t>资金来源及使用情况。</w:t>
      </w:r>
    </w:p>
    <w:p w:rsidR="00896868" w:rsidRDefault="00294302">
      <w:pPr>
        <w:ind w:firstLine="640"/>
      </w:pPr>
      <w:r>
        <w:rPr>
          <w:rFonts w:hint="eastAsia"/>
        </w:rPr>
        <w:t>1</w:t>
      </w:r>
      <w:r>
        <w:rPr>
          <w:rFonts w:hint="eastAsia"/>
        </w:rPr>
        <w:t>、项目总投资：</w:t>
      </w:r>
      <w:r>
        <w:rPr>
          <w:rFonts w:hint="eastAsia"/>
        </w:rPr>
        <w:t>19730</w:t>
      </w:r>
      <w:r>
        <w:rPr>
          <w:rFonts w:hint="eastAsia"/>
        </w:rPr>
        <w:t>万元</w:t>
      </w:r>
      <w:r>
        <w:rPr>
          <w:rFonts w:hint="eastAsia"/>
        </w:rPr>
        <w:t xml:space="preserve">       100.00</w:t>
      </w:r>
      <w:r>
        <w:rPr>
          <w:rFonts w:hint="eastAsia"/>
        </w:rPr>
        <w:t>﹪</w:t>
      </w:r>
    </w:p>
    <w:p w:rsidR="00896868" w:rsidRDefault="00294302">
      <w:pPr>
        <w:ind w:firstLine="640"/>
      </w:pPr>
      <w:r>
        <w:rPr>
          <w:rFonts w:hint="eastAsia"/>
        </w:rPr>
        <w:t xml:space="preserve"> </w:t>
      </w:r>
      <w:r>
        <w:rPr>
          <w:rFonts w:hint="eastAsia"/>
        </w:rPr>
        <w:t>其中：</w:t>
      </w:r>
      <w:r>
        <w:rPr>
          <w:rFonts w:hint="eastAsia"/>
        </w:rPr>
        <w:t xml:space="preserve"> </w:t>
      </w:r>
      <w:r>
        <w:rPr>
          <w:rFonts w:hint="eastAsia"/>
        </w:rPr>
        <w:t>前期投资</w:t>
      </w:r>
    </w:p>
    <w:p w:rsidR="00896868" w:rsidRDefault="00294302">
      <w:pPr>
        <w:ind w:firstLine="640"/>
      </w:pPr>
      <w:r>
        <w:rPr>
          <w:rFonts w:hint="eastAsia"/>
        </w:rPr>
        <w:lastRenderedPageBreak/>
        <w:t>建筑安装工程费</w:t>
      </w:r>
      <w:r>
        <w:rPr>
          <w:rFonts w:hint="eastAsia"/>
        </w:rPr>
        <w:t>17114.88</w:t>
      </w:r>
      <w:r>
        <w:rPr>
          <w:rFonts w:hint="eastAsia"/>
        </w:rPr>
        <w:t>万元，占总投资的</w:t>
      </w:r>
      <w:r>
        <w:rPr>
          <w:rFonts w:hint="eastAsia"/>
        </w:rPr>
        <w:t>86.7</w:t>
      </w:r>
      <w:r>
        <w:rPr>
          <w:rFonts w:hint="eastAsia"/>
        </w:rPr>
        <w:t>﹪</w:t>
      </w:r>
    </w:p>
    <w:p w:rsidR="00896868" w:rsidRDefault="00294302">
      <w:pPr>
        <w:ind w:firstLine="640"/>
      </w:pPr>
      <w:r>
        <w:rPr>
          <w:rFonts w:hint="eastAsia"/>
        </w:rPr>
        <w:t>建设其他费用</w:t>
      </w:r>
      <w:r>
        <w:rPr>
          <w:rFonts w:hint="eastAsia"/>
        </w:rPr>
        <w:t>1324.38</w:t>
      </w:r>
      <w:r>
        <w:rPr>
          <w:rFonts w:hint="eastAsia"/>
        </w:rPr>
        <w:t>万元，占总投资的</w:t>
      </w:r>
      <w:r>
        <w:rPr>
          <w:rFonts w:hint="eastAsia"/>
        </w:rPr>
        <w:t>6.7</w:t>
      </w:r>
      <w:r>
        <w:rPr>
          <w:rFonts w:hint="eastAsia"/>
        </w:rPr>
        <w:t>﹪</w:t>
      </w:r>
    </w:p>
    <w:p w:rsidR="00896868" w:rsidRDefault="00294302">
      <w:pPr>
        <w:ind w:firstLine="640"/>
      </w:pPr>
      <w:r>
        <w:rPr>
          <w:rFonts w:hint="eastAsia"/>
        </w:rPr>
        <w:t xml:space="preserve">         </w:t>
      </w:r>
      <w:r>
        <w:rPr>
          <w:rFonts w:hint="eastAsia"/>
        </w:rPr>
        <w:t>基本预备费用</w:t>
      </w:r>
      <w:r>
        <w:rPr>
          <w:rFonts w:hint="eastAsia"/>
        </w:rPr>
        <w:t>1290.75</w:t>
      </w:r>
      <w:r>
        <w:rPr>
          <w:rFonts w:hint="eastAsia"/>
        </w:rPr>
        <w:t>万元，占总投资的</w:t>
      </w:r>
      <w:r>
        <w:rPr>
          <w:rFonts w:hint="eastAsia"/>
        </w:rPr>
        <w:t>6.5</w:t>
      </w:r>
      <w:r>
        <w:rPr>
          <w:rFonts w:hint="eastAsia"/>
        </w:rPr>
        <w:t>﹪</w:t>
      </w:r>
    </w:p>
    <w:p w:rsidR="00896868" w:rsidRDefault="00294302">
      <w:pPr>
        <w:ind w:firstLine="640"/>
      </w:pPr>
      <w:r>
        <w:rPr>
          <w:rFonts w:hint="eastAsia"/>
        </w:rPr>
        <w:t>资金筹措</w:t>
      </w:r>
    </w:p>
    <w:p w:rsidR="00896868" w:rsidRDefault="00294302">
      <w:pPr>
        <w:ind w:firstLine="640"/>
      </w:pPr>
      <w:r>
        <w:rPr>
          <w:rFonts w:hint="eastAsia"/>
        </w:rPr>
        <w:t>项目建设总投资为核实数据：</w:t>
      </w:r>
      <w:r>
        <w:rPr>
          <w:rFonts w:hint="eastAsia"/>
        </w:rPr>
        <w:t>19730</w:t>
      </w:r>
      <w:r>
        <w:rPr>
          <w:rFonts w:hint="eastAsia"/>
        </w:rPr>
        <w:t>万元。资金筹措方式为多渠道筹集解决，具体方式为申请专项债券</w:t>
      </w:r>
      <w:r>
        <w:rPr>
          <w:rFonts w:hint="eastAsia"/>
        </w:rPr>
        <w:t>8000</w:t>
      </w:r>
      <w:r>
        <w:rPr>
          <w:rFonts w:hint="eastAsia"/>
        </w:rPr>
        <w:t>万元；资金本</w:t>
      </w:r>
      <w:r>
        <w:rPr>
          <w:rFonts w:hint="eastAsia"/>
        </w:rPr>
        <w:t>5724</w:t>
      </w:r>
      <w:r>
        <w:rPr>
          <w:rFonts w:hint="eastAsia"/>
        </w:rPr>
        <w:t>万元；市场化融资</w:t>
      </w:r>
      <w:r>
        <w:rPr>
          <w:rFonts w:hint="eastAsia"/>
        </w:rPr>
        <w:t>7700</w:t>
      </w:r>
      <w:r>
        <w:rPr>
          <w:rFonts w:hint="eastAsia"/>
        </w:rPr>
        <w:t>万元。</w:t>
      </w:r>
    </w:p>
    <w:p w:rsidR="00896868" w:rsidRDefault="00294302">
      <w:pPr>
        <w:ind w:firstLine="640"/>
      </w:pPr>
      <w:r>
        <w:rPr>
          <w:rFonts w:hint="eastAsia"/>
        </w:rPr>
        <w:t>资金使用情况自项目开工以来截止</w:t>
      </w:r>
      <w:r>
        <w:rPr>
          <w:rFonts w:hint="eastAsia"/>
        </w:rPr>
        <w:t>2020</w:t>
      </w:r>
      <w:r>
        <w:rPr>
          <w:rFonts w:hint="eastAsia"/>
        </w:rPr>
        <w:t>年</w:t>
      </w:r>
      <w:r>
        <w:rPr>
          <w:rFonts w:hint="eastAsia"/>
        </w:rPr>
        <w:t>12</w:t>
      </w:r>
      <w:r>
        <w:rPr>
          <w:rFonts w:hint="eastAsia"/>
        </w:rPr>
        <w:t>月</w:t>
      </w:r>
      <w:r>
        <w:rPr>
          <w:rFonts w:hint="eastAsia"/>
        </w:rPr>
        <w:t>31</w:t>
      </w:r>
      <w:r>
        <w:rPr>
          <w:rFonts w:hint="eastAsia"/>
        </w:rPr>
        <w:t>日，项目累计工程产值</w:t>
      </w:r>
      <w:r>
        <w:rPr>
          <w:rFonts w:hint="eastAsia"/>
        </w:rPr>
        <w:t>11549.87</w:t>
      </w:r>
      <w:r>
        <w:rPr>
          <w:rFonts w:hint="eastAsia"/>
        </w:rPr>
        <w:t>万元，累计支付资金</w:t>
      </w:r>
      <w:r>
        <w:rPr>
          <w:rFonts w:hint="eastAsia"/>
        </w:rPr>
        <w:t>8331.31</w:t>
      </w:r>
      <w:r>
        <w:rPr>
          <w:rFonts w:hint="eastAsia"/>
        </w:rPr>
        <w:t>万元其中专项资金</w:t>
      </w:r>
      <w:r>
        <w:rPr>
          <w:rFonts w:hint="eastAsia"/>
        </w:rPr>
        <w:t>8000</w:t>
      </w:r>
      <w:r>
        <w:rPr>
          <w:rFonts w:hint="eastAsia"/>
        </w:rPr>
        <w:t>万元；完成度</w:t>
      </w:r>
      <w:r>
        <w:rPr>
          <w:rFonts w:hint="eastAsia"/>
        </w:rPr>
        <w:t>100%</w:t>
      </w:r>
      <w:r>
        <w:rPr>
          <w:rFonts w:hint="eastAsia"/>
        </w:rPr>
        <w:t>；资本金</w:t>
      </w:r>
      <w:r>
        <w:rPr>
          <w:rFonts w:hint="eastAsia"/>
        </w:rPr>
        <w:t>331.31</w:t>
      </w:r>
      <w:r>
        <w:rPr>
          <w:rFonts w:hint="eastAsia"/>
        </w:rPr>
        <w:t>万元。</w:t>
      </w:r>
    </w:p>
    <w:p w:rsidR="00896868" w:rsidRDefault="00294302">
      <w:pPr>
        <w:ind w:firstLine="640"/>
      </w:pPr>
      <w:r>
        <w:rPr>
          <w:rFonts w:hint="eastAsia"/>
        </w:rPr>
        <w:t>组织及管理情况。包括项目组织情况、项目实施流程、资金拨付流程。</w:t>
      </w:r>
    </w:p>
    <w:p w:rsidR="00896868" w:rsidRDefault="00294302">
      <w:pPr>
        <w:ind w:firstLine="640"/>
      </w:pPr>
      <w:r>
        <w:rPr>
          <w:noProof/>
        </w:rPr>
        <w:lastRenderedPageBreak/>
        <w:drawing>
          <wp:inline distT="0" distB="0" distL="0" distR="0">
            <wp:extent cx="8877300" cy="50228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srcRect/>
                    <a:stretch>
                      <a:fillRect/>
                    </a:stretch>
                  </pic:blipFill>
                  <pic:spPr>
                    <a:xfrm>
                      <a:off x="0" y="0"/>
                      <a:ext cx="8877300" cy="5022850"/>
                    </a:xfrm>
                    <a:prstGeom prst="rect">
                      <a:avLst/>
                    </a:prstGeom>
                    <a:noFill/>
                    <a:ln w="9525">
                      <a:noFill/>
                      <a:miter lim="800000"/>
                      <a:headEnd/>
                      <a:tailEnd/>
                    </a:ln>
                  </pic:spPr>
                </pic:pic>
              </a:graphicData>
            </a:graphic>
          </wp:inline>
        </w:drawing>
      </w:r>
    </w:p>
    <w:p w:rsidR="00896868" w:rsidRDefault="00294302">
      <w:pPr>
        <w:pStyle w:val="5"/>
        <w:ind w:firstLine="640"/>
      </w:pPr>
      <w:r>
        <w:rPr>
          <w:rFonts w:hint="eastAsia"/>
        </w:rPr>
        <w:t>（二）绩效目标。</w:t>
      </w:r>
    </w:p>
    <w:p w:rsidR="00896868" w:rsidRDefault="00294302">
      <w:pPr>
        <w:ind w:firstLine="640"/>
      </w:pPr>
      <w:r>
        <w:rPr>
          <w:rFonts w:hint="eastAsia"/>
        </w:rPr>
        <w:t>1.</w:t>
      </w:r>
      <w:r>
        <w:rPr>
          <w:rFonts w:hint="eastAsia"/>
        </w:rPr>
        <w:t>总目标</w:t>
      </w:r>
      <w:r>
        <w:rPr>
          <w:rFonts w:hint="eastAsia"/>
        </w:rPr>
        <w:t>：</w:t>
      </w:r>
    </w:p>
    <w:p w:rsidR="00896868" w:rsidRDefault="00294302">
      <w:pPr>
        <w:ind w:firstLine="640"/>
      </w:pPr>
      <w:r>
        <w:rPr>
          <w:rFonts w:hint="eastAsia"/>
        </w:rPr>
        <w:t>2023</w:t>
      </w:r>
      <w:r>
        <w:rPr>
          <w:rFonts w:hint="eastAsia"/>
        </w:rPr>
        <w:t>年</w:t>
      </w:r>
      <w:r>
        <w:rPr>
          <w:rFonts w:hint="eastAsia"/>
        </w:rPr>
        <w:t>3</w:t>
      </w:r>
      <w:r>
        <w:rPr>
          <w:rFonts w:hint="eastAsia"/>
        </w:rPr>
        <w:t>月竣工验收并投入使用</w:t>
      </w:r>
    </w:p>
    <w:p w:rsidR="00896868" w:rsidRDefault="00294302">
      <w:pPr>
        <w:ind w:firstLine="640"/>
      </w:pPr>
      <w:r>
        <w:rPr>
          <w:rFonts w:hint="eastAsia"/>
        </w:rPr>
        <w:t>年度目标</w:t>
      </w:r>
      <w:r>
        <w:rPr>
          <w:rFonts w:hint="eastAsia"/>
        </w:rPr>
        <w:t>：</w:t>
      </w:r>
    </w:p>
    <w:p w:rsidR="00896868" w:rsidRDefault="00294302">
      <w:pPr>
        <w:ind w:firstLine="640"/>
      </w:pPr>
      <w:r>
        <w:rPr>
          <w:rFonts w:hint="eastAsia"/>
        </w:rPr>
        <w:t>2021</w:t>
      </w:r>
      <w:r>
        <w:rPr>
          <w:rFonts w:hint="eastAsia"/>
        </w:rPr>
        <w:t>年内科大楼竣工验收并投入使用。</w:t>
      </w:r>
    </w:p>
    <w:p w:rsidR="00896868" w:rsidRDefault="00294302">
      <w:pPr>
        <w:pStyle w:val="4"/>
        <w:ind w:firstLine="643"/>
      </w:pPr>
      <w:r>
        <w:rPr>
          <w:rFonts w:hint="eastAsia"/>
        </w:rPr>
        <w:t>二、绩效评价工作情况</w:t>
      </w:r>
    </w:p>
    <w:p w:rsidR="00A94848" w:rsidRDefault="00294302">
      <w:pPr>
        <w:topLinePunct/>
        <w:spacing w:line="540" w:lineRule="exact"/>
        <w:ind w:firstLineChars="250" w:firstLine="800"/>
        <w:rPr>
          <w:rStyle w:val="50"/>
        </w:rPr>
      </w:pPr>
      <w:r>
        <w:rPr>
          <w:rStyle w:val="50"/>
          <w:rFonts w:hint="eastAsia"/>
        </w:rPr>
        <w:t>（一）绩效评价目的。</w:t>
      </w:r>
    </w:p>
    <w:p w:rsidR="00896868" w:rsidRDefault="00294302">
      <w:pPr>
        <w:topLinePunct/>
        <w:spacing w:line="540" w:lineRule="exact"/>
        <w:ind w:firstLineChars="250" w:firstLine="800"/>
        <w:rPr>
          <w:rFonts w:ascii="仿宋_GB2312" w:hAnsi="楷体"/>
          <w:szCs w:val="32"/>
        </w:rPr>
      </w:pPr>
      <w:bookmarkStart w:id="2" w:name="_GoBack"/>
      <w:bookmarkEnd w:id="2"/>
      <w:r>
        <w:rPr>
          <w:rFonts w:ascii="仿宋_GB2312" w:hAnsi="楷体" w:hint="eastAsia"/>
          <w:szCs w:val="32"/>
        </w:rPr>
        <w:lastRenderedPageBreak/>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896868" w:rsidRDefault="00294302">
      <w:pPr>
        <w:pStyle w:val="5"/>
        <w:ind w:firstLine="640"/>
        <w:rPr>
          <w:rFonts w:ascii="楷体" w:hAnsi="楷体"/>
          <w:szCs w:val="32"/>
        </w:rPr>
      </w:pPr>
      <w:r>
        <w:rPr>
          <w:rFonts w:hint="eastAsia"/>
        </w:rPr>
        <w:t>（二）绩效评价工作方案制定过程。</w:t>
      </w:r>
    </w:p>
    <w:p w:rsidR="00896868" w:rsidRDefault="00294302">
      <w:pPr>
        <w:topLinePunct/>
        <w:spacing w:line="540" w:lineRule="exact"/>
        <w:ind w:firstLineChars="250" w:firstLine="800"/>
        <w:rPr>
          <w:rFonts w:ascii="仿宋_GB2312" w:hAnsi="楷体"/>
          <w:szCs w:val="32"/>
        </w:rPr>
      </w:pPr>
      <w:r>
        <w:rPr>
          <w:rFonts w:ascii="仿宋_GB2312" w:hAnsi="楷体" w:hint="eastAsia"/>
          <w:szCs w:val="32"/>
        </w:rPr>
        <w:t>1.</w:t>
      </w:r>
      <w:r>
        <w:rPr>
          <w:rFonts w:ascii="仿宋_GB2312" w:hAnsi="楷体" w:hint="eastAsia"/>
          <w:szCs w:val="32"/>
        </w:rPr>
        <w:t>前期调研。</w:t>
      </w:r>
    </w:p>
    <w:p w:rsidR="00896868" w:rsidRDefault="00294302">
      <w:pPr>
        <w:ind w:firstLine="640"/>
      </w:pPr>
      <w:r>
        <w:rPr>
          <w:rFonts w:hint="eastAsia"/>
        </w:rPr>
        <w:t>医院在前期调研工作中委托江西省煤炭设计院编制项目可行性报告，该报告于</w:t>
      </w:r>
      <w:r>
        <w:rPr>
          <w:rFonts w:hint="eastAsia"/>
        </w:rPr>
        <w:t>2020</w:t>
      </w:r>
      <w:r>
        <w:rPr>
          <w:rFonts w:hint="eastAsia"/>
        </w:rPr>
        <w:t>年三月编制完成。</w:t>
      </w:r>
    </w:p>
    <w:p w:rsidR="00896868" w:rsidRDefault="00294302">
      <w:pPr>
        <w:numPr>
          <w:ilvl w:val="0"/>
          <w:numId w:val="6"/>
        </w:numPr>
        <w:topLinePunct/>
        <w:spacing w:line="540" w:lineRule="exact"/>
        <w:ind w:firstLineChars="250" w:firstLine="800"/>
        <w:rPr>
          <w:rFonts w:ascii="仿宋_GB2312" w:hAnsi="楷体"/>
          <w:szCs w:val="32"/>
        </w:rPr>
      </w:pPr>
      <w:r>
        <w:rPr>
          <w:rFonts w:ascii="仿宋_GB2312" w:hAnsi="楷体" w:hint="eastAsia"/>
          <w:szCs w:val="32"/>
        </w:rPr>
        <w:t>研究文件。</w:t>
      </w:r>
    </w:p>
    <w:p w:rsidR="00896868" w:rsidRDefault="00294302">
      <w:pPr>
        <w:numPr>
          <w:ilvl w:val="0"/>
          <w:numId w:val="7"/>
        </w:numPr>
        <w:ind w:firstLine="640"/>
      </w:pPr>
      <w:r>
        <w:rPr>
          <w:rFonts w:hint="eastAsia"/>
        </w:rPr>
        <w:t>东川区发展改革委员会文件，东发改【</w:t>
      </w:r>
      <w:r>
        <w:rPr>
          <w:rFonts w:hint="eastAsia"/>
        </w:rPr>
        <w:t>2019</w:t>
      </w:r>
      <w:r>
        <w:rPr>
          <w:rFonts w:hint="eastAsia"/>
        </w:rPr>
        <w:t>】</w:t>
      </w:r>
      <w:r>
        <w:rPr>
          <w:rFonts w:hint="eastAsia"/>
        </w:rPr>
        <w:t>155</w:t>
      </w:r>
      <w:r>
        <w:rPr>
          <w:rFonts w:hint="eastAsia"/>
        </w:rPr>
        <w:t>号《</w:t>
      </w:r>
      <w:r>
        <w:rPr>
          <w:rFonts w:hint="eastAsia"/>
        </w:rPr>
        <w:t>关于东川区人民医院整体改扩建项目可行性报告的请示》的批复</w:t>
      </w:r>
    </w:p>
    <w:p w:rsidR="00896868" w:rsidRDefault="00294302">
      <w:pPr>
        <w:numPr>
          <w:ilvl w:val="0"/>
          <w:numId w:val="7"/>
        </w:numPr>
        <w:ind w:firstLine="640"/>
      </w:pPr>
      <w:r>
        <w:rPr>
          <w:rFonts w:hint="eastAsia"/>
        </w:rPr>
        <w:t>（</w:t>
      </w:r>
      <w:r>
        <w:rPr>
          <w:rFonts w:hint="eastAsia"/>
        </w:rPr>
        <w:t>2</w:t>
      </w:r>
      <w:r>
        <w:rPr>
          <w:rFonts w:hint="eastAsia"/>
        </w:rPr>
        <w:t>）昆明市环境保护局文件，昆环保复【</w:t>
      </w:r>
      <w:r>
        <w:rPr>
          <w:rFonts w:hint="eastAsia"/>
        </w:rPr>
        <w:t>2008</w:t>
      </w:r>
      <w:r>
        <w:rPr>
          <w:rFonts w:hint="eastAsia"/>
        </w:rPr>
        <w:t>】</w:t>
      </w:r>
      <w:r>
        <w:rPr>
          <w:rFonts w:hint="eastAsia"/>
        </w:rPr>
        <w:t>20</w:t>
      </w:r>
      <w:r>
        <w:rPr>
          <w:rFonts w:hint="eastAsia"/>
        </w:rPr>
        <w:t>号关于对《昆明市东川区人民医院项目环境影响报告》的批复。</w:t>
      </w:r>
    </w:p>
    <w:p w:rsidR="00896868" w:rsidRDefault="00294302">
      <w:pPr>
        <w:numPr>
          <w:ilvl w:val="0"/>
          <w:numId w:val="7"/>
        </w:numPr>
        <w:ind w:firstLine="640"/>
      </w:pPr>
      <w:r>
        <w:rPr>
          <w:rFonts w:hint="eastAsia"/>
        </w:rPr>
        <w:t>（</w:t>
      </w:r>
      <w:r>
        <w:rPr>
          <w:rFonts w:hint="eastAsia"/>
        </w:rPr>
        <w:t>3</w:t>
      </w:r>
      <w:r>
        <w:rPr>
          <w:rFonts w:hint="eastAsia"/>
        </w:rPr>
        <w:t>）昆明市东川区人民政府文件，东政复【</w:t>
      </w:r>
      <w:r>
        <w:rPr>
          <w:rFonts w:hint="eastAsia"/>
        </w:rPr>
        <w:t>2007</w:t>
      </w:r>
      <w:r>
        <w:rPr>
          <w:rFonts w:hint="eastAsia"/>
        </w:rPr>
        <w:t>】</w:t>
      </w:r>
      <w:r>
        <w:rPr>
          <w:rFonts w:hint="eastAsia"/>
        </w:rPr>
        <w:t>85</w:t>
      </w:r>
      <w:r>
        <w:rPr>
          <w:rFonts w:hint="eastAsia"/>
        </w:rPr>
        <w:t>号《昆明市东川区人民政府关于新建东川区人民医院建设用地》的批复。</w:t>
      </w:r>
    </w:p>
    <w:p w:rsidR="00896868" w:rsidRDefault="00294302">
      <w:pPr>
        <w:topLinePunct/>
        <w:spacing w:line="540" w:lineRule="exact"/>
        <w:ind w:firstLineChars="250" w:firstLine="800"/>
        <w:rPr>
          <w:rFonts w:ascii="仿宋_GB2312" w:hAnsi="楷体"/>
          <w:szCs w:val="32"/>
        </w:rPr>
      </w:pPr>
      <w:r>
        <w:rPr>
          <w:rFonts w:ascii="仿宋_GB2312" w:hAnsi="楷体" w:hint="eastAsia"/>
          <w:szCs w:val="32"/>
        </w:rPr>
        <w:t>3.</w:t>
      </w:r>
      <w:r>
        <w:rPr>
          <w:rFonts w:ascii="仿宋_GB2312" w:hAnsi="楷体" w:hint="eastAsia"/>
          <w:szCs w:val="32"/>
        </w:rPr>
        <w:t>绩效评价指标体系及工作方案的设计。</w:t>
      </w:r>
    </w:p>
    <w:p w:rsidR="00896868" w:rsidRDefault="00294302">
      <w:pPr>
        <w:ind w:firstLine="640"/>
      </w:pPr>
      <w:r>
        <w:rPr>
          <w:rFonts w:hint="eastAsia"/>
        </w:rPr>
        <w:t>①建章立规：建立健全规章制度、工作流程，完善用工手续。</w:t>
      </w:r>
    </w:p>
    <w:p w:rsidR="00896868" w:rsidRDefault="00294302">
      <w:pPr>
        <w:ind w:firstLine="640"/>
      </w:pPr>
      <w:r>
        <w:rPr>
          <w:rFonts w:hint="eastAsia"/>
        </w:rPr>
        <w:t>②安全施工培训：开展分层次的培训，保证工程顺利进行。</w:t>
      </w:r>
    </w:p>
    <w:p w:rsidR="00896868" w:rsidRDefault="00294302">
      <w:pPr>
        <w:ind w:firstLine="640"/>
      </w:pPr>
      <w:r>
        <w:rPr>
          <w:rFonts w:hint="eastAsia"/>
        </w:rPr>
        <w:t>③控本增效：在工程实施过程中加强管理节约成本，减少浪费。</w:t>
      </w:r>
    </w:p>
    <w:p w:rsidR="00896868" w:rsidRDefault="00294302">
      <w:pPr>
        <w:ind w:firstLine="640"/>
      </w:pPr>
      <w:r>
        <w:rPr>
          <w:rFonts w:hint="eastAsia"/>
        </w:rPr>
        <w:t>④竣工验收：争取</w:t>
      </w:r>
      <w:r>
        <w:rPr>
          <w:rFonts w:hint="eastAsia"/>
        </w:rPr>
        <w:t>2021</w:t>
      </w:r>
      <w:r>
        <w:rPr>
          <w:rFonts w:hint="eastAsia"/>
        </w:rPr>
        <w:t>年完成内科大楼竣工验收并投入使用。</w:t>
      </w:r>
    </w:p>
    <w:p w:rsidR="00896868" w:rsidRDefault="00294302">
      <w:pPr>
        <w:pStyle w:val="5"/>
        <w:ind w:firstLine="640"/>
        <w:rPr>
          <w:rFonts w:ascii="楷体" w:hAnsi="楷体"/>
          <w:szCs w:val="32"/>
        </w:rPr>
      </w:pPr>
      <w:r>
        <w:rPr>
          <w:rFonts w:hint="eastAsia"/>
        </w:rPr>
        <w:lastRenderedPageBreak/>
        <w:t>（三）绩效评价原则、评价方法</w:t>
      </w:r>
    </w:p>
    <w:p w:rsidR="00896868" w:rsidRDefault="00294302">
      <w:pPr>
        <w:ind w:firstLine="640"/>
      </w:pPr>
      <w:r>
        <w:rPr>
          <w:rFonts w:hint="eastAsia"/>
        </w:rPr>
        <w:t>1.</w:t>
      </w:r>
      <w:r>
        <w:rPr>
          <w:rFonts w:hint="eastAsia"/>
        </w:rPr>
        <w:t>绩效评价原则。包括科学规范、公开公正、绩效相关等原则。</w:t>
      </w:r>
    </w:p>
    <w:p w:rsidR="00896868" w:rsidRDefault="00294302">
      <w:pPr>
        <w:ind w:firstLine="640"/>
      </w:pPr>
      <w:r>
        <w:rPr>
          <w:rFonts w:hint="eastAsia"/>
        </w:rPr>
        <w:t>2.</w:t>
      </w:r>
      <w:r>
        <w:rPr>
          <w:rFonts w:hint="eastAsia"/>
        </w:rPr>
        <w:t>绩效评价方法。包括指标评价、数据采集和社会调查中所采用的方法。</w:t>
      </w:r>
    </w:p>
    <w:p w:rsidR="00896868" w:rsidRDefault="00294302">
      <w:pPr>
        <w:pStyle w:val="5"/>
        <w:ind w:firstLine="640"/>
      </w:pPr>
      <w:r>
        <w:rPr>
          <w:rFonts w:hint="eastAsia"/>
        </w:rPr>
        <w:t>（四）绩效评价实施过程</w:t>
      </w:r>
    </w:p>
    <w:p w:rsidR="00896868" w:rsidRDefault="00294302">
      <w:pPr>
        <w:ind w:firstLine="640"/>
      </w:pPr>
      <w:r>
        <w:rPr>
          <w:rFonts w:hint="eastAsia"/>
        </w:rPr>
        <w:t>1.</w:t>
      </w:r>
      <w:r>
        <w:rPr>
          <w:rFonts w:hint="eastAsia"/>
        </w:rPr>
        <w:t>数据填报和采集。</w:t>
      </w:r>
    </w:p>
    <w:p w:rsidR="00896868" w:rsidRDefault="00294302">
      <w:pPr>
        <w:ind w:firstLine="640"/>
      </w:pPr>
      <w:r>
        <w:rPr>
          <w:rFonts w:hint="eastAsia"/>
        </w:rPr>
        <w:t>2.</w:t>
      </w:r>
      <w:r>
        <w:rPr>
          <w:rFonts w:hint="eastAsia"/>
        </w:rPr>
        <w:t>社会调查。</w:t>
      </w:r>
    </w:p>
    <w:p w:rsidR="00896868" w:rsidRDefault="00294302">
      <w:pPr>
        <w:ind w:firstLine="640"/>
      </w:pPr>
      <w:r>
        <w:rPr>
          <w:rFonts w:hint="eastAsia"/>
        </w:rPr>
        <w:t>3.</w:t>
      </w:r>
      <w:r>
        <w:rPr>
          <w:rFonts w:hint="eastAsia"/>
        </w:rPr>
        <w:t>数据分析和撰写报告。</w:t>
      </w:r>
    </w:p>
    <w:p w:rsidR="00896868" w:rsidRDefault="00294302">
      <w:pPr>
        <w:pStyle w:val="5"/>
        <w:ind w:firstLine="640"/>
      </w:pPr>
      <w:r>
        <w:rPr>
          <w:rFonts w:hint="eastAsia"/>
        </w:rPr>
        <w:t>（五）本次绩效评价的局限性。</w:t>
      </w:r>
    </w:p>
    <w:p w:rsidR="00896868" w:rsidRDefault="00294302">
      <w:pPr>
        <w:ind w:firstLine="640"/>
      </w:pPr>
      <w:r>
        <w:rPr>
          <w:rFonts w:hint="eastAsia"/>
        </w:rPr>
        <w:t>医院负债规模扩大，增加医院运营成本造成资金紧张。</w:t>
      </w:r>
    </w:p>
    <w:p w:rsidR="00896868" w:rsidRDefault="00294302">
      <w:pPr>
        <w:pStyle w:val="4"/>
        <w:ind w:firstLine="643"/>
        <w:rPr>
          <w:rFonts w:ascii="黑体" w:hAnsi="黑体"/>
          <w:szCs w:val="32"/>
        </w:rPr>
      </w:pPr>
      <w:r>
        <w:rPr>
          <w:rFonts w:hint="eastAsia"/>
        </w:rPr>
        <w:t>三、评价结论和绩效分析</w:t>
      </w:r>
    </w:p>
    <w:p w:rsidR="00896868" w:rsidRDefault="00294302">
      <w:pPr>
        <w:pStyle w:val="5"/>
        <w:ind w:firstLine="640"/>
      </w:pPr>
      <w:r>
        <w:rPr>
          <w:rFonts w:hint="eastAsia"/>
        </w:rPr>
        <w:t>（一）评价结论。</w:t>
      </w:r>
    </w:p>
    <w:p w:rsidR="00896868" w:rsidRDefault="00294302">
      <w:pPr>
        <w:ind w:firstLine="640"/>
      </w:pPr>
      <w:r>
        <w:rPr>
          <w:rFonts w:hint="eastAsia"/>
        </w:rPr>
        <w:t>1.</w:t>
      </w:r>
      <w:r>
        <w:rPr>
          <w:rFonts w:hint="eastAsia"/>
        </w:rPr>
        <w:t>评价结果。</w:t>
      </w:r>
    </w:p>
    <w:p w:rsidR="00896868" w:rsidRDefault="00294302">
      <w:pPr>
        <w:ind w:firstLine="640"/>
        <w:rPr>
          <w:lang w:val="en-GB"/>
        </w:rPr>
      </w:pPr>
      <w:r>
        <w:rPr>
          <w:rFonts w:hint="eastAsia"/>
        </w:rPr>
        <w:t>经过评价小组对</w:t>
      </w:r>
      <w:r>
        <w:rPr>
          <w:rFonts w:hint="eastAsia"/>
          <w:lang w:val="en-GB"/>
        </w:rPr>
        <w:t>东川</w:t>
      </w:r>
      <w:r>
        <w:rPr>
          <w:rFonts w:hint="eastAsia"/>
          <w:lang w:val="en-GB"/>
        </w:rPr>
        <w:t>区人民医院专项整体开扩建工程</w:t>
      </w:r>
      <w:r>
        <w:rPr>
          <w:rFonts w:hint="eastAsia"/>
          <w:lang w:val="en-GB"/>
        </w:rPr>
        <w:t>项目立项、资金落实、业务管理、财务管理、项目产出、项目效益等进行绩效评价，项目的绩效目标能得到实现，总评价得分</w:t>
      </w:r>
      <w:r>
        <w:rPr>
          <w:rFonts w:hint="eastAsia"/>
        </w:rPr>
        <w:t>98</w:t>
      </w:r>
      <w:r>
        <w:rPr>
          <w:rFonts w:hint="eastAsia"/>
          <w:lang w:val="en-GB"/>
        </w:rPr>
        <w:t>分，评价等级为优。</w:t>
      </w:r>
    </w:p>
    <w:p w:rsidR="00896868" w:rsidRDefault="00294302">
      <w:pPr>
        <w:pStyle w:val="a0"/>
        <w:ind w:firstLine="640"/>
      </w:pPr>
      <w:r>
        <w:rPr>
          <w:rFonts w:hint="eastAsia"/>
        </w:rPr>
        <w:t>2.</w:t>
      </w:r>
      <w:r>
        <w:rPr>
          <w:rFonts w:hint="eastAsia"/>
        </w:rPr>
        <w:t>、主要绩效</w:t>
      </w:r>
    </w:p>
    <w:p w:rsidR="00896868" w:rsidRDefault="00294302">
      <w:pPr>
        <w:ind w:firstLine="640"/>
      </w:pPr>
      <w:r>
        <w:rPr>
          <w:rFonts w:hint="eastAsia"/>
        </w:rPr>
        <w:t>按计划施工合理有序推进项目进展</w:t>
      </w:r>
      <w:r>
        <w:rPr>
          <w:rFonts w:hint="eastAsia"/>
        </w:rPr>
        <w:t>，完成主体大楼封底计划</w:t>
      </w:r>
    </w:p>
    <w:p w:rsidR="00896868" w:rsidRDefault="00294302">
      <w:pPr>
        <w:numPr>
          <w:ilvl w:val="0"/>
          <w:numId w:val="8"/>
        </w:numPr>
        <w:topLinePunct/>
        <w:spacing w:line="540" w:lineRule="exact"/>
        <w:ind w:firstLineChars="250" w:firstLine="800"/>
        <w:rPr>
          <w:rFonts w:ascii="仿宋" w:eastAsia="仿宋" w:hAnsi="仿宋"/>
          <w:szCs w:val="32"/>
        </w:rPr>
      </w:pPr>
      <w:r>
        <w:rPr>
          <w:rStyle w:val="50"/>
          <w:rFonts w:hint="eastAsia"/>
        </w:rPr>
        <w:t>具体绩效分析</w:t>
      </w:r>
      <w:r>
        <w:rPr>
          <w:rFonts w:ascii="仿宋" w:eastAsia="仿宋" w:hAnsi="仿宋" w:hint="eastAsia"/>
          <w:szCs w:val="32"/>
        </w:rPr>
        <w:t>。</w:t>
      </w:r>
    </w:p>
    <w:p w:rsidR="00896868" w:rsidRDefault="00294302">
      <w:pPr>
        <w:ind w:firstLine="640"/>
      </w:pPr>
      <w:r>
        <w:rPr>
          <w:rFonts w:hint="eastAsia"/>
        </w:rPr>
        <w:lastRenderedPageBreak/>
        <w:t>1</w:t>
      </w:r>
      <w:r>
        <w:rPr>
          <w:rFonts w:hint="eastAsia"/>
        </w:rPr>
        <w:t>、项目决策</w:t>
      </w:r>
    </w:p>
    <w:p w:rsidR="00896868" w:rsidRDefault="00294302">
      <w:pPr>
        <w:ind w:firstLine="640"/>
      </w:pPr>
      <w:r>
        <w:rPr>
          <w:rFonts w:hint="eastAsia"/>
        </w:rPr>
        <w:t>（</w:t>
      </w:r>
      <w:r>
        <w:rPr>
          <w:rFonts w:hint="eastAsia"/>
        </w:rPr>
        <w:t>1</w:t>
      </w:r>
      <w:r>
        <w:rPr>
          <w:rFonts w:hint="eastAsia"/>
        </w:rPr>
        <w:t>）项目立项</w:t>
      </w:r>
    </w:p>
    <w:p w:rsidR="00896868" w:rsidRDefault="00294302">
      <w:pPr>
        <w:ind w:firstLine="640"/>
        <w:rPr>
          <w:lang w:val="en-GB"/>
        </w:rPr>
      </w:pPr>
      <w:r>
        <w:rPr>
          <w:rFonts w:hint="eastAsia"/>
        </w:rPr>
        <w:t>根据</w:t>
      </w:r>
      <w:r>
        <w:rPr>
          <w:rFonts w:hint="eastAsia"/>
        </w:rPr>
        <w:t>东发改</w:t>
      </w:r>
      <w:r>
        <w:rPr>
          <w:rFonts w:hint="eastAsia"/>
        </w:rPr>
        <w:t>《</w:t>
      </w:r>
      <w:r>
        <w:rPr>
          <w:rFonts w:hint="eastAsia"/>
        </w:rPr>
        <w:t>东川区人民医院整体改扩建项目可行性报告的请示</w:t>
      </w:r>
      <w:r>
        <w:rPr>
          <w:rFonts w:hint="eastAsia"/>
        </w:rPr>
        <w:t>》</w:t>
      </w:r>
      <w:r>
        <w:rPr>
          <w:rFonts w:hint="eastAsia"/>
        </w:rPr>
        <w:t>【</w:t>
      </w:r>
      <w:r>
        <w:rPr>
          <w:rFonts w:hint="eastAsia"/>
        </w:rPr>
        <w:t>2019</w:t>
      </w:r>
      <w:r>
        <w:rPr>
          <w:rFonts w:hint="eastAsia"/>
        </w:rPr>
        <w:t>】</w:t>
      </w:r>
      <w:r>
        <w:rPr>
          <w:rFonts w:hint="eastAsia"/>
        </w:rPr>
        <w:t>155</w:t>
      </w:r>
      <w:r>
        <w:rPr>
          <w:rFonts w:hint="eastAsia"/>
        </w:rPr>
        <w:t>号，</w:t>
      </w:r>
      <w:r>
        <w:rPr>
          <w:rFonts w:hint="eastAsia"/>
        </w:rPr>
        <w:t>2020</w:t>
      </w:r>
      <w:r>
        <w:rPr>
          <w:rFonts w:hint="eastAsia"/>
        </w:rPr>
        <w:t>年医疗卫生专项债券实施方案等</w:t>
      </w:r>
      <w:r>
        <w:rPr>
          <w:rFonts w:hint="eastAsia"/>
          <w:lang w:val="en-GB"/>
        </w:rPr>
        <w:t>经过评价，绩效目标与部门中长期规划目标匹配性，与市政府相关规划、决策匹配性，项目立项与部门职责适应性，项目立项合法、合规。</w:t>
      </w:r>
    </w:p>
    <w:p w:rsidR="00896868" w:rsidRDefault="00294302">
      <w:pPr>
        <w:ind w:firstLine="640"/>
        <w:rPr>
          <w:lang w:val="en-GB"/>
        </w:rPr>
      </w:pPr>
      <w:r>
        <w:rPr>
          <w:rFonts w:hint="eastAsia"/>
          <w:lang w:val="en-GB"/>
        </w:rPr>
        <w:t>本项指标满分</w:t>
      </w:r>
      <w:r>
        <w:rPr>
          <w:rFonts w:hint="eastAsia"/>
        </w:rPr>
        <w:t>8</w:t>
      </w:r>
      <w:r>
        <w:rPr>
          <w:rFonts w:hint="eastAsia"/>
          <w:lang w:val="en-GB"/>
        </w:rPr>
        <w:t>分，评价</w:t>
      </w:r>
      <w:r>
        <w:rPr>
          <w:rFonts w:hint="eastAsia"/>
          <w:lang w:val="en-GB"/>
        </w:rPr>
        <w:t>得分</w:t>
      </w:r>
      <w:r>
        <w:rPr>
          <w:rFonts w:hint="eastAsia"/>
        </w:rPr>
        <w:t>8</w:t>
      </w:r>
      <w:r>
        <w:rPr>
          <w:rFonts w:hint="eastAsia"/>
          <w:lang w:val="en-GB"/>
        </w:rPr>
        <w:t>分。</w:t>
      </w:r>
    </w:p>
    <w:p w:rsidR="00896868" w:rsidRDefault="00294302">
      <w:pPr>
        <w:ind w:firstLine="640"/>
        <w:rPr>
          <w:lang w:val="en-GB"/>
        </w:rPr>
      </w:pPr>
      <w:r>
        <w:rPr>
          <w:rFonts w:hint="eastAsia"/>
          <w:lang w:val="en-GB"/>
        </w:rPr>
        <w:t>（</w:t>
      </w:r>
      <w:r>
        <w:rPr>
          <w:rFonts w:hint="eastAsia"/>
          <w:lang w:val="en-GB"/>
        </w:rPr>
        <w:t>2</w:t>
      </w:r>
      <w:r>
        <w:rPr>
          <w:rFonts w:hint="eastAsia"/>
          <w:lang w:val="en-GB"/>
        </w:rPr>
        <w:t>）项目目标</w:t>
      </w:r>
    </w:p>
    <w:p w:rsidR="00896868" w:rsidRDefault="00294302">
      <w:pPr>
        <w:pStyle w:val="a0"/>
        <w:ind w:firstLine="640"/>
      </w:pPr>
      <w:r>
        <w:rPr>
          <w:rFonts w:hint="eastAsia"/>
          <w:lang w:val="en-GB"/>
        </w:rPr>
        <w:t>医院制定的工程计划年度目标：</w:t>
      </w:r>
      <w:r>
        <w:rPr>
          <w:rFonts w:hint="eastAsia"/>
        </w:rPr>
        <w:t>2020</w:t>
      </w:r>
      <w:r>
        <w:rPr>
          <w:rFonts w:hint="eastAsia"/>
        </w:rPr>
        <w:t>年内完成内科大楼封顶。</w:t>
      </w:r>
    </w:p>
    <w:p w:rsidR="00896868" w:rsidRDefault="00294302">
      <w:pPr>
        <w:ind w:firstLine="640"/>
        <w:rPr>
          <w:lang w:val="en-GB"/>
        </w:rPr>
      </w:pPr>
      <w:r>
        <w:rPr>
          <w:rFonts w:hint="eastAsia"/>
          <w:lang w:val="en-GB"/>
        </w:rPr>
        <w:t>经评价，设定的绩效目标与事业发展规划相关，设定的绩效目标完整地反应预期产出和效果，设定的绩效目标与年度预算相匹配，对绩效目标细化分解为清晰、可衡量的绩效指标，设定的绩效指标与年度工作任务相对应。</w:t>
      </w:r>
    </w:p>
    <w:p w:rsidR="00896868" w:rsidRDefault="00294302">
      <w:pPr>
        <w:ind w:firstLine="640"/>
        <w:rPr>
          <w:lang w:val="en-GB"/>
        </w:rPr>
      </w:pPr>
      <w:r>
        <w:rPr>
          <w:rFonts w:hint="eastAsia"/>
          <w:lang w:val="en-GB"/>
        </w:rPr>
        <w:t>本项指标满分</w:t>
      </w:r>
      <w:r>
        <w:rPr>
          <w:rFonts w:hint="eastAsia"/>
          <w:lang w:val="en-GB"/>
        </w:rPr>
        <w:t>12</w:t>
      </w:r>
      <w:r>
        <w:rPr>
          <w:rFonts w:hint="eastAsia"/>
          <w:lang w:val="en-GB"/>
        </w:rPr>
        <w:t>分，评价得分</w:t>
      </w:r>
      <w:r>
        <w:rPr>
          <w:rFonts w:hint="eastAsia"/>
          <w:lang w:val="en-GB"/>
        </w:rPr>
        <w:t>12</w:t>
      </w:r>
      <w:r>
        <w:rPr>
          <w:rFonts w:hint="eastAsia"/>
          <w:lang w:val="en-GB"/>
        </w:rPr>
        <w:t>分。</w:t>
      </w:r>
    </w:p>
    <w:p w:rsidR="00896868" w:rsidRDefault="00294302">
      <w:pPr>
        <w:ind w:firstLine="640"/>
        <w:rPr>
          <w:lang w:val="en-GB"/>
        </w:rPr>
      </w:pPr>
      <w:r>
        <w:rPr>
          <w:rFonts w:hint="eastAsia"/>
          <w:lang w:val="en-GB"/>
        </w:rPr>
        <w:t>2</w:t>
      </w:r>
      <w:r>
        <w:rPr>
          <w:rFonts w:hint="eastAsia"/>
          <w:lang w:val="en-GB"/>
        </w:rPr>
        <w:t>、项目管理</w:t>
      </w:r>
    </w:p>
    <w:p w:rsidR="00896868" w:rsidRDefault="00294302">
      <w:pPr>
        <w:ind w:firstLine="640"/>
        <w:rPr>
          <w:lang w:val="en-GB"/>
        </w:rPr>
      </w:pPr>
      <w:r>
        <w:rPr>
          <w:rFonts w:hint="eastAsia"/>
          <w:lang w:val="en-GB"/>
        </w:rPr>
        <w:t>（</w:t>
      </w:r>
      <w:r>
        <w:rPr>
          <w:rFonts w:hint="eastAsia"/>
          <w:lang w:val="en-GB"/>
        </w:rPr>
        <w:t>1</w:t>
      </w:r>
      <w:r>
        <w:rPr>
          <w:rFonts w:hint="eastAsia"/>
          <w:lang w:val="en-GB"/>
        </w:rPr>
        <w:t>）投入管理</w:t>
      </w:r>
    </w:p>
    <w:p w:rsidR="00896868" w:rsidRDefault="00294302">
      <w:pPr>
        <w:ind w:firstLine="640"/>
        <w:rPr>
          <w:lang w:val="en-GB"/>
        </w:rPr>
      </w:pPr>
      <w:r>
        <w:rPr>
          <w:rFonts w:hint="eastAsia"/>
          <w:lang w:val="en-GB"/>
        </w:rPr>
        <w:t>医院</w:t>
      </w:r>
      <w:r>
        <w:rPr>
          <w:rFonts w:hint="eastAsia"/>
          <w:lang w:val="en-GB"/>
        </w:rPr>
        <w:t>对</w:t>
      </w:r>
      <w:r>
        <w:rPr>
          <w:lang w:val="en-GB"/>
        </w:rPr>
        <w:t>202</w:t>
      </w:r>
      <w:r>
        <w:rPr>
          <w:rFonts w:hint="eastAsia"/>
        </w:rPr>
        <w:t>1</w:t>
      </w:r>
      <w:r>
        <w:rPr>
          <w:rFonts w:hint="eastAsia"/>
          <w:lang w:val="en-GB"/>
        </w:rPr>
        <w:t>年</w:t>
      </w:r>
      <w:r>
        <w:rPr>
          <w:rFonts w:hint="eastAsia"/>
          <w:lang w:val="en-GB"/>
        </w:rPr>
        <w:t>整体开扩建工程</w:t>
      </w:r>
      <w:r>
        <w:rPr>
          <w:rFonts w:hint="eastAsia"/>
          <w:lang w:val="en-GB"/>
        </w:rPr>
        <w:t>的预算编制充分、合理、预算项目反应完整，</w:t>
      </w:r>
      <w:r>
        <w:rPr>
          <w:rFonts w:hint="eastAsia"/>
          <w:lang w:val="en-GB"/>
        </w:rPr>
        <w:t xml:space="preserve"> </w:t>
      </w:r>
      <w:r>
        <w:rPr>
          <w:lang w:val="en-GB"/>
        </w:rPr>
        <w:t>202</w:t>
      </w:r>
      <w:r>
        <w:rPr>
          <w:rFonts w:hint="eastAsia"/>
        </w:rPr>
        <w:t>1</w:t>
      </w:r>
      <w:r>
        <w:rPr>
          <w:rFonts w:hint="eastAsia"/>
          <w:lang w:val="en-GB"/>
        </w:rPr>
        <w:t>年无防治艾滋病经费预算调整，预算执行率达到</w:t>
      </w:r>
      <w:r>
        <w:rPr>
          <w:rFonts w:hint="eastAsia"/>
          <w:lang w:val="en-GB"/>
        </w:rPr>
        <w:t>100%</w:t>
      </w:r>
      <w:r>
        <w:rPr>
          <w:rFonts w:hint="eastAsia"/>
          <w:lang w:val="en-GB"/>
        </w:rPr>
        <w:t>。</w:t>
      </w:r>
    </w:p>
    <w:p w:rsidR="00896868" w:rsidRDefault="00294302">
      <w:pPr>
        <w:ind w:firstLine="640"/>
        <w:rPr>
          <w:lang w:val="en-GB"/>
        </w:rPr>
      </w:pPr>
      <w:r>
        <w:rPr>
          <w:rFonts w:hint="eastAsia"/>
          <w:lang w:val="en-GB"/>
        </w:rPr>
        <w:t>本项指标满分</w:t>
      </w:r>
      <w:r>
        <w:rPr>
          <w:rFonts w:hint="eastAsia"/>
        </w:rPr>
        <w:t>4</w:t>
      </w:r>
      <w:r>
        <w:rPr>
          <w:rFonts w:hint="eastAsia"/>
          <w:lang w:val="en-GB"/>
        </w:rPr>
        <w:t>分，评价得分</w:t>
      </w:r>
      <w:r>
        <w:rPr>
          <w:rFonts w:hint="eastAsia"/>
        </w:rPr>
        <w:t>4</w:t>
      </w:r>
      <w:r>
        <w:rPr>
          <w:rFonts w:hint="eastAsia"/>
          <w:lang w:val="en-GB"/>
        </w:rPr>
        <w:t>分。</w:t>
      </w:r>
    </w:p>
    <w:p w:rsidR="00896868" w:rsidRDefault="00294302">
      <w:pPr>
        <w:ind w:firstLine="640"/>
        <w:rPr>
          <w:lang w:val="en-GB"/>
        </w:rPr>
      </w:pPr>
      <w:r>
        <w:rPr>
          <w:rFonts w:hint="eastAsia"/>
          <w:lang w:val="en-GB"/>
        </w:rPr>
        <w:t>（</w:t>
      </w:r>
      <w:r>
        <w:rPr>
          <w:rFonts w:hint="eastAsia"/>
          <w:lang w:val="en-GB"/>
        </w:rPr>
        <w:t>2</w:t>
      </w:r>
      <w:r>
        <w:rPr>
          <w:rFonts w:hint="eastAsia"/>
          <w:lang w:val="en-GB"/>
        </w:rPr>
        <w:t>）财务管理</w:t>
      </w:r>
    </w:p>
    <w:p w:rsidR="00896868" w:rsidRDefault="00294302">
      <w:pPr>
        <w:ind w:firstLine="640"/>
        <w:rPr>
          <w:lang w:val="en-GB"/>
        </w:rPr>
      </w:pPr>
      <w:r>
        <w:rPr>
          <w:rFonts w:hint="eastAsia"/>
          <w:lang w:val="en-GB"/>
        </w:rPr>
        <w:t>经抽查，项目资金使用符合预算批复的用途，未发现存在截留、挤占、挪用、虚列支出等情况。财务管理制度健全，制定有《东川区</w:t>
      </w:r>
      <w:r>
        <w:rPr>
          <w:rFonts w:hint="eastAsia"/>
          <w:lang w:val="en-GB"/>
        </w:rPr>
        <w:t>人民医院财务管理制度</w:t>
      </w:r>
      <w:r>
        <w:rPr>
          <w:rFonts w:hint="eastAsia"/>
          <w:lang w:val="en-GB"/>
        </w:rPr>
        <w:t>》，财务管理</w:t>
      </w:r>
      <w:r>
        <w:rPr>
          <w:rFonts w:hint="eastAsia"/>
          <w:lang w:val="en-GB"/>
        </w:rPr>
        <w:t>制度</w:t>
      </w:r>
      <w:r>
        <w:rPr>
          <w:rFonts w:hint="eastAsia"/>
          <w:lang w:val="en-GB"/>
        </w:rPr>
        <w:t>符合相关财务会计制度的规定。资金拨付具有完整的审批程序和手续，</w:t>
      </w:r>
      <w:r>
        <w:rPr>
          <w:rFonts w:hint="eastAsia"/>
          <w:lang w:val="en-GB"/>
        </w:rPr>
        <w:lastRenderedPageBreak/>
        <w:t>符合相关制度规定。经抽查，未发现有违反相关财务管理制度的情况。</w:t>
      </w:r>
    </w:p>
    <w:p w:rsidR="00896868" w:rsidRDefault="00294302">
      <w:pPr>
        <w:ind w:firstLine="640"/>
        <w:rPr>
          <w:lang w:val="en-GB"/>
        </w:rPr>
      </w:pPr>
      <w:r>
        <w:rPr>
          <w:rFonts w:hint="eastAsia"/>
          <w:lang w:val="en-GB"/>
        </w:rPr>
        <w:t>本项指标满分</w:t>
      </w:r>
      <w:r>
        <w:rPr>
          <w:rFonts w:hint="eastAsia"/>
          <w:lang w:val="en-GB"/>
        </w:rPr>
        <w:t>6</w:t>
      </w:r>
      <w:r>
        <w:rPr>
          <w:rFonts w:hint="eastAsia"/>
          <w:lang w:val="en-GB"/>
        </w:rPr>
        <w:t>分，评价得分</w:t>
      </w:r>
      <w:r>
        <w:rPr>
          <w:rFonts w:hint="eastAsia"/>
          <w:lang w:val="en-GB"/>
        </w:rPr>
        <w:t>6</w:t>
      </w:r>
      <w:r>
        <w:rPr>
          <w:rFonts w:hint="eastAsia"/>
          <w:lang w:val="en-GB"/>
        </w:rPr>
        <w:t>分。</w:t>
      </w:r>
    </w:p>
    <w:p w:rsidR="00896868" w:rsidRDefault="00294302">
      <w:pPr>
        <w:ind w:firstLine="640"/>
        <w:rPr>
          <w:lang w:val="en-GB"/>
        </w:rPr>
      </w:pPr>
      <w:r>
        <w:rPr>
          <w:rFonts w:hint="eastAsia"/>
          <w:lang w:val="en-GB"/>
        </w:rPr>
        <w:t>（</w:t>
      </w:r>
      <w:r>
        <w:rPr>
          <w:rFonts w:hint="eastAsia"/>
          <w:lang w:val="en-GB"/>
        </w:rPr>
        <w:t>3</w:t>
      </w:r>
      <w:r>
        <w:rPr>
          <w:rFonts w:hint="eastAsia"/>
          <w:lang w:val="en-GB"/>
        </w:rPr>
        <w:t>）项目实施</w:t>
      </w:r>
    </w:p>
    <w:p w:rsidR="00896868" w:rsidRDefault="00294302">
      <w:pPr>
        <w:ind w:firstLine="640"/>
        <w:rPr>
          <w:lang w:val="en-GB"/>
        </w:rPr>
      </w:pPr>
      <w:r>
        <w:rPr>
          <w:rFonts w:hint="eastAsia"/>
          <w:lang w:val="en-GB"/>
        </w:rPr>
        <w:t>依据</w:t>
      </w:r>
      <w:r>
        <w:rPr>
          <w:rFonts w:hint="eastAsia"/>
          <w:lang w:val="en-GB"/>
        </w:rPr>
        <w:t>昆明市东川区人民政府督查室关于政府专项债券和抗疫国债资金使用进度目标分解立项督查的通知；东政督【</w:t>
      </w:r>
      <w:r>
        <w:rPr>
          <w:rFonts w:hint="eastAsia"/>
        </w:rPr>
        <w:t>2020</w:t>
      </w:r>
      <w:r>
        <w:rPr>
          <w:rFonts w:hint="eastAsia"/>
          <w:lang w:val="en-GB"/>
        </w:rPr>
        <w:t>】</w:t>
      </w:r>
      <w:r>
        <w:rPr>
          <w:rFonts w:hint="eastAsia"/>
        </w:rPr>
        <w:t>94</w:t>
      </w:r>
      <w:r>
        <w:rPr>
          <w:rFonts w:hint="eastAsia"/>
        </w:rPr>
        <w:t>号</w:t>
      </w:r>
      <w:r>
        <w:rPr>
          <w:rFonts w:hint="eastAsia"/>
          <w:lang w:val="en-GB"/>
        </w:rPr>
        <w:t>等管理方案及制度，项目由专人负责，项目实施管理制度基本健全，对项目实施过程建立了台账记录管理。</w:t>
      </w:r>
    </w:p>
    <w:p w:rsidR="00896868" w:rsidRDefault="00294302">
      <w:pPr>
        <w:ind w:firstLine="640"/>
        <w:rPr>
          <w:lang w:val="en-GB"/>
        </w:rPr>
      </w:pPr>
      <w:r>
        <w:rPr>
          <w:rFonts w:hint="eastAsia"/>
          <w:lang w:val="en-GB"/>
        </w:rPr>
        <w:t>本项指标满分</w:t>
      </w:r>
      <w:r>
        <w:rPr>
          <w:rFonts w:hint="eastAsia"/>
          <w:lang w:val="en-GB"/>
        </w:rPr>
        <w:t>10</w:t>
      </w:r>
      <w:r>
        <w:rPr>
          <w:rFonts w:hint="eastAsia"/>
          <w:lang w:val="en-GB"/>
        </w:rPr>
        <w:t>分，评价得分</w:t>
      </w:r>
      <w:r>
        <w:rPr>
          <w:rFonts w:hint="eastAsia"/>
        </w:rPr>
        <w:t>10</w:t>
      </w:r>
      <w:r>
        <w:rPr>
          <w:rFonts w:hint="eastAsia"/>
          <w:lang w:val="en-GB"/>
        </w:rPr>
        <w:t>分。</w:t>
      </w:r>
    </w:p>
    <w:p w:rsidR="00896868" w:rsidRDefault="00294302">
      <w:pPr>
        <w:ind w:firstLine="640"/>
        <w:rPr>
          <w:lang w:val="en-GB"/>
        </w:rPr>
      </w:pPr>
      <w:r>
        <w:rPr>
          <w:rFonts w:hint="eastAsia"/>
          <w:lang w:val="en-GB"/>
        </w:rPr>
        <w:t>3</w:t>
      </w:r>
      <w:r>
        <w:rPr>
          <w:rFonts w:hint="eastAsia"/>
          <w:lang w:val="en-GB"/>
        </w:rPr>
        <w:t>、项目绩效</w:t>
      </w:r>
    </w:p>
    <w:p w:rsidR="00896868" w:rsidRDefault="00294302">
      <w:pPr>
        <w:pStyle w:val="a0"/>
        <w:ind w:firstLine="640"/>
        <w:rPr>
          <w:lang w:val="en-GB"/>
        </w:rPr>
      </w:pPr>
      <w:r>
        <w:rPr>
          <w:rFonts w:hint="eastAsia"/>
          <w:lang w:val="en-GB"/>
        </w:rPr>
        <w:t>（</w:t>
      </w:r>
      <w:r>
        <w:rPr>
          <w:rFonts w:hint="eastAsia"/>
          <w:lang w:val="en-GB"/>
        </w:rPr>
        <w:t>1</w:t>
      </w:r>
      <w:r>
        <w:rPr>
          <w:rFonts w:hint="eastAsia"/>
          <w:lang w:val="en-GB"/>
        </w:rPr>
        <w:t>）项目产出</w:t>
      </w:r>
    </w:p>
    <w:tbl>
      <w:tblPr>
        <w:tblW w:w="11361" w:type="dxa"/>
        <w:tblInd w:w="108" w:type="dxa"/>
        <w:tblLook w:val="04A0" w:firstRow="1" w:lastRow="0" w:firstColumn="1" w:lastColumn="0" w:noHBand="0" w:noVBand="1"/>
      </w:tblPr>
      <w:tblGrid>
        <w:gridCol w:w="1176"/>
        <w:gridCol w:w="1176"/>
        <w:gridCol w:w="3000"/>
        <w:gridCol w:w="2003"/>
        <w:gridCol w:w="2003"/>
        <w:gridCol w:w="2003"/>
      </w:tblGrid>
      <w:tr w:rsidR="00896868">
        <w:trPr>
          <w:trHeight w:val="559"/>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一级指标</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二级指标</w:t>
            </w:r>
          </w:p>
        </w:tc>
        <w:tc>
          <w:tcPr>
            <w:tcW w:w="3000" w:type="dxa"/>
            <w:tcBorders>
              <w:top w:val="single" w:sz="4" w:space="0" w:color="auto"/>
              <w:left w:val="nil"/>
              <w:bottom w:val="single" w:sz="4" w:space="0" w:color="auto"/>
              <w:right w:val="single" w:sz="4" w:space="0" w:color="auto"/>
            </w:tcBorders>
            <w:shd w:val="clear" w:color="auto" w:fill="auto"/>
            <w:noWrap/>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三级指标</w:t>
            </w:r>
          </w:p>
        </w:tc>
        <w:tc>
          <w:tcPr>
            <w:tcW w:w="2003" w:type="dxa"/>
            <w:tcBorders>
              <w:top w:val="single" w:sz="4" w:space="0" w:color="auto"/>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年度</w:t>
            </w:r>
            <w:r>
              <w:rPr>
                <w:rFonts w:ascii="仿宋_GB2312" w:hAnsi="仿宋_GB2312" w:cs="仿宋_GB2312" w:hint="eastAsia"/>
                <w:sz w:val="18"/>
                <w:szCs w:val="18"/>
              </w:rPr>
              <w:t xml:space="preserve">    </w:t>
            </w:r>
            <w:r>
              <w:rPr>
                <w:rFonts w:ascii="仿宋_GB2312" w:hAnsi="仿宋_GB2312" w:cs="仿宋_GB2312" w:hint="eastAsia"/>
                <w:sz w:val="18"/>
                <w:szCs w:val="18"/>
              </w:rPr>
              <w:t>指标值</w:t>
            </w:r>
          </w:p>
        </w:tc>
        <w:tc>
          <w:tcPr>
            <w:tcW w:w="2003" w:type="dxa"/>
            <w:tcBorders>
              <w:top w:val="single" w:sz="4" w:space="0" w:color="auto"/>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实际</w:t>
            </w:r>
            <w:r>
              <w:rPr>
                <w:rFonts w:ascii="仿宋_GB2312" w:hAnsi="仿宋_GB2312" w:cs="仿宋_GB2312" w:hint="eastAsia"/>
                <w:sz w:val="18"/>
                <w:szCs w:val="18"/>
              </w:rPr>
              <w:t xml:space="preserve">     </w:t>
            </w:r>
            <w:r>
              <w:rPr>
                <w:rFonts w:ascii="仿宋_GB2312" w:hAnsi="仿宋_GB2312" w:cs="仿宋_GB2312" w:hint="eastAsia"/>
                <w:sz w:val="18"/>
                <w:szCs w:val="18"/>
              </w:rPr>
              <w:t>完成值</w:t>
            </w:r>
          </w:p>
        </w:tc>
        <w:tc>
          <w:tcPr>
            <w:tcW w:w="2003" w:type="dxa"/>
            <w:tcBorders>
              <w:top w:val="single" w:sz="4" w:space="0" w:color="auto"/>
              <w:left w:val="nil"/>
              <w:bottom w:val="single" w:sz="4" w:space="0" w:color="auto"/>
              <w:right w:val="single" w:sz="4" w:space="0" w:color="auto"/>
            </w:tcBorders>
            <w:shd w:val="clear" w:color="auto" w:fill="auto"/>
            <w:noWrap/>
            <w:textDirection w:val="tbRlV"/>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完成率</w:t>
            </w:r>
          </w:p>
        </w:tc>
      </w:tr>
      <w:tr w:rsidR="00896868">
        <w:trPr>
          <w:trHeight w:val="402"/>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产出指标</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数量指标</w:t>
            </w:r>
          </w:p>
        </w:tc>
        <w:tc>
          <w:tcPr>
            <w:tcW w:w="3000" w:type="dxa"/>
            <w:tcBorders>
              <w:top w:val="single" w:sz="4" w:space="0" w:color="auto"/>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工程进度与计划完成率</w:t>
            </w:r>
          </w:p>
        </w:tc>
        <w:tc>
          <w:tcPr>
            <w:tcW w:w="2003" w:type="dxa"/>
            <w:tcBorders>
              <w:top w:val="nil"/>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100.00%</w:t>
            </w:r>
          </w:p>
        </w:tc>
        <w:tc>
          <w:tcPr>
            <w:tcW w:w="2003" w:type="dxa"/>
            <w:tcBorders>
              <w:top w:val="nil"/>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100.00%</w:t>
            </w:r>
          </w:p>
        </w:tc>
        <w:tc>
          <w:tcPr>
            <w:tcW w:w="2003" w:type="dxa"/>
            <w:tcBorders>
              <w:top w:val="nil"/>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w:t>
            </w:r>
          </w:p>
        </w:tc>
      </w:tr>
      <w:tr w:rsidR="00896868">
        <w:trPr>
          <w:trHeight w:val="360"/>
        </w:trPr>
        <w:tc>
          <w:tcPr>
            <w:tcW w:w="1176" w:type="dxa"/>
            <w:vMerge/>
            <w:tcBorders>
              <w:top w:val="nil"/>
              <w:left w:val="single" w:sz="4" w:space="0" w:color="auto"/>
              <w:bottom w:val="single" w:sz="4" w:space="0" w:color="auto"/>
              <w:right w:val="single" w:sz="4" w:space="0" w:color="auto"/>
            </w:tcBorders>
            <w:vAlign w:val="center"/>
          </w:tcPr>
          <w:p w:rsidR="00896868" w:rsidRDefault="00896868">
            <w:pPr>
              <w:ind w:firstLine="360"/>
              <w:rPr>
                <w:rFonts w:ascii="仿宋_GB2312" w:hAnsi="仿宋_GB2312" w:cs="仿宋_GB2312"/>
                <w:sz w:val="18"/>
                <w:szCs w:val="18"/>
              </w:rPr>
            </w:pPr>
          </w:p>
        </w:tc>
        <w:tc>
          <w:tcPr>
            <w:tcW w:w="1176" w:type="dxa"/>
            <w:vMerge/>
            <w:tcBorders>
              <w:top w:val="nil"/>
              <w:left w:val="single" w:sz="4" w:space="0" w:color="auto"/>
              <w:bottom w:val="single" w:sz="4" w:space="0" w:color="auto"/>
              <w:right w:val="single" w:sz="4" w:space="0" w:color="auto"/>
            </w:tcBorders>
            <w:vAlign w:val="center"/>
          </w:tcPr>
          <w:p w:rsidR="00896868" w:rsidRDefault="00896868">
            <w:pPr>
              <w:ind w:firstLine="360"/>
              <w:rPr>
                <w:rFonts w:ascii="仿宋_GB2312" w:hAnsi="仿宋_GB2312" w:cs="仿宋_GB2312"/>
                <w:sz w:val="18"/>
                <w:szCs w:val="18"/>
              </w:rPr>
            </w:pPr>
          </w:p>
        </w:tc>
        <w:tc>
          <w:tcPr>
            <w:tcW w:w="3000" w:type="dxa"/>
            <w:tcBorders>
              <w:top w:val="single" w:sz="4" w:space="0" w:color="auto"/>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文明安全施工</w:t>
            </w:r>
          </w:p>
        </w:tc>
        <w:tc>
          <w:tcPr>
            <w:tcW w:w="2003" w:type="dxa"/>
            <w:tcBorders>
              <w:top w:val="nil"/>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100.00%</w:t>
            </w:r>
          </w:p>
        </w:tc>
        <w:tc>
          <w:tcPr>
            <w:tcW w:w="2003" w:type="dxa"/>
            <w:tcBorders>
              <w:top w:val="nil"/>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100.00%</w:t>
            </w:r>
          </w:p>
        </w:tc>
        <w:tc>
          <w:tcPr>
            <w:tcW w:w="2003" w:type="dxa"/>
            <w:tcBorders>
              <w:top w:val="nil"/>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w:t>
            </w:r>
            <w:r>
              <w:rPr>
                <w:rFonts w:ascii="仿宋_GB2312" w:hAnsi="仿宋_GB2312" w:cs="仿宋_GB2312" w:hint="eastAsia"/>
                <w:sz w:val="18"/>
                <w:szCs w:val="18"/>
              </w:rPr>
              <w:t>%</w:t>
            </w:r>
          </w:p>
        </w:tc>
      </w:tr>
      <w:tr w:rsidR="00896868">
        <w:trPr>
          <w:trHeight w:val="342"/>
        </w:trPr>
        <w:tc>
          <w:tcPr>
            <w:tcW w:w="1176" w:type="dxa"/>
            <w:vMerge/>
            <w:tcBorders>
              <w:top w:val="nil"/>
              <w:left w:val="single" w:sz="4" w:space="0" w:color="auto"/>
              <w:bottom w:val="single" w:sz="4" w:space="0" w:color="auto"/>
              <w:right w:val="single" w:sz="4" w:space="0" w:color="auto"/>
            </w:tcBorders>
            <w:vAlign w:val="center"/>
          </w:tcPr>
          <w:p w:rsidR="00896868" w:rsidRDefault="00896868">
            <w:pPr>
              <w:ind w:firstLine="360"/>
              <w:rPr>
                <w:rFonts w:ascii="仿宋_GB2312" w:hAnsi="仿宋_GB2312" w:cs="仿宋_GB2312"/>
                <w:sz w:val="18"/>
                <w:szCs w:val="18"/>
              </w:rPr>
            </w:pPr>
          </w:p>
        </w:tc>
        <w:tc>
          <w:tcPr>
            <w:tcW w:w="1176" w:type="dxa"/>
            <w:tcBorders>
              <w:top w:val="nil"/>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质量指标</w:t>
            </w:r>
          </w:p>
        </w:tc>
        <w:tc>
          <w:tcPr>
            <w:tcW w:w="3000" w:type="dxa"/>
            <w:tcBorders>
              <w:top w:val="single" w:sz="4" w:space="0" w:color="auto"/>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农民工工资及时及时拨付</w:t>
            </w:r>
          </w:p>
        </w:tc>
        <w:tc>
          <w:tcPr>
            <w:tcW w:w="2003" w:type="dxa"/>
            <w:tcBorders>
              <w:top w:val="nil"/>
              <w:left w:val="nil"/>
              <w:bottom w:val="single" w:sz="4" w:space="0" w:color="auto"/>
              <w:right w:val="single" w:sz="4" w:space="0" w:color="auto"/>
            </w:tcBorders>
            <w:shd w:val="clear" w:color="auto" w:fill="auto"/>
            <w:noWrap/>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100.00%</w:t>
            </w:r>
          </w:p>
        </w:tc>
        <w:tc>
          <w:tcPr>
            <w:tcW w:w="2003" w:type="dxa"/>
            <w:tcBorders>
              <w:top w:val="nil"/>
              <w:left w:val="nil"/>
              <w:bottom w:val="single" w:sz="4" w:space="0" w:color="auto"/>
              <w:right w:val="single" w:sz="4" w:space="0" w:color="auto"/>
            </w:tcBorders>
            <w:shd w:val="clear" w:color="auto" w:fill="auto"/>
            <w:noWrap/>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100.00%</w:t>
            </w:r>
          </w:p>
        </w:tc>
        <w:tc>
          <w:tcPr>
            <w:tcW w:w="2003" w:type="dxa"/>
            <w:tcBorders>
              <w:top w:val="nil"/>
              <w:left w:val="nil"/>
              <w:bottom w:val="single" w:sz="4" w:space="0" w:color="auto"/>
              <w:right w:val="single" w:sz="4" w:space="0" w:color="auto"/>
            </w:tcBorders>
            <w:shd w:val="clear" w:color="auto" w:fill="auto"/>
            <w:noWrap/>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w:t>
            </w:r>
          </w:p>
        </w:tc>
      </w:tr>
      <w:tr w:rsidR="00896868">
        <w:trPr>
          <w:trHeight w:val="342"/>
        </w:trPr>
        <w:tc>
          <w:tcPr>
            <w:tcW w:w="1176" w:type="dxa"/>
            <w:vMerge/>
            <w:tcBorders>
              <w:top w:val="nil"/>
              <w:left w:val="single" w:sz="4" w:space="0" w:color="auto"/>
              <w:bottom w:val="single" w:sz="4" w:space="0" w:color="auto"/>
              <w:right w:val="single" w:sz="4" w:space="0" w:color="auto"/>
            </w:tcBorders>
            <w:vAlign w:val="center"/>
          </w:tcPr>
          <w:p w:rsidR="00896868" w:rsidRDefault="00896868">
            <w:pPr>
              <w:ind w:firstLine="360"/>
              <w:rPr>
                <w:rFonts w:ascii="仿宋_GB2312" w:hAnsi="仿宋_GB2312" w:cs="仿宋_GB2312"/>
                <w:sz w:val="18"/>
                <w:szCs w:val="18"/>
              </w:rPr>
            </w:pPr>
          </w:p>
        </w:tc>
        <w:tc>
          <w:tcPr>
            <w:tcW w:w="1176" w:type="dxa"/>
            <w:tcBorders>
              <w:top w:val="nil"/>
              <w:left w:val="single" w:sz="4" w:space="0" w:color="auto"/>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成本指标</w:t>
            </w:r>
          </w:p>
        </w:tc>
        <w:tc>
          <w:tcPr>
            <w:tcW w:w="3000" w:type="dxa"/>
            <w:tcBorders>
              <w:top w:val="single" w:sz="4" w:space="0" w:color="auto"/>
              <w:left w:val="nil"/>
              <w:bottom w:val="single" w:sz="4" w:space="0" w:color="auto"/>
              <w:right w:val="single" w:sz="4" w:space="0" w:color="auto"/>
            </w:tcBorders>
            <w:shd w:val="clear" w:color="auto" w:fill="auto"/>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施工用材合格率</w:t>
            </w:r>
          </w:p>
        </w:tc>
        <w:tc>
          <w:tcPr>
            <w:tcW w:w="2003" w:type="dxa"/>
            <w:tcBorders>
              <w:top w:val="nil"/>
              <w:left w:val="nil"/>
              <w:bottom w:val="single" w:sz="4" w:space="0" w:color="auto"/>
              <w:right w:val="single" w:sz="4" w:space="0" w:color="auto"/>
            </w:tcBorders>
            <w:shd w:val="clear" w:color="auto" w:fill="auto"/>
            <w:noWrap/>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100.00%</w:t>
            </w:r>
          </w:p>
        </w:tc>
        <w:tc>
          <w:tcPr>
            <w:tcW w:w="2003" w:type="dxa"/>
            <w:tcBorders>
              <w:top w:val="nil"/>
              <w:left w:val="nil"/>
              <w:bottom w:val="single" w:sz="4" w:space="0" w:color="auto"/>
              <w:right w:val="single" w:sz="4" w:space="0" w:color="auto"/>
            </w:tcBorders>
            <w:shd w:val="clear" w:color="auto" w:fill="auto"/>
            <w:noWrap/>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100.00%</w:t>
            </w:r>
          </w:p>
        </w:tc>
        <w:tc>
          <w:tcPr>
            <w:tcW w:w="2003" w:type="dxa"/>
            <w:tcBorders>
              <w:top w:val="nil"/>
              <w:left w:val="nil"/>
              <w:bottom w:val="single" w:sz="4" w:space="0" w:color="auto"/>
              <w:right w:val="single" w:sz="4" w:space="0" w:color="auto"/>
            </w:tcBorders>
            <w:shd w:val="clear" w:color="auto" w:fill="auto"/>
            <w:noWrap/>
            <w:vAlign w:val="center"/>
          </w:tcPr>
          <w:p w:rsidR="00896868" w:rsidRDefault="00294302">
            <w:pPr>
              <w:ind w:firstLine="360"/>
              <w:rPr>
                <w:rFonts w:ascii="仿宋_GB2312" w:hAnsi="仿宋_GB2312" w:cs="仿宋_GB2312"/>
                <w:sz w:val="18"/>
                <w:szCs w:val="18"/>
              </w:rPr>
            </w:pPr>
            <w:r>
              <w:rPr>
                <w:rFonts w:ascii="仿宋_GB2312" w:hAnsi="仿宋_GB2312" w:cs="仿宋_GB2312" w:hint="eastAsia"/>
                <w:sz w:val="18"/>
                <w:szCs w:val="18"/>
              </w:rPr>
              <w:t>100.00%</w:t>
            </w:r>
          </w:p>
        </w:tc>
      </w:tr>
    </w:tbl>
    <w:p w:rsidR="00896868" w:rsidRDefault="00294302">
      <w:pPr>
        <w:ind w:firstLine="640"/>
        <w:rPr>
          <w:lang w:val="en-GB"/>
        </w:rPr>
      </w:pPr>
      <w:r>
        <w:rPr>
          <w:rFonts w:hint="eastAsia"/>
          <w:lang w:val="en-GB"/>
        </w:rPr>
        <w:t>本项指标满分</w:t>
      </w:r>
      <w:r>
        <w:rPr>
          <w:rFonts w:hint="eastAsia"/>
          <w:lang w:val="en-GB"/>
        </w:rPr>
        <w:t>30</w:t>
      </w:r>
      <w:r>
        <w:rPr>
          <w:rFonts w:hint="eastAsia"/>
          <w:lang w:val="en-GB"/>
        </w:rPr>
        <w:t>分，评价得分</w:t>
      </w:r>
      <w:r>
        <w:rPr>
          <w:rFonts w:hint="eastAsia"/>
          <w:lang w:val="en-GB"/>
        </w:rPr>
        <w:t>30</w:t>
      </w:r>
      <w:r>
        <w:rPr>
          <w:rFonts w:hint="eastAsia"/>
          <w:lang w:val="en-GB"/>
        </w:rPr>
        <w:t>分。</w:t>
      </w:r>
    </w:p>
    <w:p w:rsidR="00896868" w:rsidRDefault="00896868">
      <w:pPr>
        <w:ind w:firstLine="640"/>
        <w:rPr>
          <w:lang w:val="en-GB"/>
        </w:rPr>
      </w:pPr>
    </w:p>
    <w:p w:rsidR="00896868" w:rsidRDefault="00896868">
      <w:pPr>
        <w:ind w:firstLine="640"/>
        <w:rPr>
          <w:lang w:val="en-GB"/>
        </w:rPr>
      </w:pPr>
    </w:p>
    <w:p w:rsidR="00896868" w:rsidRDefault="00896868">
      <w:pPr>
        <w:ind w:firstLine="640"/>
        <w:rPr>
          <w:lang w:val="en-GB"/>
        </w:rPr>
      </w:pPr>
    </w:p>
    <w:p w:rsidR="00896868" w:rsidRDefault="00896868">
      <w:pPr>
        <w:ind w:firstLine="640"/>
        <w:rPr>
          <w:lang w:val="en-GB"/>
        </w:rPr>
      </w:pPr>
    </w:p>
    <w:p w:rsidR="00896868" w:rsidRDefault="00896868">
      <w:pPr>
        <w:ind w:firstLine="640"/>
        <w:rPr>
          <w:lang w:val="en-GB"/>
        </w:rPr>
      </w:pPr>
    </w:p>
    <w:p w:rsidR="00896868" w:rsidRDefault="00896868">
      <w:pPr>
        <w:ind w:firstLine="640"/>
        <w:rPr>
          <w:lang w:val="en-GB"/>
        </w:rPr>
      </w:pPr>
    </w:p>
    <w:p w:rsidR="00896868" w:rsidRDefault="00294302">
      <w:pPr>
        <w:ind w:firstLine="640"/>
        <w:rPr>
          <w:lang w:val="en-GB"/>
        </w:rPr>
      </w:pPr>
      <w:r>
        <w:rPr>
          <w:rFonts w:hint="eastAsia"/>
          <w:lang w:val="en-GB"/>
        </w:rPr>
        <w:lastRenderedPageBreak/>
        <w:t>（</w:t>
      </w:r>
      <w:r>
        <w:rPr>
          <w:rFonts w:hint="eastAsia"/>
          <w:lang w:val="en-GB"/>
        </w:rPr>
        <w:t>2</w:t>
      </w:r>
      <w:r>
        <w:rPr>
          <w:rFonts w:hint="eastAsia"/>
          <w:lang w:val="en-GB"/>
        </w:rPr>
        <w:t>）项目效益</w:t>
      </w:r>
    </w:p>
    <w:tbl>
      <w:tblPr>
        <w:tblpPr w:leftFromText="180" w:rightFromText="180" w:vertAnchor="text" w:horzAnchor="page" w:tblpX="2601" w:tblpY="156"/>
        <w:tblOverlap w:val="never"/>
        <w:tblW w:w="9456" w:type="dxa"/>
        <w:tblLook w:val="04A0" w:firstRow="1" w:lastRow="0" w:firstColumn="1" w:lastColumn="0" w:noHBand="0" w:noVBand="1"/>
      </w:tblPr>
      <w:tblGrid>
        <w:gridCol w:w="1050"/>
        <w:gridCol w:w="1562"/>
        <w:gridCol w:w="2679"/>
        <w:gridCol w:w="1448"/>
        <w:gridCol w:w="1448"/>
        <w:gridCol w:w="1269"/>
      </w:tblGrid>
      <w:tr w:rsidR="00896868">
        <w:trPr>
          <w:trHeight w:val="907"/>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896868" w:rsidRDefault="00294302">
            <w:pPr>
              <w:ind w:firstLine="400"/>
              <w:rPr>
                <w:sz w:val="20"/>
              </w:rPr>
            </w:pPr>
            <w:r>
              <w:rPr>
                <w:rFonts w:hint="eastAsia"/>
                <w:sz w:val="20"/>
              </w:rPr>
              <w:t>一级指标</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二级指标</w:t>
            </w:r>
          </w:p>
        </w:tc>
        <w:tc>
          <w:tcPr>
            <w:tcW w:w="2679" w:type="dxa"/>
            <w:tcBorders>
              <w:top w:val="single" w:sz="4" w:space="0" w:color="auto"/>
              <w:left w:val="nil"/>
              <w:bottom w:val="single" w:sz="4" w:space="0" w:color="auto"/>
              <w:right w:val="single" w:sz="4" w:space="0" w:color="auto"/>
            </w:tcBorders>
            <w:shd w:val="clear" w:color="auto" w:fill="auto"/>
            <w:noWrap/>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三级指标</w:t>
            </w:r>
          </w:p>
        </w:tc>
        <w:tc>
          <w:tcPr>
            <w:tcW w:w="1448" w:type="dxa"/>
            <w:tcBorders>
              <w:top w:val="single" w:sz="4" w:space="0" w:color="auto"/>
              <w:left w:val="nil"/>
              <w:bottom w:val="single" w:sz="4" w:space="0" w:color="auto"/>
              <w:right w:val="single" w:sz="4" w:space="0" w:color="auto"/>
            </w:tcBorders>
            <w:shd w:val="clear" w:color="auto" w:fill="auto"/>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年度</w:t>
            </w:r>
            <w:r>
              <w:rPr>
                <w:rFonts w:ascii="宋体" w:eastAsia="宋体" w:hAnsi="宋体" w:cs="宋体" w:hint="eastAsia"/>
                <w:color w:val="000000"/>
                <w:kern w:val="0"/>
                <w:sz w:val="20"/>
              </w:rPr>
              <w:t xml:space="preserve">    </w:t>
            </w:r>
            <w:r>
              <w:rPr>
                <w:rFonts w:ascii="宋体" w:eastAsia="宋体" w:hAnsi="宋体" w:cs="宋体" w:hint="eastAsia"/>
                <w:color w:val="000000"/>
                <w:kern w:val="0"/>
                <w:sz w:val="20"/>
              </w:rPr>
              <w:t>指标值</w:t>
            </w:r>
          </w:p>
        </w:tc>
        <w:tc>
          <w:tcPr>
            <w:tcW w:w="1448" w:type="dxa"/>
            <w:tcBorders>
              <w:top w:val="single" w:sz="4" w:space="0" w:color="auto"/>
              <w:left w:val="nil"/>
              <w:bottom w:val="single" w:sz="4" w:space="0" w:color="auto"/>
              <w:right w:val="single" w:sz="4" w:space="0" w:color="auto"/>
            </w:tcBorders>
            <w:shd w:val="clear" w:color="auto" w:fill="auto"/>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实际</w:t>
            </w:r>
            <w:r>
              <w:rPr>
                <w:rFonts w:ascii="宋体" w:eastAsia="宋体" w:hAnsi="宋体" w:cs="宋体" w:hint="eastAsia"/>
                <w:color w:val="000000"/>
                <w:kern w:val="0"/>
                <w:sz w:val="20"/>
              </w:rPr>
              <w:t xml:space="preserve">     </w:t>
            </w:r>
            <w:r>
              <w:rPr>
                <w:rFonts w:ascii="宋体" w:eastAsia="宋体" w:hAnsi="宋体" w:cs="宋体" w:hint="eastAsia"/>
                <w:color w:val="000000"/>
                <w:kern w:val="0"/>
                <w:sz w:val="20"/>
              </w:rPr>
              <w:t>完成值</w:t>
            </w:r>
          </w:p>
        </w:tc>
        <w:tc>
          <w:tcPr>
            <w:tcW w:w="1269" w:type="dxa"/>
            <w:tcBorders>
              <w:top w:val="single" w:sz="4" w:space="0" w:color="auto"/>
              <w:left w:val="nil"/>
              <w:bottom w:val="single" w:sz="4" w:space="0" w:color="auto"/>
              <w:right w:val="single" w:sz="4" w:space="0" w:color="auto"/>
            </w:tcBorders>
            <w:shd w:val="clear" w:color="auto" w:fill="auto"/>
            <w:noWrap/>
            <w:textDirection w:val="tbRlV"/>
            <w:vAlign w:val="center"/>
          </w:tcPr>
          <w:p w:rsidR="00896868" w:rsidRDefault="00294302">
            <w:pPr>
              <w:widowControl/>
              <w:ind w:firstLine="400"/>
              <w:rPr>
                <w:rFonts w:ascii="宋体" w:eastAsia="宋体" w:hAnsi="宋体" w:cs="宋体"/>
                <w:color w:val="000000"/>
                <w:kern w:val="0"/>
                <w:sz w:val="20"/>
              </w:rPr>
            </w:pPr>
            <w:r>
              <w:rPr>
                <w:rFonts w:ascii="宋体" w:eastAsia="宋体" w:hAnsi="宋体" w:cs="宋体" w:hint="eastAsia"/>
                <w:color w:val="000000"/>
                <w:kern w:val="0"/>
                <w:sz w:val="20"/>
              </w:rPr>
              <w:t>完成率</w:t>
            </w:r>
          </w:p>
        </w:tc>
      </w:tr>
      <w:tr w:rsidR="00896868">
        <w:trPr>
          <w:trHeight w:val="907"/>
        </w:trPr>
        <w:tc>
          <w:tcPr>
            <w:tcW w:w="1050" w:type="dxa"/>
            <w:vMerge w:val="restart"/>
            <w:tcBorders>
              <w:top w:val="nil"/>
              <w:left w:val="single" w:sz="4" w:space="0" w:color="auto"/>
              <w:right w:val="single" w:sz="4" w:space="0" w:color="auto"/>
            </w:tcBorders>
            <w:shd w:val="clear" w:color="auto" w:fill="auto"/>
            <w:vAlign w:val="center"/>
          </w:tcPr>
          <w:p w:rsidR="00896868" w:rsidRDefault="00294302">
            <w:pPr>
              <w:widowControl/>
              <w:ind w:firstLineChars="0" w:firstLine="0"/>
              <w:rPr>
                <w:rFonts w:ascii="宋体" w:eastAsia="宋体" w:hAnsi="宋体" w:cs="宋体"/>
                <w:color w:val="000000"/>
                <w:kern w:val="0"/>
                <w:sz w:val="20"/>
              </w:rPr>
            </w:pPr>
            <w:r>
              <w:rPr>
                <w:rFonts w:ascii="宋体" w:eastAsia="宋体" w:hAnsi="宋体" w:cs="宋体" w:hint="eastAsia"/>
                <w:color w:val="000000"/>
                <w:kern w:val="0"/>
                <w:sz w:val="20"/>
              </w:rPr>
              <w:t>项目收益</w:t>
            </w:r>
          </w:p>
        </w:tc>
        <w:tc>
          <w:tcPr>
            <w:tcW w:w="1562" w:type="dxa"/>
            <w:tcBorders>
              <w:top w:val="nil"/>
              <w:left w:val="nil"/>
              <w:bottom w:val="single" w:sz="4" w:space="0" w:color="auto"/>
              <w:right w:val="single" w:sz="4" w:space="0" w:color="auto"/>
            </w:tcBorders>
            <w:shd w:val="clear" w:color="auto" w:fill="auto"/>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社会效益指标</w:t>
            </w:r>
          </w:p>
        </w:tc>
        <w:tc>
          <w:tcPr>
            <w:tcW w:w="2679" w:type="dxa"/>
            <w:tcBorders>
              <w:top w:val="single" w:sz="4" w:space="0" w:color="auto"/>
              <w:left w:val="nil"/>
              <w:bottom w:val="single" w:sz="4" w:space="0" w:color="auto"/>
              <w:right w:val="single" w:sz="4" w:space="0" w:color="auto"/>
            </w:tcBorders>
            <w:shd w:val="clear" w:color="auto" w:fill="auto"/>
            <w:vAlign w:val="center"/>
          </w:tcPr>
          <w:p w:rsidR="00896868" w:rsidRDefault="00294302">
            <w:pPr>
              <w:widowControl/>
              <w:ind w:firstLine="400"/>
              <w:jc w:val="left"/>
              <w:rPr>
                <w:rFonts w:ascii="宋体" w:eastAsia="宋体" w:hAnsi="宋体" w:cs="宋体"/>
                <w:color w:val="000000"/>
                <w:kern w:val="0"/>
                <w:sz w:val="20"/>
              </w:rPr>
            </w:pPr>
            <w:r>
              <w:rPr>
                <w:rFonts w:ascii="宋体" w:eastAsia="宋体" w:hAnsi="宋体" w:cs="宋体" w:hint="eastAsia"/>
                <w:color w:val="000000"/>
                <w:kern w:val="0"/>
                <w:sz w:val="20"/>
              </w:rPr>
              <w:t>项目需求满足区内居民医疗需求情况</w:t>
            </w:r>
          </w:p>
        </w:tc>
        <w:tc>
          <w:tcPr>
            <w:tcW w:w="1448" w:type="dxa"/>
            <w:tcBorders>
              <w:top w:val="nil"/>
              <w:left w:val="nil"/>
              <w:bottom w:val="single" w:sz="4" w:space="0" w:color="auto"/>
              <w:right w:val="single" w:sz="4" w:space="0" w:color="auto"/>
            </w:tcBorders>
            <w:shd w:val="clear" w:color="auto" w:fill="auto"/>
            <w:noWrap/>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10</w:t>
            </w:r>
          </w:p>
        </w:tc>
        <w:tc>
          <w:tcPr>
            <w:tcW w:w="1448" w:type="dxa"/>
            <w:tcBorders>
              <w:top w:val="nil"/>
              <w:left w:val="nil"/>
              <w:bottom w:val="single" w:sz="4" w:space="0" w:color="auto"/>
              <w:right w:val="single" w:sz="4" w:space="0" w:color="auto"/>
            </w:tcBorders>
            <w:shd w:val="clear" w:color="auto" w:fill="auto"/>
            <w:noWrap/>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10</w:t>
            </w:r>
          </w:p>
        </w:tc>
        <w:tc>
          <w:tcPr>
            <w:tcW w:w="1269" w:type="dxa"/>
            <w:tcBorders>
              <w:top w:val="nil"/>
              <w:left w:val="nil"/>
              <w:bottom w:val="single" w:sz="4" w:space="0" w:color="auto"/>
              <w:right w:val="single" w:sz="4" w:space="0" w:color="auto"/>
            </w:tcBorders>
            <w:shd w:val="clear" w:color="auto" w:fill="auto"/>
            <w:noWrap/>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100%</w:t>
            </w:r>
          </w:p>
        </w:tc>
      </w:tr>
      <w:tr w:rsidR="00896868">
        <w:trPr>
          <w:trHeight w:val="907"/>
        </w:trPr>
        <w:tc>
          <w:tcPr>
            <w:tcW w:w="1050" w:type="dxa"/>
            <w:vMerge/>
            <w:tcBorders>
              <w:left w:val="single" w:sz="4" w:space="0" w:color="auto"/>
              <w:right w:val="single" w:sz="4" w:space="0" w:color="auto"/>
            </w:tcBorders>
            <w:vAlign w:val="center"/>
          </w:tcPr>
          <w:p w:rsidR="00896868" w:rsidRDefault="00896868">
            <w:pPr>
              <w:widowControl/>
              <w:ind w:firstLine="400"/>
              <w:jc w:val="left"/>
              <w:rPr>
                <w:rFonts w:ascii="宋体" w:eastAsia="宋体" w:hAnsi="宋体" w:cs="宋体"/>
                <w:color w:val="000000"/>
                <w:kern w:val="0"/>
                <w:sz w:val="20"/>
              </w:rPr>
            </w:pPr>
          </w:p>
        </w:tc>
        <w:tc>
          <w:tcPr>
            <w:tcW w:w="1562" w:type="dxa"/>
            <w:tcBorders>
              <w:top w:val="nil"/>
              <w:left w:val="nil"/>
              <w:bottom w:val="single" w:sz="4" w:space="0" w:color="auto"/>
              <w:right w:val="single" w:sz="4" w:space="0" w:color="auto"/>
            </w:tcBorders>
            <w:shd w:val="clear" w:color="auto" w:fill="auto"/>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可持续影响指标</w:t>
            </w:r>
          </w:p>
        </w:tc>
        <w:tc>
          <w:tcPr>
            <w:tcW w:w="2679" w:type="dxa"/>
            <w:tcBorders>
              <w:top w:val="single" w:sz="4" w:space="0" w:color="auto"/>
              <w:left w:val="nil"/>
              <w:bottom w:val="single" w:sz="4" w:space="0" w:color="auto"/>
              <w:right w:val="single" w:sz="4" w:space="0" w:color="auto"/>
            </w:tcBorders>
            <w:shd w:val="clear" w:color="auto" w:fill="auto"/>
            <w:vAlign w:val="center"/>
          </w:tcPr>
          <w:p w:rsidR="00896868" w:rsidRDefault="00294302">
            <w:pPr>
              <w:widowControl/>
              <w:ind w:firstLine="400"/>
              <w:jc w:val="left"/>
              <w:rPr>
                <w:rFonts w:ascii="宋体" w:eastAsia="宋体" w:hAnsi="宋体" w:cs="宋体"/>
                <w:color w:val="000000"/>
                <w:kern w:val="0"/>
                <w:sz w:val="20"/>
              </w:rPr>
            </w:pPr>
            <w:r>
              <w:rPr>
                <w:rFonts w:ascii="宋体" w:eastAsia="宋体" w:hAnsi="宋体" w:cs="宋体" w:hint="eastAsia"/>
                <w:color w:val="000000"/>
                <w:kern w:val="0"/>
                <w:sz w:val="20"/>
              </w:rPr>
              <w:t>工程施工污染情况</w:t>
            </w:r>
          </w:p>
        </w:tc>
        <w:tc>
          <w:tcPr>
            <w:tcW w:w="1448" w:type="dxa"/>
            <w:tcBorders>
              <w:top w:val="nil"/>
              <w:left w:val="nil"/>
              <w:bottom w:val="single" w:sz="4" w:space="0" w:color="auto"/>
              <w:right w:val="single" w:sz="4" w:space="0" w:color="auto"/>
            </w:tcBorders>
            <w:shd w:val="clear" w:color="auto" w:fill="auto"/>
            <w:noWrap/>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10</w:t>
            </w:r>
          </w:p>
        </w:tc>
        <w:tc>
          <w:tcPr>
            <w:tcW w:w="1448" w:type="dxa"/>
            <w:tcBorders>
              <w:top w:val="nil"/>
              <w:left w:val="nil"/>
              <w:bottom w:val="single" w:sz="4" w:space="0" w:color="auto"/>
              <w:right w:val="single" w:sz="4" w:space="0" w:color="auto"/>
            </w:tcBorders>
            <w:shd w:val="clear" w:color="auto" w:fill="auto"/>
            <w:noWrap/>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9</w:t>
            </w:r>
          </w:p>
        </w:tc>
        <w:tc>
          <w:tcPr>
            <w:tcW w:w="1269" w:type="dxa"/>
            <w:tcBorders>
              <w:top w:val="nil"/>
              <w:left w:val="nil"/>
              <w:bottom w:val="single" w:sz="4" w:space="0" w:color="auto"/>
              <w:right w:val="single" w:sz="4" w:space="0" w:color="auto"/>
            </w:tcBorders>
            <w:shd w:val="clear" w:color="auto" w:fill="auto"/>
            <w:noWrap/>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99%</w:t>
            </w:r>
          </w:p>
        </w:tc>
      </w:tr>
      <w:tr w:rsidR="00896868">
        <w:trPr>
          <w:trHeight w:val="917"/>
        </w:trPr>
        <w:tc>
          <w:tcPr>
            <w:tcW w:w="1050" w:type="dxa"/>
            <w:vMerge/>
            <w:tcBorders>
              <w:left w:val="single" w:sz="4" w:space="0" w:color="auto"/>
              <w:bottom w:val="single" w:sz="4" w:space="0" w:color="auto"/>
              <w:right w:val="single" w:sz="4" w:space="0" w:color="auto"/>
            </w:tcBorders>
            <w:shd w:val="clear" w:color="auto" w:fill="auto"/>
            <w:vAlign w:val="center"/>
          </w:tcPr>
          <w:p w:rsidR="00896868" w:rsidRDefault="00896868">
            <w:pPr>
              <w:widowControl/>
              <w:ind w:firstLine="400"/>
              <w:jc w:val="center"/>
              <w:rPr>
                <w:rFonts w:ascii="宋体" w:eastAsia="宋体" w:hAnsi="宋体" w:cs="宋体"/>
                <w:color w:val="000000"/>
                <w:kern w:val="0"/>
                <w:sz w:val="20"/>
              </w:rPr>
            </w:pPr>
          </w:p>
        </w:tc>
        <w:tc>
          <w:tcPr>
            <w:tcW w:w="1562" w:type="dxa"/>
            <w:tcBorders>
              <w:top w:val="nil"/>
              <w:left w:val="nil"/>
              <w:bottom w:val="single" w:sz="4" w:space="0" w:color="auto"/>
              <w:right w:val="single" w:sz="4" w:space="0" w:color="auto"/>
            </w:tcBorders>
            <w:shd w:val="clear" w:color="auto" w:fill="auto"/>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服务对象满意度指标</w:t>
            </w:r>
          </w:p>
        </w:tc>
        <w:tc>
          <w:tcPr>
            <w:tcW w:w="2679" w:type="dxa"/>
            <w:tcBorders>
              <w:top w:val="single" w:sz="4" w:space="0" w:color="auto"/>
              <w:left w:val="nil"/>
              <w:bottom w:val="single" w:sz="4" w:space="0" w:color="auto"/>
              <w:right w:val="single" w:sz="4" w:space="0" w:color="auto"/>
            </w:tcBorders>
            <w:shd w:val="clear" w:color="auto" w:fill="auto"/>
            <w:vAlign w:val="center"/>
          </w:tcPr>
          <w:p w:rsidR="00896868" w:rsidRDefault="00294302">
            <w:pPr>
              <w:widowControl/>
              <w:ind w:firstLine="400"/>
              <w:jc w:val="left"/>
              <w:rPr>
                <w:rFonts w:ascii="宋体" w:eastAsia="宋体" w:hAnsi="宋体" w:cs="宋体"/>
                <w:color w:val="000000"/>
                <w:kern w:val="0"/>
                <w:sz w:val="20"/>
              </w:rPr>
            </w:pPr>
            <w:r>
              <w:rPr>
                <w:rFonts w:ascii="宋体" w:eastAsia="宋体" w:hAnsi="宋体" w:cs="宋体" w:hint="eastAsia"/>
                <w:color w:val="000000"/>
                <w:kern w:val="0"/>
                <w:sz w:val="20"/>
              </w:rPr>
              <w:t>发放补助的乡村医生满意度</w:t>
            </w:r>
          </w:p>
        </w:tc>
        <w:tc>
          <w:tcPr>
            <w:tcW w:w="1448" w:type="dxa"/>
            <w:tcBorders>
              <w:top w:val="nil"/>
              <w:left w:val="nil"/>
              <w:bottom w:val="single" w:sz="4" w:space="0" w:color="auto"/>
              <w:right w:val="single" w:sz="4" w:space="0" w:color="auto"/>
            </w:tcBorders>
            <w:shd w:val="clear" w:color="auto" w:fill="auto"/>
            <w:noWrap/>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10</w:t>
            </w:r>
          </w:p>
        </w:tc>
        <w:tc>
          <w:tcPr>
            <w:tcW w:w="1448" w:type="dxa"/>
            <w:tcBorders>
              <w:top w:val="nil"/>
              <w:left w:val="nil"/>
              <w:bottom w:val="single" w:sz="4" w:space="0" w:color="auto"/>
              <w:right w:val="single" w:sz="4" w:space="0" w:color="auto"/>
            </w:tcBorders>
            <w:shd w:val="clear" w:color="auto" w:fill="auto"/>
            <w:noWrap/>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9</w:t>
            </w:r>
          </w:p>
        </w:tc>
        <w:tc>
          <w:tcPr>
            <w:tcW w:w="1269" w:type="dxa"/>
            <w:tcBorders>
              <w:top w:val="nil"/>
              <w:left w:val="nil"/>
              <w:bottom w:val="single" w:sz="4" w:space="0" w:color="auto"/>
              <w:right w:val="single" w:sz="4" w:space="0" w:color="auto"/>
            </w:tcBorders>
            <w:shd w:val="clear" w:color="auto" w:fill="auto"/>
            <w:noWrap/>
            <w:vAlign w:val="center"/>
          </w:tcPr>
          <w:p w:rsidR="00896868" w:rsidRDefault="00294302">
            <w:pPr>
              <w:widowControl/>
              <w:ind w:firstLine="400"/>
              <w:jc w:val="center"/>
              <w:rPr>
                <w:rFonts w:ascii="宋体" w:eastAsia="宋体" w:hAnsi="宋体" w:cs="宋体"/>
                <w:color w:val="000000"/>
                <w:kern w:val="0"/>
                <w:sz w:val="20"/>
              </w:rPr>
            </w:pPr>
            <w:r>
              <w:rPr>
                <w:rFonts w:ascii="宋体" w:eastAsia="宋体" w:hAnsi="宋体" w:cs="宋体" w:hint="eastAsia"/>
                <w:color w:val="000000"/>
                <w:kern w:val="0"/>
                <w:sz w:val="20"/>
              </w:rPr>
              <w:t>99%</w:t>
            </w:r>
          </w:p>
        </w:tc>
      </w:tr>
    </w:tbl>
    <w:p w:rsidR="00896868" w:rsidRDefault="00896868">
      <w:pPr>
        <w:pStyle w:val="a0"/>
        <w:ind w:firstLine="640"/>
        <w:rPr>
          <w:lang w:val="en-GB"/>
        </w:rPr>
      </w:pPr>
    </w:p>
    <w:p w:rsidR="00896868" w:rsidRDefault="00896868">
      <w:pPr>
        <w:pStyle w:val="a0"/>
        <w:ind w:firstLineChars="0" w:firstLine="0"/>
      </w:pPr>
    </w:p>
    <w:p w:rsidR="00896868" w:rsidRDefault="00896868">
      <w:pPr>
        <w:topLinePunct/>
        <w:spacing w:line="540" w:lineRule="exact"/>
        <w:ind w:firstLineChars="250" w:firstLine="800"/>
        <w:rPr>
          <w:rFonts w:ascii="黑体" w:eastAsia="黑体" w:hAnsi="黑体"/>
          <w:szCs w:val="32"/>
        </w:rPr>
      </w:pPr>
    </w:p>
    <w:p w:rsidR="00896868" w:rsidRDefault="00896868">
      <w:pPr>
        <w:topLinePunct/>
        <w:spacing w:line="540" w:lineRule="exact"/>
        <w:ind w:firstLineChars="250" w:firstLine="800"/>
        <w:rPr>
          <w:rFonts w:ascii="黑体" w:eastAsia="黑体" w:hAnsi="黑体"/>
          <w:szCs w:val="32"/>
        </w:rPr>
      </w:pPr>
    </w:p>
    <w:p w:rsidR="00896868" w:rsidRDefault="00896868">
      <w:pPr>
        <w:topLinePunct/>
        <w:spacing w:line="540" w:lineRule="exact"/>
        <w:ind w:firstLineChars="250" w:firstLine="800"/>
        <w:rPr>
          <w:rFonts w:ascii="黑体" w:eastAsia="黑体" w:hAnsi="黑体"/>
          <w:szCs w:val="32"/>
        </w:rPr>
      </w:pPr>
    </w:p>
    <w:p w:rsidR="00896868" w:rsidRDefault="00294302">
      <w:pPr>
        <w:ind w:firstLineChars="300" w:firstLine="960"/>
        <w:rPr>
          <w:lang w:val="en-GB"/>
        </w:rPr>
      </w:pPr>
      <w:r>
        <w:rPr>
          <w:rFonts w:hint="eastAsia"/>
          <w:lang w:val="en-GB"/>
        </w:rPr>
        <w:t>本项指标满分</w:t>
      </w:r>
      <w:r>
        <w:rPr>
          <w:rFonts w:hint="eastAsia"/>
          <w:lang w:val="en-GB"/>
        </w:rPr>
        <w:t>30</w:t>
      </w:r>
      <w:r>
        <w:rPr>
          <w:rFonts w:hint="eastAsia"/>
          <w:lang w:val="en-GB"/>
        </w:rPr>
        <w:t>分，评价得分</w:t>
      </w:r>
      <w:r>
        <w:rPr>
          <w:rFonts w:hint="eastAsia"/>
        </w:rPr>
        <w:t>28</w:t>
      </w:r>
      <w:r>
        <w:rPr>
          <w:rFonts w:hint="eastAsia"/>
          <w:lang w:val="en-GB"/>
        </w:rPr>
        <w:t>分。</w:t>
      </w:r>
    </w:p>
    <w:p w:rsidR="00896868" w:rsidRDefault="00896868">
      <w:pPr>
        <w:topLinePunct/>
        <w:spacing w:line="540" w:lineRule="exact"/>
        <w:ind w:firstLineChars="250" w:firstLine="800"/>
        <w:rPr>
          <w:rFonts w:ascii="黑体" w:eastAsia="黑体" w:hAnsi="黑体"/>
          <w:szCs w:val="32"/>
        </w:rPr>
      </w:pPr>
    </w:p>
    <w:p w:rsidR="00896868" w:rsidRDefault="00294302" w:rsidP="00A94848">
      <w:pPr>
        <w:ind w:firstLine="643"/>
      </w:pPr>
      <w:r>
        <w:rPr>
          <w:rStyle w:val="40"/>
          <w:rFonts w:hint="eastAsia"/>
        </w:rPr>
        <w:t>四、成本效益分析。</w:t>
      </w:r>
    </w:p>
    <w:p w:rsidR="00896868" w:rsidRDefault="00294302">
      <w:pPr>
        <w:pStyle w:val="5"/>
        <w:ind w:firstLine="640"/>
      </w:pPr>
      <w:r>
        <w:rPr>
          <w:rFonts w:hint="eastAsia"/>
        </w:rPr>
        <w:t>（</w:t>
      </w:r>
      <w:r>
        <w:rPr>
          <w:rFonts w:hint="eastAsia"/>
        </w:rPr>
        <w:t>一）预期收益</w:t>
      </w:r>
    </w:p>
    <w:p w:rsidR="00896868" w:rsidRDefault="00294302">
      <w:pPr>
        <w:ind w:firstLine="640"/>
      </w:pPr>
      <w:bookmarkStart w:id="3" w:name="_1.项目收入"/>
      <w:bookmarkEnd w:id="3"/>
      <w:r>
        <w:rPr>
          <w:rFonts w:hint="eastAsia"/>
        </w:rPr>
        <w:t>1.</w:t>
      </w:r>
      <w:r>
        <w:rPr>
          <w:rFonts w:hint="eastAsia"/>
        </w:rPr>
        <w:t>项目收入</w:t>
      </w:r>
    </w:p>
    <w:p w:rsidR="00896868" w:rsidRDefault="00294302">
      <w:pPr>
        <w:ind w:firstLine="640"/>
      </w:pPr>
      <w:r>
        <w:rPr>
          <w:rFonts w:hint="eastAsia"/>
        </w:rPr>
        <w:t>（</w:t>
      </w:r>
      <w:r>
        <w:rPr>
          <w:rFonts w:hint="eastAsia"/>
        </w:rPr>
        <w:t>1</w:t>
      </w:r>
      <w:r>
        <w:rPr>
          <w:rFonts w:hint="eastAsia"/>
        </w:rPr>
        <w:t>）项目收入来源及测算依据</w:t>
      </w:r>
    </w:p>
    <w:p w:rsidR="00896868" w:rsidRDefault="00294302">
      <w:pPr>
        <w:ind w:firstLine="640"/>
      </w:pPr>
      <w:r>
        <w:rPr>
          <w:rFonts w:hint="eastAsia"/>
        </w:rPr>
        <w:t>医院统一按照《云发改收费【</w:t>
      </w:r>
      <w:r>
        <w:rPr>
          <w:rFonts w:hint="eastAsia"/>
        </w:rPr>
        <w:t>2005</w:t>
      </w:r>
      <w:r>
        <w:rPr>
          <w:rFonts w:hint="eastAsia"/>
        </w:rPr>
        <w:t>】</w:t>
      </w:r>
      <w:r>
        <w:rPr>
          <w:rFonts w:hint="eastAsia"/>
        </w:rPr>
        <w:t>556</w:t>
      </w:r>
      <w:r>
        <w:rPr>
          <w:rFonts w:hint="eastAsia"/>
        </w:rPr>
        <w:t>号》《云南省发展和改革委员会、云南省卫生厅</w:t>
      </w:r>
      <w:r>
        <w:rPr>
          <w:rFonts w:hint="eastAsia"/>
        </w:rPr>
        <w:t xml:space="preserve"> </w:t>
      </w:r>
      <w:r>
        <w:rPr>
          <w:rFonts w:hint="eastAsia"/>
        </w:rPr>
        <w:t>关于规范和调整非营利性医疗服务价格的通知》文件及相关物价文件进行收费，</w:t>
      </w:r>
      <w:r>
        <w:rPr>
          <w:rFonts w:hint="eastAsia"/>
        </w:rPr>
        <w:t xml:space="preserve"> </w:t>
      </w:r>
      <w:r>
        <w:rPr>
          <w:rFonts w:hint="eastAsia"/>
        </w:rPr>
        <w:t>实行政府定价收费，本收费项目共</w:t>
      </w:r>
      <w:r>
        <w:rPr>
          <w:rFonts w:hint="eastAsia"/>
        </w:rPr>
        <w:t>3966</w:t>
      </w:r>
      <w:r>
        <w:rPr>
          <w:rFonts w:hint="eastAsia"/>
        </w:rPr>
        <w:t>项，医院严格按收费标准进行收费；项目收入来源及测算依据以此文件收费标准进行。测算医院总收入：以近三年医院的财政补贴及医疗收入为基础，医疗收入适当</w:t>
      </w:r>
      <w:r>
        <w:rPr>
          <w:rFonts w:hint="eastAsia"/>
        </w:rPr>
        <w:t>增长，财政补贴有所增长。</w:t>
      </w:r>
    </w:p>
    <w:p w:rsidR="00896868" w:rsidRDefault="00896868">
      <w:pPr>
        <w:ind w:firstLine="640"/>
      </w:pPr>
    </w:p>
    <w:p w:rsidR="00896868" w:rsidRDefault="00294302">
      <w:pPr>
        <w:ind w:firstLine="640"/>
      </w:pPr>
      <w:r>
        <w:rPr>
          <w:rFonts w:hint="eastAsia"/>
        </w:rPr>
        <w:t>东川区人民医院近三年收入情况表</w:t>
      </w:r>
      <w:r>
        <w:rPr>
          <w:rFonts w:hint="eastAsia"/>
        </w:rPr>
        <w:t xml:space="preserve">   </w:t>
      </w:r>
      <w:r>
        <w:rPr>
          <w:rFonts w:hint="eastAsia"/>
        </w:rPr>
        <w:t>单位</w:t>
      </w:r>
      <w:r>
        <w:rPr>
          <w:rFonts w:hint="eastAsia"/>
        </w:rPr>
        <w:t>:</w:t>
      </w:r>
      <w:r>
        <w:rPr>
          <w:rFonts w:hint="eastAsia"/>
        </w:rPr>
        <w:t>万元</w:t>
      </w:r>
    </w:p>
    <w:tbl>
      <w:tblPr>
        <w:tblpPr w:leftFromText="180" w:rightFromText="180" w:vertAnchor="text" w:horzAnchor="page" w:tblpX="1833" w:tblpY="305"/>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475"/>
        <w:gridCol w:w="1670"/>
        <w:gridCol w:w="2016"/>
        <w:gridCol w:w="2016"/>
        <w:gridCol w:w="2078"/>
      </w:tblGrid>
      <w:tr w:rsidR="00896868">
        <w:trPr>
          <w:trHeight w:val="285"/>
        </w:trPr>
        <w:tc>
          <w:tcPr>
            <w:tcW w:w="247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lastRenderedPageBreak/>
              <w:t>项目</w:t>
            </w:r>
          </w:p>
        </w:tc>
        <w:tc>
          <w:tcPr>
            <w:tcW w:w="16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2017</w:t>
            </w:r>
            <w:r>
              <w:rPr>
                <w:rFonts w:ascii="宋体" w:eastAsia="宋体" w:hAnsi="宋体" w:cs="宋体" w:hint="eastAsia"/>
                <w:sz w:val="20"/>
              </w:rPr>
              <w:t>年</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2018</w:t>
            </w:r>
            <w:r>
              <w:rPr>
                <w:rFonts w:ascii="宋体" w:eastAsia="宋体" w:hAnsi="宋体" w:cs="宋体" w:hint="eastAsia"/>
                <w:sz w:val="20"/>
              </w:rPr>
              <w:t>年</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2019</w:t>
            </w:r>
            <w:r>
              <w:rPr>
                <w:rFonts w:ascii="宋体" w:eastAsia="宋体" w:hAnsi="宋体" w:cs="宋体" w:hint="eastAsia"/>
                <w:sz w:val="20"/>
              </w:rPr>
              <w:t>年</w:t>
            </w:r>
          </w:p>
        </w:tc>
        <w:tc>
          <w:tcPr>
            <w:tcW w:w="2078"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增长率</w:t>
            </w:r>
          </w:p>
        </w:tc>
      </w:tr>
      <w:tr w:rsidR="00896868">
        <w:trPr>
          <w:trHeight w:val="285"/>
        </w:trPr>
        <w:tc>
          <w:tcPr>
            <w:tcW w:w="247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一、门诊收入</w:t>
            </w:r>
          </w:p>
        </w:tc>
        <w:tc>
          <w:tcPr>
            <w:tcW w:w="16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5,689.59</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6,322.83</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6,752.63</w:t>
            </w:r>
          </w:p>
        </w:tc>
        <w:tc>
          <w:tcPr>
            <w:tcW w:w="2078"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6.80%</w:t>
            </w:r>
          </w:p>
        </w:tc>
      </w:tr>
      <w:tr w:rsidR="00896868">
        <w:trPr>
          <w:trHeight w:val="285"/>
        </w:trPr>
        <w:tc>
          <w:tcPr>
            <w:tcW w:w="247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人次</w:t>
            </w:r>
          </w:p>
        </w:tc>
        <w:tc>
          <w:tcPr>
            <w:tcW w:w="16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29.84</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31.23</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31.95</w:t>
            </w:r>
          </w:p>
        </w:tc>
        <w:tc>
          <w:tcPr>
            <w:tcW w:w="2078"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2.31%</w:t>
            </w:r>
          </w:p>
        </w:tc>
      </w:tr>
      <w:tr w:rsidR="00896868">
        <w:trPr>
          <w:trHeight w:val="90"/>
        </w:trPr>
        <w:tc>
          <w:tcPr>
            <w:tcW w:w="247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人均门诊医疗费</w:t>
            </w:r>
          </w:p>
        </w:tc>
        <w:tc>
          <w:tcPr>
            <w:tcW w:w="16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190.67</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202.46</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211.35</w:t>
            </w:r>
          </w:p>
        </w:tc>
        <w:tc>
          <w:tcPr>
            <w:tcW w:w="2078"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4.39%</w:t>
            </w:r>
          </w:p>
        </w:tc>
      </w:tr>
      <w:tr w:rsidR="00896868">
        <w:trPr>
          <w:trHeight w:val="380"/>
        </w:trPr>
        <w:tc>
          <w:tcPr>
            <w:tcW w:w="247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二、住院收入</w:t>
            </w:r>
          </w:p>
        </w:tc>
        <w:tc>
          <w:tcPr>
            <w:tcW w:w="16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14.409.24</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15,781.65</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18,192.74</w:t>
            </w:r>
          </w:p>
        </w:tc>
        <w:tc>
          <w:tcPr>
            <w:tcW w:w="2078"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15.28%</w:t>
            </w:r>
          </w:p>
        </w:tc>
      </w:tr>
      <w:tr w:rsidR="00896868">
        <w:trPr>
          <w:trHeight w:val="285"/>
        </w:trPr>
        <w:tc>
          <w:tcPr>
            <w:tcW w:w="247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人次</w:t>
            </w:r>
          </w:p>
        </w:tc>
        <w:tc>
          <w:tcPr>
            <w:tcW w:w="16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2.88</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3.09</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3.48</w:t>
            </w:r>
          </w:p>
        </w:tc>
        <w:tc>
          <w:tcPr>
            <w:tcW w:w="2078"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12.62%</w:t>
            </w:r>
          </w:p>
        </w:tc>
      </w:tr>
      <w:tr w:rsidR="00896868">
        <w:trPr>
          <w:trHeight w:val="285"/>
        </w:trPr>
        <w:tc>
          <w:tcPr>
            <w:tcW w:w="247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床位数</w:t>
            </w:r>
          </w:p>
        </w:tc>
        <w:tc>
          <w:tcPr>
            <w:tcW w:w="16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812</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860</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900</w:t>
            </w:r>
          </w:p>
        </w:tc>
        <w:tc>
          <w:tcPr>
            <w:tcW w:w="2078"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4.65%</w:t>
            </w:r>
          </w:p>
        </w:tc>
      </w:tr>
      <w:tr w:rsidR="00896868">
        <w:trPr>
          <w:trHeight w:val="285"/>
        </w:trPr>
        <w:tc>
          <w:tcPr>
            <w:tcW w:w="247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人均住院费</w:t>
            </w:r>
          </w:p>
        </w:tc>
        <w:tc>
          <w:tcPr>
            <w:tcW w:w="16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5,003.21</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5,107.33</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5,227.80</w:t>
            </w:r>
          </w:p>
        </w:tc>
        <w:tc>
          <w:tcPr>
            <w:tcW w:w="2078"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2.36%</w:t>
            </w:r>
          </w:p>
        </w:tc>
      </w:tr>
      <w:tr w:rsidR="00896868">
        <w:trPr>
          <w:trHeight w:val="285"/>
        </w:trPr>
        <w:tc>
          <w:tcPr>
            <w:tcW w:w="247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三、其他收入</w:t>
            </w:r>
          </w:p>
        </w:tc>
        <w:tc>
          <w:tcPr>
            <w:tcW w:w="16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872</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870</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876</w:t>
            </w:r>
          </w:p>
        </w:tc>
        <w:tc>
          <w:tcPr>
            <w:tcW w:w="2078"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0.69%</w:t>
            </w:r>
          </w:p>
        </w:tc>
      </w:tr>
      <w:tr w:rsidR="00896868">
        <w:trPr>
          <w:trHeight w:val="285"/>
        </w:trPr>
        <w:tc>
          <w:tcPr>
            <w:tcW w:w="247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小计</w:t>
            </w:r>
          </w:p>
        </w:tc>
        <w:tc>
          <w:tcPr>
            <w:tcW w:w="16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20970.83</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22,974.48</w:t>
            </w:r>
          </w:p>
        </w:tc>
        <w:tc>
          <w:tcPr>
            <w:tcW w:w="201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25821.37</w:t>
            </w:r>
          </w:p>
        </w:tc>
        <w:tc>
          <w:tcPr>
            <w:tcW w:w="2078"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rFonts w:ascii="宋体" w:eastAsia="宋体" w:hAnsi="宋体" w:cs="宋体"/>
                <w:sz w:val="20"/>
              </w:rPr>
            </w:pPr>
            <w:r>
              <w:rPr>
                <w:rFonts w:ascii="宋体" w:eastAsia="宋体" w:hAnsi="宋体" w:cs="宋体" w:hint="eastAsia"/>
                <w:sz w:val="20"/>
              </w:rPr>
              <w:t>12.39%</w:t>
            </w:r>
          </w:p>
        </w:tc>
      </w:tr>
    </w:tbl>
    <w:p w:rsidR="00896868" w:rsidRDefault="00896868">
      <w:pPr>
        <w:ind w:firstLine="640"/>
      </w:pPr>
    </w:p>
    <w:p w:rsidR="00896868" w:rsidRDefault="00294302">
      <w:pPr>
        <w:ind w:firstLine="640"/>
      </w:pPr>
      <w:r>
        <w:rPr>
          <w:rFonts w:hint="eastAsia"/>
        </w:rPr>
        <w:t>根据可研报告以及近</w:t>
      </w:r>
      <w:r>
        <w:rPr>
          <w:rFonts w:hint="eastAsia"/>
        </w:rPr>
        <w:t>3</w:t>
      </w:r>
      <w:r>
        <w:rPr>
          <w:rFonts w:hint="eastAsia"/>
        </w:rPr>
        <w:t>年历史数据，</w:t>
      </w:r>
      <w:r>
        <w:rPr>
          <w:rFonts w:hint="eastAsia"/>
        </w:rPr>
        <w:t>2020</w:t>
      </w:r>
      <w:r>
        <w:rPr>
          <w:rFonts w:hint="eastAsia"/>
        </w:rPr>
        <w:t>年至</w:t>
      </w:r>
      <w:r>
        <w:rPr>
          <w:rFonts w:hint="eastAsia"/>
        </w:rPr>
        <w:t>2031</w:t>
      </w:r>
      <w:r>
        <w:rPr>
          <w:rFonts w:hint="eastAsia"/>
        </w:rPr>
        <w:t>年项目收入按照以下方式进行测算：</w:t>
      </w:r>
    </w:p>
    <w:p w:rsidR="00896868" w:rsidRDefault="00294302">
      <w:pPr>
        <w:ind w:firstLine="640"/>
      </w:pPr>
      <w:r>
        <w:rPr>
          <w:rFonts w:hint="eastAsia"/>
        </w:rPr>
        <w:t>一是，</w:t>
      </w:r>
      <w:r>
        <w:rPr>
          <w:rFonts w:hint="eastAsia"/>
        </w:rPr>
        <w:t>2020</w:t>
      </w:r>
      <w:r>
        <w:rPr>
          <w:rFonts w:hint="eastAsia"/>
        </w:rPr>
        <w:t>年至</w:t>
      </w:r>
      <w:r>
        <w:rPr>
          <w:rFonts w:hint="eastAsia"/>
        </w:rPr>
        <w:t>2024</w:t>
      </w:r>
      <w:r>
        <w:rPr>
          <w:rFonts w:hint="eastAsia"/>
        </w:rPr>
        <w:t>年，门诊人次每年按</w:t>
      </w:r>
      <w:r>
        <w:rPr>
          <w:rFonts w:hint="eastAsia"/>
        </w:rPr>
        <w:t>2.5%</w:t>
      </w:r>
      <w:r>
        <w:rPr>
          <w:rFonts w:hint="eastAsia"/>
        </w:rPr>
        <w:t>递增，门诊收入每年</w:t>
      </w:r>
      <w:r>
        <w:rPr>
          <w:rFonts w:hint="eastAsia"/>
        </w:rPr>
        <w:t>3%</w:t>
      </w:r>
      <w:r>
        <w:rPr>
          <w:rFonts w:hint="eastAsia"/>
        </w:rPr>
        <w:t>递增，此后年度不再增长。</w:t>
      </w:r>
    </w:p>
    <w:p w:rsidR="00896868" w:rsidRDefault="00294302">
      <w:pPr>
        <w:ind w:firstLine="640"/>
      </w:pPr>
      <w:r>
        <w:rPr>
          <w:rFonts w:hint="eastAsia"/>
        </w:rPr>
        <w:t>二是，</w:t>
      </w:r>
      <w:r>
        <w:rPr>
          <w:rFonts w:hint="eastAsia"/>
        </w:rPr>
        <w:t>2020</w:t>
      </w:r>
      <w:r>
        <w:rPr>
          <w:rFonts w:hint="eastAsia"/>
        </w:rPr>
        <w:t>年至</w:t>
      </w:r>
      <w:r>
        <w:rPr>
          <w:rFonts w:hint="eastAsia"/>
        </w:rPr>
        <w:t>2024</w:t>
      </w:r>
      <w:r>
        <w:rPr>
          <w:rFonts w:hint="eastAsia"/>
        </w:rPr>
        <w:t>年，住院人次每年按</w:t>
      </w:r>
      <w:r>
        <w:rPr>
          <w:rFonts w:hint="eastAsia"/>
        </w:rPr>
        <w:t>2.5%</w:t>
      </w:r>
      <w:r>
        <w:rPr>
          <w:rFonts w:hint="eastAsia"/>
        </w:rPr>
        <w:t>递增，住院收入每年</w:t>
      </w:r>
      <w:r>
        <w:rPr>
          <w:rFonts w:hint="eastAsia"/>
        </w:rPr>
        <w:t>3%</w:t>
      </w:r>
      <w:r>
        <w:rPr>
          <w:rFonts w:hint="eastAsia"/>
        </w:rPr>
        <w:t>递增，此后年度不再增长。</w:t>
      </w:r>
    </w:p>
    <w:p w:rsidR="00896868" w:rsidRDefault="00896868">
      <w:pPr>
        <w:ind w:firstLine="640"/>
      </w:pPr>
    </w:p>
    <w:p w:rsidR="00896868" w:rsidRDefault="00896868">
      <w:pPr>
        <w:pStyle w:val="a0"/>
        <w:ind w:firstLine="640"/>
      </w:pPr>
    </w:p>
    <w:p w:rsidR="00896868" w:rsidRDefault="00896868">
      <w:pPr>
        <w:ind w:firstLine="640"/>
      </w:pPr>
    </w:p>
    <w:p w:rsidR="00896868" w:rsidRDefault="00896868">
      <w:pPr>
        <w:pStyle w:val="a0"/>
        <w:ind w:firstLine="640"/>
      </w:pPr>
    </w:p>
    <w:p w:rsidR="00A94848" w:rsidRDefault="00A94848" w:rsidP="00A94848">
      <w:pPr>
        <w:pStyle w:val="a0"/>
        <w:ind w:firstLine="640"/>
        <w:rPr>
          <w:rFonts w:ascii="Times New Roman" w:hAnsi="Times New Roman" w:cs="Times New Roman"/>
          <w:szCs w:val="20"/>
        </w:rPr>
      </w:pPr>
    </w:p>
    <w:p w:rsidR="00A94848" w:rsidRPr="00A94848" w:rsidRDefault="00A94848" w:rsidP="00A94848">
      <w:pPr>
        <w:ind w:firstLine="640"/>
        <w:rPr>
          <w:rFonts w:hint="eastAsia"/>
        </w:rPr>
      </w:pPr>
    </w:p>
    <w:tbl>
      <w:tblPr>
        <w:tblpPr w:leftFromText="180" w:rightFromText="180" w:vertAnchor="text" w:horzAnchor="page" w:tblpX="978" w:tblpY="1978"/>
        <w:tblOverlap w:val="never"/>
        <w:tblW w:w="10788" w:type="dxa"/>
        <w:tblLayout w:type="fixed"/>
        <w:tblCellMar>
          <w:top w:w="15" w:type="dxa"/>
          <w:left w:w="15" w:type="dxa"/>
          <w:bottom w:w="15" w:type="dxa"/>
          <w:right w:w="15" w:type="dxa"/>
        </w:tblCellMar>
        <w:tblLook w:val="04A0" w:firstRow="1" w:lastRow="0" w:firstColumn="1" w:lastColumn="0" w:noHBand="0" w:noVBand="1"/>
      </w:tblPr>
      <w:tblGrid>
        <w:gridCol w:w="721"/>
        <w:gridCol w:w="627"/>
        <w:gridCol w:w="714"/>
        <w:gridCol w:w="714"/>
        <w:gridCol w:w="714"/>
        <w:gridCol w:w="714"/>
        <w:gridCol w:w="714"/>
        <w:gridCol w:w="714"/>
        <w:gridCol w:w="714"/>
        <w:gridCol w:w="714"/>
        <w:gridCol w:w="714"/>
        <w:gridCol w:w="714"/>
        <w:gridCol w:w="714"/>
        <w:gridCol w:w="1586"/>
      </w:tblGrid>
      <w:tr w:rsidR="00896868" w:rsidTr="00A94848">
        <w:trPr>
          <w:trHeight w:val="500"/>
        </w:trPr>
        <w:tc>
          <w:tcPr>
            <w:tcW w:w="7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项</w:t>
            </w:r>
            <w:r>
              <w:rPr>
                <w:rFonts w:ascii="仿宋" w:eastAsia="仿宋" w:hAnsi="仿宋" w:cs="仿宋" w:hint="eastAsia"/>
                <w:sz w:val="21"/>
                <w:szCs w:val="21"/>
              </w:rPr>
              <w:t xml:space="preserve"> </w:t>
            </w:r>
            <w:r>
              <w:rPr>
                <w:rFonts w:ascii="仿宋" w:eastAsia="仿宋" w:hAnsi="仿宋" w:cs="仿宋" w:hint="eastAsia"/>
                <w:sz w:val="21"/>
                <w:szCs w:val="21"/>
              </w:rPr>
              <w:t>目</w:t>
            </w:r>
          </w:p>
        </w:tc>
        <w:tc>
          <w:tcPr>
            <w:tcW w:w="627"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总</w:t>
            </w:r>
            <w:r>
              <w:rPr>
                <w:rFonts w:ascii="仿宋" w:eastAsia="仿宋" w:hAnsi="仿宋" w:cs="仿宋" w:hint="eastAsia"/>
                <w:sz w:val="21"/>
                <w:szCs w:val="21"/>
              </w:rPr>
              <w:t xml:space="preserve"> </w:t>
            </w:r>
            <w:r>
              <w:rPr>
                <w:rFonts w:ascii="仿宋" w:eastAsia="仿宋" w:hAnsi="仿宋" w:cs="仿宋" w:hint="eastAsia"/>
                <w:sz w:val="21"/>
                <w:szCs w:val="21"/>
              </w:rPr>
              <w:t>计</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2020</w:t>
            </w:r>
            <w:r>
              <w:rPr>
                <w:rFonts w:ascii="仿宋" w:eastAsia="仿宋" w:hAnsi="仿宋" w:cs="仿宋" w:hint="eastAsia"/>
                <w:sz w:val="21"/>
                <w:szCs w:val="21"/>
              </w:rPr>
              <w:t>年</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2021</w:t>
            </w:r>
            <w:r>
              <w:rPr>
                <w:rFonts w:ascii="仿宋" w:eastAsia="仿宋" w:hAnsi="仿宋" w:cs="仿宋" w:hint="eastAsia"/>
                <w:sz w:val="21"/>
                <w:szCs w:val="21"/>
              </w:rPr>
              <w:t>年</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2022</w:t>
            </w:r>
            <w:r>
              <w:rPr>
                <w:rFonts w:ascii="仿宋" w:eastAsia="仿宋" w:hAnsi="仿宋" w:cs="仿宋" w:hint="eastAsia"/>
                <w:sz w:val="21"/>
                <w:szCs w:val="21"/>
              </w:rPr>
              <w:t>年</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2023</w:t>
            </w:r>
            <w:r>
              <w:rPr>
                <w:rFonts w:ascii="仿宋" w:eastAsia="仿宋" w:hAnsi="仿宋" w:cs="仿宋" w:hint="eastAsia"/>
                <w:sz w:val="21"/>
                <w:szCs w:val="21"/>
              </w:rPr>
              <w:t>年</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2024</w:t>
            </w:r>
            <w:r>
              <w:rPr>
                <w:rFonts w:ascii="仿宋" w:eastAsia="仿宋" w:hAnsi="仿宋" w:cs="仿宋" w:hint="eastAsia"/>
                <w:sz w:val="21"/>
                <w:szCs w:val="21"/>
              </w:rPr>
              <w:t>年</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2025</w:t>
            </w:r>
            <w:r>
              <w:rPr>
                <w:rFonts w:ascii="仿宋" w:eastAsia="仿宋" w:hAnsi="仿宋" w:cs="仿宋" w:hint="eastAsia"/>
                <w:sz w:val="21"/>
                <w:szCs w:val="21"/>
              </w:rPr>
              <w:t>年</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2026</w:t>
            </w:r>
            <w:r>
              <w:rPr>
                <w:rFonts w:ascii="仿宋" w:eastAsia="仿宋" w:hAnsi="仿宋" w:cs="仿宋" w:hint="eastAsia"/>
                <w:sz w:val="21"/>
                <w:szCs w:val="21"/>
              </w:rPr>
              <w:t>年</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2027</w:t>
            </w:r>
            <w:r>
              <w:rPr>
                <w:rFonts w:ascii="仿宋" w:eastAsia="仿宋" w:hAnsi="仿宋" w:cs="仿宋" w:hint="eastAsia"/>
                <w:sz w:val="21"/>
                <w:szCs w:val="21"/>
              </w:rPr>
              <w:t>年</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2028</w:t>
            </w:r>
            <w:r>
              <w:rPr>
                <w:rFonts w:ascii="仿宋" w:eastAsia="仿宋" w:hAnsi="仿宋" w:cs="仿宋" w:hint="eastAsia"/>
                <w:sz w:val="21"/>
                <w:szCs w:val="21"/>
              </w:rPr>
              <w:t>年</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2029</w:t>
            </w:r>
            <w:r>
              <w:rPr>
                <w:rFonts w:ascii="仿宋" w:eastAsia="仿宋" w:hAnsi="仿宋" w:cs="仿宋" w:hint="eastAsia"/>
                <w:sz w:val="21"/>
                <w:szCs w:val="21"/>
              </w:rPr>
              <w:t>年</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2030</w:t>
            </w:r>
            <w:r>
              <w:rPr>
                <w:rFonts w:ascii="仿宋" w:eastAsia="仿宋" w:hAnsi="仿宋" w:cs="仿宋" w:hint="eastAsia"/>
                <w:sz w:val="21"/>
                <w:szCs w:val="21"/>
              </w:rPr>
              <w:t>年</w:t>
            </w:r>
          </w:p>
        </w:tc>
        <w:tc>
          <w:tcPr>
            <w:tcW w:w="158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2031</w:t>
            </w:r>
            <w:r>
              <w:rPr>
                <w:rFonts w:ascii="仿宋" w:eastAsia="仿宋" w:hAnsi="仿宋" w:cs="仿宋" w:hint="eastAsia"/>
                <w:sz w:val="21"/>
                <w:szCs w:val="21"/>
              </w:rPr>
              <w:t>年</w:t>
            </w:r>
          </w:p>
        </w:tc>
      </w:tr>
      <w:tr w:rsidR="00896868" w:rsidTr="00A94848">
        <w:trPr>
          <w:trHeight w:val="716"/>
        </w:trPr>
        <w:tc>
          <w:tcPr>
            <w:tcW w:w="7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门诊收入</w:t>
            </w:r>
          </w:p>
        </w:tc>
        <w:tc>
          <w:tcPr>
            <w:tcW w:w="627"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101,845.60</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7,129.09</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7,526.54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7,946.14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8,389.14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8,856.84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8,856.84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8,856.84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8,856.84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8,856.84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8,856.84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8,856.84</w:t>
            </w:r>
          </w:p>
        </w:tc>
        <w:tc>
          <w:tcPr>
            <w:tcW w:w="158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8,856.84</w:t>
            </w:r>
          </w:p>
        </w:tc>
      </w:tr>
      <w:tr w:rsidR="00896868" w:rsidTr="00A94848">
        <w:trPr>
          <w:trHeight w:val="716"/>
        </w:trPr>
        <w:tc>
          <w:tcPr>
            <w:tcW w:w="7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年门诊人次</w:t>
            </w:r>
          </w:p>
        </w:tc>
        <w:tc>
          <w:tcPr>
            <w:tcW w:w="627"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425.18</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32.75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33.57</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34.41</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35.27</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36.15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36.15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36.15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36.15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36.15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36.15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36.15</w:t>
            </w:r>
          </w:p>
        </w:tc>
        <w:tc>
          <w:tcPr>
            <w:tcW w:w="158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36.15</w:t>
            </w:r>
          </w:p>
        </w:tc>
      </w:tr>
      <w:tr w:rsidR="00896868" w:rsidTr="00A94848">
        <w:trPr>
          <w:trHeight w:val="1366"/>
        </w:trPr>
        <w:tc>
          <w:tcPr>
            <w:tcW w:w="7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门诊人次次均费用（元）</w:t>
            </w:r>
          </w:p>
        </w:tc>
        <w:tc>
          <w:tcPr>
            <w:tcW w:w="627"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420"/>
              <w:rPr>
                <w:rFonts w:ascii="仿宋" w:eastAsia="仿宋" w:hAnsi="仿宋" w:cs="仿宋"/>
                <w:sz w:val="21"/>
                <w:szCs w:val="21"/>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217.69</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224.22</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230.95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237.88</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245.01</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245.01</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245.01</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245.01</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245.01</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245.01</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245.01</w:t>
            </w:r>
          </w:p>
        </w:tc>
        <w:tc>
          <w:tcPr>
            <w:tcW w:w="158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245.01</w:t>
            </w:r>
          </w:p>
        </w:tc>
      </w:tr>
      <w:tr w:rsidR="00896868" w:rsidTr="00A94848">
        <w:trPr>
          <w:trHeight w:val="716"/>
        </w:trPr>
        <w:tc>
          <w:tcPr>
            <w:tcW w:w="7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sz w:val="21"/>
                <w:szCs w:val="21"/>
              </w:rPr>
              <w:t>住院收入</w:t>
            </w:r>
          </w:p>
        </w:tc>
        <w:tc>
          <w:tcPr>
            <w:tcW w:w="627"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274,389.411</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19,206.99</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20,277.78</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21,408.27</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22,601.78</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23,861.83</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23,861.83</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23,861.83</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23,861.83</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23,861.83</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23,861.83</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23,861.83</w:t>
            </w:r>
          </w:p>
        </w:tc>
        <w:tc>
          <w:tcPr>
            <w:tcW w:w="158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23,861.83</w:t>
            </w:r>
          </w:p>
        </w:tc>
      </w:tr>
      <w:tr w:rsidR="00896868" w:rsidTr="00A94848">
        <w:trPr>
          <w:trHeight w:val="716"/>
        </w:trPr>
        <w:tc>
          <w:tcPr>
            <w:tcW w:w="7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年住院人次</w:t>
            </w:r>
          </w:p>
        </w:tc>
        <w:tc>
          <w:tcPr>
            <w:tcW w:w="627"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46.31</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3.57</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3.66</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3.75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3.84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3.94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3.94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3.94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3.94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3.94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3.94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3.94</w:t>
            </w:r>
          </w:p>
        </w:tc>
        <w:tc>
          <w:tcPr>
            <w:tcW w:w="158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3.94</w:t>
            </w:r>
          </w:p>
        </w:tc>
      </w:tr>
      <w:tr w:rsidR="00896868" w:rsidTr="00A94848">
        <w:trPr>
          <w:trHeight w:val="1583"/>
        </w:trPr>
        <w:tc>
          <w:tcPr>
            <w:tcW w:w="7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住院者平均住院次均费用</w:t>
            </w:r>
            <w:r>
              <w:rPr>
                <w:rFonts w:ascii="仿宋" w:eastAsia="仿宋" w:hAnsi="仿宋" w:cs="仿宋" w:hint="eastAsia"/>
                <w:sz w:val="21"/>
                <w:szCs w:val="21"/>
              </w:rPr>
              <w:t>(</w:t>
            </w:r>
            <w:r>
              <w:rPr>
                <w:rFonts w:ascii="仿宋" w:eastAsia="仿宋" w:hAnsi="仿宋" w:cs="仿宋" w:hint="eastAsia"/>
                <w:sz w:val="21"/>
                <w:szCs w:val="21"/>
              </w:rPr>
              <w:t>元）</w:t>
            </w:r>
          </w:p>
        </w:tc>
        <w:tc>
          <w:tcPr>
            <w:tcW w:w="627"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420"/>
              <w:rPr>
                <w:rFonts w:ascii="仿宋" w:eastAsia="仿宋" w:hAnsi="仿宋" w:cs="仿宋"/>
                <w:sz w:val="21"/>
                <w:szCs w:val="21"/>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5,384.63</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5,546.17</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5,712.56</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5,883.93</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6,060.45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6,060.45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6,060.45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6,060.45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6,060.45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6,060.45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6,060.45</w:t>
            </w:r>
          </w:p>
        </w:tc>
        <w:tc>
          <w:tcPr>
            <w:tcW w:w="158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6,060.45</w:t>
            </w:r>
          </w:p>
        </w:tc>
      </w:tr>
      <w:tr w:rsidR="00896868" w:rsidTr="00A94848">
        <w:trPr>
          <w:trHeight w:val="528"/>
        </w:trPr>
        <w:tc>
          <w:tcPr>
            <w:tcW w:w="7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t>收</w:t>
            </w:r>
            <w:r>
              <w:rPr>
                <w:rFonts w:ascii="仿宋" w:eastAsia="仿宋" w:hAnsi="仿宋" w:cs="仿宋" w:hint="eastAsia"/>
                <w:sz w:val="21"/>
                <w:szCs w:val="21"/>
              </w:rPr>
              <w:lastRenderedPageBreak/>
              <w:t>入总计</w:t>
            </w:r>
          </w:p>
        </w:tc>
        <w:tc>
          <w:tcPr>
            <w:tcW w:w="627"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3</w:t>
            </w:r>
            <w:r>
              <w:rPr>
                <w:rFonts w:ascii="仿宋" w:eastAsia="仿宋" w:hAnsi="仿宋" w:cs="仿宋" w:hint="eastAsia"/>
                <w:sz w:val="21"/>
                <w:szCs w:val="21"/>
              </w:rPr>
              <w:lastRenderedPageBreak/>
              <w:t>76,235</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26</w:t>
            </w:r>
            <w:r>
              <w:rPr>
                <w:rFonts w:ascii="仿宋" w:eastAsia="仿宋" w:hAnsi="仿宋" w:cs="仿宋" w:hint="eastAsia"/>
                <w:sz w:val="21"/>
                <w:szCs w:val="21"/>
              </w:rPr>
              <w:lastRenderedPageBreak/>
              <w:t>,336</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27</w:t>
            </w:r>
            <w:r>
              <w:rPr>
                <w:rFonts w:ascii="仿宋" w:eastAsia="仿宋" w:hAnsi="仿宋" w:cs="仿宋" w:hint="eastAsia"/>
                <w:sz w:val="21"/>
                <w:szCs w:val="21"/>
              </w:rPr>
              <w:lastRenderedPageBreak/>
              <w:t>,804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29</w:t>
            </w:r>
            <w:r>
              <w:rPr>
                <w:rFonts w:ascii="仿宋" w:eastAsia="仿宋" w:hAnsi="仿宋" w:cs="仿宋" w:hint="eastAsia"/>
                <w:sz w:val="21"/>
                <w:szCs w:val="21"/>
              </w:rPr>
              <w:lastRenderedPageBreak/>
              <w:t>,354</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30</w:t>
            </w:r>
            <w:r>
              <w:rPr>
                <w:rFonts w:ascii="仿宋" w:eastAsia="仿宋" w:hAnsi="仿宋" w:cs="仿宋" w:hint="eastAsia"/>
                <w:sz w:val="21"/>
                <w:szCs w:val="21"/>
              </w:rPr>
              <w:lastRenderedPageBreak/>
              <w:t>,991</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32</w:t>
            </w:r>
            <w:r>
              <w:rPr>
                <w:rFonts w:ascii="仿宋" w:eastAsia="仿宋" w:hAnsi="仿宋" w:cs="仿宋" w:hint="eastAsia"/>
                <w:sz w:val="21"/>
                <w:szCs w:val="21"/>
              </w:rPr>
              <w:lastRenderedPageBreak/>
              <w:t>,719</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32</w:t>
            </w:r>
            <w:r>
              <w:rPr>
                <w:rFonts w:ascii="仿宋" w:eastAsia="仿宋" w:hAnsi="仿宋" w:cs="仿宋" w:hint="eastAsia"/>
                <w:sz w:val="21"/>
                <w:szCs w:val="21"/>
              </w:rPr>
              <w:lastRenderedPageBreak/>
              <w:t>,719</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32</w:t>
            </w:r>
            <w:r>
              <w:rPr>
                <w:rFonts w:ascii="仿宋" w:eastAsia="仿宋" w:hAnsi="仿宋" w:cs="仿宋" w:hint="eastAsia"/>
                <w:sz w:val="21"/>
                <w:szCs w:val="21"/>
              </w:rPr>
              <w:lastRenderedPageBreak/>
              <w:t>,719</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32</w:t>
            </w:r>
            <w:r>
              <w:rPr>
                <w:rFonts w:ascii="仿宋" w:eastAsia="仿宋" w:hAnsi="仿宋" w:cs="仿宋" w:hint="eastAsia"/>
                <w:sz w:val="21"/>
                <w:szCs w:val="21"/>
              </w:rPr>
              <w:lastRenderedPageBreak/>
              <w:t>,719</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32</w:t>
            </w:r>
            <w:r>
              <w:rPr>
                <w:rFonts w:ascii="仿宋" w:eastAsia="仿宋" w:hAnsi="仿宋" w:cs="仿宋" w:hint="eastAsia"/>
                <w:sz w:val="21"/>
                <w:szCs w:val="21"/>
              </w:rPr>
              <w:lastRenderedPageBreak/>
              <w:t>,719</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32</w:t>
            </w:r>
            <w:r>
              <w:rPr>
                <w:rFonts w:ascii="仿宋" w:eastAsia="仿宋" w:hAnsi="仿宋" w:cs="仿宋" w:hint="eastAsia"/>
                <w:sz w:val="21"/>
                <w:szCs w:val="21"/>
              </w:rPr>
              <w:lastRenderedPageBreak/>
              <w:t>,719</w:t>
            </w:r>
          </w:p>
        </w:tc>
        <w:tc>
          <w:tcPr>
            <w:tcW w:w="71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32</w:t>
            </w:r>
            <w:r>
              <w:rPr>
                <w:rFonts w:ascii="仿宋" w:eastAsia="仿宋" w:hAnsi="仿宋" w:cs="仿宋" w:hint="eastAsia"/>
                <w:sz w:val="21"/>
                <w:szCs w:val="21"/>
              </w:rPr>
              <w:lastRenderedPageBreak/>
              <w:t>,719</w:t>
            </w:r>
          </w:p>
        </w:tc>
        <w:tc>
          <w:tcPr>
            <w:tcW w:w="158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20"/>
              <w:rPr>
                <w:rFonts w:ascii="仿宋" w:eastAsia="仿宋" w:hAnsi="仿宋" w:cs="仿宋"/>
                <w:sz w:val="21"/>
                <w:szCs w:val="21"/>
              </w:rPr>
            </w:pPr>
            <w:r>
              <w:rPr>
                <w:rFonts w:ascii="仿宋" w:eastAsia="仿宋" w:hAnsi="仿宋" w:cs="仿宋" w:hint="eastAsia"/>
                <w:sz w:val="21"/>
                <w:szCs w:val="21"/>
              </w:rPr>
              <w:lastRenderedPageBreak/>
              <w:t>32,719</w:t>
            </w:r>
          </w:p>
        </w:tc>
      </w:tr>
    </w:tbl>
    <w:p w:rsidR="00896868" w:rsidRDefault="00896868">
      <w:pPr>
        <w:ind w:firstLine="640"/>
      </w:pPr>
    </w:p>
    <w:p w:rsidR="00A94848" w:rsidRDefault="00A94848" w:rsidP="00A94848">
      <w:pPr>
        <w:ind w:firstLineChars="0" w:firstLine="0"/>
      </w:pPr>
    </w:p>
    <w:p w:rsidR="00896868" w:rsidRDefault="00294302">
      <w:pPr>
        <w:ind w:firstLine="640"/>
      </w:pPr>
      <w:r>
        <w:rPr>
          <w:rFonts w:hint="eastAsia"/>
        </w:rPr>
        <w:t>2.</w:t>
      </w:r>
      <w:r>
        <w:rPr>
          <w:rFonts w:hint="eastAsia"/>
        </w:rPr>
        <w:t>项目运营成本</w:t>
      </w:r>
    </w:p>
    <w:p w:rsidR="00896868" w:rsidRDefault="00294302">
      <w:pPr>
        <w:ind w:firstLine="640"/>
      </w:pPr>
      <w:r>
        <w:rPr>
          <w:rFonts w:hint="eastAsia"/>
        </w:rPr>
        <w:t>项目运营成本按医院会计制度分类，测算依据和计算方法参照医院近三年的运行成本进行，按医院建成后的规模进行测算。</w:t>
      </w:r>
    </w:p>
    <w:tbl>
      <w:tblPr>
        <w:tblpPr w:leftFromText="180" w:rightFromText="180" w:vertAnchor="text" w:horzAnchor="page" w:tblpX="1767" w:tblpY="1258"/>
        <w:tblOverlap w:val="never"/>
        <w:tblW w:w="0" w:type="auto"/>
        <w:tblBorders>
          <w:top w:val="single" w:sz="8" w:space="0" w:color="000000"/>
          <w:bottom w:val="single" w:sz="8" w:space="0" w:color="000000"/>
          <w:insideH w:val="dotted" w:sz="4" w:space="0" w:color="000000"/>
          <w:insideV w:val="dotted" w:sz="4" w:space="0" w:color="000000"/>
        </w:tblBorders>
        <w:tblLayout w:type="fixed"/>
        <w:tblLook w:val="04A0" w:firstRow="1" w:lastRow="0" w:firstColumn="1" w:lastColumn="0" w:noHBand="0" w:noVBand="1"/>
      </w:tblPr>
      <w:tblGrid>
        <w:gridCol w:w="3002"/>
        <w:gridCol w:w="2345"/>
        <w:gridCol w:w="2462"/>
        <w:gridCol w:w="2329"/>
      </w:tblGrid>
      <w:tr w:rsidR="00896868">
        <w:trPr>
          <w:trHeight w:val="451"/>
        </w:trPr>
        <w:tc>
          <w:tcPr>
            <w:tcW w:w="3002" w:type="dxa"/>
            <w:vAlign w:val="center"/>
          </w:tcPr>
          <w:p w:rsidR="00896868" w:rsidRDefault="00294302">
            <w:pPr>
              <w:ind w:firstLine="400"/>
              <w:rPr>
                <w:sz w:val="20"/>
              </w:rPr>
            </w:pPr>
            <w:r>
              <w:rPr>
                <w:sz w:val="20"/>
              </w:rPr>
              <w:t>项目</w:t>
            </w:r>
          </w:p>
        </w:tc>
        <w:tc>
          <w:tcPr>
            <w:tcW w:w="2345" w:type="dxa"/>
            <w:vAlign w:val="center"/>
          </w:tcPr>
          <w:p w:rsidR="00896868" w:rsidRDefault="00294302">
            <w:pPr>
              <w:ind w:firstLine="400"/>
              <w:rPr>
                <w:sz w:val="20"/>
              </w:rPr>
            </w:pPr>
            <w:r>
              <w:rPr>
                <w:sz w:val="20"/>
              </w:rPr>
              <w:t>201</w:t>
            </w:r>
            <w:r>
              <w:rPr>
                <w:rFonts w:hint="eastAsia"/>
                <w:sz w:val="20"/>
              </w:rPr>
              <w:t>7</w:t>
            </w:r>
            <w:r>
              <w:rPr>
                <w:sz w:val="20"/>
              </w:rPr>
              <w:t>年</w:t>
            </w:r>
          </w:p>
        </w:tc>
        <w:tc>
          <w:tcPr>
            <w:tcW w:w="2462" w:type="dxa"/>
            <w:vAlign w:val="center"/>
          </w:tcPr>
          <w:p w:rsidR="00896868" w:rsidRDefault="00294302">
            <w:pPr>
              <w:ind w:firstLine="400"/>
              <w:rPr>
                <w:sz w:val="20"/>
              </w:rPr>
            </w:pPr>
            <w:r>
              <w:rPr>
                <w:sz w:val="20"/>
              </w:rPr>
              <w:t>201</w:t>
            </w:r>
            <w:r>
              <w:rPr>
                <w:rFonts w:hint="eastAsia"/>
                <w:sz w:val="20"/>
              </w:rPr>
              <w:t>8</w:t>
            </w:r>
            <w:r>
              <w:rPr>
                <w:sz w:val="20"/>
              </w:rPr>
              <w:t>年</w:t>
            </w:r>
          </w:p>
        </w:tc>
        <w:tc>
          <w:tcPr>
            <w:tcW w:w="2329" w:type="dxa"/>
            <w:vAlign w:val="center"/>
          </w:tcPr>
          <w:p w:rsidR="00896868" w:rsidRDefault="00294302">
            <w:pPr>
              <w:ind w:firstLine="400"/>
              <w:rPr>
                <w:sz w:val="20"/>
              </w:rPr>
            </w:pPr>
            <w:r>
              <w:rPr>
                <w:sz w:val="20"/>
              </w:rPr>
              <w:t>201</w:t>
            </w:r>
            <w:r>
              <w:rPr>
                <w:rFonts w:hint="eastAsia"/>
                <w:sz w:val="20"/>
              </w:rPr>
              <w:t>9</w:t>
            </w:r>
            <w:r>
              <w:rPr>
                <w:sz w:val="20"/>
              </w:rPr>
              <w:t>年</w:t>
            </w:r>
          </w:p>
        </w:tc>
      </w:tr>
      <w:tr w:rsidR="00896868">
        <w:trPr>
          <w:trHeight w:val="422"/>
        </w:trPr>
        <w:tc>
          <w:tcPr>
            <w:tcW w:w="3002" w:type="dxa"/>
            <w:vAlign w:val="center"/>
          </w:tcPr>
          <w:p w:rsidR="00896868" w:rsidRDefault="00294302">
            <w:pPr>
              <w:ind w:firstLine="400"/>
              <w:rPr>
                <w:sz w:val="20"/>
              </w:rPr>
            </w:pPr>
            <w:r>
              <w:rPr>
                <w:sz w:val="20"/>
              </w:rPr>
              <w:t>卫生材料费</w:t>
            </w:r>
          </w:p>
        </w:tc>
        <w:tc>
          <w:tcPr>
            <w:tcW w:w="2345" w:type="dxa"/>
            <w:vAlign w:val="center"/>
          </w:tcPr>
          <w:p w:rsidR="00896868" w:rsidRDefault="00294302">
            <w:pPr>
              <w:ind w:firstLine="400"/>
              <w:rPr>
                <w:sz w:val="20"/>
              </w:rPr>
            </w:pPr>
            <w:r>
              <w:rPr>
                <w:rFonts w:hint="eastAsia"/>
                <w:sz w:val="20"/>
              </w:rPr>
              <w:t>2,765.29</w:t>
            </w:r>
          </w:p>
        </w:tc>
        <w:tc>
          <w:tcPr>
            <w:tcW w:w="2462" w:type="dxa"/>
            <w:vAlign w:val="center"/>
          </w:tcPr>
          <w:p w:rsidR="00896868" w:rsidRDefault="00294302">
            <w:pPr>
              <w:ind w:firstLine="400"/>
              <w:rPr>
                <w:sz w:val="20"/>
              </w:rPr>
            </w:pPr>
            <w:r>
              <w:rPr>
                <w:rFonts w:hint="eastAsia"/>
                <w:sz w:val="20"/>
              </w:rPr>
              <w:t>2,952.91</w:t>
            </w:r>
          </w:p>
        </w:tc>
        <w:tc>
          <w:tcPr>
            <w:tcW w:w="2329" w:type="dxa"/>
            <w:vAlign w:val="center"/>
          </w:tcPr>
          <w:p w:rsidR="00896868" w:rsidRDefault="00294302">
            <w:pPr>
              <w:ind w:firstLine="400"/>
              <w:rPr>
                <w:sz w:val="20"/>
              </w:rPr>
            </w:pPr>
            <w:r>
              <w:rPr>
                <w:rFonts w:hint="eastAsia"/>
                <w:sz w:val="20"/>
              </w:rPr>
              <w:t>3,167.39</w:t>
            </w:r>
          </w:p>
        </w:tc>
      </w:tr>
      <w:tr w:rsidR="00896868">
        <w:trPr>
          <w:trHeight w:val="422"/>
        </w:trPr>
        <w:tc>
          <w:tcPr>
            <w:tcW w:w="3002" w:type="dxa"/>
            <w:vAlign w:val="center"/>
          </w:tcPr>
          <w:p w:rsidR="00896868" w:rsidRDefault="00294302">
            <w:pPr>
              <w:ind w:firstLine="400"/>
              <w:rPr>
                <w:sz w:val="20"/>
              </w:rPr>
            </w:pPr>
            <w:r>
              <w:rPr>
                <w:sz w:val="20"/>
              </w:rPr>
              <w:t>药品费</w:t>
            </w:r>
          </w:p>
        </w:tc>
        <w:tc>
          <w:tcPr>
            <w:tcW w:w="2345" w:type="dxa"/>
            <w:vAlign w:val="center"/>
          </w:tcPr>
          <w:p w:rsidR="00896868" w:rsidRDefault="00294302">
            <w:pPr>
              <w:ind w:firstLine="400"/>
              <w:rPr>
                <w:sz w:val="20"/>
              </w:rPr>
            </w:pPr>
            <w:r>
              <w:rPr>
                <w:rFonts w:hint="eastAsia"/>
                <w:sz w:val="20"/>
              </w:rPr>
              <w:t>6,077.31</w:t>
            </w:r>
          </w:p>
        </w:tc>
        <w:tc>
          <w:tcPr>
            <w:tcW w:w="2462" w:type="dxa"/>
            <w:vAlign w:val="center"/>
          </w:tcPr>
          <w:p w:rsidR="00896868" w:rsidRDefault="00294302">
            <w:pPr>
              <w:ind w:firstLine="400"/>
              <w:rPr>
                <w:sz w:val="20"/>
              </w:rPr>
            </w:pPr>
            <w:r>
              <w:rPr>
                <w:rFonts w:hint="eastAsia"/>
                <w:sz w:val="20"/>
              </w:rPr>
              <w:t>6,332.43</w:t>
            </w:r>
          </w:p>
        </w:tc>
        <w:tc>
          <w:tcPr>
            <w:tcW w:w="2329" w:type="dxa"/>
            <w:vAlign w:val="center"/>
          </w:tcPr>
          <w:p w:rsidR="00896868" w:rsidRDefault="00294302">
            <w:pPr>
              <w:ind w:firstLine="400"/>
              <w:rPr>
                <w:sz w:val="20"/>
              </w:rPr>
            </w:pPr>
            <w:r>
              <w:rPr>
                <w:rFonts w:hint="eastAsia"/>
                <w:sz w:val="20"/>
              </w:rPr>
              <w:t>6,992.35</w:t>
            </w:r>
          </w:p>
        </w:tc>
      </w:tr>
      <w:tr w:rsidR="00896868">
        <w:trPr>
          <w:trHeight w:val="422"/>
        </w:trPr>
        <w:tc>
          <w:tcPr>
            <w:tcW w:w="3002" w:type="dxa"/>
            <w:vAlign w:val="center"/>
          </w:tcPr>
          <w:p w:rsidR="00896868" w:rsidRDefault="00294302">
            <w:pPr>
              <w:ind w:firstLine="400"/>
              <w:rPr>
                <w:sz w:val="20"/>
              </w:rPr>
            </w:pPr>
            <w:r>
              <w:rPr>
                <w:sz w:val="20"/>
              </w:rPr>
              <w:t>工资及福利费</w:t>
            </w:r>
          </w:p>
        </w:tc>
        <w:tc>
          <w:tcPr>
            <w:tcW w:w="2345" w:type="dxa"/>
            <w:vAlign w:val="center"/>
          </w:tcPr>
          <w:p w:rsidR="00896868" w:rsidRDefault="00294302">
            <w:pPr>
              <w:ind w:firstLine="400"/>
              <w:rPr>
                <w:sz w:val="20"/>
              </w:rPr>
            </w:pPr>
            <w:r>
              <w:rPr>
                <w:rFonts w:hint="eastAsia"/>
                <w:sz w:val="20"/>
              </w:rPr>
              <w:t>9,569.24</w:t>
            </w:r>
          </w:p>
        </w:tc>
        <w:tc>
          <w:tcPr>
            <w:tcW w:w="2462" w:type="dxa"/>
            <w:vAlign w:val="center"/>
          </w:tcPr>
          <w:p w:rsidR="00896868" w:rsidRDefault="00294302">
            <w:pPr>
              <w:ind w:firstLine="400"/>
              <w:rPr>
                <w:sz w:val="20"/>
              </w:rPr>
            </w:pPr>
            <w:r>
              <w:rPr>
                <w:rFonts w:hint="eastAsia"/>
                <w:sz w:val="20"/>
              </w:rPr>
              <w:t>9,923.34</w:t>
            </w:r>
          </w:p>
        </w:tc>
        <w:tc>
          <w:tcPr>
            <w:tcW w:w="2329" w:type="dxa"/>
            <w:vAlign w:val="center"/>
          </w:tcPr>
          <w:p w:rsidR="00896868" w:rsidRDefault="00294302">
            <w:pPr>
              <w:ind w:firstLine="400"/>
              <w:rPr>
                <w:sz w:val="20"/>
              </w:rPr>
            </w:pPr>
            <w:r>
              <w:rPr>
                <w:rFonts w:hint="eastAsia"/>
                <w:sz w:val="20"/>
              </w:rPr>
              <w:t>10,986.36</w:t>
            </w:r>
          </w:p>
        </w:tc>
      </w:tr>
      <w:tr w:rsidR="00896868">
        <w:trPr>
          <w:trHeight w:val="817"/>
        </w:trPr>
        <w:tc>
          <w:tcPr>
            <w:tcW w:w="3002" w:type="dxa"/>
            <w:vAlign w:val="center"/>
          </w:tcPr>
          <w:p w:rsidR="00896868" w:rsidRDefault="00294302">
            <w:pPr>
              <w:ind w:firstLine="400"/>
              <w:rPr>
                <w:sz w:val="20"/>
              </w:rPr>
            </w:pPr>
            <w:r>
              <w:rPr>
                <w:sz w:val="20"/>
              </w:rPr>
              <w:t>固定资产折旧和摊销</w:t>
            </w:r>
          </w:p>
        </w:tc>
        <w:tc>
          <w:tcPr>
            <w:tcW w:w="2345" w:type="dxa"/>
            <w:vAlign w:val="center"/>
          </w:tcPr>
          <w:p w:rsidR="00896868" w:rsidRDefault="00294302">
            <w:pPr>
              <w:ind w:firstLine="400"/>
              <w:rPr>
                <w:sz w:val="20"/>
              </w:rPr>
            </w:pPr>
            <w:r>
              <w:rPr>
                <w:rFonts w:hint="eastAsia"/>
                <w:sz w:val="20"/>
              </w:rPr>
              <w:t>378.91</w:t>
            </w:r>
          </w:p>
        </w:tc>
        <w:tc>
          <w:tcPr>
            <w:tcW w:w="2462" w:type="dxa"/>
            <w:vAlign w:val="center"/>
          </w:tcPr>
          <w:p w:rsidR="00896868" w:rsidRDefault="00294302">
            <w:pPr>
              <w:ind w:firstLine="400"/>
              <w:rPr>
                <w:sz w:val="20"/>
              </w:rPr>
            </w:pPr>
            <w:r>
              <w:rPr>
                <w:rFonts w:hint="eastAsia"/>
                <w:sz w:val="20"/>
              </w:rPr>
              <w:t>413.43</w:t>
            </w:r>
          </w:p>
        </w:tc>
        <w:tc>
          <w:tcPr>
            <w:tcW w:w="2329" w:type="dxa"/>
            <w:vAlign w:val="center"/>
          </w:tcPr>
          <w:p w:rsidR="00896868" w:rsidRDefault="00294302">
            <w:pPr>
              <w:ind w:firstLine="400"/>
              <w:rPr>
                <w:sz w:val="20"/>
              </w:rPr>
            </w:pPr>
            <w:r>
              <w:rPr>
                <w:rFonts w:hint="eastAsia"/>
                <w:sz w:val="20"/>
              </w:rPr>
              <w:t>447.18</w:t>
            </w:r>
          </w:p>
        </w:tc>
      </w:tr>
      <w:tr w:rsidR="00896868">
        <w:trPr>
          <w:trHeight w:val="422"/>
        </w:trPr>
        <w:tc>
          <w:tcPr>
            <w:tcW w:w="3002" w:type="dxa"/>
            <w:vAlign w:val="center"/>
          </w:tcPr>
          <w:p w:rsidR="00896868" w:rsidRDefault="00294302">
            <w:pPr>
              <w:ind w:firstLine="400"/>
              <w:rPr>
                <w:sz w:val="20"/>
              </w:rPr>
            </w:pPr>
            <w:r>
              <w:rPr>
                <w:sz w:val="20"/>
              </w:rPr>
              <w:t>医疗风险基金</w:t>
            </w:r>
          </w:p>
        </w:tc>
        <w:tc>
          <w:tcPr>
            <w:tcW w:w="2345" w:type="dxa"/>
            <w:vAlign w:val="center"/>
          </w:tcPr>
          <w:p w:rsidR="00896868" w:rsidRDefault="00294302">
            <w:pPr>
              <w:ind w:firstLine="400"/>
              <w:rPr>
                <w:sz w:val="20"/>
              </w:rPr>
            </w:pPr>
            <w:r>
              <w:rPr>
                <w:rFonts w:hint="eastAsia"/>
                <w:sz w:val="20"/>
              </w:rPr>
              <w:t>48.24</w:t>
            </w:r>
          </w:p>
        </w:tc>
        <w:tc>
          <w:tcPr>
            <w:tcW w:w="2462" w:type="dxa"/>
            <w:vAlign w:val="center"/>
          </w:tcPr>
          <w:p w:rsidR="00896868" w:rsidRDefault="00294302">
            <w:pPr>
              <w:ind w:firstLine="400"/>
              <w:rPr>
                <w:sz w:val="20"/>
              </w:rPr>
            </w:pPr>
            <w:r>
              <w:rPr>
                <w:rFonts w:hint="eastAsia"/>
                <w:sz w:val="20"/>
              </w:rPr>
              <w:t>53.11</w:t>
            </w:r>
          </w:p>
        </w:tc>
        <w:tc>
          <w:tcPr>
            <w:tcW w:w="2329" w:type="dxa"/>
            <w:vAlign w:val="center"/>
          </w:tcPr>
          <w:p w:rsidR="00896868" w:rsidRDefault="00294302">
            <w:pPr>
              <w:ind w:firstLine="400"/>
              <w:rPr>
                <w:sz w:val="20"/>
              </w:rPr>
            </w:pPr>
            <w:r>
              <w:rPr>
                <w:rFonts w:hint="eastAsia"/>
                <w:sz w:val="20"/>
              </w:rPr>
              <w:t>59.87</w:t>
            </w:r>
          </w:p>
        </w:tc>
      </w:tr>
      <w:tr w:rsidR="00896868">
        <w:trPr>
          <w:trHeight w:val="422"/>
        </w:trPr>
        <w:tc>
          <w:tcPr>
            <w:tcW w:w="3002" w:type="dxa"/>
            <w:vAlign w:val="center"/>
          </w:tcPr>
          <w:p w:rsidR="00896868" w:rsidRDefault="00294302">
            <w:pPr>
              <w:ind w:firstLine="400"/>
              <w:rPr>
                <w:sz w:val="20"/>
              </w:rPr>
            </w:pPr>
            <w:r>
              <w:rPr>
                <w:sz w:val="20"/>
              </w:rPr>
              <w:t>管理费用</w:t>
            </w:r>
          </w:p>
        </w:tc>
        <w:tc>
          <w:tcPr>
            <w:tcW w:w="2345" w:type="dxa"/>
            <w:vAlign w:val="center"/>
          </w:tcPr>
          <w:p w:rsidR="00896868" w:rsidRDefault="00294302">
            <w:pPr>
              <w:ind w:firstLine="400"/>
              <w:rPr>
                <w:sz w:val="20"/>
              </w:rPr>
            </w:pPr>
            <w:r>
              <w:rPr>
                <w:rFonts w:hint="eastAsia"/>
                <w:sz w:val="20"/>
              </w:rPr>
              <w:t>2,564.59</w:t>
            </w:r>
          </w:p>
        </w:tc>
        <w:tc>
          <w:tcPr>
            <w:tcW w:w="2462" w:type="dxa"/>
            <w:vAlign w:val="center"/>
          </w:tcPr>
          <w:p w:rsidR="00896868" w:rsidRDefault="00294302">
            <w:pPr>
              <w:ind w:firstLine="400"/>
              <w:rPr>
                <w:sz w:val="20"/>
              </w:rPr>
            </w:pPr>
            <w:r>
              <w:rPr>
                <w:rFonts w:hint="eastAsia"/>
                <w:sz w:val="20"/>
              </w:rPr>
              <w:t>2,766.10</w:t>
            </w:r>
          </w:p>
        </w:tc>
        <w:tc>
          <w:tcPr>
            <w:tcW w:w="2329" w:type="dxa"/>
            <w:vAlign w:val="center"/>
          </w:tcPr>
          <w:p w:rsidR="00896868" w:rsidRDefault="00294302">
            <w:pPr>
              <w:ind w:firstLine="400"/>
              <w:rPr>
                <w:sz w:val="20"/>
              </w:rPr>
            </w:pPr>
            <w:r>
              <w:rPr>
                <w:rFonts w:hint="eastAsia"/>
                <w:sz w:val="20"/>
              </w:rPr>
              <w:t>3,169.32</w:t>
            </w:r>
          </w:p>
        </w:tc>
      </w:tr>
      <w:tr w:rsidR="00896868">
        <w:trPr>
          <w:trHeight w:val="422"/>
        </w:trPr>
        <w:tc>
          <w:tcPr>
            <w:tcW w:w="3002" w:type="dxa"/>
            <w:vAlign w:val="center"/>
          </w:tcPr>
          <w:p w:rsidR="00896868" w:rsidRDefault="00294302">
            <w:pPr>
              <w:ind w:firstLine="400"/>
              <w:rPr>
                <w:sz w:val="20"/>
              </w:rPr>
            </w:pPr>
            <w:r>
              <w:rPr>
                <w:sz w:val="20"/>
              </w:rPr>
              <w:t>其他</w:t>
            </w:r>
          </w:p>
        </w:tc>
        <w:tc>
          <w:tcPr>
            <w:tcW w:w="2345" w:type="dxa"/>
            <w:vAlign w:val="center"/>
          </w:tcPr>
          <w:p w:rsidR="00896868" w:rsidRDefault="00294302">
            <w:pPr>
              <w:ind w:firstLine="400"/>
              <w:rPr>
                <w:sz w:val="20"/>
              </w:rPr>
            </w:pPr>
            <w:r>
              <w:rPr>
                <w:rFonts w:hint="eastAsia"/>
                <w:sz w:val="20"/>
              </w:rPr>
              <w:t>727.43</w:t>
            </w:r>
          </w:p>
        </w:tc>
        <w:tc>
          <w:tcPr>
            <w:tcW w:w="2462" w:type="dxa"/>
            <w:vAlign w:val="center"/>
          </w:tcPr>
          <w:p w:rsidR="00896868" w:rsidRDefault="00294302">
            <w:pPr>
              <w:ind w:firstLine="400"/>
              <w:rPr>
                <w:sz w:val="20"/>
              </w:rPr>
            </w:pPr>
            <w:r>
              <w:rPr>
                <w:rFonts w:hint="eastAsia"/>
                <w:sz w:val="20"/>
              </w:rPr>
              <w:t>778.09</w:t>
            </w:r>
          </w:p>
        </w:tc>
        <w:tc>
          <w:tcPr>
            <w:tcW w:w="2329" w:type="dxa"/>
            <w:vAlign w:val="center"/>
          </w:tcPr>
          <w:p w:rsidR="00896868" w:rsidRDefault="00294302">
            <w:pPr>
              <w:ind w:firstLine="400"/>
              <w:rPr>
                <w:sz w:val="20"/>
              </w:rPr>
            </w:pPr>
            <w:r>
              <w:rPr>
                <w:rFonts w:hint="eastAsia"/>
                <w:sz w:val="20"/>
              </w:rPr>
              <w:t>825.81</w:t>
            </w:r>
          </w:p>
        </w:tc>
      </w:tr>
      <w:tr w:rsidR="00896868">
        <w:trPr>
          <w:trHeight w:val="479"/>
        </w:trPr>
        <w:tc>
          <w:tcPr>
            <w:tcW w:w="3002" w:type="dxa"/>
            <w:vAlign w:val="center"/>
          </w:tcPr>
          <w:p w:rsidR="00896868" w:rsidRDefault="00294302">
            <w:pPr>
              <w:ind w:firstLine="400"/>
              <w:rPr>
                <w:sz w:val="20"/>
              </w:rPr>
            </w:pPr>
            <w:r>
              <w:rPr>
                <w:sz w:val="20"/>
              </w:rPr>
              <w:t>成本合计</w:t>
            </w:r>
          </w:p>
        </w:tc>
        <w:tc>
          <w:tcPr>
            <w:tcW w:w="2345" w:type="dxa"/>
            <w:vAlign w:val="center"/>
          </w:tcPr>
          <w:p w:rsidR="00896868" w:rsidRDefault="00294302">
            <w:pPr>
              <w:ind w:firstLine="400"/>
              <w:rPr>
                <w:sz w:val="20"/>
              </w:rPr>
            </w:pPr>
            <w:r>
              <w:rPr>
                <w:rFonts w:hint="eastAsia"/>
                <w:sz w:val="20"/>
              </w:rPr>
              <w:t>22,131.01</w:t>
            </w:r>
          </w:p>
        </w:tc>
        <w:tc>
          <w:tcPr>
            <w:tcW w:w="2462" w:type="dxa"/>
            <w:vAlign w:val="center"/>
          </w:tcPr>
          <w:p w:rsidR="00896868" w:rsidRDefault="00294302">
            <w:pPr>
              <w:ind w:firstLine="400"/>
              <w:rPr>
                <w:sz w:val="20"/>
              </w:rPr>
            </w:pPr>
            <w:r>
              <w:rPr>
                <w:rFonts w:hint="eastAsia"/>
                <w:sz w:val="20"/>
              </w:rPr>
              <w:t>23,219.41</w:t>
            </w:r>
          </w:p>
        </w:tc>
        <w:tc>
          <w:tcPr>
            <w:tcW w:w="2329" w:type="dxa"/>
            <w:vAlign w:val="center"/>
          </w:tcPr>
          <w:p w:rsidR="00896868" w:rsidRDefault="00294302">
            <w:pPr>
              <w:ind w:firstLine="400"/>
              <w:rPr>
                <w:sz w:val="20"/>
              </w:rPr>
            </w:pPr>
            <w:r>
              <w:rPr>
                <w:rFonts w:hint="eastAsia"/>
                <w:sz w:val="20"/>
              </w:rPr>
              <w:t>25,648.28</w:t>
            </w:r>
          </w:p>
        </w:tc>
      </w:tr>
    </w:tbl>
    <w:p w:rsidR="00896868" w:rsidRDefault="00896868" w:rsidP="00A94848">
      <w:pPr>
        <w:ind w:firstLineChars="0" w:firstLine="0"/>
        <w:rPr>
          <w:rFonts w:hint="eastAsia"/>
        </w:rPr>
      </w:pPr>
    </w:p>
    <w:p w:rsidR="00896868" w:rsidRDefault="00294302">
      <w:pPr>
        <w:ind w:firstLine="640"/>
      </w:pPr>
      <w:r>
        <w:rPr>
          <w:rFonts w:hint="eastAsia"/>
        </w:rPr>
        <w:t>近三年成本费用明细汇总表单位：人民币万元</w:t>
      </w:r>
    </w:p>
    <w:p w:rsidR="00896868" w:rsidRDefault="00896868">
      <w:pPr>
        <w:ind w:firstLine="640"/>
      </w:pPr>
    </w:p>
    <w:p w:rsidR="00896868" w:rsidRDefault="00896868">
      <w:pPr>
        <w:ind w:firstLine="640"/>
      </w:pPr>
    </w:p>
    <w:p w:rsidR="00896868" w:rsidRDefault="00294302">
      <w:pPr>
        <w:ind w:firstLine="640"/>
      </w:pPr>
      <w:r>
        <w:rPr>
          <w:rFonts w:hint="eastAsia"/>
        </w:rPr>
        <w:t>测算依据：</w:t>
      </w:r>
    </w:p>
    <w:p w:rsidR="00896868" w:rsidRDefault="00294302">
      <w:pPr>
        <w:ind w:firstLine="640"/>
      </w:pPr>
      <w:r>
        <w:rPr>
          <w:rFonts w:hint="eastAsia"/>
        </w:rPr>
        <w:t>以</w:t>
      </w:r>
      <w:r>
        <w:rPr>
          <w:rFonts w:hint="eastAsia"/>
        </w:rPr>
        <w:t>2019</w:t>
      </w:r>
      <w:r>
        <w:rPr>
          <w:rFonts w:hint="eastAsia"/>
        </w:rPr>
        <w:t>年各项成本为基数，</w:t>
      </w:r>
      <w:r>
        <w:t>固定资产折旧和摊销</w:t>
      </w:r>
      <w:r>
        <w:rPr>
          <w:rFonts w:hint="eastAsia"/>
        </w:rPr>
        <w:t>不再纳入营运成本，且本项目不涉及税费。项目运营成本包括：卫生材料费、药品费、工资及福利费、医疗风险基金、管理费用、其他费用。</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991"/>
        <w:gridCol w:w="2869"/>
        <w:gridCol w:w="3540"/>
      </w:tblGrid>
      <w:tr w:rsidR="00896868">
        <w:trPr>
          <w:trHeight w:val="90"/>
        </w:trPr>
        <w:tc>
          <w:tcPr>
            <w:tcW w:w="299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sz w:val="20"/>
              </w:rPr>
              <w:t>项目</w:t>
            </w:r>
          </w:p>
        </w:tc>
        <w:tc>
          <w:tcPr>
            <w:tcW w:w="286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sz w:val="20"/>
              </w:rPr>
              <w:t>201</w:t>
            </w:r>
            <w:r>
              <w:rPr>
                <w:rFonts w:hint="eastAsia"/>
                <w:sz w:val="20"/>
              </w:rPr>
              <w:t>9</w:t>
            </w:r>
            <w:r>
              <w:rPr>
                <w:sz w:val="20"/>
              </w:rPr>
              <w:t>年</w:t>
            </w:r>
          </w:p>
        </w:tc>
        <w:tc>
          <w:tcPr>
            <w:tcW w:w="354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占收入比</w:t>
            </w:r>
          </w:p>
        </w:tc>
      </w:tr>
      <w:tr w:rsidR="00896868">
        <w:trPr>
          <w:trHeight w:val="90"/>
        </w:trPr>
        <w:tc>
          <w:tcPr>
            <w:tcW w:w="299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sz w:val="20"/>
              </w:rPr>
              <w:t>卫生材料费</w:t>
            </w:r>
          </w:p>
        </w:tc>
        <w:tc>
          <w:tcPr>
            <w:tcW w:w="286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3,167.39</w:t>
            </w:r>
          </w:p>
        </w:tc>
        <w:tc>
          <w:tcPr>
            <w:tcW w:w="354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12.27%</w:t>
            </w:r>
          </w:p>
        </w:tc>
      </w:tr>
      <w:tr w:rsidR="00896868">
        <w:trPr>
          <w:trHeight w:val="90"/>
        </w:trPr>
        <w:tc>
          <w:tcPr>
            <w:tcW w:w="299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sz w:val="20"/>
              </w:rPr>
              <w:t>药品费</w:t>
            </w:r>
          </w:p>
        </w:tc>
        <w:tc>
          <w:tcPr>
            <w:tcW w:w="286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6,992.35</w:t>
            </w:r>
          </w:p>
        </w:tc>
        <w:tc>
          <w:tcPr>
            <w:tcW w:w="354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27.08%</w:t>
            </w:r>
          </w:p>
        </w:tc>
      </w:tr>
      <w:tr w:rsidR="00896868">
        <w:trPr>
          <w:trHeight w:val="90"/>
        </w:trPr>
        <w:tc>
          <w:tcPr>
            <w:tcW w:w="299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sz w:val="20"/>
              </w:rPr>
              <w:lastRenderedPageBreak/>
              <w:t>工资及福利费</w:t>
            </w:r>
          </w:p>
        </w:tc>
        <w:tc>
          <w:tcPr>
            <w:tcW w:w="286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10,986.36</w:t>
            </w:r>
          </w:p>
        </w:tc>
        <w:tc>
          <w:tcPr>
            <w:tcW w:w="354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42.55%</w:t>
            </w:r>
          </w:p>
        </w:tc>
      </w:tr>
      <w:tr w:rsidR="00896868">
        <w:trPr>
          <w:trHeight w:val="90"/>
        </w:trPr>
        <w:tc>
          <w:tcPr>
            <w:tcW w:w="299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sz w:val="20"/>
              </w:rPr>
              <w:t>医疗风险基金</w:t>
            </w:r>
          </w:p>
        </w:tc>
        <w:tc>
          <w:tcPr>
            <w:tcW w:w="286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59.87</w:t>
            </w:r>
          </w:p>
        </w:tc>
        <w:tc>
          <w:tcPr>
            <w:tcW w:w="354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0.23%</w:t>
            </w:r>
          </w:p>
        </w:tc>
      </w:tr>
      <w:tr w:rsidR="00896868">
        <w:trPr>
          <w:trHeight w:val="90"/>
        </w:trPr>
        <w:tc>
          <w:tcPr>
            <w:tcW w:w="299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sz w:val="20"/>
              </w:rPr>
              <w:t>管理费用</w:t>
            </w:r>
          </w:p>
        </w:tc>
        <w:tc>
          <w:tcPr>
            <w:tcW w:w="286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3,169.32</w:t>
            </w:r>
          </w:p>
        </w:tc>
        <w:tc>
          <w:tcPr>
            <w:tcW w:w="354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12.27%</w:t>
            </w:r>
          </w:p>
        </w:tc>
      </w:tr>
      <w:tr w:rsidR="00896868">
        <w:trPr>
          <w:trHeight w:val="90"/>
        </w:trPr>
        <w:tc>
          <w:tcPr>
            <w:tcW w:w="299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sz w:val="20"/>
              </w:rPr>
              <w:t>其他</w:t>
            </w:r>
          </w:p>
        </w:tc>
        <w:tc>
          <w:tcPr>
            <w:tcW w:w="286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825.81</w:t>
            </w:r>
          </w:p>
        </w:tc>
        <w:tc>
          <w:tcPr>
            <w:tcW w:w="354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3.20%</w:t>
            </w:r>
          </w:p>
        </w:tc>
      </w:tr>
      <w:tr w:rsidR="00896868">
        <w:trPr>
          <w:trHeight w:val="90"/>
        </w:trPr>
        <w:tc>
          <w:tcPr>
            <w:tcW w:w="299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sz w:val="20"/>
              </w:rPr>
              <w:t>成本合计</w:t>
            </w:r>
          </w:p>
        </w:tc>
        <w:tc>
          <w:tcPr>
            <w:tcW w:w="286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400"/>
              <w:rPr>
                <w:sz w:val="20"/>
              </w:rPr>
            </w:pPr>
            <w:r>
              <w:rPr>
                <w:rFonts w:hint="eastAsia"/>
                <w:sz w:val="20"/>
              </w:rPr>
              <w:t>25,201.10</w:t>
            </w:r>
          </w:p>
        </w:tc>
        <w:tc>
          <w:tcPr>
            <w:tcW w:w="3540"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400"/>
              <w:rPr>
                <w:sz w:val="20"/>
              </w:rPr>
            </w:pPr>
          </w:p>
        </w:tc>
      </w:tr>
    </w:tbl>
    <w:p w:rsidR="00896868" w:rsidRDefault="00294302">
      <w:pPr>
        <w:ind w:firstLine="640"/>
      </w:pPr>
      <w:r>
        <w:rPr>
          <w:rFonts w:hint="eastAsia"/>
        </w:rPr>
        <w:t>测算期</w:t>
      </w:r>
      <w:r>
        <w:rPr>
          <w:rFonts w:hint="eastAsia"/>
        </w:rPr>
        <w:t>2020</w:t>
      </w:r>
      <w:r>
        <w:rPr>
          <w:rFonts w:hint="eastAsia"/>
        </w:rPr>
        <w:t>年至</w:t>
      </w:r>
      <w:r>
        <w:rPr>
          <w:rFonts w:hint="eastAsia"/>
        </w:rPr>
        <w:t>2031</w:t>
      </w:r>
      <w:r>
        <w:rPr>
          <w:rFonts w:hint="eastAsia"/>
        </w:rPr>
        <w:t>年的卫生材料费、药品费、工资及福利费、医疗风险基金、管理费用、其他费用均以</w:t>
      </w:r>
      <w:r>
        <w:rPr>
          <w:rFonts w:hint="eastAsia"/>
        </w:rPr>
        <w:t>2019</w:t>
      </w:r>
      <w:r>
        <w:rPr>
          <w:rFonts w:hint="eastAsia"/>
        </w:rPr>
        <w:t>年数据为基数，各项成本按年增长</w:t>
      </w:r>
      <w:r>
        <w:rPr>
          <w:rFonts w:hint="eastAsia"/>
        </w:rPr>
        <w:t>2%</w:t>
      </w:r>
      <w:r>
        <w:rPr>
          <w:rFonts w:hint="eastAsia"/>
        </w:rPr>
        <w:t>的增长率逐年递增测算。经测算</w:t>
      </w:r>
      <w:r>
        <w:rPr>
          <w:rFonts w:hint="eastAsia"/>
        </w:rPr>
        <w:t>2020</w:t>
      </w:r>
      <w:r>
        <w:rPr>
          <w:rFonts w:hint="eastAsia"/>
        </w:rPr>
        <w:t>年</w:t>
      </w:r>
      <w:r>
        <w:rPr>
          <w:rFonts w:hint="eastAsia"/>
        </w:rPr>
        <w:t>-2031</w:t>
      </w:r>
      <w:r>
        <w:rPr>
          <w:rFonts w:hint="eastAsia"/>
        </w:rPr>
        <w:t>年总运营成本为</w:t>
      </w:r>
      <w:r>
        <w:rPr>
          <w:rFonts w:hint="eastAsia"/>
        </w:rPr>
        <w:t>344,759.40</w:t>
      </w:r>
      <w:r>
        <w:rPr>
          <w:rFonts w:hint="eastAsia"/>
        </w:rPr>
        <w:t>万元。</w:t>
      </w:r>
    </w:p>
    <w:p w:rsidR="00896868" w:rsidRDefault="00294302">
      <w:pPr>
        <w:ind w:firstLine="640"/>
      </w:pPr>
      <w:r>
        <w:rPr>
          <w:rFonts w:hint="eastAsia"/>
        </w:rPr>
        <w:t>2020</w:t>
      </w:r>
      <w:r>
        <w:rPr>
          <w:rFonts w:hint="eastAsia"/>
        </w:rPr>
        <w:t>年</w:t>
      </w:r>
      <w:r>
        <w:rPr>
          <w:rFonts w:hint="eastAsia"/>
        </w:rPr>
        <w:t>-2031</w:t>
      </w:r>
      <w:r>
        <w:rPr>
          <w:rFonts w:hint="eastAsia"/>
        </w:rPr>
        <w:t>年医院运营成本费用测算表</w:t>
      </w:r>
      <w:r>
        <w:rPr>
          <w:rFonts w:hint="eastAsia"/>
        </w:rPr>
        <w:t xml:space="preserve">       </w:t>
      </w:r>
      <w:r>
        <w:rPr>
          <w:rFonts w:hint="eastAsia"/>
        </w:rPr>
        <w:t>单位：万元</w:t>
      </w:r>
    </w:p>
    <w:p w:rsidR="00896868" w:rsidRDefault="00896868">
      <w:pPr>
        <w:ind w:firstLine="640"/>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95"/>
        <w:gridCol w:w="862"/>
        <w:gridCol w:w="782"/>
        <w:gridCol w:w="852"/>
        <w:gridCol w:w="844"/>
        <w:gridCol w:w="853"/>
        <w:gridCol w:w="815"/>
        <w:gridCol w:w="851"/>
        <w:gridCol w:w="782"/>
        <w:gridCol w:w="782"/>
        <w:gridCol w:w="782"/>
        <w:gridCol w:w="782"/>
        <w:gridCol w:w="776"/>
        <w:gridCol w:w="842"/>
      </w:tblGrid>
      <w:tr w:rsidR="00896868">
        <w:trPr>
          <w:trHeight w:val="285"/>
        </w:trPr>
        <w:tc>
          <w:tcPr>
            <w:tcW w:w="595" w:type="dxa"/>
            <w:tcBorders>
              <w:top w:val="single" w:sz="12" w:space="0" w:color="000000"/>
              <w:left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项</w:t>
            </w:r>
            <w:r>
              <w:rPr>
                <w:sz w:val="20"/>
              </w:rPr>
              <w:t xml:space="preserve">  </w:t>
            </w:r>
            <w:r>
              <w:rPr>
                <w:sz w:val="20"/>
              </w:rPr>
              <w:t>目</w:t>
            </w:r>
          </w:p>
        </w:tc>
        <w:tc>
          <w:tcPr>
            <w:tcW w:w="862"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总</w:t>
            </w:r>
            <w:r>
              <w:rPr>
                <w:sz w:val="20"/>
              </w:rPr>
              <w:t xml:space="preserve"> </w:t>
            </w:r>
            <w:r>
              <w:rPr>
                <w:sz w:val="20"/>
              </w:rPr>
              <w:t>计</w:t>
            </w:r>
          </w:p>
        </w:tc>
        <w:tc>
          <w:tcPr>
            <w:tcW w:w="782"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2020</w:t>
            </w:r>
            <w:r>
              <w:rPr>
                <w:sz w:val="20"/>
              </w:rPr>
              <w:t>年</w:t>
            </w:r>
          </w:p>
        </w:tc>
        <w:tc>
          <w:tcPr>
            <w:tcW w:w="852"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2021</w:t>
            </w:r>
            <w:r>
              <w:rPr>
                <w:sz w:val="20"/>
              </w:rPr>
              <w:t>年</w:t>
            </w:r>
          </w:p>
        </w:tc>
        <w:tc>
          <w:tcPr>
            <w:tcW w:w="844"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2022</w:t>
            </w:r>
            <w:r>
              <w:rPr>
                <w:sz w:val="20"/>
              </w:rPr>
              <w:t>年</w:t>
            </w:r>
          </w:p>
        </w:tc>
        <w:tc>
          <w:tcPr>
            <w:tcW w:w="853"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2023</w:t>
            </w:r>
            <w:r>
              <w:rPr>
                <w:sz w:val="20"/>
              </w:rPr>
              <w:t>年</w:t>
            </w:r>
          </w:p>
        </w:tc>
        <w:tc>
          <w:tcPr>
            <w:tcW w:w="815"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2024</w:t>
            </w:r>
            <w:r>
              <w:rPr>
                <w:sz w:val="20"/>
              </w:rPr>
              <w:t>年</w:t>
            </w:r>
          </w:p>
        </w:tc>
        <w:tc>
          <w:tcPr>
            <w:tcW w:w="851"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2025</w:t>
            </w:r>
            <w:r>
              <w:rPr>
                <w:sz w:val="20"/>
              </w:rPr>
              <w:t>年</w:t>
            </w:r>
          </w:p>
        </w:tc>
        <w:tc>
          <w:tcPr>
            <w:tcW w:w="782"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2026</w:t>
            </w:r>
            <w:r>
              <w:rPr>
                <w:sz w:val="20"/>
              </w:rPr>
              <w:t>年</w:t>
            </w:r>
          </w:p>
        </w:tc>
        <w:tc>
          <w:tcPr>
            <w:tcW w:w="782"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2027</w:t>
            </w:r>
            <w:r>
              <w:rPr>
                <w:sz w:val="20"/>
              </w:rPr>
              <w:t>年</w:t>
            </w:r>
          </w:p>
        </w:tc>
        <w:tc>
          <w:tcPr>
            <w:tcW w:w="782"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2028</w:t>
            </w:r>
            <w:r>
              <w:rPr>
                <w:sz w:val="20"/>
              </w:rPr>
              <w:t>年</w:t>
            </w:r>
          </w:p>
        </w:tc>
        <w:tc>
          <w:tcPr>
            <w:tcW w:w="782"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2029</w:t>
            </w:r>
            <w:r>
              <w:rPr>
                <w:sz w:val="20"/>
              </w:rPr>
              <w:t>年</w:t>
            </w:r>
          </w:p>
        </w:tc>
        <w:tc>
          <w:tcPr>
            <w:tcW w:w="776"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2030</w:t>
            </w:r>
            <w:r>
              <w:rPr>
                <w:sz w:val="20"/>
              </w:rPr>
              <w:t>年</w:t>
            </w:r>
          </w:p>
        </w:tc>
        <w:tc>
          <w:tcPr>
            <w:tcW w:w="842" w:type="dxa"/>
            <w:tcBorders>
              <w:top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2031</w:t>
            </w:r>
            <w:r>
              <w:rPr>
                <w:sz w:val="20"/>
              </w:rPr>
              <w:t>年</w:t>
            </w:r>
          </w:p>
        </w:tc>
      </w:tr>
      <w:tr w:rsidR="00896868">
        <w:trPr>
          <w:trHeight w:val="285"/>
        </w:trPr>
        <w:tc>
          <w:tcPr>
            <w:tcW w:w="595" w:type="dxa"/>
            <w:tcBorders>
              <w:left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①</w:t>
            </w:r>
            <w:r>
              <w:rPr>
                <w:sz w:val="20"/>
              </w:rPr>
              <w:t>卫生材料费</w:t>
            </w:r>
          </w:p>
        </w:tc>
        <w:tc>
          <w:tcPr>
            <w:tcW w:w="86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43330.95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3230.74 </w:t>
            </w:r>
          </w:p>
        </w:tc>
        <w:tc>
          <w:tcPr>
            <w:tcW w:w="85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3295.35 </w:t>
            </w:r>
          </w:p>
        </w:tc>
        <w:tc>
          <w:tcPr>
            <w:tcW w:w="844"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3361.26 </w:t>
            </w:r>
          </w:p>
        </w:tc>
        <w:tc>
          <w:tcPr>
            <w:tcW w:w="853"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3428.48 </w:t>
            </w:r>
          </w:p>
        </w:tc>
        <w:tc>
          <w:tcPr>
            <w:tcW w:w="815"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3497.05 </w:t>
            </w:r>
          </w:p>
        </w:tc>
        <w:tc>
          <w:tcPr>
            <w:tcW w:w="851"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3567.00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3638.34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3711.10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3785.32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3861.03 </w:t>
            </w:r>
          </w:p>
        </w:tc>
        <w:tc>
          <w:tcPr>
            <w:tcW w:w="776"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3938.25 </w:t>
            </w:r>
          </w:p>
        </w:tc>
        <w:tc>
          <w:tcPr>
            <w:tcW w:w="84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4017.02 </w:t>
            </w:r>
          </w:p>
        </w:tc>
      </w:tr>
      <w:tr w:rsidR="00896868">
        <w:trPr>
          <w:trHeight w:val="285"/>
        </w:trPr>
        <w:tc>
          <w:tcPr>
            <w:tcW w:w="595" w:type="dxa"/>
            <w:tcBorders>
              <w:left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②</w:t>
            </w:r>
            <w:r>
              <w:rPr>
                <w:sz w:val="20"/>
              </w:rPr>
              <w:t>药品费</w:t>
            </w:r>
          </w:p>
        </w:tc>
        <w:tc>
          <w:tcPr>
            <w:tcW w:w="86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95657.67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7132.20 </w:t>
            </w:r>
          </w:p>
        </w:tc>
        <w:tc>
          <w:tcPr>
            <w:tcW w:w="85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7274.84 </w:t>
            </w:r>
          </w:p>
        </w:tc>
        <w:tc>
          <w:tcPr>
            <w:tcW w:w="844"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7420.34 </w:t>
            </w:r>
          </w:p>
        </w:tc>
        <w:tc>
          <w:tcPr>
            <w:tcW w:w="853"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7568.74 </w:t>
            </w:r>
          </w:p>
        </w:tc>
        <w:tc>
          <w:tcPr>
            <w:tcW w:w="815"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7720.12 </w:t>
            </w:r>
          </w:p>
        </w:tc>
        <w:tc>
          <w:tcPr>
            <w:tcW w:w="851"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7874.52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8032.01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8192.65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8356.51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8523.64 </w:t>
            </w:r>
          </w:p>
        </w:tc>
        <w:tc>
          <w:tcPr>
            <w:tcW w:w="776"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8694.11 </w:t>
            </w:r>
          </w:p>
        </w:tc>
        <w:tc>
          <w:tcPr>
            <w:tcW w:w="84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8867.99 </w:t>
            </w:r>
          </w:p>
        </w:tc>
      </w:tr>
      <w:tr w:rsidR="00896868">
        <w:trPr>
          <w:trHeight w:val="285"/>
        </w:trPr>
        <w:tc>
          <w:tcPr>
            <w:tcW w:w="595" w:type="dxa"/>
            <w:tcBorders>
              <w:left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③</w:t>
            </w:r>
            <w:r>
              <w:rPr>
                <w:sz w:val="20"/>
              </w:rPr>
              <w:t>提取医疗风险基金</w:t>
            </w:r>
          </w:p>
        </w:tc>
        <w:tc>
          <w:tcPr>
            <w:tcW w:w="86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150297.05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11206.09 </w:t>
            </w:r>
          </w:p>
        </w:tc>
        <w:tc>
          <w:tcPr>
            <w:tcW w:w="85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11430.21 </w:t>
            </w:r>
          </w:p>
        </w:tc>
        <w:tc>
          <w:tcPr>
            <w:tcW w:w="844"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11658.81 </w:t>
            </w:r>
          </w:p>
        </w:tc>
        <w:tc>
          <w:tcPr>
            <w:tcW w:w="853"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11891.99 </w:t>
            </w:r>
          </w:p>
        </w:tc>
        <w:tc>
          <w:tcPr>
            <w:tcW w:w="815"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12129.83 </w:t>
            </w:r>
          </w:p>
        </w:tc>
        <w:tc>
          <w:tcPr>
            <w:tcW w:w="851"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12372.43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12619.87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12872.27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13129.72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13392.31 </w:t>
            </w:r>
          </w:p>
        </w:tc>
        <w:tc>
          <w:tcPr>
            <w:tcW w:w="776"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13660.16 </w:t>
            </w:r>
          </w:p>
        </w:tc>
        <w:tc>
          <w:tcPr>
            <w:tcW w:w="84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13933.36 </w:t>
            </w:r>
          </w:p>
        </w:tc>
      </w:tr>
      <w:tr w:rsidR="00896868">
        <w:trPr>
          <w:trHeight w:val="285"/>
        </w:trPr>
        <w:tc>
          <w:tcPr>
            <w:tcW w:w="595" w:type="dxa"/>
            <w:tcBorders>
              <w:left w:val="single" w:sz="12" w:space="0" w:color="000000"/>
              <w:bottom w:val="single" w:sz="12" w:space="0" w:color="000000"/>
              <w:right w:val="single" w:sz="12" w:space="0" w:color="000000"/>
            </w:tcBorders>
            <w:vAlign w:val="center"/>
          </w:tcPr>
          <w:p w:rsidR="00896868" w:rsidRDefault="00294302">
            <w:pPr>
              <w:ind w:firstLine="400"/>
              <w:rPr>
                <w:sz w:val="20"/>
              </w:rPr>
            </w:pPr>
            <w:r>
              <w:rPr>
                <w:rFonts w:hint="eastAsia"/>
                <w:sz w:val="20"/>
              </w:rPr>
              <w:t>④</w:t>
            </w:r>
            <w:r>
              <w:rPr>
                <w:sz w:val="20"/>
              </w:rPr>
              <w:t>工资</w:t>
            </w:r>
            <w:r>
              <w:rPr>
                <w:sz w:val="20"/>
              </w:rPr>
              <w:lastRenderedPageBreak/>
              <w:t>及福利费</w:t>
            </w:r>
          </w:p>
        </w:tc>
        <w:tc>
          <w:tcPr>
            <w:tcW w:w="86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lastRenderedPageBreak/>
              <w:t xml:space="preserve">819.04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61.07 </w:t>
            </w:r>
          </w:p>
        </w:tc>
        <w:tc>
          <w:tcPr>
            <w:tcW w:w="85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62.29 </w:t>
            </w:r>
          </w:p>
        </w:tc>
        <w:tc>
          <w:tcPr>
            <w:tcW w:w="844"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63.53 </w:t>
            </w:r>
          </w:p>
        </w:tc>
        <w:tc>
          <w:tcPr>
            <w:tcW w:w="853"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64.81 </w:t>
            </w:r>
          </w:p>
        </w:tc>
        <w:tc>
          <w:tcPr>
            <w:tcW w:w="815"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66.10 </w:t>
            </w:r>
          </w:p>
        </w:tc>
        <w:tc>
          <w:tcPr>
            <w:tcW w:w="851"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67.42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68.77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70.15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71.55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72.98 </w:t>
            </w:r>
          </w:p>
        </w:tc>
        <w:tc>
          <w:tcPr>
            <w:tcW w:w="776"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74.44 </w:t>
            </w:r>
          </w:p>
        </w:tc>
        <w:tc>
          <w:tcPr>
            <w:tcW w:w="84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75.93 </w:t>
            </w:r>
          </w:p>
        </w:tc>
      </w:tr>
      <w:tr w:rsidR="00896868">
        <w:trPr>
          <w:trHeight w:val="285"/>
        </w:trPr>
        <w:tc>
          <w:tcPr>
            <w:tcW w:w="595" w:type="dxa"/>
            <w:tcBorders>
              <w:left w:val="single" w:sz="12" w:space="0" w:color="000000"/>
              <w:bottom w:val="single" w:sz="12" w:space="0" w:color="000000"/>
              <w:right w:val="single" w:sz="12" w:space="0" w:color="000000"/>
            </w:tcBorders>
            <w:vAlign w:val="center"/>
          </w:tcPr>
          <w:p w:rsidR="00896868" w:rsidRDefault="00294302">
            <w:pPr>
              <w:ind w:firstLine="400"/>
              <w:rPr>
                <w:sz w:val="20"/>
              </w:rPr>
            </w:pPr>
            <w:r>
              <w:rPr>
                <w:rFonts w:hint="eastAsia"/>
                <w:sz w:val="20"/>
              </w:rPr>
              <w:lastRenderedPageBreak/>
              <w:t>⑤</w:t>
            </w:r>
            <w:r>
              <w:rPr>
                <w:sz w:val="20"/>
              </w:rPr>
              <w:t>管理费用</w:t>
            </w:r>
          </w:p>
        </w:tc>
        <w:tc>
          <w:tcPr>
            <w:tcW w:w="86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43357.35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3232.71 </w:t>
            </w:r>
          </w:p>
        </w:tc>
        <w:tc>
          <w:tcPr>
            <w:tcW w:w="85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3297.36 </w:t>
            </w:r>
          </w:p>
        </w:tc>
        <w:tc>
          <w:tcPr>
            <w:tcW w:w="844"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3363.31 </w:t>
            </w:r>
          </w:p>
        </w:tc>
        <w:tc>
          <w:tcPr>
            <w:tcW w:w="853"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3430.57 </w:t>
            </w:r>
          </w:p>
        </w:tc>
        <w:tc>
          <w:tcPr>
            <w:tcW w:w="815"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3499.19 </w:t>
            </w:r>
          </w:p>
        </w:tc>
        <w:tc>
          <w:tcPr>
            <w:tcW w:w="851"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3569.17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3640.55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3713.36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3787.63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3863.38 </w:t>
            </w:r>
          </w:p>
        </w:tc>
        <w:tc>
          <w:tcPr>
            <w:tcW w:w="776"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3940.65 </w:t>
            </w:r>
          </w:p>
        </w:tc>
        <w:tc>
          <w:tcPr>
            <w:tcW w:w="84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4019.46 </w:t>
            </w:r>
          </w:p>
        </w:tc>
      </w:tr>
      <w:tr w:rsidR="00896868">
        <w:trPr>
          <w:trHeight w:val="285"/>
        </w:trPr>
        <w:tc>
          <w:tcPr>
            <w:tcW w:w="595" w:type="dxa"/>
            <w:tcBorders>
              <w:left w:val="single" w:sz="12" w:space="0" w:color="000000"/>
              <w:bottom w:val="single" w:sz="12" w:space="0" w:color="000000"/>
              <w:right w:val="single" w:sz="12" w:space="0" w:color="000000"/>
            </w:tcBorders>
            <w:vAlign w:val="center"/>
          </w:tcPr>
          <w:p w:rsidR="00896868" w:rsidRDefault="00294302">
            <w:pPr>
              <w:ind w:firstLine="400"/>
              <w:rPr>
                <w:sz w:val="20"/>
              </w:rPr>
            </w:pPr>
            <w:r>
              <w:rPr>
                <w:rFonts w:hint="eastAsia"/>
                <w:sz w:val="20"/>
              </w:rPr>
              <w:t>⑥</w:t>
            </w:r>
            <w:r>
              <w:rPr>
                <w:sz w:val="20"/>
              </w:rPr>
              <w:t>其他费用</w:t>
            </w:r>
          </w:p>
        </w:tc>
        <w:tc>
          <w:tcPr>
            <w:tcW w:w="86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11297.35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842.33 </w:t>
            </w:r>
          </w:p>
        </w:tc>
        <w:tc>
          <w:tcPr>
            <w:tcW w:w="85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859.17 </w:t>
            </w:r>
          </w:p>
        </w:tc>
        <w:tc>
          <w:tcPr>
            <w:tcW w:w="844"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876.36 </w:t>
            </w:r>
          </w:p>
        </w:tc>
        <w:tc>
          <w:tcPr>
            <w:tcW w:w="853"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893.88 </w:t>
            </w:r>
          </w:p>
        </w:tc>
        <w:tc>
          <w:tcPr>
            <w:tcW w:w="815"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911.76 </w:t>
            </w:r>
          </w:p>
        </w:tc>
        <w:tc>
          <w:tcPr>
            <w:tcW w:w="851"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930.00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948.60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967.57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986.92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1006.66 </w:t>
            </w:r>
          </w:p>
        </w:tc>
        <w:tc>
          <w:tcPr>
            <w:tcW w:w="776"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1026.79 </w:t>
            </w:r>
          </w:p>
        </w:tc>
        <w:tc>
          <w:tcPr>
            <w:tcW w:w="84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1047.33 </w:t>
            </w:r>
          </w:p>
        </w:tc>
      </w:tr>
      <w:tr w:rsidR="00896868">
        <w:trPr>
          <w:trHeight w:val="285"/>
        </w:trPr>
        <w:tc>
          <w:tcPr>
            <w:tcW w:w="595" w:type="dxa"/>
            <w:tcBorders>
              <w:left w:val="single" w:sz="12" w:space="0" w:color="000000"/>
              <w:bottom w:val="single" w:sz="12" w:space="0" w:color="000000"/>
              <w:right w:val="single" w:sz="12" w:space="0" w:color="000000"/>
            </w:tcBorders>
            <w:vAlign w:val="center"/>
          </w:tcPr>
          <w:p w:rsidR="00896868" w:rsidRDefault="00294302">
            <w:pPr>
              <w:ind w:firstLine="400"/>
              <w:rPr>
                <w:sz w:val="20"/>
              </w:rPr>
            </w:pPr>
            <w:r>
              <w:rPr>
                <w:sz w:val="20"/>
              </w:rPr>
              <w:t>成本费用总计</w:t>
            </w:r>
          </w:p>
        </w:tc>
        <w:tc>
          <w:tcPr>
            <w:tcW w:w="86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344759.40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25705.12 </w:t>
            </w:r>
          </w:p>
        </w:tc>
        <w:tc>
          <w:tcPr>
            <w:tcW w:w="85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26219.22 </w:t>
            </w:r>
          </w:p>
        </w:tc>
        <w:tc>
          <w:tcPr>
            <w:tcW w:w="844"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26743.61 </w:t>
            </w:r>
          </w:p>
        </w:tc>
        <w:tc>
          <w:tcPr>
            <w:tcW w:w="853"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27278.48 </w:t>
            </w:r>
          </w:p>
        </w:tc>
        <w:tc>
          <w:tcPr>
            <w:tcW w:w="815"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27824.05 </w:t>
            </w:r>
          </w:p>
        </w:tc>
        <w:tc>
          <w:tcPr>
            <w:tcW w:w="851"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28380.53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28948.14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29527.11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30117.65 </w:t>
            </w:r>
          </w:p>
        </w:tc>
        <w:tc>
          <w:tcPr>
            <w:tcW w:w="78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30720.00 </w:t>
            </w:r>
          </w:p>
        </w:tc>
        <w:tc>
          <w:tcPr>
            <w:tcW w:w="776"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31334.40 </w:t>
            </w:r>
          </w:p>
        </w:tc>
        <w:tc>
          <w:tcPr>
            <w:tcW w:w="842" w:type="dxa"/>
            <w:tcBorders>
              <w:bottom w:val="single" w:sz="12" w:space="0" w:color="000000"/>
              <w:right w:val="single" w:sz="12" w:space="0" w:color="000000"/>
            </w:tcBorders>
            <w:vAlign w:val="center"/>
          </w:tcPr>
          <w:p w:rsidR="00896868" w:rsidRDefault="00294302">
            <w:pPr>
              <w:ind w:firstLine="400"/>
              <w:rPr>
                <w:sz w:val="20"/>
              </w:rPr>
            </w:pPr>
            <w:r>
              <w:rPr>
                <w:rFonts w:hint="eastAsia"/>
                <w:sz w:val="20"/>
              </w:rPr>
              <w:t xml:space="preserve">31961.09 </w:t>
            </w:r>
          </w:p>
        </w:tc>
      </w:tr>
    </w:tbl>
    <w:p w:rsidR="00896868" w:rsidRDefault="00896868">
      <w:pPr>
        <w:ind w:firstLine="640"/>
        <w:sectPr w:rsidR="00896868">
          <w:footerReference w:type="default" r:id="rId12"/>
          <w:pgSz w:w="13788" w:h="16838"/>
          <w:pgMar w:top="1440" w:right="1080" w:bottom="1440" w:left="1080" w:header="851" w:footer="992" w:gutter="0"/>
          <w:pgNumType w:fmt="numberInDash"/>
          <w:cols w:space="720"/>
          <w:docGrid w:type="lines" w:linePitch="312"/>
        </w:sectPr>
      </w:pPr>
    </w:p>
    <w:p w:rsidR="00896868" w:rsidRDefault="00294302">
      <w:pPr>
        <w:ind w:firstLine="632"/>
      </w:pPr>
      <w:bookmarkStart w:id="4" w:name="_4.项目可偿债收益"/>
      <w:bookmarkStart w:id="5" w:name="_3.相关税费及其他费用"/>
      <w:bookmarkEnd w:id="4"/>
      <w:bookmarkEnd w:id="5"/>
      <w:r>
        <w:rPr>
          <w:rFonts w:hint="eastAsia"/>
        </w:rPr>
        <w:lastRenderedPageBreak/>
        <w:t>3.</w:t>
      </w:r>
      <w:r>
        <w:rPr>
          <w:rFonts w:hint="eastAsia"/>
        </w:rPr>
        <w:t>项目可偿债收益</w:t>
      </w:r>
    </w:p>
    <w:p w:rsidR="00896868" w:rsidRDefault="00294302">
      <w:pPr>
        <w:ind w:firstLine="632"/>
      </w:pPr>
      <w:r>
        <w:rPr>
          <w:rFonts w:hint="eastAsia"/>
        </w:rPr>
        <w:t>鉴于专项债券存续期小于市场化融资期限，故测算期为</w:t>
      </w:r>
      <w:r>
        <w:rPr>
          <w:rFonts w:hint="eastAsia"/>
        </w:rPr>
        <w:t>2020</w:t>
      </w:r>
      <w:r>
        <w:rPr>
          <w:rFonts w:hint="eastAsia"/>
        </w:rPr>
        <w:t>年</w:t>
      </w:r>
      <w:r>
        <w:rPr>
          <w:rFonts w:hint="eastAsia"/>
        </w:rPr>
        <w:t>-2025</w:t>
      </w:r>
      <w:r>
        <w:rPr>
          <w:rFonts w:hint="eastAsia"/>
        </w:rPr>
        <w:t>年，其中</w:t>
      </w:r>
      <w:r>
        <w:rPr>
          <w:rFonts w:hint="eastAsia"/>
        </w:rPr>
        <w:t>2025</w:t>
      </w:r>
      <w:r>
        <w:rPr>
          <w:rFonts w:hint="eastAsia"/>
        </w:rPr>
        <w:t>年上半年到期还本付息，故</w:t>
      </w:r>
      <w:r>
        <w:rPr>
          <w:rFonts w:hint="eastAsia"/>
        </w:rPr>
        <w:t>2025</w:t>
      </w:r>
      <w:r>
        <w:rPr>
          <w:rFonts w:hint="eastAsia"/>
        </w:rPr>
        <w:t>年可偿债收益取值</w:t>
      </w:r>
      <w:r>
        <w:rPr>
          <w:rFonts w:hint="eastAsia"/>
        </w:rPr>
        <w:t>50%</w:t>
      </w:r>
      <w:r>
        <w:rPr>
          <w:rFonts w:hint="eastAsia"/>
        </w:rPr>
        <w:t>进行计算，即</w:t>
      </w:r>
      <w:r>
        <w:rPr>
          <w:rFonts w:hint="eastAsia"/>
        </w:rPr>
        <w:t>2020</w:t>
      </w:r>
      <w:r>
        <w:rPr>
          <w:rFonts w:hint="eastAsia"/>
        </w:rPr>
        <w:t>年至</w:t>
      </w:r>
      <w:r>
        <w:rPr>
          <w:rFonts w:hint="eastAsia"/>
        </w:rPr>
        <w:t>2024</w:t>
      </w:r>
      <w:r>
        <w:rPr>
          <w:rFonts w:hint="eastAsia"/>
        </w:rPr>
        <w:t>年可偿债收益为</w:t>
      </w:r>
      <w:r>
        <w:rPr>
          <w:rFonts w:hint="eastAsia"/>
        </w:rPr>
        <w:t>9350</w:t>
      </w:r>
      <w:r>
        <w:rPr>
          <w:rFonts w:hint="eastAsia"/>
        </w:rPr>
        <w:t>万元</w:t>
      </w:r>
      <w:r>
        <w:rPr>
          <w:rFonts w:hint="eastAsia"/>
        </w:rPr>
        <w:t>,2025</w:t>
      </w:r>
      <w:r>
        <w:rPr>
          <w:rFonts w:hint="eastAsia"/>
        </w:rPr>
        <w:t>年可偿债收益为</w:t>
      </w:r>
      <w:r>
        <w:rPr>
          <w:rFonts w:hint="eastAsia"/>
        </w:rPr>
        <w:t>4338/2=2169</w:t>
      </w:r>
      <w:r>
        <w:rPr>
          <w:rFonts w:hint="eastAsia"/>
        </w:rPr>
        <w:t>万元。</w:t>
      </w:r>
    </w:p>
    <w:p w:rsidR="00896868" w:rsidRDefault="00294302">
      <w:pPr>
        <w:ind w:firstLine="632"/>
      </w:pPr>
      <w:r>
        <w:rPr>
          <w:rFonts w:hint="eastAsia"/>
        </w:rPr>
        <w:t>2020</w:t>
      </w:r>
      <w:r>
        <w:rPr>
          <w:rFonts w:hint="eastAsia"/>
        </w:rPr>
        <w:t>年</w:t>
      </w:r>
      <w:r>
        <w:rPr>
          <w:rFonts w:hint="eastAsia"/>
        </w:rPr>
        <w:t>-2031</w:t>
      </w:r>
      <w:r>
        <w:rPr>
          <w:rFonts w:hint="eastAsia"/>
        </w:rPr>
        <w:t>年项目可偿债收益表</w:t>
      </w:r>
      <w:r>
        <w:rPr>
          <w:rFonts w:hint="eastAsia"/>
        </w:rPr>
        <w:t xml:space="preserve">  </w:t>
      </w:r>
      <w:r>
        <w:rPr>
          <w:rFonts w:hint="eastAsia"/>
        </w:rPr>
        <w:t>单位：万元</w:t>
      </w:r>
    </w:p>
    <w:p w:rsidR="00896868" w:rsidRDefault="00896868">
      <w:pPr>
        <w:ind w:firstLine="632"/>
      </w:pPr>
    </w:p>
    <w:tbl>
      <w:tblPr>
        <w:tblpPr w:leftFromText="180" w:rightFromText="180" w:vertAnchor="text" w:horzAnchor="page" w:tblpX="887" w:tblpY="599"/>
        <w:tblOverlap w:val="never"/>
        <w:tblW w:w="10674" w:type="dxa"/>
        <w:tblLayout w:type="fixed"/>
        <w:tblCellMar>
          <w:top w:w="15" w:type="dxa"/>
          <w:left w:w="15" w:type="dxa"/>
          <w:bottom w:w="15" w:type="dxa"/>
          <w:right w:w="15" w:type="dxa"/>
        </w:tblCellMar>
        <w:tblLook w:val="04A0" w:firstRow="1" w:lastRow="0" w:firstColumn="1" w:lastColumn="0" w:noHBand="0" w:noVBand="1"/>
      </w:tblPr>
      <w:tblGrid>
        <w:gridCol w:w="470"/>
        <w:gridCol w:w="880"/>
        <w:gridCol w:w="785"/>
        <w:gridCol w:w="805"/>
        <w:gridCol w:w="821"/>
        <w:gridCol w:w="804"/>
        <w:gridCol w:w="746"/>
        <w:gridCol w:w="821"/>
        <w:gridCol w:w="799"/>
        <w:gridCol w:w="747"/>
        <w:gridCol w:w="752"/>
        <w:gridCol w:w="746"/>
        <w:gridCol w:w="752"/>
        <w:gridCol w:w="746"/>
      </w:tblGrid>
      <w:tr w:rsidR="00896868">
        <w:trPr>
          <w:trHeight w:val="701"/>
        </w:trPr>
        <w:tc>
          <w:tcPr>
            <w:tcW w:w="4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w:t>
            </w:r>
            <w:r>
              <w:rPr>
                <w:sz w:val="20"/>
              </w:rPr>
              <w:t>项</w:t>
            </w:r>
            <w:r>
              <w:rPr>
                <w:sz w:val="20"/>
              </w:rPr>
              <w:t xml:space="preserve">   </w:t>
            </w:r>
            <w:r>
              <w:rPr>
                <w:sz w:val="20"/>
              </w:rPr>
              <w:t>目</w:t>
            </w:r>
          </w:p>
        </w:tc>
        <w:tc>
          <w:tcPr>
            <w:tcW w:w="88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w:t>
            </w:r>
            <w:r>
              <w:rPr>
                <w:sz w:val="20"/>
              </w:rPr>
              <w:t>总</w:t>
            </w:r>
            <w:r>
              <w:rPr>
                <w:sz w:val="20"/>
              </w:rPr>
              <w:t xml:space="preserve"> </w:t>
            </w:r>
            <w:r>
              <w:rPr>
                <w:sz w:val="20"/>
              </w:rPr>
              <w:t>计</w:t>
            </w:r>
          </w:p>
        </w:tc>
        <w:tc>
          <w:tcPr>
            <w:tcW w:w="78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2020</w:t>
            </w:r>
            <w:r>
              <w:rPr>
                <w:sz w:val="20"/>
              </w:rPr>
              <w:t>年</w:t>
            </w:r>
          </w:p>
        </w:tc>
        <w:tc>
          <w:tcPr>
            <w:tcW w:w="80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2021</w:t>
            </w:r>
            <w:r>
              <w:rPr>
                <w:sz w:val="20"/>
              </w:rPr>
              <w:t>年</w:t>
            </w: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2022</w:t>
            </w:r>
            <w:r>
              <w:rPr>
                <w:sz w:val="20"/>
              </w:rPr>
              <w:t>年</w:t>
            </w:r>
          </w:p>
        </w:tc>
        <w:tc>
          <w:tcPr>
            <w:tcW w:w="80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2023</w:t>
            </w:r>
            <w:r>
              <w:rPr>
                <w:sz w:val="20"/>
              </w:rPr>
              <w:t>年</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2024</w:t>
            </w:r>
            <w:r>
              <w:rPr>
                <w:sz w:val="20"/>
              </w:rPr>
              <w:t>年</w:t>
            </w: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2025</w:t>
            </w:r>
            <w:r>
              <w:rPr>
                <w:sz w:val="20"/>
              </w:rPr>
              <w:t>年</w:t>
            </w:r>
          </w:p>
        </w:tc>
        <w:tc>
          <w:tcPr>
            <w:tcW w:w="79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2026</w:t>
            </w:r>
            <w:r>
              <w:rPr>
                <w:sz w:val="20"/>
              </w:rPr>
              <w:t>年</w:t>
            </w:r>
          </w:p>
        </w:tc>
        <w:tc>
          <w:tcPr>
            <w:tcW w:w="747"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2027</w:t>
            </w:r>
            <w:r>
              <w:rPr>
                <w:sz w:val="20"/>
              </w:rPr>
              <w:t>年</w:t>
            </w: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2028</w:t>
            </w:r>
            <w:r>
              <w:rPr>
                <w:sz w:val="20"/>
              </w:rPr>
              <w:t>年</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2029</w:t>
            </w:r>
            <w:r>
              <w:rPr>
                <w:sz w:val="20"/>
              </w:rPr>
              <w:t>年</w:t>
            </w: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2030</w:t>
            </w:r>
            <w:r>
              <w:rPr>
                <w:sz w:val="20"/>
              </w:rPr>
              <w:t>年</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2031</w:t>
            </w:r>
            <w:r>
              <w:rPr>
                <w:sz w:val="20"/>
              </w:rPr>
              <w:t>年</w:t>
            </w:r>
          </w:p>
        </w:tc>
      </w:tr>
      <w:tr w:rsidR="00896868">
        <w:trPr>
          <w:trHeight w:val="701"/>
        </w:trPr>
        <w:tc>
          <w:tcPr>
            <w:tcW w:w="4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w:t>
            </w:r>
            <w:r>
              <w:rPr>
                <w:sz w:val="20"/>
              </w:rPr>
              <w:t>项目收入</w:t>
            </w:r>
          </w:p>
        </w:tc>
        <w:tc>
          <w:tcPr>
            <w:tcW w:w="88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376,235.01</w:t>
            </w:r>
          </w:p>
        </w:tc>
        <w:tc>
          <w:tcPr>
            <w:tcW w:w="78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26,336.08</w:t>
            </w:r>
          </w:p>
        </w:tc>
        <w:tc>
          <w:tcPr>
            <w:tcW w:w="80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27,804.32</w:t>
            </w: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29,354.41</w:t>
            </w:r>
          </w:p>
        </w:tc>
        <w:tc>
          <w:tcPr>
            <w:tcW w:w="80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30,990.92</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32,718.66</w:t>
            </w: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32,718.66</w:t>
            </w:r>
          </w:p>
        </w:tc>
        <w:tc>
          <w:tcPr>
            <w:tcW w:w="79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32,718.66</w:t>
            </w:r>
          </w:p>
        </w:tc>
        <w:tc>
          <w:tcPr>
            <w:tcW w:w="747"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32,718.66</w:t>
            </w: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32,718.66</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32,718.66</w:t>
            </w: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32,718.66</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32,718.66</w:t>
            </w:r>
          </w:p>
        </w:tc>
      </w:tr>
      <w:tr w:rsidR="00896868">
        <w:trPr>
          <w:trHeight w:val="1011"/>
        </w:trPr>
        <w:tc>
          <w:tcPr>
            <w:tcW w:w="4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lastRenderedPageBreak/>
              <w:t>项目运营成本</w:t>
            </w:r>
          </w:p>
        </w:tc>
        <w:tc>
          <w:tcPr>
            <w:tcW w:w="88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344,759.40</w:t>
            </w:r>
          </w:p>
        </w:tc>
        <w:tc>
          <w:tcPr>
            <w:tcW w:w="78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25,705.12</w:t>
            </w:r>
          </w:p>
        </w:tc>
        <w:tc>
          <w:tcPr>
            <w:tcW w:w="80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26,219.22</w:t>
            </w: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26,743.61</w:t>
            </w:r>
          </w:p>
        </w:tc>
        <w:tc>
          <w:tcPr>
            <w:tcW w:w="80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27,278.48</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27,824.05</w:t>
            </w: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28,380.53</w:t>
            </w:r>
          </w:p>
        </w:tc>
        <w:tc>
          <w:tcPr>
            <w:tcW w:w="79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28,948.14</w:t>
            </w:r>
          </w:p>
        </w:tc>
        <w:tc>
          <w:tcPr>
            <w:tcW w:w="747"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29,527.11</w:t>
            </w: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30,117.65</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30,720.00</w:t>
            </w: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31,334.40</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31,961.09</w:t>
            </w:r>
          </w:p>
        </w:tc>
      </w:tr>
      <w:tr w:rsidR="00896868">
        <w:trPr>
          <w:trHeight w:val="1011"/>
        </w:trPr>
        <w:tc>
          <w:tcPr>
            <w:tcW w:w="4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项目净收入</w:t>
            </w:r>
          </w:p>
        </w:tc>
        <w:tc>
          <w:tcPr>
            <w:tcW w:w="88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31,475.60 </w:t>
            </w:r>
          </w:p>
        </w:tc>
        <w:tc>
          <w:tcPr>
            <w:tcW w:w="78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630.96 </w:t>
            </w:r>
          </w:p>
        </w:tc>
        <w:tc>
          <w:tcPr>
            <w:tcW w:w="80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1,585.09 </w:t>
            </w: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2,610.80 </w:t>
            </w:r>
          </w:p>
        </w:tc>
        <w:tc>
          <w:tcPr>
            <w:tcW w:w="80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3,712.44 </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4,894.61 </w:t>
            </w: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4,338.13 </w:t>
            </w:r>
          </w:p>
        </w:tc>
        <w:tc>
          <w:tcPr>
            <w:tcW w:w="79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3,770.52 </w:t>
            </w:r>
          </w:p>
        </w:tc>
        <w:tc>
          <w:tcPr>
            <w:tcW w:w="747"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3,191.56 </w:t>
            </w: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2,601.01 </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1,998.66 </w:t>
            </w: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1,384.26 </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757.57 </w:t>
            </w:r>
          </w:p>
        </w:tc>
      </w:tr>
      <w:tr w:rsidR="00896868">
        <w:trPr>
          <w:trHeight w:val="1631"/>
        </w:trPr>
        <w:tc>
          <w:tcPr>
            <w:tcW w:w="4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其中：项目资本金占用</w:t>
            </w:r>
          </w:p>
        </w:tc>
        <w:tc>
          <w:tcPr>
            <w:tcW w:w="88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4,084.00 </w:t>
            </w:r>
          </w:p>
        </w:tc>
        <w:tc>
          <w:tcPr>
            <w:tcW w:w="78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500.00 </w:t>
            </w:r>
          </w:p>
        </w:tc>
        <w:tc>
          <w:tcPr>
            <w:tcW w:w="80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1,500.00 </w:t>
            </w: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t xml:space="preserve"> 2,084.00 </w:t>
            </w:r>
          </w:p>
        </w:tc>
        <w:tc>
          <w:tcPr>
            <w:tcW w:w="804"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392"/>
              <w:rPr>
                <w:sz w:val="20"/>
              </w:rPr>
            </w:pP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392"/>
              <w:rPr>
                <w:sz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392"/>
              <w:rPr>
                <w:sz w:val="20"/>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392"/>
              <w:rPr>
                <w:sz w:val="20"/>
              </w:rPr>
            </w:pPr>
          </w:p>
        </w:tc>
        <w:tc>
          <w:tcPr>
            <w:tcW w:w="747"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392"/>
              <w:rPr>
                <w:sz w:val="20"/>
              </w:rPr>
            </w:pP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392"/>
              <w:rPr>
                <w:sz w:val="20"/>
              </w:rPr>
            </w:pP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392"/>
              <w:rPr>
                <w:sz w:val="20"/>
              </w:rPr>
            </w:pP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392"/>
              <w:rPr>
                <w:sz w:val="20"/>
              </w:rPr>
            </w:pP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896868">
            <w:pPr>
              <w:ind w:firstLine="392"/>
              <w:rPr>
                <w:sz w:val="20"/>
              </w:rPr>
            </w:pPr>
          </w:p>
        </w:tc>
      </w:tr>
      <w:tr w:rsidR="00896868">
        <w:trPr>
          <w:trHeight w:val="1341"/>
        </w:trPr>
        <w:tc>
          <w:tcPr>
            <w:tcW w:w="47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sz w:val="20"/>
              </w:rPr>
              <w:lastRenderedPageBreak/>
              <w:t>项目可偿债收益</w:t>
            </w:r>
          </w:p>
        </w:tc>
        <w:tc>
          <w:tcPr>
            <w:tcW w:w="880"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27,391.60 </w:t>
            </w:r>
          </w:p>
        </w:tc>
        <w:tc>
          <w:tcPr>
            <w:tcW w:w="78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130.96 </w:t>
            </w:r>
          </w:p>
        </w:tc>
        <w:tc>
          <w:tcPr>
            <w:tcW w:w="805"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85.09 </w:t>
            </w: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526.80 </w:t>
            </w:r>
          </w:p>
        </w:tc>
        <w:tc>
          <w:tcPr>
            <w:tcW w:w="804"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3,712.44 </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4,894.61 </w:t>
            </w:r>
          </w:p>
        </w:tc>
        <w:tc>
          <w:tcPr>
            <w:tcW w:w="821"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4,338.13 </w:t>
            </w:r>
          </w:p>
        </w:tc>
        <w:tc>
          <w:tcPr>
            <w:tcW w:w="799"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3,770.52 </w:t>
            </w:r>
          </w:p>
        </w:tc>
        <w:tc>
          <w:tcPr>
            <w:tcW w:w="747"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3,191.56 </w:t>
            </w: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2,601.01 </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1,998.66 </w:t>
            </w:r>
          </w:p>
        </w:tc>
        <w:tc>
          <w:tcPr>
            <w:tcW w:w="752"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1,384.26 </w:t>
            </w:r>
          </w:p>
        </w:tc>
        <w:tc>
          <w:tcPr>
            <w:tcW w:w="746" w:type="dxa"/>
            <w:tcBorders>
              <w:top w:val="single" w:sz="4" w:space="0" w:color="000000"/>
              <w:left w:val="single" w:sz="4" w:space="0" w:color="000000"/>
              <w:bottom w:val="single" w:sz="4" w:space="0" w:color="000000"/>
              <w:right w:val="single" w:sz="4" w:space="0" w:color="000000"/>
            </w:tcBorders>
            <w:vAlign w:val="center"/>
          </w:tcPr>
          <w:p w:rsidR="00896868" w:rsidRDefault="00294302">
            <w:pPr>
              <w:ind w:firstLine="392"/>
              <w:rPr>
                <w:sz w:val="20"/>
              </w:rPr>
            </w:pPr>
            <w:r>
              <w:rPr>
                <w:rFonts w:hint="eastAsia"/>
                <w:sz w:val="20"/>
              </w:rPr>
              <w:t xml:space="preserve"> 757.57 </w:t>
            </w:r>
          </w:p>
        </w:tc>
      </w:tr>
    </w:tbl>
    <w:p w:rsidR="00896868" w:rsidRDefault="00896868">
      <w:pPr>
        <w:ind w:firstLine="632"/>
      </w:pPr>
    </w:p>
    <w:p w:rsidR="00896868" w:rsidRDefault="00294302">
      <w:pPr>
        <w:pStyle w:val="4"/>
        <w:ind w:firstLine="634"/>
      </w:pPr>
      <w:r>
        <w:rPr>
          <w:rFonts w:hint="eastAsia"/>
        </w:rPr>
        <w:t>五、主要经验及做法、存在的问题和建议</w:t>
      </w:r>
    </w:p>
    <w:p w:rsidR="00896868" w:rsidRDefault="00294302">
      <w:pPr>
        <w:pStyle w:val="5"/>
        <w:ind w:firstLine="632"/>
      </w:pPr>
      <w:r>
        <w:rPr>
          <w:rFonts w:hint="eastAsia"/>
        </w:rPr>
        <w:t>（一）主要经验及做法；</w:t>
      </w:r>
    </w:p>
    <w:p w:rsidR="00896868" w:rsidRDefault="00294302">
      <w:pPr>
        <w:ind w:firstLine="632"/>
      </w:pPr>
      <w:r>
        <w:rPr>
          <w:rFonts w:hint="eastAsia"/>
        </w:rPr>
        <w:t>（</w:t>
      </w:r>
      <w:r>
        <w:rPr>
          <w:rFonts w:hint="eastAsia"/>
        </w:rPr>
        <w:t>1</w:t>
      </w:r>
      <w:r>
        <w:rPr>
          <w:rFonts w:hint="eastAsia"/>
        </w:rPr>
        <w:t>）从基础工作的角度，要加强地方政府专项债券的通识教育与市场化引导</w:t>
      </w:r>
    </w:p>
    <w:p w:rsidR="00896868" w:rsidRDefault="00294302">
      <w:pPr>
        <w:ind w:firstLine="632"/>
      </w:pPr>
      <w:r>
        <w:rPr>
          <w:rFonts w:hint="eastAsia"/>
        </w:rPr>
        <w:t>（</w:t>
      </w:r>
      <w:r>
        <w:rPr>
          <w:rFonts w:hint="eastAsia"/>
        </w:rPr>
        <w:t>2</w:t>
      </w:r>
      <w:r>
        <w:rPr>
          <w:rFonts w:hint="eastAsia"/>
        </w:rPr>
        <w:t>）从财力的角度，要建构能够有规避市场风险的地方偿债保障机制。</w:t>
      </w:r>
    </w:p>
    <w:p w:rsidR="00896868" w:rsidRDefault="00294302">
      <w:pPr>
        <w:pStyle w:val="5"/>
        <w:numPr>
          <w:ilvl w:val="0"/>
          <w:numId w:val="9"/>
        </w:numPr>
        <w:ind w:firstLine="632"/>
      </w:pPr>
      <w:r>
        <w:rPr>
          <w:rFonts w:hint="eastAsia"/>
        </w:rPr>
        <w:t>存在的问题；</w:t>
      </w:r>
    </w:p>
    <w:p w:rsidR="00896868" w:rsidRDefault="00294302">
      <w:pPr>
        <w:ind w:firstLine="632"/>
      </w:pPr>
      <w:r>
        <w:rPr>
          <w:rFonts w:hint="eastAsia"/>
        </w:rPr>
        <w:t>项目收益专项债券条件较为严苛，公益类项目难以满足收支</w:t>
      </w:r>
      <w:r>
        <w:rPr>
          <w:rFonts w:hint="eastAsia"/>
        </w:rPr>
        <w:lastRenderedPageBreak/>
        <w:t>平衡的发债要求。</w:t>
      </w:r>
    </w:p>
    <w:p w:rsidR="00896868" w:rsidRDefault="00294302">
      <w:pPr>
        <w:pStyle w:val="5"/>
        <w:numPr>
          <w:ilvl w:val="0"/>
          <w:numId w:val="9"/>
        </w:numPr>
        <w:ind w:firstLine="632"/>
      </w:pPr>
      <w:r>
        <w:rPr>
          <w:rFonts w:hint="eastAsia"/>
        </w:rPr>
        <w:t>建议和改进措施。</w:t>
      </w:r>
    </w:p>
    <w:p w:rsidR="00896868" w:rsidRDefault="00294302">
      <w:pPr>
        <w:ind w:firstLine="632"/>
      </w:pPr>
      <w:r>
        <w:rPr>
          <w:rFonts w:hint="eastAsia"/>
        </w:rPr>
        <w:t>提高医院运营效率的同时争取财政基本拨款收入达到</w:t>
      </w:r>
      <w:r>
        <w:rPr>
          <w:rFonts w:hint="eastAsia"/>
        </w:rPr>
        <w:t>60%</w:t>
      </w:r>
      <w:r>
        <w:rPr>
          <w:rFonts w:hint="eastAsia"/>
        </w:rPr>
        <w:t>。以此提升项目净收益达到收支平衡。</w:t>
      </w:r>
    </w:p>
    <w:p w:rsidR="00896868" w:rsidRDefault="00896868">
      <w:pPr>
        <w:pStyle w:val="a0"/>
        <w:ind w:leftChars="250" w:left="790" w:firstLine="632"/>
      </w:pPr>
    </w:p>
    <w:p w:rsidR="00896868" w:rsidRDefault="00896868">
      <w:pPr>
        <w:spacing w:line="540" w:lineRule="exact"/>
        <w:ind w:firstLine="632"/>
        <w:rPr>
          <w:rFonts w:eastAsia="黑体"/>
        </w:rPr>
      </w:pPr>
    </w:p>
    <w:p w:rsidR="00896868" w:rsidRDefault="00896868">
      <w:pPr>
        <w:ind w:firstLine="632"/>
      </w:pPr>
    </w:p>
    <w:sectPr w:rsidR="00896868">
      <w:footerReference w:type="even" r:id="rId13"/>
      <w:footerReference w:type="default" r:id="rId14"/>
      <w:pgSz w:w="11907" w:h="16840"/>
      <w:pgMar w:top="2041" w:right="1531" w:bottom="1871" w:left="1531" w:header="851" w:footer="1304" w:gutter="0"/>
      <w:cols w:space="720"/>
      <w:docGrid w:type="linesAndChars" w:linePitch="587"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302" w:rsidRDefault="00294302">
      <w:pPr>
        <w:spacing w:line="240" w:lineRule="auto"/>
        <w:ind w:firstLine="640"/>
      </w:pPr>
      <w:r>
        <w:separator/>
      </w:r>
    </w:p>
  </w:endnote>
  <w:endnote w:type="continuationSeparator" w:id="0">
    <w:p w:rsidR="00294302" w:rsidRDefault="0029430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 w:name="方正小标宋_GBK">
    <w:altName w:val="Arial Unicode MS"/>
    <w:charset w:val="86"/>
    <w:family w:val="script"/>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68" w:rsidRDefault="00294302">
    <w:pPr>
      <w:pStyle w:val="a7"/>
      <w:ind w:firstLine="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896868" w:rsidRDefault="00294302">
                <w:pPr>
                  <w:pStyle w:val="a7"/>
                  <w:ind w:firstLine="360"/>
                  <w:jc w:val="center"/>
                </w:pPr>
                <w:r>
                  <w:fldChar w:fldCharType="begin"/>
                </w:r>
                <w:r>
                  <w:instrText xml:space="preserve"> PAGE   \* MERGEFORMAT </w:instrText>
                </w:r>
                <w:r>
                  <w:fldChar w:fldCharType="separate"/>
                </w:r>
                <w:r w:rsidR="00A94848" w:rsidRPr="00A94848">
                  <w:rPr>
                    <w:noProof/>
                    <w:lang w:val="zh-CN"/>
                  </w:rPr>
                  <w:t>-</w:t>
                </w:r>
                <w:r w:rsidR="00A94848">
                  <w:rPr>
                    <w:noProof/>
                  </w:rPr>
                  <w:t xml:space="preserve"> 9 -</w:t>
                </w:r>
                <w:r>
                  <w:fldChar w:fldCharType="end"/>
                </w:r>
              </w:p>
            </w:txbxContent>
          </v:textbox>
          <w10:wrap anchorx="margin"/>
        </v:shape>
      </w:pict>
    </w:r>
  </w:p>
  <w:p w:rsidR="00896868" w:rsidRDefault="00896868">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68" w:rsidRDefault="00294302">
    <w:pPr>
      <w:pStyle w:val="a7"/>
      <w:framePr w:wrap="around" w:vAnchor="text" w:hAnchor="margin" w:xAlign="outside" w:y="1"/>
      <w:ind w:left="335" w:firstLine="560"/>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Pr>
        <w:rStyle w:val="ab"/>
        <w:rFonts w:ascii="宋体" w:eastAsia="宋体" w:hAnsi="宋体"/>
        <w:sz w:val="28"/>
      </w:rPr>
      <w:t>4</w:t>
    </w:r>
    <w:r>
      <w:rPr>
        <w:rStyle w:val="ab"/>
        <w:rFonts w:ascii="宋体" w:eastAsia="宋体" w:hAnsi="宋体"/>
        <w:sz w:val="28"/>
      </w:rPr>
      <w:fldChar w:fldCharType="end"/>
    </w:r>
    <w:r>
      <w:rPr>
        <w:rStyle w:val="ab"/>
        <w:rFonts w:ascii="宋体" w:eastAsia="宋体" w:hAnsi="宋体"/>
        <w:sz w:val="28"/>
      </w:rPr>
      <w:t>—</w:t>
    </w:r>
  </w:p>
  <w:p w:rsidR="00896868" w:rsidRDefault="00896868">
    <w:pPr>
      <w:pStyle w:val="a7"/>
      <w:ind w:left="300" w:right="360" w:firstLine="560"/>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68" w:rsidRDefault="00294302">
    <w:pPr>
      <w:pStyle w:val="a7"/>
      <w:framePr w:wrap="around" w:vAnchor="text" w:hAnchor="margin" w:xAlign="outside" w:y="1"/>
      <w:ind w:right="335" w:firstLine="560"/>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A94848">
      <w:rPr>
        <w:rStyle w:val="ab"/>
        <w:rFonts w:ascii="宋体" w:eastAsia="宋体" w:hAnsi="宋体"/>
        <w:noProof/>
        <w:sz w:val="28"/>
      </w:rPr>
      <w:t>21</w:t>
    </w:r>
    <w:r>
      <w:rPr>
        <w:rStyle w:val="ab"/>
        <w:rFonts w:ascii="宋体" w:eastAsia="宋体" w:hAnsi="宋体"/>
        <w:sz w:val="28"/>
      </w:rPr>
      <w:fldChar w:fldCharType="end"/>
    </w:r>
    <w:r>
      <w:rPr>
        <w:rStyle w:val="ab"/>
        <w:rFonts w:ascii="宋体" w:eastAsia="宋体" w:hAnsi="宋体"/>
        <w:sz w:val="28"/>
      </w:rPr>
      <w:t>—</w:t>
    </w:r>
  </w:p>
  <w:p w:rsidR="00896868" w:rsidRDefault="00896868">
    <w:pPr>
      <w:pStyle w:val="a7"/>
      <w:ind w:right="360" w:firstLine="560"/>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302" w:rsidRDefault="00294302">
      <w:pPr>
        <w:spacing w:line="240" w:lineRule="auto"/>
        <w:ind w:firstLine="640"/>
      </w:pPr>
      <w:r>
        <w:separator/>
      </w:r>
    </w:p>
  </w:footnote>
  <w:footnote w:type="continuationSeparator" w:id="0">
    <w:p w:rsidR="00294302" w:rsidRDefault="00294302">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3DEF1"/>
    <w:multiLevelType w:val="singleLevel"/>
    <w:tmpl w:val="9933DEF1"/>
    <w:lvl w:ilvl="0">
      <w:start w:val="3"/>
      <w:numFmt w:val="decimal"/>
      <w:lvlText w:val="%1."/>
      <w:lvlJc w:val="left"/>
      <w:pPr>
        <w:tabs>
          <w:tab w:val="left" w:pos="312"/>
        </w:tabs>
      </w:pPr>
    </w:lvl>
  </w:abstractNum>
  <w:abstractNum w:abstractNumId="1" w15:restartNumberingAfterBreak="0">
    <w:nsid w:val="9B888A27"/>
    <w:multiLevelType w:val="singleLevel"/>
    <w:tmpl w:val="9B888A27"/>
    <w:lvl w:ilvl="0">
      <w:start w:val="1"/>
      <w:numFmt w:val="decimal"/>
      <w:suff w:val="nothing"/>
      <w:lvlText w:val="（%1）"/>
      <w:lvlJc w:val="left"/>
    </w:lvl>
  </w:abstractNum>
  <w:abstractNum w:abstractNumId="2" w15:restartNumberingAfterBreak="0">
    <w:nsid w:val="B4DFD212"/>
    <w:multiLevelType w:val="singleLevel"/>
    <w:tmpl w:val="B4DFD212"/>
    <w:lvl w:ilvl="0">
      <w:start w:val="4"/>
      <w:numFmt w:val="decimal"/>
      <w:suff w:val="nothing"/>
      <w:lvlText w:val="%1、"/>
      <w:lvlJc w:val="left"/>
    </w:lvl>
  </w:abstractNum>
  <w:abstractNum w:abstractNumId="3" w15:restartNumberingAfterBreak="0">
    <w:nsid w:val="D41BBFE2"/>
    <w:multiLevelType w:val="singleLevel"/>
    <w:tmpl w:val="D41BBFE2"/>
    <w:lvl w:ilvl="0">
      <w:start w:val="1"/>
      <w:numFmt w:val="decimal"/>
      <w:suff w:val="nothing"/>
      <w:lvlText w:val="（%1）"/>
      <w:lvlJc w:val="left"/>
    </w:lvl>
  </w:abstractNum>
  <w:abstractNum w:abstractNumId="4" w15:restartNumberingAfterBreak="0">
    <w:nsid w:val="E9A7A412"/>
    <w:multiLevelType w:val="singleLevel"/>
    <w:tmpl w:val="E9A7A412"/>
    <w:lvl w:ilvl="0">
      <w:start w:val="2"/>
      <w:numFmt w:val="decimal"/>
      <w:lvlText w:val="%1."/>
      <w:lvlJc w:val="left"/>
      <w:pPr>
        <w:tabs>
          <w:tab w:val="left" w:pos="312"/>
        </w:tabs>
      </w:pPr>
    </w:lvl>
  </w:abstractNum>
  <w:abstractNum w:abstractNumId="5" w15:restartNumberingAfterBreak="0">
    <w:nsid w:val="EAE2540F"/>
    <w:multiLevelType w:val="singleLevel"/>
    <w:tmpl w:val="EAE2540F"/>
    <w:lvl w:ilvl="0">
      <w:start w:val="2"/>
      <w:numFmt w:val="decimal"/>
      <w:lvlText w:val="%1."/>
      <w:lvlJc w:val="left"/>
      <w:pPr>
        <w:tabs>
          <w:tab w:val="left" w:pos="312"/>
        </w:tabs>
      </w:pPr>
    </w:lvl>
  </w:abstractNum>
  <w:abstractNum w:abstractNumId="6" w15:restartNumberingAfterBreak="0">
    <w:nsid w:val="EE7F7F0C"/>
    <w:multiLevelType w:val="singleLevel"/>
    <w:tmpl w:val="EE7F7F0C"/>
    <w:lvl w:ilvl="0">
      <w:start w:val="2"/>
      <w:numFmt w:val="chineseCounting"/>
      <w:suff w:val="nothing"/>
      <w:lvlText w:val="（%1）"/>
      <w:lvlJc w:val="left"/>
      <w:rPr>
        <w:rFonts w:hint="eastAsia"/>
      </w:rPr>
    </w:lvl>
  </w:abstractNum>
  <w:abstractNum w:abstractNumId="7" w15:restartNumberingAfterBreak="0">
    <w:nsid w:val="128C3025"/>
    <w:multiLevelType w:val="singleLevel"/>
    <w:tmpl w:val="128C3025"/>
    <w:lvl w:ilvl="0">
      <w:start w:val="2"/>
      <w:numFmt w:val="chineseCounting"/>
      <w:suff w:val="nothing"/>
      <w:lvlText w:val="（%1）"/>
      <w:lvlJc w:val="left"/>
      <w:rPr>
        <w:rFonts w:hint="eastAsia"/>
      </w:rPr>
    </w:lvl>
  </w:abstractNum>
  <w:abstractNum w:abstractNumId="8" w15:restartNumberingAfterBreak="0">
    <w:nsid w:val="16F14062"/>
    <w:multiLevelType w:val="multilevel"/>
    <w:tmpl w:val="16F1406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8"/>
  </w:num>
  <w:num w:numId="2">
    <w:abstractNumId w:val="3"/>
  </w:num>
  <w:num w:numId="3">
    <w:abstractNumId w:val="2"/>
  </w:num>
  <w:num w:numId="4">
    <w:abstractNumId w:val="0"/>
  </w:num>
  <w:num w:numId="5">
    <w:abstractNumId w:val="5"/>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37D7"/>
    <w:rsid w:val="00294302"/>
    <w:rsid w:val="005237D7"/>
    <w:rsid w:val="00694BE9"/>
    <w:rsid w:val="007841CC"/>
    <w:rsid w:val="00896868"/>
    <w:rsid w:val="008E71FD"/>
    <w:rsid w:val="00A94848"/>
    <w:rsid w:val="00B653EB"/>
    <w:rsid w:val="00E44D15"/>
    <w:rsid w:val="00EB0D93"/>
    <w:rsid w:val="515E6A75"/>
    <w:rsid w:val="5ED036D2"/>
    <w:rsid w:val="606D26FA"/>
    <w:rsid w:val="6713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71E34B"/>
  <w15:docId w15:val="{13FED545-B199-4BD0-B5CB-DE7F8B01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723"/>
      <w:jc w:val="both"/>
    </w:pPr>
    <w:rPr>
      <w:rFonts w:eastAsia="仿宋_GB2312"/>
      <w:kern w:val="2"/>
      <w:sz w:val="32"/>
    </w:rPr>
  </w:style>
  <w:style w:type="paragraph" w:styleId="1">
    <w:name w:val="heading 1"/>
    <w:basedOn w:val="a"/>
    <w:next w:val="a"/>
    <w:qFormat/>
    <w:pPr>
      <w:keepNext/>
      <w:keepLines/>
      <w:spacing w:before="340" w:after="330" w:line="576" w:lineRule="auto"/>
      <w:ind w:firstLineChars="0" w:firstLine="0"/>
      <w:jc w:val="left"/>
      <w:outlineLvl w:val="0"/>
    </w:pPr>
    <w:rPr>
      <w:rFonts w:eastAsia="黑体"/>
      <w:b/>
      <w:kern w:val="44"/>
    </w:rPr>
  </w:style>
  <w:style w:type="paragraph" w:styleId="2">
    <w:name w:val="heading 2"/>
    <w:basedOn w:val="3"/>
    <w:next w:val="a1"/>
    <w:link w:val="20"/>
    <w:qFormat/>
    <w:pPr>
      <w:tabs>
        <w:tab w:val="left" w:pos="310"/>
      </w:tabs>
      <w:spacing w:before="100" w:after="50" w:line="600" w:lineRule="exact"/>
      <w:outlineLvl w:val="1"/>
    </w:pPr>
    <w:rPr>
      <w:rFonts w:eastAsia="楷体"/>
      <w:b w:val="0"/>
      <w:sz w:val="32"/>
    </w:rPr>
  </w:style>
  <w:style w:type="paragraph" w:styleId="3">
    <w:name w:val="heading 3"/>
    <w:basedOn w:val="a"/>
    <w:next w:val="a"/>
    <w:link w:val="30"/>
    <w:uiPriority w:val="9"/>
    <w:qFormat/>
    <w:pPr>
      <w:keepNext/>
      <w:keepLines/>
      <w:spacing w:before="260" w:after="260" w:line="416" w:lineRule="auto"/>
      <w:outlineLvl w:val="2"/>
    </w:pPr>
    <w:rPr>
      <w:b/>
      <w:bCs/>
      <w:kern w:val="0"/>
      <w:sz w:val="30"/>
      <w:szCs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rPr>
  </w:style>
  <w:style w:type="paragraph" w:styleId="5">
    <w:name w:val="heading 5"/>
    <w:basedOn w:val="a"/>
    <w:next w:val="a"/>
    <w:link w:val="50"/>
    <w:unhideWhenUsed/>
    <w:qFormat/>
    <w:pPr>
      <w:keepNext/>
      <w:keepLines/>
      <w:spacing w:before="280" w:after="290" w:line="372" w:lineRule="auto"/>
      <w:outlineLvl w:val="4"/>
    </w:pPr>
    <w:rPr>
      <w:rFonts w:eastAsia="楷体"/>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next w:val="a"/>
    <w:link w:val="a5"/>
    <w:qFormat/>
    <w:rPr>
      <w:rFonts w:ascii="宋体" w:hAnsi="Courier New" w:cs="Courier New"/>
      <w:szCs w:val="21"/>
    </w:rPr>
  </w:style>
  <w:style w:type="paragraph" w:styleId="a1">
    <w:name w:val="Body Text"/>
    <w:basedOn w:val="a"/>
    <w:link w:val="a6"/>
    <w:qFormat/>
    <w:rPr>
      <w:sz w:val="2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semiHidden/>
    <w:unhideWhenUsed/>
    <w:pPr>
      <w:pBdr>
        <w:bottom w:val="single" w:sz="6" w:space="1" w:color="auto"/>
      </w:pBdr>
      <w:tabs>
        <w:tab w:val="center" w:pos="4153"/>
        <w:tab w:val="right" w:pos="8306"/>
      </w:tabs>
      <w:snapToGrid w:val="0"/>
      <w:jc w:val="center"/>
    </w:pPr>
    <w:rPr>
      <w:sz w:val="18"/>
      <w:szCs w:val="18"/>
    </w:rPr>
  </w:style>
  <w:style w:type="character" w:styleId="ab">
    <w:name w:val="page number"/>
    <w:uiPriority w:val="99"/>
    <w:qFormat/>
    <w:rPr>
      <w:rFonts w:cs="Times New Roman"/>
    </w:rPr>
  </w:style>
  <w:style w:type="character" w:customStyle="1" w:styleId="20">
    <w:name w:val="标题 2 字符"/>
    <w:basedOn w:val="a2"/>
    <w:link w:val="2"/>
    <w:qFormat/>
    <w:rPr>
      <w:rFonts w:eastAsia="楷体"/>
      <w:bCs/>
      <w:sz w:val="32"/>
      <w:szCs w:val="32"/>
    </w:rPr>
  </w:style>
  <w:style w:type="character" w:customStyle="1" w:styleId="30">
    <w:name w:val="标题 3 字符"/>
    <w:basedOn w:val="a2"/>
    <w:link w:val="3"/>
    <w:uiPriority w:val="9"/>
    <w:rPr>
      <w:rFonts w:eastAsia="仿宋_GB2312"/>
      <w:b/>
      <w:bCs/>
      <w:sz w:val="30"/>
      <w:szCs w:val="32"/>
    </w:rPr>
  </w:style>
  <w:style w:type="character" w:customStyle="1" w:styleId="a5">
    <w:name w:val="纯文本 字符"/>
    <w:basedOn w:val="a2"/>
    <w:link w:val="a0"/>
    <w:qFormat/>
    <w:rPr>
      <w:rFonts w:ascii="宋体" w:eastAsia="仿宋_GB2312" w:hAnsi="Courier New" w:cs="Courier New"/>
      <w:kern w:val="2"/>
      <w:sz w:val="32"/>
      <w:szCs w:val="21"/>
    </w:rPr>
  </w:style>
  <w:style w:type="character" w:customStyle="1" w:styleId="a6">
    <w:name w:val="正文文本 字符"/>
    <w:basedOn w:val="a2"/>
    <w:link w:val="a1"/>
    <w:qFormat/>
    <w:rPr>
      <w:rFonts w:eastAsia="仿宋_GB2312"/>
      <w:kern w:val="2"/>
      <w:sz w:val="28"/>
      <w:szCs w:val="18"/>
    </w:rPr>
  </w:style>
  <w:style w:type="character" w:customStyle="1" w:styleId="a8">
    <w:name w:val="页脚 字符"/>
    <w:basedOn w:val="a2"/>
    <w:link w:val="a7"/>
    <w:uiPriority w:val="99"/>
    <w:qFormat/>
    <w:rPr>
      <w:rFonts w:eastAsia="仿宋_GB2312"/>
      <w:kern w:val="2"/>
      <w:sz w:val="18"/>
      <w:szCs w:val="18"/>
    </w:rPr>
  </w:style>
  <w:style w:type="character" w:customStyle="1" w:styleId="font31">
    <w:name w:val="font31"/>
    <w:basedOn w:val="a2"/>
    <w:qFormat/>
    <w:rPr>
      <w:rFonts w:ascii="仿宋_GB2312" w:eastAsia="仿宋_GB2312" w:cs="仿宋_GB2312" w:hint="default"/>
      <w:b/>
      <w:color w:val="000000"/>
      <w:sz w:val="21"/>
      <w:szCs w:val="21"/>
      <w:u w:val="none"/>
    </w:rPr>
  </w:style>
  <w:style w:type="character" w:customStyle="1" w:styleId="font21">
    <w:name w:val="font21"/>
    <w:basedOn w:val="a2"/>
    <w:qFormat/>
    <w:rPr>
      <w:rFonts w:ascii="宋体" w:eastAsia="宋体" w:hAnsi="宋体" w:cs="宋体" w:hint="eastAsia"/>
      <w:b/>
      <w:color w:val="000000"/>
      <w:sz w:val="21"/>
      <w:szCs w:val="21"/>
      <w:u w:val="none"/>
    </w:rPr>
  </w:style>
  <w:style w:type="character" w:customStyle="1" w:styleId="font51">
    <w:name w:val="font51"/>
    <w:basedOn w:val="a2"/>
    <w:rPr>
      <w:rFonts w:ascii="仿宋_GB2312" w:eastAsia="仿宋_GB2312" w:cs="仿宋_GB2312" w:hint="default"/>
      <w:b/>
      <w:color w:val="000000"/>
      <w:sz w:val="21"/>
      <w:szCs w:val="21"/>
      <w:u w:val="none"/>
    </w:rPr>
  </w:style>
  <w:style w:type="character" w:customStyle="1" w:styleId="aa">
    <w:name w:val="页眉 字符"/>
    <w:basedOn w:val="a2"/>
    <w:link w:val="a9"/>
    <w:uiPriority w:val="99"/>
    <w:semiHidden/>
    <w:qFormat/>
    <w:rPr>
      <w:rFonts w:eastAsia="仿宋_GB2312"/>
      <w:kern w:val="2"/>
      <w:sz w:val="18"/>
      <w:szCs w:val="18"/>
    </w:rPr>
  </w:style>
  <w:style w:type="character" w:customStyle="1" w:styleId="40">
    <w:name w:val="标题 4 字符"/>
    <w:link w:val="4"/>
    <w:rPr>
      <w:rFonts w:ascii="Arial" w:eastAsia="黑体" w:hAnsi="Arial"/>
      <w:b/>
      <w:sz w:val="32"/>
    </w:rPr>
  </w:style>
  <w:style w:type="character" w:customStyle="1" w:styleId="50">
    <w:name w:val="标题 5 字符"/>
    <w:link w:val="5"/>
    <w:qFormat/>
    <w:rPr>
      <w:rFonts w:eastAsia="楷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aidu.com/link?url=9BvCtoH7nEZHRo3oQiRBVjzQ8Eivxn2PlFESixhkkB-kw-PgnZFN3v6zS0-WuS4xtrU1K96mIp7mUFd5yB28V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7C55077A-8125-4997-875B-68D005CDFFF2}">
  <ds:schemaRefs>
    <ds:schemaRef ds:uri="http://www.yonyou.com/relation"/>
  </ds:schemaRefs>
</ds:datastoreItem>
</file>

<file path=customXml/itemProps2.xml><?xml version="1.0" encoding="utf-8"?>
<ds:datastoreItem xmlns:ds="http://schemas.openxmlformats.org/officeDocument/2006/customXml" ds:itemID="{473D4D4A-C1B8-4F78-B191-95500AE15915}">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1533</Words>
  <Characters>8744</Characters>
  <Application>Microsoft Office Word</Application>
  <DocSecurity>0</DocSecurity>
  <Lines>72</Lines>
  <Paragraphs>20</Paragraphs>
  <ScaleCrop>false</ScaleCrop>
  <Company>Sky123.Org</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cp:revision>
  <dcterms:created xsi:type="dcterms:W3CDTF">2021-05-24T09:19:00Z</dcterms:created>
  <dcterms:modified xsi:type="dcterms:W3CDTF">2021-06-01T06:39:00Z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