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37" w:rsidRDefault="00EC759C" w:rsidP="00EE1E37">
      <w:pPr>
        <w:spacing w:line="600" w:lineRule="exact"/>
        <w:jc w:val="center"/>
        <w:rPr>
          <w:rFonts w:ascii="方正小标宋_GBK" w:eastAsia="方正小标宋_GBK"/>
          <w:sz w:val="36"/>
          <w:szCs w:val="36"/>
        </w:rPr>
      </w:pPr>
      <w:r w:rsidRPr="00EC759C">
        <w:rPr>
          <w:rFonts w:ascii="方正小标宋_GBK" w:eastAsia="方正小标宋_GBK" w:hint="eastAsia"/>
          <w:sz w:val="36"/>
          <w:szCs w:val="36"/>
        </w:rPr>
        <w:t>2020年教育现代化推进工程普惠托育服务专项行动</w:t>
      </w:r>
      <w:r w:rsidR="00EE1E37">
        <w:rPr>
          <w:rFonts w:ascii="方正小标宋_GBK" w:eastAsia="方正小标宋_GBK" w:hint="eastAsia"/>
          <w:sz w:val="36"/>
          <w:szCs w:val="36"/>
        </w:rPr>
        <w:t>资金项目支出绩效评价报告</w:t>
      </w:r>
    </w:p>
    <w:p w:rsidR="00ED609F" w:rsidRPr="00EE1E37"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Pr="003D1094"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EE1E37" w:rsidRDefault="008E208E" w:rsidP="008E208E">
      <w:pPr>
        <w:ind w:firstLineChars="200" w:firstLine="632"/>
        <w:rPr>
          <w:lang w:val="en-GB"/>
        </w:rPr>
      </w:pPr>
      <w:r>
        <w:rPr>
          <w:rFonts w:hint="eastAsia"/>
          <w:lang w:val="en-GB"/>
        </w:rPr>
        <w:t>根据《</w:t>
      </w:r>
      <w:r w:rsidRPr="008E208E">
        <w:rPr>
          <w:rFonts w:hint="eastAsia"/>
          <w:lang w:val="en-GB"/>
        </w:rPr>
        <w:t>国家发展改革委办公厅</w:t>
      </w:r>
      <w:r w:rsidRPr="008E208E">
        <w:rPr>
          <w:rFonts w:hint="eastAsia"/>
          <w:lang w:val="en-GB"/>
        </w:rPr>
        <w:t xml:space="preserve"> </w:t>
      </w:r>
      <w:r w:rsidRPr="008E208E">
        <w:rPr>
          <w:rFonts w:hint="eastAsia"/>
          <w:lang w:val="en-GB"/>
        </w:rPr>
        <w:t>国家卫生健康委办公厅关于组织实施普惠托育服务专项行动的通知</w:t>
      </w:r>
      <w:r>
        <w:rPr>
          <w:rFonts w:hint="eastAsia"/>
          <w:lang w:val="en-GB"/>
        </w:rPr>
        <w:t>》（</w:t>
      </w:r>
      <w:r w:rsidRPr="008E208E">
        <w:rPr>
          <w:rFonts w:hint="eastAsia"/>
          <w:lang w:val="en-GB"/>
        </w:rPr>
        <w:t>发改办社会〔</w:t>
      </w:r>
      <w:r w:rsidRPr="008E208E">
        <w:rPr>
          <w:rFonts w:hint="eastAsia"/>
          <w:lang w:val="en-GB"/>
        </w:rPr>
        <w:t>2020</w:t>
      </w:r>
      <w:r w:rsidRPr="008E208E">
        <w:rPr>
          <w:rFonts w:hint="eastAsia"/>
          <w:lang w:val="en-GB"/>
        </w:rPr>
        <w:t>〕</w:t>
      </w:r>
      <w:r w:rsidRPr="008E208E">
        <w:rPr>
          <w:rFonts w:hint="eastAsia"/>
          <w:lang w:val="en-GB"/>
        </w:rPr>
        <w:t>74</w:t>
      </w:r>
      <w:r w:rsidRPr="008E208E">
        <w:rPr>
          <w:rFonts w:hint="eastAsia"/>
          <w:lang w:val="en-GB"/>
        </w:rPr>
        <w:t>号</w:t>
      </w:r>
      <w:r>
        <w:rPr>
          <w:rFonts w:hint="eastAsia"/>
          <w:lang w:val="en-GB"/>
        </w:rPr>
        <w:t>）、</w:t>
      </w:r>
      <w:r w:rsidRPr="008E208E">
        <w:rPr>
          <w:rFonts w:hint="eastAsia"/>
          <w:lang w:val="en-GB"/>
        </w:rPr>
        <w:t>《国务院办公厅关于促进</w:t>
      </w:r>
      <w:r w:rsidRPr="008E208E">
        <w:rPr>
          <w:rFonts w:hint="eastAsia"/>
          <w:lang w:val="en-GB"/>
        </w:rPr>
        <w:t>3</w:t>
      </w:r>
      <w:r w:rsidRPr="008E208E">
        <w:rPr>
          <w:rFonts w:hint="eastAsia"/>
          <w:lang w:val="en-GB"/>
        </w:rPr>
        <w:t>岁以下婴幼儿照护服务发展的指导意见》</w:t>
      </w:r>
      <w:r>
        <w:rPr>
          <w:rFonts w:hint="eastAsia"/>
          <w:lang w:val="en-GB"/>
        </w:rPr>
        <w:t>和《</w:t>
      </w:r>
      <w:r w:rsidRPr="008E208E">
        <w:rPr>
          <w:rFonts w:hint="eastAsia"/>
          <w:lang w:val="en-GB"/>
        </w:rPr>
        <w:t>支持社会力量发展普惠托育服务专项行动实施方案（试行）</w:t>
      </w:r>
      <w:r>
        <w:rPr>
          <w:rFonts w:hint="eastAsia"/>
          <w:lang w:val="en-GB"/>
        </w:rPr>
        <w:t>》等</w:t>
      </w:r>
      <w:r>
        <w:rPr>
          <w:lang w:val="en-GB"/>
        </w:rPr>
        <w:t>文件要求，</w:t>
      </w:r>
      <w:r>
        <w:rPr>
          <w:rFonts w:hint="eastAsia"/>
          <w:lang w:val="en-GB"/>
        </w:rPr>
        <w:t>3</w:t>
      </w:r>
      <w:r w:rsidRPr="008E208E">
        <w:rPr>
          <w:rFonts w:hint="eastAsia"/>
          <w:lang w:val="en-GB"/>
        </w:rPr>
        <w:t>岁以下托育服务属于非基本公共服务范围，是地方政府事权，要坚持社会化发展托育服务，围绕“政府引导、多方参与、社会运营、普惠可及”，深入开展城企合作。国家通过中央预算内投资，支持和引导城市政府（包括设区市、自治州和县（市、区）等，下同）系统规划建设托育服务体系。城市政府提供全方位政策支持清单。企业（含企业、事业单位、社会组织等，下同）提供普惠托育服务清单，向社会公开、接受监督。城企双方签订合作协议，扩大普惠性托育服务有效供给，满足家庭多层次、多样化托育服务需求，增强人民群众获得感、幸福感和安全感。建成一批具有带动效应、承担一定指导功能的示范性托育服务机构，社区托育服务骨干网基本完善，普惠性托位数量大幅增加，服务内容不断丰富，服务质量明显提升，对专业</w:t>
      </w:r>
      <w:r w:rsidRPr="008E208E">
        <w:rPr>
          <w:rFonts w:hint="eastAsia"/>
          <w:lang w:val="en-GB"/>
        </w:rPr>
        <w:lastRenderedPageBreak/>
        <w:t>人才队伍建设支撑更加有力，对家庭科学养育指导能力持续增强，更多更好惠及婴幼儿家庭。</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8E208E" w:rsidRDefault="003D109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sidR="008E208E">
        <w:rPr>
          <w:rFonts w:ascii="仿宋_GB2312" w:hAnsi="仿宋_GB2312"/>
          <w:szCs w:val="32"/>
        </w:rPr>
        <w:t>2020</w:t>
      </w:r>
      <w:r w:rsidR="008E208E">
        <w:rPr>
          <w:rFonts w:ascii="仿宋_GB2312" w:hAnsi="仿宋_GB2312" w:hint="eastAsia"/>
          <w:szCs w:val="32"/>
        </w:rPr>
        <w:t>年</w:t>
      </w:r>
      <w:r w:rsidR="008E208E">
        <w:rPr>
          <w:rFonts w:ascii="仿宋_GB2312" w:hAnsi="仿宋_GB2312"/>
          <w:szCs w:val="32"/>
        </w:rPr>
        <w:t>东川区卫健局收到《</w:t>
      </w:r>
      <w:r w:rsidR="008E208E">
        <w:rPr>
          <w:rFonts w:ascii="仿宋_GB2312" w:hAnsi="仿宋_GB2312" w:hint="eastAsia"/>
          <w:szCs w:val="32"/>
        </w:rPr>
        <w:t>昆明市</w:t>
      </w:r>
      <w:r w:rsidR="008E208E">
        <w:rPr>
          <w:rFonts w:ascii="仿宋_GB2312" w:hAnsi="仿宋_GB2312"/>
          <w:szCs w:val="32"/>
        </w:rPr>
        <w:t>财政局关于下达</w:t>
      </w:r>
      <w:r w:rsidR="008E208E">
        <w:rPr>
          <w:rFonts w:ascii="仿宋_GB2312" w:hAnsi="仿宋_GB2312" w:hint="eastAsia"/>
          <w:szCs w:val="32"/>
        </w:rPr>
        <w:t>2020年</w:t>
      </w:r>
      <w:r w:rsidR="008E208E">
        <w:rPr>
          <w:rFonts w:ascii="仿宋_GB2312" w:hAnsi="仿宋_GB2312"/>
          <w:szCs w:val="32"/>
        </w:rPr>
        <w:t>教育现代化推进工程普惠托育服务专项</w:t>
      </w:r>
      <w:r w:rsidR="008E208E">
        <w:rPr>
          <w:rFonts w:ascii="仿宋_GB2312" w:hAnsi="仿宋_GB2312" w:hint="eastAsia"/>
          <w:szCs w:val="32"/>
        </w:rPr>
        <w:t>行动</w:t>
      </w:r>
      <w:r w:rsidR="008E208E">
        <w:rPr>
          <w:rFonts w:ascii="仿宋_GB2312" w:hAnsi="仿宋_GB2312"/>
          <w:szCs w:val="32"/>
        </w:rPr>
        <w:t>中央基建投资预算的通知》</w:t>
      </w:r>
      <w:r w:rsidR="008E208E">
        <w:rPr>
          <w:rFonts w:ascii="仿宋_GB2312" w:hAnsi="仿宋_GB2312" w:hint="eastAsia"/>
          <w:szCs w:val="32"/>
        </w:rPr>
        <w:t>（昆</w:t>
      </w:r>
      <w:r w:rsidR="008E208E">
        <w:rPr>
          <w:rFonts w:ascii="仿宋_GB2312" w:hAnsi="仿宋_GB2312"/>
          <w:szCs w:val="32"/>
        </w:rPr>
        <w:t>财建</w:t>
      </w:r>
      <w:r w:rsidR="008E208E">
        <w:rPr>
          <w:rFonts w:ascii="仿宋_GB2312" w:hAnsi="仿宋_GB2312" w:hint="eastAsia"/>
          <w:szCs w:val="32"/>
        </w:rPr>
        <w:t>[</w:t>
      </w:r>
      <w:r w:rsidR="008E208E">
        <w:rPr>
          <w:rFonts w:ascii="仿宋_GB2312" w:hAnsi="仿宋_GB2312"/>
          <w:szCs w:val="32"/>
        </w:rPr>
        <w:t>2020</w:t>
      </w:r>
      <w:r w:rsidR="008E208E">
        <w:rPr>
          <w:rFonts w:ascii="仿宋_GB2312" w:hAnsi="仿宋_GB2312" w:hint="eastAsia"/>
          <w:szCs w:val="32"/>
        </w:rPr>
        <w:t>]</w:t>
      </w:r>
      <w:r w:rsidR="008E208E">
        <w:rPr>
          <w:rFonts w:ascii="仿宋_GB2312" w:hAnsi="仿宋_GB2312"/>
          <w:szCs w:val="32"/>
        </w:rPr>
        <w:t>57</w:t>
      </w:r>
      <w:r w:rsidR="008E208E">
        <w:rPr>
          <w:rFonts w:ascii="仿宋_GB2312" w:hAnsi="仿宋_GB2312" w:hint="eastAsia"/>
          <w:szCs w:val="32"/>
        </w:rPr>
        <w:t>号）文件</w:t>
      </w:r>
      <w:r w:rsidR="008E208E">
        <w:rPr>
          <w:rFonts w:ascii="仿宋_GB2312" w:hAnsi="仿宋_GB2312"/>
          <w:szCs w:val="32"/>
        </w:rPr>
        <w:t>下达资金</w:t>
      </w:r>
      <w:r w:rsidR="008E208E">
        <w:rPr>
          <w:rFonts w:ascii="仿宋_GB2312" w:hAnsi="仿宋_GB2312" w:hint="eastAsia"/>
          <w:szCs w:val="32"/>
        </w:rPr>
        <w:t>100万元</w:t>
      </w:r>
      <w:r w:rsidR="008E208E">
        <w:rPr>
          <w:rFonts w:ascii="仿宋_GB2312" w:hAnsi="仿宋_GB2312"/>
          <w:szCs w:val="32"/>
        </w:rPr>
        <w:t>。</w:t>
      </w:r>
    </w:p>
    <w:p w:rsidR="003D1094" w:rsidRPr="003D1094" w:rsidRDefault="003D1094">
      <w:pPr>
        <w:spacing w:line="540" w:lineRule="exact"/>
        <w:ind w:firstLineChars="200" w:firstLine="632"/>
        <w:jc w:val="left"/>
        <w:rPr>
          <w:rFonts w:ascii="仿宋_GB2312" w:hAnsi="仿宋_GB2312"/>
          <w:szCs w:val="32"/>
        </w:rPr>
      </w:pPr>
      <w:r>
        <w:rPr>
          <w:rFonts w:hint="eastAsia"/>
          <w:lang w:val="en-GB"/>
        </w:rPr>
        <w:t>资金使用：</w:t>
      </w:r>
      <w:r w:rsidR="008E208E">
        <w:rPr>
          <w:rFonts w:hint="eastAsia"/>
          <w:lang w:val="en-GB"/>
        </w:rPr>
        <w:t>2020</w:t>
      </w:r>
      <w:r w:rsidR="008E208E">
        <w:rPr>
          <w:rFonts w:hint="eastAsia"/>
          <w:lang w:val="en-GB"/>
        </w:rPr>
        <w:t>年</w:t>
      </w:r>
      <w:r w:rsidR="00EE1E37">
        <w:rPr>
          <w:rFonts w:hint="eastAsia"/>
          <w:lang w:val="en-GB"/>
        </w:rPr>
        <w:t>区卫健局</w:t>
      </w:r>
      <w:r w:rsidR="00EE1E37">
        <w:rPr>
          <w:lang w:val="en-GB"/>
        </w:rPr>
        <w:t>拨</w:t>
      </w:r>
      <w:r w:rsidR="00EE1E37">
        <w:rPr>
          <w:rFonts w:hint="eastAsia"/>
          <w:lang w:val="en-GB"/>
        </w:rPr>
        <w:t>付资金</w:t>
      </w:r>
      <w:r w:rsidR="008E208E">
        <w:rPr>
          <w:lang w:val="en-GB"/>
        </w:rPr>
        <w:t>100</w:t>
      </w:r>
      <w:r w:rsidR="008E208E">
        <w:rPr>
          <w:rFonts w:hint="eastAsia"/>
          <w:lang w:val="en-GB"/>
        </w:rPr>
        <w:t>元</w:t>
      </w:r>
      <w:r w:rsidR="008E208E">
        <w:rPr>
          <w:lang w:val="en-GB"/>
        </w:rPr>
        <w:t>给</w:t>
      </w:r>
      <w:r w:rsidR="008E208E">
        <w:rPr>
          <w:rFonts w:hint="eastAsia"/>
          <w:lang w:val="en-GB"/>
        </w:rPr>
        <w:t>东川区</w:t>
      </w:r>
      <w:r w:rsidR="008E208E">
        <w:rPr>
          <w:lang w:val="en-GB"/>
        </w:rPr>
        <w:t>超群幼儿园用于普惠托育项目建设</w:t>
      </w:r>
      <w:r w:rsidR="00EE1E37">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EE1E37" w:rsidRDefault="00EE1E37">
      <w:pPr>
        <w:spacing w:line="540" w:lineRule="exact"/>
        <w:ind w:firstLineChars="200" w:firstLine="632"/>
        <w:jc w:val="left"/>
      </w:pPr>
      <w:r w:rsidRPr="00EE1E37">
        <w:rPr>
          <w:rFonts w:hint="eastAsia"/>
        </w:rPr>
        <w:t>经过评价小组对东川卫健局</w:t>
      </w:r>
      <w:r w:rsidR="00CD1EDA">
        <w:rPr>
          <w:rFonts w:hint="eastAsia"/>
        </w:rPr>
        <w:t>2</w:t>
      </w:r>
      <w:r w:rsidR="00CD1EDA">
        <w:t>020</w:t>
      </w:r>
      <w:r w:rsidRPr="00EE1E37">
        <w:rPr>
          <w:rFonts w:hint="eastAsia"/>
        </w:rPr>
        <w:t>年</w:t>
      </w:r>
      <w:r w:rsidR="008E208E" w:rsidRPr="008E208E">
        <w:rPr>
          <w:rFonts w:hint="eastAsia"/>
        </w:rPr>
        <w:t>教育现代化推进工程普惠托育服务专项行动</w:t>
      </w:r>
      <w:r w:rsidRPr="00EE1E37">
        <w:rPr>
          <w:rFonts w:hint="eastAsia"/>
        </w:rPr>
        <w:t>资金的立项、资金落实、业务管理、财务管理、项目产出、项目效益等进行绩效评价，项目的绩效目标能得到实现，总评价得分</w:t>
      </w:r>
      <w:r w:rsidR="008E208E">
        <w:t>10</w:t>
      </w:r>
      <w:r w:rsidR="00CD1EDA">
        <w:t>0</w:t>
      </w:r>
      <w:r w:rsidRPr="00EE1E37">
        <w:rPr>
          <w:rFonts w:hint="eastAsia"/>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Pr="008E208E" w:rsidRDefault="000841FA" w:rsidP="000841FA">
      <w:pPr>
        <w:topLinePunct/>
        <w:spacing w:line="560" w:lineRule="exact"/>
        <w:ind w:firstLineChars="200" w:firstLine="632"/>
        <w:rPr>
          <w:rFonts w:ascii="仿宋_GB2312" w:hAnsi="仿宋_GB2312"/>
          <w:szCs w:val="32"/>
        </w:rPr>
      </w:pPr>
      <w:r w:rsidRPr="008E208E">
        <w:rPr>
          <w:rFonts w:ascii="仿宋_GB2312" w:hAnsi="仿宋_GB2312" w:hint="eastAsia"/>
          <w:szCs w:val="32"/>
        </w:rPr>
        <w:t>1.不断完善各项预算管理制度。</w:t>
      </w:r>
    </w:p>
    <w:p w:rsidR="000841FA" w:rsidRPr="008E208E" w:rsidRDefault="000841FA" w:rsidP="000841FA">
      <w:pPr>
        <w:topLinePunct/>
        <w:spacing w:line="560" w:lineRule="exact"/>
        <w:ind w:firstLineChars="200" w:firstLine="632"/>
        <w:rPr>
          <w:rFonts w:ascii="仿宋_GB2312" w:hAnsi="仿宋_GB2312"/>
          <w:szCs w:val="32"/>
        </w:rPr>
      </w:pPr>
      <w:r w:rsidRPr="008E208E">
        <w:rPr>
          <w:rFonts w:ascii="仿宋_GB2312" w:hAnsi="仿宋_GB2312" w:hint="eastAsia"/>
          <w:szCs w:val="32"/>
        </w:rPr>
        <w:t>2.强化预算管理，事前必编预算，控制经费使用，使用必问绩效，将绩效管理贯穿于预算编制、执行及决算等环节。</w:t>
      </w:r>
    </w:p>
    <w:p w:rsidR="000841FA" w:rsidRPr="008E208E" w:rsidRDefault="000841FA" w:rsidP="000841FA">
      <w:pPr>
        <w:topLinePunct/>
        <w:spacing w:line="560" w:lineRule="exact"/>
        <w:ind w:firstLineChars="200" w:firstLine="632"/>
        <w:rPr>
          <w:rFonts w:ascii="仿宋_GB2312" w:hAnsi="仿宋_GB2312"/>
          <w:szCs w:val="32"/>
        </w:rPr>
      </w:pPr>
      <w:r w:rsidRPr="008E208E">
        <w:rPr>
          <w:rFonts w:ascii="仿宋_GB2312" w:hAnsi="仿宋_GB2312" w:hint="eastAsia"/>
          <w:szCs w:val="32"/>
        </w:rPr>
        <w:t>3.强化认识，更加重视绩效自评工作。</w:t>
      </w:r>
    </w:p>
    <w:p w:rsidR="000841FA" w:rsidRPr="008E208E" w:rsidRDefault="000841FA" w:rsidP="000841FA">
      <w:pPr>
        <w:topLinePunct/>
        <w:spacing w:line="560" w:lineRule="exact"/>
        <w:ind w:firstLineChars="200" w:firstLine="632"/>
        <w:rPr>
          <w:rFonts w:ascii="仿宋_GB2312" w:hAnsi="仿宋_GB2312"/>
          <w:szCs w:val="32"/>
        </w:rPr>
      </w:pPr>
      <w:r w:rsidRPr="008E208E">
        <w:rPr>
          <w:rFonts w:ascii="仿宋_GB2312" w:hAnsi="仿宋_GB2312" w:hint="eastAsia"/>
          <w:szCs w:val="32"/>
        </w:rPr>
        <w:t>4.强化质量，进一步规范绩效自评工作。</w:t>
      </w:r>
    </w:p>
    <w:p w:rsidR="000841FA" w:rsidRPr="008E208E" w:rsidRDefault="000841FA" w:rsidP="000841FA">
      <w:pPr>
        <w:spacing w:line="540" w:lineRule="exact"/>
        <w:ind w:firstLineChars="200" w:firstLine="632"/>
        <w:jc w:val="left"/>
        <w:rPr>
          <w:rFonts w:ascii="仿宋_GB2312" w:hAnsi="仿宋_GB2312"/>
          <w:szCs w:val="32"/>
        </w:rPr>
      </w:pPr>
      <w:r w:rsidRPr="008E208E">
        <w:rPr>
          <w:rFonts w:ascii="仿宋_GB2312" w:hAnsi="仿宋_GB2312" w:hint="eastAsia"/>
          <w:szCs w:val="32"/>
        </w:rPr>
        <w:t>5.强化落实，按时完成绩效自评工作。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8E208E" w:rsidRPr="008E208E" w:rsidRDefault="008E208E" w:rsidP="008E208E">
      <w:pPr>
        <w:ind w:firstLineChars="200" w:firstLine="632"/>
        <w:rPr>
          <w:rFonts w:ascii="仿宋_GB2312" w:hAnsi="宋体"/>
          <w:color w:val="000000"/>
          <w:szCs w:val="32"/>
        </w:rPr>
      </w:pPr>
      <w:r w:rsidRPr="008E208E">
        <w:rPr>
          <w:rFonts w:ascii="仿宋_GB2312" w:hAnsi="宋体" w:hint="eastAsia"/>
          <w:color w:val="000000"/>
          <w:szCs w:val="32"/>
        </w:rPr>
        <w:t>1.师资需求不同：0-2岁、2-3岁、3-6岁婴幼儿的教育差异</w:t>
      </w:r>
      <w:r w:rsidRPr="008E208E">
        <w:rPr>
          <w:rFonts w:ascii="仿宋_GB2312" w:hAnsi="宋体" w:hint="eastAsia"/>
          <w:color w:val="000000"/>
          <w:szCs w:val="32"/>
        </w:rPr>
        <w:lastRenderedPageBreak/>
        <w:t>很大，越小的幼儿教育，专业性越强，这就要求要有更专业的师资团队，当地没有专业性的培训机构，教师得不到更专业的培训，不能及时学习新的教育理念。</w:t>
      </w:r>
    </w:p>
    <w:p w:rsidR="008E208E" w:rsidRPr="008E208E" w:rsidRDefault="008E208E" w:rsidP="008E208E">
      <w:pPr>
        <w:ind w:firstLineChars="200" w:firstLine="632"/>
        <w:rPr>
          <w:rFonts w:ascii="仿宋_GB2312" w:hAnsi="宋体"/>
          <w:color w:val="000000"/>
          <w:szCs w:val="32"/>
        </w:rPr>
      </w:pPr>
      <w:r w:rsidRPr="008E208E">
        <w:rPr>
          <w:rFonts w:ascii="仿宋_GB2312" w:hAnsi="宋体" w:hint="eastAsia"/>
          <w:color w:val="000000"/>
          <w:szCs w:val="32"/>
        </w:rPr>
        <w:t xml:space="preserve">2.托育中心周边交通拥堵，地处东川最大的农贸批发市场下段，人员及车流量较大，家长在选择托育园时，对周边是否有停车场、停车位及是否常出现塞车等有很大顾虑。 </w:t>
      </w:r>
    </w:p>
    <w:p w:rsidR="000841FA" w:rsidRDefault="000841FA" w:rsidP="000841FA">
      <w:pPr>
        <w:ind w:firstLineChars="200" w:firstLine="632"/>
        <w:rPr>
          <w:rFonts w:ascii="楷体" w:eastAsia="楷体" w:hAnsi="楷体"/>
          <w:szCs w:val="32"/>
        </w:rPr>
      </w:pPr>
      <w:r>
        <w:rPr>
          <w:rFonts w:ascii="楷体" w:eastAsia="楷体" w:hAnsi="楷体" w:hint="eastAsia"/>
          <w:szCs w:val="32"/>
        </w:rPr>
        <w:t>（三）改进措施及建议。</w:t>
      </w:r>
    </w:p>
    <w:p w:rsidR="008E208E" w:rsidRDefault="008E208E" w:rsidP="008E208E">
      <w:pPr>
        <w:ind w:firstLineChars="200" w:firstLine="632"/>
        <w:rPr>
          <w:rFonts w:ascii="仿宋_GB2312"/>
          <w:szCs w:val="32"/>
        </w:rPr>
      </w:pPr>
      <w:r>
        <w:rPr>
          <w:rFonts w:ascii="仿宋_GB2312" w:hint="eastAsia"/>
          <w:szCs w:val="32"/>
        </w:rPr>
        <w:t>1.为培训出更专业师资队伍，希望有关部门根据实际情况提供专业的培训平台，提高教师、保育员和育婴师的专业水平，更好的为0-3岁婴幼儿服务。</w:t>
      </w:r>
    </w:p>
    <w:p w:rsidR="008E208E" w:rsidRDefault="008E208E" w:rsidP="008E208E">
      <w:pPr>
        <w:ind w:firstLineChars="200" w:firstLine="632"/>
        <w:rPr>
          <w:rFonts w:ascii="仿宋_GB2312"/>
          <w:szCs w:val="32"/>
        </w:rPr>
      </w:pPr>
      <w:r>
        <w:rPr>
          <w:rFonts w:ascii="仿宋_GB2312" w:hint="eastAsia"/>
          <w:szCs w:val="32"/>
        </w:rPr>
        <w:t>2.为净化校园周边环境，保障交通顺畅，希望得到相关部门的支持与协助，加强协调共建，形成整治合力。</w:t>
      </w:r>
    </w:p>
    <w:p w:rsidR="0029300F" w:rsidRPr="008E208E"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D227E2" w:rsidRDefault="00D227E2">
      <w:pPr>
        <w:spacing w:line="540" w:lineRule="exact"/>
        <w:ind w:firstLineChars="200" w:firstLine="632"/>
        <w:jc w:val="left"/>
        <w:rPr>
          <w:rFonts w:ascii="楷体" w:eastAsia="楷体" w:hAnsi="楷体"/>
          <w:szCs w:val="32"/>
        </w:rPr>
      </w:pPr>
    </w:p>
    <w:p w:rsidR="00CD1EDA" w:rsidRDefault="00CD1EDA" w:rsidP="00CD1EDA">
      <w:pPr>
        <w:spacing w:line="540" w:lineRule="exact"/>
        <w:rPr>
          <w:rFonts w:ascii="黑体" w:eastAsia="黑体" w:hAnsi="黑体"/>
          <w:spacing w:val="-20"/>
          <w:szCs w:val="32"/>
        </w:rPr>
      </w:pPr>
    </w:p>
    <w:p w:rsidR="00EC759C" w:rsidRDefault="00062171" w:rsidP="00CD1EDA">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lastRenderedPageBreak/>
        <w:t>正文：</w:t>
      </w:r>
      <w:r w:rsidR="00EC759C" w:rsidRPr="00EC759C">
        <w:rPr>
          <w:rFonts w:ascii="黑体" w:eastAsia="黑体" w:hAnsi="黑体" w:hint="eastAsia"/>
          <w:spacing w:val="-20"/>
          <w:szCs w:val="32"/>
        </w:rPr>
        <w:t>2020年教育现代化推进工程普惠托育服务专项行动</w:t>
      </w:r>
      <w:r w:rsidR="00CD1EDA" w:rsidRPr="00CD1EDA">
        <w:rPr>
          <w:rFonts w:ascii="黑体" w:eastAsia="黑体" w:hAnsi="黑体" w:hint="eastAsia"/>
          <w:spacing w:val="-20"/>
          <w:szCs w:val="32"/>
        </w:rPr>
        <w:t>资金项目</w:t>
      </w:r>
    </w:p>
    <w:p w:rsidR="00B24234" w:rsidRPr="00CD1EDA" w:rsidRDefault="00CD1EDA" w:rsidP="00EC759C">
      <w:pPr>
        <w:spacing w:line="540" w:lineRule="exact"/>
        <w:ind w:firstLineChars="200" w:firstLine="552"/>
        <w:jc w:val="center"/>
        <w:rPr>
          <w:rFonts w:ascii="黑体" w:eastAsia="黑体" w:hAnsi="黑体"/>
          <w:spacing w:val="-20"/>
          <w:szCs w:val="32"/>
        </w:rPr>
      </w:pPr>
      <w:r w:rsidRPr="00CD1EDA">
        <w:rPr>
          <w:rFonts w:ascii="黑体" w:eastAsia="黑体" w:hAnsi="黑体" w:hint="eastAsia"/>
          <w:spacing w:val="-20"/>
          <w:szCs w:val="32"/>
        </w:rPr>
        <w:t>支出绩效评价报告</w:t>
      </w: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EC759C" w:rsidRDefault="00EC759C" w:rsidP="00B24234">
      <w:pPr>
        <w:topLinePunct/>
        <w:spacing w:line="540" w:lineRule="exact"/>
        <w:ind w:firstLineChars="250" w:firstLine="790"/>
        <w:rPr>
          <w:rFonts w:ascii="仿宋_GB2312" w:hAnsi="楷体"/>
          <w:szCs w:val="32"/>
        </w:rPr>
      </w:pPr>
      <w:r w:rsidRPr="00EC759C">
        <w:rPr>
          <w:rFonts w:ascii="仿宋_GB2312" w:hAnsi="楷体" w:hint="eastAsia"/>
          <w:szCs w:val="32"/>
        </w:rPr>
        <w:t>根据《国家发展改革委办公厅 国家卫生健康委办公厅关于组织实施普惠托育服务专项行动的通知》（发改办社会〔2020〕74号）、《国务院办公厅关于促进3岁以下婴幼儿照护服务发展的指导意见》和《支持社会力量发展普惠托育服务专项行动实施方案（试行）》等文件要求，3岁以下托育服务属于非基本公共服务范围，是地方政府事权，要坚持社会化发展托育服务，围绕“政府引导、多方参与、社会运营、普惠可及”，深入开展城企合作。国家通过中央预算内投资，支持和引导城市政府（包括设区市、自治州和县（市、区）等，下同）系统规划建设托育服务体系。城市政府提供全方位政策支持清单。企业（含企业、事业单位、社会组织等，下同）提供普惠托育服务清单，向社会公开、接受监督。城企双方签订合作协议，扩大普惠性托育服务有效供给，满足家庭多层次、多样化托育服务需求，增强人民群众获得感、幸福感和安全感。建成一批具有带动效应、承担一定指导功能的示范性托育服务机构，社区托育服务骨干网基本完善，普惠性托位数量大幅增加，服务内容不断丰富，服务质量明显提升，对专业人才队伍建设支撑更加有力，对家庭科学养育指导能力持续增强，更多更好惠及婴幼儿家庭。</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EC759C" w:rsidRDefault="00EC759C" w:rsidP="00B24234">
      <w:pPr>
        <w:topLinePunct/>
        <w:spacing w:line="540" w:lineRule="exact"/>
        <w:ind w:firstLineChars="250" w:firstLine="790"/>
        <w:rPr>
          <w:rFonts w:ascii="仿宋_GB2312" w:hAnsi="楷体"/>
          <w:szCs w:val="32"/>
        </w:rPr>
      </w:pPr>
      <w:r>
        <w:rPr>
          <w:rFonts w:ascii="仿宋_GB2312" w:hAnsi="楷体" w:hint="eastAsia"/>
          <w:szCs w:val="32"/>
        </w:rPr>
        <w:lastRenderedPageBreak/>
        <w:t>按照</w:t>
      </w:r>
      <w:r w:rsidRPr="00EC759C">
        <w:rPr>
          <w:rFonts w:ascii="仿宋_GB2312" w:hAnsi="楷体" w:hint="eastAsia"/>
          <w:szCs w:val="32"/>
        </w:rPr>
        <w:t>《昆明市财政局关于下达2020年教育现代化推进工程普惠托育服务专项行动中央基建投资预算的通知》（昆财建[2020]57号）</w:t>
      </w:r>
      <w:r>
        <w:rPr>
          <w:rFonts w:ascii="仿宋_GB2312" w:hAnsi="楷体" w:hint="eastAsia"/>
          <w:szCs w:val="32"/>
        </w:rPr>
        <w:t>和《</w:t>
      </w:r>
      <w:r w:rsidRPr="00EC759C">
        <w:rPr>
          <w:rFonts w:ascii="仿宋_GB2312" w:hAnsi="楷体" w:hint="eastAsia"/>
          <w:szCs w:val="32"/>
        </w:rPr>
        <w:t>昆明市发展和改革委员会转发云南省发展和改革委员会关于下达教育现代化推进工程普惠托育服务专项行动2020年中央预算内投资计划的通知</w:t>
      </w:r>
      <w:r>
        <w:rPr>
          <w:rFonts w:ascii="仿宋_GB2312" w:hAnsi="楷体" w:hint="eastAsia"/>
          <w:szCs w:val="32"/>
        </w:rPr>
        <w:t>》（</w:t>
      </w:r>
      <w:r w:rsidRPr="00EC759C">
        <w:rPr>
          <w:rFonts w:ascii="仿宋_GB2312" w:hAnsi="楷体" w:hint="eastAsia"/>
          <w:szCs w:val="32"/>
        </w:rPr>
        <w:t>昆发改社会〔2020〕503号</w:t>
      </w:r>
      <w:r>
        <w:rPr>
          <w:rFonts w:ascii="仿宋_GB2312" w:hAnsi="楷体" w:hint="eastAsia"/>
          <w:szCs w:val="32"/>
        </w:rPr>
        <w:t>）文件精神</w:t>
      </w:r>
      <w:r>
        <w:rPr>
          <w:rFonts w:ascii="仿宋_GB2312" w:hAnsi="楷体"/>
          <w:szCs w:val="32"/>
        </w:rPr>
        <w:t>，东川区超群幼儿园为项目实施</w:t>
      </w:r>
      <w:r>
        <w:rPr>
          <w:rFonts w:ascii="仿宋_GB2312" w:hAnsi="楷体" w:hint="eastAsia"/>
          <w:szCs w:val="32"/>
        </w:rPr>
        <w:t>单位</w:t>
      </w:r>
      <w:r>
        <w:rPr>
          <w:rFonts w:ascii="仿宋_GB2312" w:hAnsi="楷体"/>
          <w:szCs w:val="32"/>
        </w:rPr>
        <w:t>，</w:t>
      </w:r>
      <w:r w:rsidR="0070027F">
        <w:rPr>
          <w:rFonts w:ascii="仿宋_GB2312" w:hAnsi="楷体" w:hint="eastAsia"/>
          <w:szCs w:val="32"/>
        </w:rPr>
        <w:t>项目</w:t>
      </w:r>
      <w:r w:rsidR="0070027F" w:rsidRPr="0070027F">
        <w:rPr>
          <w:rFonts w:ascii="仿宋_GB2312" w:hAnsi="楷体" w:hint="eastAsia"/>
          <w:szCs w:val="32"/>
        </w:rPr>
        <w:t>建设在东川区新桥河下段超群幼儿园内，占地总面积1665平方米，建筑面积1200平方米，新建托位100个。根据《托儿所建筑设计规范》，内设独立活动室、亲子活动室、保健观察室、晨检区域、配奶间、哺乳室、户外活动场地、系统的安全保护监控系统。包括主题探索区、运动区、空间建构区、安静活动区、自然科学区、逻辑思维区、艺术区、音乐表演区、图书区等9个开放区域。</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3.资金来源及使用情况。</w:t>
      </w:r>
    </w:p>
    <w:p w:rsidR="0070027F" w:rsidRDefault="0070027F" w:rsidP="0070027F">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w:t>
      </w:r>
      <w:r>
        <w:rPr>
          <w:rFonts w:ascii="仿宋_GB2312" w:hAnsi="仿宋_GB2312"/>
          <w:szCs w:val="32"/>
        </w:rPr>
        <w:t>东川区卫健局收到《</w:t>
      </w:r>
      <w:r>
        <w:rPr>
          <w:rFonts w:ascii="仿宋_GB2312" w:hAnsi="仿宋_GB2312" w:hint="eastAsia"/>
          <w:szCs w:val="32"/>
        </w:rPr>
        <w:t>昆明市</w:t>
      </w:r>
      <w:r>
        <w:rPr>
          <w:rFonts w:ascii="仿宋_GB2312" w:hAnsi="仿宋_GB2312"/>
          <w:szCs w:val="32"/>
        </w:rPr>
        <w:t>财政局关于下达</w:t>
      </w:r>
      <w:r>
        <w:rPr>
          <w:rFonts w:ascii="仿宋_GB2312" w:hAnsi="仿宋_GB2312" w:hint="eastAsia"/>
          <w:szCs w:val="32"/>
        </w:rPr>
        <w:t>2020年</w:t>
      </w:r>
      <w:r>
        <w:rPr>
          <w:rFonts w:ascii="仿宋_GB2312" w:hAnsi="仿宋_GB2312"/>
          <w:szCs w:val="32"/>
        </w:rPr>
        <w:t>教育现代化推进工程普惠托育服务专项</w:t>
      </w:r>
      <w:r>
        <w:rPr>
          <w:rFonts w:ascii="仿宋_GB2312" w:hAnsi="仿宋_GB2312" w:hint="eastAsia"/>
          <w:szCs w:val="32"/>
        </w:rPr>
        <w:t>行动</w:t>
      </w:r>
      <w:r>
        <w:rPr>
          <w:rFonts w:ascii="仿宋_GB2312" w:hAnsi="仿宋_GB2312"/>
          <w:szCs w:val="32"/>
        </w:rPr>
        <w:t>中央基建投资预算的通知》</w:t>
      </w:r>
      <w:r>
        <w:rPr>
          <w:rFonts w:ascii="仿宋_GB2312" w:hAnsi="仿宋_GB2312" w:hint="eastAsia"/>
          <w:szCs w:val="32"/>
        </w:rPr>
        <w:t>（昆</w:t>
      </w:r>
      <w:r>
        <w:rPr>
          <w:rFonts w:ascii="仿宋_GB2312" w:hAnsi="仿宋_GB2312"/>
          <w:szCs w:val="32"/>
        </w:rPr>
        <w:t>财建</w:t>
      </w:r>
      <w:r>
        <w:rPr>
          <w:rFonts w:ascii="仿宋_GB2312" w:hAnsi="仿宋_GB2312" w:hint="eastAsia"/>
          <w:szCs w:val="32"/>
        </w:rPr>
        <w:t>[</w:t>
      </w:r>
      <w:r>
        <w:rPr>
          <w:rFonts w:ascii="仿宋_GB2312" w:hAnsi="仿宋_GB2312"/>
          <w:szCs w:val="32"/>
        </w:rPr>
        <w:t>2020</w:t>
      </w:r>
      <w:r>
        <w:rPr>
          <w:rFonts w:ascii="仿宋_GB2312" w:hAnsi="仿宋_GB2312" w:hint="eastAsia"/>
          <w:szCs w:val="32"/>
        </w:rPr>
        <w:t>]</w:t>
      </w:r>
      <w:r>
        <w:rPr>
          <w:rFonts w:ascii="仿宋_GB2312" w:hAnsi="仿宋_GB2312"/>
          <w:szCs w:val="32"/>
        </w:rPr>
        <w:t>57</w:t>
      </w:r>
      <w:r>
        <w:rPr>
          <w:rFonts w:ascii="仿宋_GB2312" w:hAnsi="仿宋_GB2312" w:hint="eastAsia"/>
          <w:szCs w:val="32"/>
        </w:rPr>
        <w:t>号）文件</w:t>
      </w:r>
      <w:r>
        <w:rPr>
          <w:rFonts w:ascii="仿宋_GB2312" w:hAnsi="仿宋_GB2312"/>
          <w:szCs w:val="32"/>
        </w:rPr>
        <w:t>下达资金</w:t>
      </w:r>
      <w:r>
        <w:rPr>
          <w:rFonts w:ascii="仿宋_GB2312" w:hAnsi="仿宋_GB2312" w:hint="eastAsia"/>
          <w:szCs w:val="32"/>
        </w:rPr>
        <w:t>100万元</w:t>
      </w:r>
      <w:r>
        <w:rPr>
          <w:rFonts w:ascii="仿宋_GB2312" w:hAnsi="仿宋_GB2312"/>
          <w:szCs w:val="32"/>
        </w:rPr>
        <w:t>。</w:t>
      </w:r>
    </w:p>
    <w:p w:rsidR="00CD1EDA" w:rsidRPr="0070027F" w:rsidRDefault="0070027F" w:rsidP="0070027F">
      <w:pPr>
        <w:spacing w:line="540" w:lineRule="exact"/>
        <w:ind w:firstLineChars="200" w:firstLine="632"/>
        <w:jc w:val="left"/>
        <w:rPr>
          <w:rFonts w:ascii="仿宋_GB2312" w:hAnsi="仿宋_GB2312"/>
          <w:szCs w:val="32"/>
        </w:rPr>
      </w:pPr>
      <w:r>
        <w:rPr>
          <w:rFonts w:hint="eastAsia"/>
          <w:lang w:val="en-GB"/>
        </w:rPr>
        <w:t>资金使用：</w:t>
      </w:r>
      <w:r>
        <w:rPr>
          <w:rFonts w:hint="eastAsia"/>
          <w:lang w:val="en-GB"/>
        </w:rPr>
        <w:t>2020</w:t>
      </w:r>
      <w:r>
        <w:rPr>
          <w:rFonts w:hint="eastAsia"/>
          <w:lang w:val="en-GB"/>
        </w:rPr>
        <w:t>年区卫健局</w:t>
      </w:r>
      <w:r>
        <w:rPr>
          <w:lang w:val="en-GB"/>
        </w:rPr>
        <w:t>拨</w:t>
      </w:r>
      <w:r>
        <w:rPr>
          <w:rFonts w:hint="eastAsia"/>
          <w:lang w:val="en-GB"/>
        </w:rPr>
        <w:t>付资金</w:t>
      </w:r>
      <w:r>
        <w:rPr>
          <w:lang w:val="en-GB"/>
        </w:rPr>
        <w:t>100</w:t>
      </w:r>
      <w:r>
        <w:rPr>
          <w:rFonts w:hint="eastAsia"/>
          <w:lang w:val="en-GB"/>
        </w:rPr>
        <w:t>元</w:t>
      </w:r>
      <w:r>
        <w:rPr>
          <w:lang w:val="en-GB"/>
        </w:rPr>
        <w:t>给</w:t>
      </w:r>
      <w:r>
        <w:rPr>
          <w:rFonts w:hint="eastAsia"/>
          <w:lang w:val="en-GB"/>
        </w:rPr>
        <w:t>东川区</w:t>
      </w:r>
      <w:r>
        <w:rPr>
          <w:lang w:val="en-GB"/>
        </w:rPr>
        <w:t>超群幼儿园用于普惠托育项目建设，</w:t>
      </w:r>
      <w:r>
        <w:rPr>
          <w:rFonts w:hint="eastAsia"/>
          <w:lang w:val="en-GB"/>
        </w:rPr>
        <w:t>资金</w:t>
      </w:r>
      <w:r>
        <w:rPr>
          <w:lang w:val="en-GB"/>
        </w:rPr>
        <w:t>使用率</w:t>
      </w:r>
      <w:r>
        <w:rPr>
          <w:rFonts w:hint="eastAsia"/>
          <w:lang w:val="en-GB"/>
        </w:rPr>
        <w:t>100</w:t>
      </w:r>
      <w:r>
        <w:rPr>
          <w:lang w:val="en-GB"/>
        </w:rPr>
        <w:t>%</w:t>
      </w:r>
      <w:r>
        <w:rPr>
          <w:lang w:val="en-GB"/>
        </w:rPr>
        <w:t>。</w:t>
      </w:r>
    </w:p>
    <w:p w:rsidR="00354C3C" w:rsidRDefault="00062171" w:rsidP="00CD1EDA">
      <w:pPr>
        <w:topLinePunct/>
        <w:spacing w:line="540" w:lineRule="exact"/>
        <w:ind w:firstLineChars="250" w:firstLine="790"/>
        <w:rPr>
          <w:rFonts w:ascii="仿宋_GB2312" w:hAnsi="楷体"/>
          <w:szCs w:val="32"/>
        </w:rPr>
      </w:pPr>
      <w:r>
        <w:rPr>
          <w:rFonts w:ascii="仿宋_GB2312" w:hAnsi="楷体" w:hint="eastAsia"/>
          <w:szCs w:val="32"/>
        </w:rPr>
        <w:t>4.组织及管理情况。</w:t>
      </w:r>
    </w:p>
    <w:p w:rsidR="0070027F" w:rsidRDefault="00A95C12" w:rsidP="00CD1EDA">
      <w:pPr>
        <w:topLinePunct/>
        <w:spacing w:line="540" w:lineRule="exact"/>
        <w:ind w:firstLineChars="250" w:firstLine="790"/>
        <w:rPr>
          <w:rFonts w:ascii="仿宋_GB2312" w:hAnsi="楷体"/>
          <w:szCs w:val="32"/>
        </w:rPr>
      </w:pPr>
      <w:r>
        <w:rPr>
          <w:rFonts w:ascii="仿宋_GB2312" w:hAnsi="楷体" w:hint="eastAsia"/>
          <w:szCs w:val="32"/>
        </w:rPr>
        <w:t>根据</w:t>
      </w:r>
      <w:r>
        <w:rPr>
          <w:rFonts w:ascii="仿宋_GB2312" w:hAnsi="楷体"/>
          <w:szCs w:val="32"/>
        </w:rPr>
        <w:t>《</w:t>
      </w:r>
      <w:r>
        <w:rPr>
          <w:rFonts w:ascii="仿宋_GB2312" w:hAnsi="楷体" w:hint="eastAsia"/>
          <w:szCs w:val="32"/>
        </w:rPr>
        <w:t>关于</w:t>
      </w:r>
      <w:r>
        <w:rPr>
          <w:rFonts w:ascii="仿宋_GB2312" w:hAnsi="楷体"/>
          <w:szCs w:val="32"/>
        </w:rPr>
        <w:t>抓紧开展</w:t>
      </w:r>
      <w:r>
        <w:rPr>
          <w:rFonts w:ascii="仿宋_GB2312" w:hAnsi="楷体" w:hint="eastAsia"/>
          <w:szCs w:val="32"/>
        </w:rPr>
        <w:t>惠普托育</w:t>
      </w:r>
      <w:r>
        <w:rPr>
          <w:rFonts w:ascii="仿宋_GB2312" w:hAnsi="楷体"/>
          <w:szCs w:val="32"/>
        </w:rPr>
        <w:t>项目储备</w:t>
      </w:r>
      <w:r>
        <w:rPr>
          <w:rFonts w:ascii="仿宋_GB2312" w:hAnsi="楷体" w:hint="eastAsia"/>
          <w:szCs w:val="32"/>
        </w:rPr>
        <w:t>及</w:t>
      </w:r>
      <w:r>
        <w:rPr>
          <w:rFonts w:ascii="仿宋_GB2312" w:hAnsi="楷体"/>
          <w:szCs w:val="32"/>
        </w:rPr>
        <w:t>中央资金申报工作的通知》</w:t>
      </w:r>
      <w:r>
        <w:rPr>
          <w:rFonts w:ascii="仿宋_GB2312" w:hAnsi="楷体" w:hint="eastAsia"/>
          <w:szCs w:val="32"/>
        </w:rPr>
        <w:t>，</w:t>
      </w:r>
      <w:r>
        <w:rPr>
          <w:rFonts w:ascii="仿宋_GB2312" w:hAnsi="楷体"/>
          <w:szCs w:val="32"/>
        </w:rPr>
        <w:t>东川区卫健局</w:t>
      </w:r>
      <w:r>
        <w:rPr>
          <w:rFonts w:ascii="仿宋_GB2312" w:hAnsi="楷体" w:hint="eastAsia"/>
          <w:szCs w:val="32"/>
        </w:rPr>
        <w:t>、</w:t>
      </w:r>
      <w:r>
        <w:rPr>
          <w:rFonts w:ascii="仿宋_GB2312" w:hAnsi="楷体"/>
          <w:szCs w:val="32"/>
        </w:rPr>
        <w:t>东川区发改局共同申报报项目，</w:t>
      </w:r>
      <w:r>
        <w:rPr>
          <w:rFonts w:ascii="仿宋_GB2312" w:hAnsi="楷体" w:hint="eastAsia"/>
          <w:szCs w:val="32"/>
        </w:rPr>
        <w:t>项目</w:t>
      </w:r>
      <w:r>
        <w:rPr>
          <w:rFonts w:ascii="仿宋_GB2312" w:hAnsi="楷体"/>
          <w:szCs w:val="32"/>
        </w:rPr>
        <w:t>资金</w:t>
      </w:r>
      <w:r>
        <w:rPr>
          <w:rFonts w:ascii="仿宋_GB2312" w:hAnsi="楷体" w:hint="eastAsia"/>
          <w:szCs w:val="32"/>
        </w:rPr>
        <w:t>下达</w:t>
      </w:r>
      <w:r>
        <w:rPr>
          <w:rFonts w:ascii="仿宋_GB2312" w:hAnsi="楷体"/>
          <w:szCs w:val="32"/>
        </w:rPr>
        <w:t>至东川区</w:t>
      </w:r>
      <w:r>
        <w:rPr>
          <w:rFonts w:ascii="仿宋_GB2312" w:hAnsi="楷体" w:hint="eastAsia"/>
          <w:szCs w:val="32"/>
        </w:rPr>
        <w:t>卫健局</w:t>
      </w:r>
      <w:r>
        <w:rPr>
          <w:rFonts w:ascii="仿宋_GB2312" w:hAnsi="楷体"/>
          <w:szCs w:val="32"/>
        </w:rPr>
        <w:t>，东川区卫健局</w:t>
      </w:r>
      <w:r>
        <w:rPr>
          <w:rFonts w:ascii="仿宋_GB2312" w:hAnsi="楷体" w:hint="eastAsia"/>
          <w:szCs w:val="32"/>
        </w:rPr>
        <w:t>与</w:t>
      </w:r>
      <w:r>
        <w:rPr>
          <w:rFonts w:ascii="仿宋_GB2312" w:hAnsi="楷体"/>
          <w:szCs w:val="32"/>
        </w:rPr>
        <w:t>发改局根据项目实施情况将资金拨付至项目实施单位，并对项目资金使用进行监督</w:t>
      </w:r>
      <w:r w:rsidR="0008228D">
        <w:rPr>
          <w:rFonts w:ascii="仿宋_GB2312" w:hAnsi="楷体" w:hint="eastAsia"/>
          <w:szCs w:val="32"/>
        </w:rPr>
        <w:t>。</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lastRenderedPageBreak/>
        <w:t>1.总目标。</w:t>
      </w:r>
    </w:p>
    <w:p w:rsidR="00A95C12" w:rsidRPr="00A95C12" w:rsidRDefault="00A95C12" w:rsidP="00A95C12">
      <w:pPr>
        <w:ind w:firstLineChars="200" w:firstLine="632"/>
        <w:rPr>
          <w:lang w:val="en-GB"/>
        </w:rPr>
      </w:pPr>
      <w:r w:rsidRPr="008E208E">
        <w:rPr>
          <w:rFonts w:hint="eastAsia"/>
          <w:lang w:val="en-GB"/>
        </w:rPr>
        <w:t>建成一批具有带动效应、承担一定指导功能的示范性托育服务机构，社区托育服务骨干网基本完善，普惠性托位数量大幅增加，服务内容不断丰富，服务质量明显提升，对专业人才队伍建设支撑更加有力，对家庭科学养育指导能力持续增强，更多更好惠及婴幼儿家庭。</w:t>
      </w:r>
    </w:p>
    <w:p w:rsidR="00E31049" w:rsidRDefault="00062171">
      <w:pPr>
        <w:topLinePunct/>
        <w:spacing w:line="540" w:lineRule="exact"/>
        <w:ind w:firstLineChars="250" w:firstLine="790"/>
        <w:rPr>
          <w:rFonts w:ascii="仿宋_GB2312" w:hAnsi="楷体"/>
          <w:szCs w:val="32"/>
        </w:rPr>
      </w:pPr>
      <w:r w:rsidRPr="00A95C12">
        <w:rPr>
          <w:rFonts w:ascii="仿宋_GB2312" w:hAnsi="楷体" w:hint="eastAsia"/>
          <w:szCs w:val="32"/>
        </w:rPr>
        <w:t>2.年度目标。</w:t>
      </w:r>
    </w:p>
    <w:p w:rsidR="00A95C12" w:rsidRPr="00A95C12" w:rsidRDefault="00A95C12">
      <w:pPr>
        <w:topLinePunct/>
        <w:spacing w:line="540" w:lineRule="exact"/>
        <w:ind w:firstLineChars="250" w:firstLine="790"/>
        <w:rPr>
          <w:rFonts w:ascii="仿宋_GB2312" w:hAnsi="楷体"/>
          <w:szCs w:val="32"/>
        </w:rPr>
      </w:pPr>
      <w:r w:rsidRPr="00A95C12">
        <w:rPr>
          <w:rFonts w:ascii="仿宋_GB2312" w:hAnsi="楷体" w:hint="eastAsia"/>
          <w:szCs w:val="32"/>
        </w:rPr>
        <w:t>建成一所具有一定指导功能的示范性托育服务机构和社区托育服务设施，提升托育服务水平，为婴幼家庭提供更多更好的托育服务</w:t>
      </w:r>
      <w:r>
        <w:rPr>
          <w:rFonts w:ascii="仿宋_GB2312" w:hAnsi="楷体" w:hint="eastAsia"/>
          <w:szCs w:val="32"/>
        </w:rPr>
        <w:t>。</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70027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（一）绩效评价目的。</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lastRenderedPageBreak/>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lastRenderedPageBreak/>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1C52BA" w:rsidRDefault="001C52BA" w:rsidP="001C52BA">
      <w:pPr>
        <w:ind w:firstLineChars="200" w:firstLine="632"/>
      </w:pPr>
      <w:r>
        <w:rPr>
          <w:rFonts w:hint="eastAsia"/>
        </w:rPr>
        <w:t>经过评价小组对</w:t>
      </w:r>
      <w:r>
        <w:rPr>
          <w:rFonts w:hint="eastAsia"/>
          <w:lang w:val="en-GB"/>
        </w:rPr>
        <w:t>东川卫健局</w:t>
      </w:r>
      <w:r>
        <w:rPr>
          <w:rFonts w:hint="eastAsia"/>
          <w:lang w:val="en-GB"/>
        </w:rPr>
        <w:t>2019</w:t>
      </w:r>
      <w:r>
        <w:rPr>
          <w:rFonts w:hint="eastAsia"/>
          <w:lang w:val="en-GB"/>
        </w:rPr>
        <w:t>年基本公共卫生服务补助资金的立项、资金落实、业务管理、财务管理、项目产出、项目效益等进行绩效评价，项目的绩效目标能得到实现，总评价得分</w:t>
      </w:r>
      <w:r>
        <w:rPr>
          <w:rFonts w:hint="eastAsia"/>
        </w:rPr>
        <w:t>98.4</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1C52BA" w:rsidRDefault="001C52BA">
      <w:pPr>
        <w:topLinePunct/>
        <w:spacing w:line="540" w:lineRule="exact"/>
        <w:ind w:firstLineChars="250" w:firstLine="790"/>
        <w:rPr>
          <w:rFonts w:ascii="仿宋_GB2312" w:hAnsi="仿宋"/>
          <w:szCs w:val="32"/>
        </w:rPr>
      </w:pP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E31049">
      <w:pPr>
        <w:ind w:firstLineChars="200" w:firstLine="632"/>
      </w:pPr>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A95C12" w:rsidRDefault="00A95C12" w:rsidP="00A95C12">
      <w:pPr>
        <w:ind w:firstLineChars="200" w:firstLine="632"/>
        <w:rPr>
          <w:lang w:val="en-GB"/>
        </w:rPr>
      </w:pPr>
      <w:r>
        <w:rPr>
          <w:rFonts w:hint="eastAsia"/>
          <w:lang w:val="en-GB"/>
        </w:rPr>
        <w:t>根据《</w:t>
      </w:r>
      <w:r w:rsidRPr="008E208E">
        <w:rPr>
          <w:rFonts w:hint="eastAsia"/>
          <w:lang w:val="en-GB"/>
        </w:rPr>
        <w:t>国家发展改革委办公厅</w:t>
      </w:r>
      <w:r w:rsidRPr="008E208E">
        <w:rPr>
          <w:rFonts w:hint="eastAsia"/>
          <w:lang w:val="en-GB"/>
        </w:rPr>
        <w:t xml:space="preserve"> </w:t>
      </w:r>
      <w:r w:rsidRPr="008E208E">
        <w:rPr>
          <w:rFonts w:hint="eastAsia"/>
          <w:lang w:val="en-GB"/>
        </w:rPr>
        <w:t>国家卫生健康委办公厅关于组织实施普惠托育服务专项行动的通知</w:t>
      </w:r>
      <w:r>
        <w:rPr>
          <w:rFonts w:hint="eastAsia"/>
          <w:lang w:val="en-GB"/>
        </w:rPr>
        <w:t>》（</w:t>
      </w:r>
      <w:r w:rsidRPr="008E208E">
        <w:rPr>
          <w:rFonts w:hint="eastAsia"/>
          <w:lang w:val="en-GB"/>
        </w:rPr>
        <w:t>发改办社会〔</w:t>
      </w:r>
      <w:r w:rsidRPr="008E208E">
        <w:rPr>
          <w:rFonts w:hint="eastAsia"/>
          <w:lang w:val="en-GB"/>
        </w:rPr>
        <w:t>2020</w:t>
      </w:r>
      <w:r w:rsidRPr="008E208E">
        <w:rPr>
          <w:rFonts w:hint="eastAsia"/>
          <w:lang w:val="en-GB"/>
        </w:rPr>
        <w:t>〕</w:t>
      </w:r>
      <w:r w:rsidRPr="008E208E">
        <w:rPr>
          <w:rFonts w:hint="eastAsia"/>
          <w:lang w:val="en-GB"/>
        </w:rPr>
        <w:t>74</w:t>
      </w:r>
      <w:r w:rsidRPr="008E208E">
        <w:rPr>
          <w:rFonts w:hint="eastAsia"/>
          <w:lang w:val="en-GB"/>
        </w:rPr>
        <w:t>号</w:t>
      </w:r>
      <w:r>
        <w:rPr>
          <w:rFonts w:hint="eastAsia"/>
          <w:lang w:val="en-GB"/>
        </w:rPr>
        <w:t>）、</w:t>
      </w:r>
      <w:r w:rsidRPr="008E208E">
        <w:rPr>
          <w:rFonts w:hint="eastAsia"/>
          <w:lang w:val="en-GB"/>
        </w:rPr>
        <w:t>《国务院办公厅关于促进</w:t>
      </w:r>
      <w:r w:rsidRPr="008E208E">
        <w:rPr>
          <w:rFonts w:hint="eastAsia"/>
          <w:lang w:val="en-GB"/>
        </w:rPr>
        <w:t>3</w:t>
      </w:r>
      <w:r w:rsidRPr="008E208E">
        <w:rPr>
          <w:rFonts w:hint="eastAsia"/>
          <w:lang w:val="en-GB"/>
        </w:rPr>
        <w:t>岁以下婴幼儿照护服务发展的指导意见》</w:t>
      </w:r>
      <w:r>
        <w:rPr>
          <w:rFonts w:hint="eastAsia"/>
          <w:lang w:val="en-GB"/>
        </w:rPr>
        <w:t>和《</w:t>
      </w:r>
      <w:r w:rsidRPr="008E208E">
        <w:rPr>
          <w:rFonts w:hint="eastAsia"/>
          <w:lang w:val="en-GB"/>
        </w:rPr>
        <w:t>支持社会力量发展普惠托育服务专项行动实施方案（试行）</w:t>
      </w:r>
      <w:r>
        <w:rPr>
          <w:rFonts w:hint="eastAsia"/>
          <w:lang w:val="en-GB"/>
        </w:rPr>
        <w:t>》等</w:t>
      </w:r>
      <w:r>
        <w:rPr>
          <w:lang w:val="en-GB"/>
        </w:rPr>
        <w:t>文件要求，</w:t>
      </w:r>
      <w:r>
        <w:rPr>
          <w:rFonts w:hint="eastAsia"/>
          <w:lang w:val="en-GB"/>
        </w:rPr>
        <w:t>3</w:t>
      </w:r>
      <w:r w:rsidRPr="008E208E">
        <w:rPr>
          <w:rFonts w:hint="eastAsia"/>
          <w:lang w:val="en-GB"/>
        </w:rPr>
        <w:t>岁以下托育服务属于非基本公共服务范围，是地方政府事权，要坚持社会化发展托育服务，围绕“政府引导、多方参与、社会运营、普惠可及”，深入开展城企合作。国家通过中央预算内投资，支持和引导城市政府（包括设区市、自</w:t>
      </w:r>
      <w:r w:rsidRPr="008E208E">
        <w:rPr>
          <w:rFonts w:hint="eastAsia"/>
          <w:lang w:val="en-GB"/>
        </w:rPr>
        <w:lastRenderedPageBreak/>
        <w:t>治州和县（市、区）等，下同）系统规划建设托育服务体系。城市政府提供全方位政策支持清单。企业（含企业、事业单位、社会组织等，下同）提供普惠托育服务清单，向社会公开、接受监督。城企双方签订合作协议，扩大普惠性托育服务有效供给，满足家庭多层次、多样化托育服务需求，增强人民群众获得感、幸福感和安全感。建成一批具有带动效应、承担一定指导功能的示范性托育服务机构，社区托育服务骨干网基本完善，普惠性托位数量大幅增加，服务内容不断丰富，服务质量明显提升，对专业人才队伍建设支撑更加有力，对家庭科学养育指导能力持续增强，更多更好惠及婴幼儿家庭。</w:t>
      </w:r>
    </w:p>
    <w:p w:rsidR="001C52BA" w:rsidRDefault="001C52BA" w:rsidP="001C52BA">
      <w:pPr>
        <w:ind w:firstLineChars="200" w:firstLine="632"/>
      </w:pPr>
      <w:r w:rsidRPr="001C52BA">
        <w:rPr>
          <w:rFonts w:hint="eastAsia"/>
        </w:rPr>
        <w:t>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A95C12" w:rsidRPr="00A95C12" w:rsidRDefault="001C52BA" w:rsidP="00A95C12">
      <w:pPr>
        <w:topLinePunct/>
        <w:spacing w:line="540" w:lineRule="exact"/>
        <w:ind w:firstLineChars="250" w:firstLine="790"/>
        <w:rPr>
          <w:rFonts w:ascii="仿宋_GB2312" w:hAnsi="楷体"/>
          <w:szCs w:val="32"/>
        </w:rPr>
      </w:pPr>
      <w:r>
        <w:rPr>
          <w:rFonts w:hint="eastAsia"/>
          <w:lang w:val="en-GB"/>
        </w:rPr>
        <w:t>东川卫健局制定的项目年度目标为：</w:t>
      </w:r>
      <w:r w:rsidR="00A95C12" w:rsidRPr="00A95C12">
        <w:rPr>
          <w:rFonts w:ascii="仿宋_GB2312" w:hAnsi="楷体" w:hint="eastAsia"/>
          <w:szCs w:val="32"/>
        </w:rPr>
        <w:t>建成一所具有一定指导功能的示范性托育服务机构和社区托育服务设施，提升托育服务水平，为婴幼家庭提供更多更好的托育服务</w:t>
      </w:r>
      <w:r w:rsidR="00A95C12">
        <w:rPr>
          <w:rFonts w:ascii="仿宋_GB2312" w:hAnsi="楷体" w:hint="eastAsia"/>
          <w:szCs w:val="32"/>
        </w:rPr>
        <w:t>。</w:t>
      </w:r>
    </w:p>
    <w:p w:rsidR="001C52BA" w:rsidRDefault="001C52BA" w:rsidP="001C52BA">
      <w:pPr>
        <w:ind w:firstLineChars="200" w:firstLine="632"/>
        <w:rPr>
          <w:lang w:val="en-GB"/>
        </w:rPr>
      </w:pPr>
      <w:r>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lastRenderedPageBreak/>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A95C12" w:rsidRPr="005C5216" w:rsidRDefault="00A95C12" w:rsidP="00E31049">
      <w:pPr>
        <w:ind w:firstLineChars="200" w:firstLine="632"/>
        <w:rPr>
          <w:lang w:val="en-GB"/>
        </w:rPr>
      </w:pPr>
      <w:r>
        <w:rPr>
          <w:rFonts w:hint="eastAsia"/>
          <w:lang w:val="en-GB"/>
        </w:rPr>
        <w:t>根据</w:t>
      </w:r>
      <w:r w:rsidRPr="00A95C12">
        <w:rPr>
          <w:rFonts w:hint="eastAsia"/>
          <w:lang w:val="en-GB"/>
        </w:rPr>
        <w:t>《昆明市财政局关于下达</w:t>
      </w:r>
      <w:r w:rsidRPr="00A95C12">
        <w:rPr>
          <w:rFonts w:hint="eastAsia"/>
          <w:lang w:val="en-GB"/>
        </w:rPr>
        <w:t>2020</w:t>
      </w:r>
      <w:r w:rsidRPr="00A95C12">
        <w:rPr>
          <w:rFonts w:hint="eastAsia"/>
          <w:lang w:val="en-GB"/>
        </w:rPr>
        <w:t>年教育现代化推进工程普惠托育服务专项行动中央基建投资预算的通知》（昆财建</w:t>
      </w:r>
      <w:r w:rsidRPr="00A95C12">
        <w:rPr>
          <w:rFonts w:hint="eastAsia"/>
          <w:lang w:val="en-GB"/>
        </w:rPr>
        <w:t>[2020]57</w:t>
      </w:r>
      <w:r w:rsidRPr="00A95C12">
        <w:rPr>
          <w:rFonts w:hint="eastAsia"/>
          <w:lang w:val="en-GB"/>
        </w:rPr>
        <w:t>号）文件</w:t>
      </w:r>
      <w:r>
        <w:rPr>
          <w:rFonts w:hint="eastAsia"/>
          <w:lang w:val="en-GB"/>
        </w:rPr>
        <w:t>，安排</w:t>
      </w:r>
      <w:r>
        <w:rPr>
          <w:lang w:val="en-GB"/>
        </w:rPr>
        <w:t>中央预算内投资</w:t>
      </w:r>
      <w:r>
        <w:rPr>
          <w:rFonts w:hint="eastAsia"/>
          <w:lang w:val="en-GB"/>
        </w:rPr>
        <w:t>100</w:t>
      </w:r>
      <w:r>
        <w:rPr>
          <w:rFonts w:hint="eastAsia"/>
          <w:lang w:val="en-GB"/>
        </w:rPr>
        <w:t>万元</w:t>
      </w:r>
      <w:r>
        <w:rPr>
          <w:lang w:val="en-GB"/>
        </w:rPr>
        <w:t>用于项目建设，项目资金已拨付至项目实施单位，</w:t>
      </w:r>
      <w:r w:rsidR="0008228D">
        <w:rPr>
          <w:rFonts w:hint="eastAsia"/>
          <w:lang w:val="en-GB"/>
        </w:rPr>
        <w:t>目前</w:t>
      </w:r>
      <w:r w:rsidR="0008228D" w:rsidRPr="0008228D">
        <w:rPr>
          <w:rFonts w:hint="eastAsia"/>
          <w:lang w:val="en-GB"/>
        </w:rPr>
        <w:t>超群精致示范性托育服务中心建设项目</w:t>
      </w:r>
      <w:r w:rsidR="0008228D">
        <w:rPr>
          <w:rFonts w:hint="eastAsia"/>
          <w:lang w:val="en-GB"/>
        </w:rPr>
        <w:t>已通过</w:t>
      </w:r>
      <w:r w:rsidR="0008228D">
        <w:rPr>
          <w:lang w:val="en-GB"/>
        </w:rPr>
        <w:t>验收</w:t>
      </w:r>
      <w:r w:rsidR="0008228D">
        <w:rPr>
          <w:rFonts w:hint="eastAsia"/>
          <w:lang w:val="en-GB"/>
        </w:rPr>
        <w:t>。</w:t>
      </w:r>
    </w:p>
    <w:p w:rsidR="001C52BA" w:rsidRPr="001C52BA" w:rsidRDefault="001C52BA" w:rsidP="001C52BA">
      <w:pPr>
        <w:ind w:firstLineChars="200" w:firstLine="632"/>
        <w:rPr>
          <w:lang w:val="en-GB"/>
        </w:rPr>
      </w:pPr>
      <w:r w:rsidRPr="001C52BA">
        <w:rPr>
          <w:rFonts w:hint="eastAsia"/>
          <w:lang w:val="en-GB"/>
        </w:rPr>
        <w:t>经评价，东川卫健局对</w:t>
      </w:r>
      <w:r>
        <w:rPr>
          <w:lang w:val="en-GB"/>
        </w:rPr>
        <w:t>2020</w:t>
      </w:r>
      <w:r w:rsidRPr="001C52BA">
        <w:rPr>
          <w:rFonts w:hint="eastAsia"/>
          <w:lang w:val="en-GB"/>
        </w:rPr>
        <w:t>年</w:t>
      </w:r>
      <w:r w:rsidR="0008228D" w:rsidRPr="0008228D">
        <w:rPr>
          <w:rFonts w:hint="eastAsia"/>
          <w:lang w:val="en-GB"/>
        </w:rPr>
        <w:t>教育现代化推进工程普惠托育服务专项行动资金项目</w:t>
      </w:r>
      <w:r w:rsidRPr="001C52BA">
        <w:rPr>
          <w:rFonts w:hint="eastAsia"/>
          <w:lang w:val="en-GB"/>
        </w:rPr>
        <w:t>的预算编制充分、合理、预算项目反应完整，</w:t>
      </w:r>
      <w:r w:rsidRPr="001C52BA">
        <w:rPr>
          <w:rFonts w:hint="eastAsia"/>
          <w:lang w:val="en-GB"/>
        </w:rPr>
        <w:t xml:space="preserve"> </w:t>
      </w:r>
      <w:r w:rsidR="006100E3">
        <w:rPr>
          <w:lang w:val="en-GB"/>
        </w:rPr>
        <w:t>2020</w:t>
      </w:r>
      <w:r w:rsidRPr="001C52BA">
        <w:rPr>
          <w:rFonts w:hint="eastAsia"/>
          <w:lang w:val="en-GB"/>
        </w:rPr>
        <w:t>年经测算预算执行率达到</w:t>
      </w:r>
      <w:r w:rsidR="0008228D">
        <w:rPr>
          <w:lang w:val="en-GB"/>
        </w:rPr>
        <w:t>100</w:t>
      </w:r>
      <w:r w:rsidRPr="001C52BA">
        <w:rPr>
          <w:rFonts w:hint="eastAsia"/>
          <w:lang w:val="en-GB"/>
        </w:rPr>
        <w:t>%</w:t>
      </w:r>
      <w:r w:rsidRPr="001C52BA">
        <w:rPr>
          <w:rFonts w:hint="eastAsia"/>
          <w:lang w:val="en-GB"/>
        </w:rPr>
        <w:t>。</w:t>
      </w:r>
    </w:p>
    <w:p w:rsidR="00E31049" w:rsidRPr="005C5216" w:rsidRDefault="001C52BA" w:rsidP="001C52BA">
      <w:pPr>
        <w:ind w:firstLineChars="200" w:firstLine="632"/>
        <w:rPr>
          <w:lang w:val="en-GB"/>
        </w:rPr>
      </w:pPr>
      <w:r w:rsidRPr="001C52BA">
        <w:rPr>
          <w:rFonts w:hint="eastAsia"/>
          <w:lang w:val="en-GB"/>
        </w:rPr>
        <w:t>本项指标满分</w:t>
      </w:r>
      <w:r w:rsidRPr="001C52BA">
        <w:rPr>
          <w:rFonts w:hint="eastAsia"/>
          <w:lang w:val="en-GB"/>
        </w:rPr>
        <w:t>4</w:t>
      </w:r>
      <w:r w:rsidRPr="001C52BA">
        <w:rPr>
          <w:rFonts w:hint="eastAsia"/>
          <w:lang w:val="en-GB"/>
        </w:rPr>
        <w:t>分，评价得分</w:t>
      </w:r>
      <w:r w:rsidR="0008228D">
        <w:rPr>
          <w:lang w:val="en-GB"/>
        </w:rPr>
        <w:t>4</w:t>
      </w:r>
      <w:r w:rsidRPr="001C52BA">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留、挤占、挪用、虚列支出等情况。财务管理制度健全，制定有《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6100E3" w:rsidRDefault="0008228D" w:rsidP="00E31049">
      <w:pPr>
        <w:ind w:firstLineChars="200" w:firstLine="632"/>
        <w:rPr>
          <w:lang w:val="en-GB"/>
        </w:rPr>
      </w:pPr>
      <w:r>
        <w:rPr>
          <w:rFonts w:hint="eastAsia"/>
          <w:lang w:val="en-GB"/>
        </w:rPr>
        <w:t>项目由</w:t>
      </w:r>
      <w:r>
        <w:rPr>
          <w:lang w:val="en-GB"/>
        </w:rPr>
        <w:t>东川区超群幼儿园</w:t>
      </w:r>
      <w:r>
        <w:rPr>
          <w:rFonts w:hint="eastAsia"/>
          <w:lang w:val="en-GB"/>
        </w:rPr>
        <w:t>具体实施</w:t>
      </w:r>
      <w:r>
        <w:rPr>
          <w:lang w:val="en-GB"/>
        </w:rPr>
        <w:t>，</w:t>
      </w:r>
      <w:r w:rsidRPr="0008228D">
        <w:rPr>
          <w:rFonts w:hint="eastAsia"/>
          <w:lang w:val="en-GB"/>
        </w:rPr>
        <w:t>建设在东川区新桥河下</w:t>
      </w:r>
      <w:r w:rsidRPr="0008228D">
        <w:rPr>
          <w:rFonts w:hint="eastAsia"/>
          <w:lang w:val="en-GB"/>
        </w:rPr>
        <w:lastRenderedPageBreak/>
        <w:t>段超群幼儿园内，占地总面积</w:t>
      </w:r>
      <w:r w:rsidRPr="0008228D">
        <w:rPr>
          <w:rFonts w:hint="eastAsia"/>
          <w:lang w:val="en-GB"/>
        </w:rPr>
        <w:t>1665</w:t>
      </w:r>
      <w:r w:rsidRPr="0008228D">
        <w:rPr>
          <w:rFonts w:hint="eastAsia"/>
          <w:lang w:val="en-GB"/>
        </w:rPr>
        <w:t>平方米，建筑面积</w:t>
      </w:r>
      <w:r w:rsidRPr="0008228D">
        <w:rPr>
          <w:rFonts w:hint="eastAsia"/>
          <w:lang w:val="en-GB"/>
        </w:rPr>
        <w:t>1200</w:t>
      </w:r>
      <w:r w:rsidRPr="0008228D">
        <w:rPr>
          <w:rFonts w:hint="eastAsia"/>
          <w:lang w:val="en-GB"/>
        </w:rPr>
        <w:t>平方米，新建托位</w:t>
      </w:r>
      <w:r w:rsidRPr="0008228D">
        <w:rPr>
          <w:rFonts w:hint="eastAsia"/>
          <w:lang w:val="en-GB"/>
        </w:rPr>
        <w:t>100</w:t>
      </w:r>
      <w:r w:rsidRPr="0008228D">
        <w:rPr>
          <w:rFonts w:hint="eastAsia"/>
          <w:lang w:val="en-GB"/>
        </w:rPr>
        <w:t>个。根据《托儿所建筑设计规范》，内设独立活动室、亲子活动室、保健观察室、晨检区域、配奶间、哺乳室、户外活动场地、系统的安全保护监控系统。包括主题探索区、运动区、空间建构区、安静活动区、自然科学区、逻辑思维区、艺术区、音乐表演区、图书区等</w:t>
      </w:r>
      <w:r w:rsidRPr="0008228D">
        <w:rPr>
          <w:rFonts w:hint="eastAsia"/>
          <w:lang w:val="en-GB"/>
        </w:rPr>
        <w:t>9</w:t>
      </w:r>
      <w:r w:rsidRPr="0008228D">
        <w:rPr>
          <w:rFonts w:hint="eastAsia"/>
          <w:lang w:val="en-GB"/>
        </w:rPr>
        <w:t>个开放区域</w:t>
      </w:r>
      <w:r w:rsidR="006100E3" w:rsidRPr="006100E3">
        <w:rPr>
          <w:rFonts w:hint="eastAsia"/>
          <w:lang w:val="en-GB"/>
        </w:rPr>
        <w:t>项</w:t>
      </w:r>
      <w:r>
        <w:rPr>
          <w:rFonts w:hint="eastAsia"/>
          <w:lang w:val="en-GB"/>
        </w:rPr>
        <w:t>。区卫健</w:t>
      </w:r>
      <w:r>
        <w:rPr>
          <w:lang w:val="en-GB"/>
        </w:rPr>
        <w:t>局与区发改局对项目实施情况进行</w:t>
      </w:r>
      <w:r>
        <w:rPr>
          <w:rFonts w:hint="eastAsia"/>
          <w:lang w:val="en-GB"/>
        </w:rPr>
        <w:t>监督</w:t>
      </w:r>
      <w:r>
        <w:rPr>
          <w:lang w:val="en-GB"/>
        </w:rPr>
        <w:t>，项</w:t>
      </w:r>
      <w:r w:rsidR="006100E3" w:rsidRPr="006100E3">
        <w:rPr>
          <w:rFonts w:hint="eastAsia"/>
          <w:lang w:val="en-GB"/>
        </w:rPr>
        <w:t>目实施管理制度基本健全，对项目实施过程建立了台账记录管理。</w:t>
      </w:r>
    </w:p>
    <w:p w:rsidR="00E31049" w:rsidRPr="005C5216" w:rsidRDefault="005C5216" w:rsidP="00E31049">
      <w:pPr>
        <w:ind w:firstLineChars="200" w:firstLine="632"/>
        <w:rPr>
          <w:lang w:val="en-GB"/>
        </w:rPr>
      </w:pPr>
      <w:r w:rsidRPr="005C5216">
        <w:rPr>
          <w:rFonts w:hint="eastAsia"/>
          <w:lang w:val="en-GB"/>
        </w:rPr>
        <w:t>经评价，</w:t>
      </w:r>
      <w:r w:rsidR="006100E3">
        <w:rPr>
          <w:rFonts w:hint="eastAsia"/>
          <w:lang w:val="en-GB"/>
        </w:rPr>
        <w:t>东川区</w:t>
      </w:r>
      <w:r w:rsidR="006100E3">
        <w:rPr>
          <w:lang w:val="en-GB"/>
        </w:rPr>
        <w:t>卫健局</w:t>
      </w:r>
      <w:r w:rsidR="0008228D" w:rsidRPr="0008228D">
        <w:rPr>
          <w:rFonts w:hint="eastAsia"/>
          <w:lang w:val="en-GB"/>
        </w:rPr>
        <w:t>教育现代化推进工程普惠托育服务专项行动资金</w:t>
      </w:r>
      <w:r w:rsidR="006100E3">
        <w:rPr>
          <w:lang w:val="en-GB"/>
        </w:rPr>
        <w:t>实施符合</w:t>
      </w:r>
      <w:r w:rsidR="006100E3">
        <w:rPr>
          <w:rFonts w:hint="eastAsia"/>
          <w:lang w:val="en-GB"/>
        </w:rPr>
        <w:t>相关</w:t>
      </w:r>
      <w:r w:rsidR="006100E3">
        <w:rPr>
          <w:lang w:val="en-GB"/>
        </w:rPr>
        <w:t>文件要求</w:t>
      </w:r>
      <w:r w:rsidR="006100E3">
        <w:rPr>
          <w:rFonts w:hint="eastAsia"/>
          <w:lang w:val="en-GB"/>
        </w:rPr>
        <w:t>，</w:t>
      </w:r>
      <w:r w:rsidR="0008228D" w:rsidRPr="0008228D">
        <w:rPr>
          <w:rFonts w:hint="eastAsia"/>
          <w:lang w:val="en-GB"/>
        </w:rPr>
        <w:t>项目实施管理制度基本健全，对项目实施过程建立了台账记录管理</w:t>
      </w:r>
      <w:r w:rsidR="006100E3">
        <w:rPr>
          <w:rFonts w:hint="eastAsia"/>
          <w:lang w:val="en-GB"/>
        </w:rPr>
        <w:t>，</w:t>
      </w:r>
      <w:r w:rsidR="006100E3">
        <w:rPr>
          <w:lang w:val="en-GB"/>
        </w:rPr>
        <w:t>台账资料齐全符合相关规定</w:t>
      </w:r>
      <w:r w:rsidR="00E31049" w:rsidRPr="005C5216">
        <w:rPr>
          <w:rFonts w:hint="eastAsia"/>
        </w:rPr>
        <w:t>。</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6100E3">
        <w:rPr>
          <w:lang w:val="en-GB"/>
        </w:rPr>
        <w:t>10</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217" w:type="dxa"/>
        <w:tblInd w:w="113" w:type="dxa"/>
        <w:tblLook w:val="04A0" w:firstRow="1" w:lastRow="0" w:firstColumn="1" w:lastColumn="0" w:noHBand="0" w:noVBand="1"/>
      </w:tblPr>
      <w:tblGrid>
        <w:gridCol w:w="1271"/>
        <w:gridCol w:w="1701"/>
        <w:gridCol w:w="1559"/>
        <w:gridCol w:w="2268"/>
        <w:gridCol w:w="1418"/>
      </w:tblGrid>
      <w:tr w:rsidR="00422965" w:rsidRPr="00422965" w:rsidTr="00422965">
        <w:trPr>
          <w:trHeight w:val="299"/>
        </w:trPr>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二级指标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三级指标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年度指标值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实际完成值</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完成率</w:t>
            </w:r>
          </w:p>
        </w:tc>
      </w:tr>
      <w:tr w:rsidR="00422965" w:rsidRPr="00422965" w:rsidTr="00422965">
        <w:trPr>
          <w:trHeight w:val="585"/>
        </w:trPr>
        <w:tc>
          <w:tcPr>
            <w:tcW w:w="1271" w:type="dxa"/>
            <w:tcBorders>
              <w:top w:val="single" w:sz="4" w:space="0" w:color="auto"/>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数量指标</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新增普惠托育数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100个</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100个</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r>
      <w:tr w:rsidR="00422965" w:rsidRPr="00422965" w:rsidTr="00422965">
        <w:trPr>
          <w:trHeight w:val="270"/>
        </w:trPr>
        <w:tc>
          <w:tcPr>
            <w:tcW w:w="1271"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质量指标</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工程项目验收通过率</w:t>
            </w:r>
          </w:p>
        </w:tc>
        <w:tc>
          <w:tcPr>
            <w:tcW w:w="1559" w:type="dxa"/>
            <w:tcBorders>
              <w:top w:val="nil"/>
              <w:left w:val="nil"/>
              <w:bottom w:val="single" w:sz="4" w:space="0" w:color="auto"/>
              <w:right w:val="single" w:sz="4" w:space="0" w:color="auto"/>
            </w:tcBorders>
            <w:shd w:val="clear" w:color="000000" w:fill="FFFFFF"/>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c>
          <w:tcPr>
            <w:tcW w:w="2268" w:type="dxa"/>
            <w:tcBorders>
              <w:top w:val="nil"/>
              <w:left w:val="nil"/>
              <w:bottom w:val="single" w:sz="4" w:space="0" w:color="auto"/>
              <w:right w:val="single" w:sz="4" w:space="0" w:color="auto"/>
            </w:tcBorders>
            <w:shd w:val="clear" w:color="000000" w:fill="FFFFFF"/>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c>
          <w:tcPr>
            <w:tcW w:w="1418" w:type="dxa"/>
            <w:tcBorders>
              <w:top w:val="nil"/>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r>
    </w:tbl>
    <w:p w:rsidR="00E31049" w:rsidRPr="005C5216" w:rsidRDefault="00E31049" w:rsidP="00422965">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217" w:type="dxa"/>
        <w:tblInd w:w="113" w:type="dxa"/>
        <w:tblLook w:val="04A0" w:firstRow="1" w:lastRow="0" w:firstColumn="1" w:lastColumn="0" w:noHBand="0" w:noVBand="1"/>
      </w:tblPr>
      <w:tblGrid>
        <w:gridCol w:w="2122"/>
        <w:gridCol w:w="2126"/>
        <w:gridCol w:w="1134"/>
        <w:gridCol w:w="1276"/>
        <w:gridCol w:w="1559"/>
      </w:tblGrid>
      <w:tr w:rsidR="00422965" w:rsidRPr="00422965" w:rsidTr="00422965">
        <w:trPr>
          <w:trHeight w:val="402"/>
        </w:trPr>
        <w:tc>
          <w:tcPr>
            <w:tcW w:w="2122"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二级指标</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三级指标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年度指标值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实际完成值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完成率</w:t>
            </w:r>
          </w:p>
        </w:tc>
      </w:tr>
      <w:tr w:rsidR="00422965" w:rsidRPr="00422965" w:rsidTr="00422965">
        <w:trPr>
          <w:trHeight w:val="254"/>
        </w:trPr>
        <w:tc>
          <w:tcPr>
            <w:tcW w:w="2122"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社会效益指标</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社会服务基础设施条件</w:t>
            </w:r>
          </w:p>
        </w:tc>
        <w:tc>
          <w:tcPr>
            <w:tcW w:w="1134"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持续提高</w:t>
            </w:r>
          </w:p>
        </w:tc>
        <w:tc>
          <w:tcPr>
            <w:tcW w:w="1276"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 xml:space="preserve">持续提高　</w:t>
            </w:r>
          </w:p>
        </w:tc>
        <w:tc>
          <w:tcPr>
            <w:tcW w:w="1559"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r>
      <w:tr w:rsidR="00422965" w:rsidRPr="00422965" w:rsidTr="00422965">
        <w:trPr>
          <w:trHeight w:val="582"/>
        </w:trPr>
        <w:tc>
          <w:tcPr>
            <w:tcW w:w="2122"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服务对象满意度指标</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适龄婴幼家庭满意度</w:t>
            </w:r>
          </w:p>
        </w:tc>
        <w:tc>
          <w:tcPr>
            <w:tcW w:w="1134" w:type="dxa"/>
            <w:tcBorders>
              <w:top w:val="nil"/>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≥90%</w:t>
            </w:r>
          </w:p>
        </w:tc>
        <w:tc>
          <w:tcPr>
            <w:tcW w:w="1276" w:type="dxa"/>
            <w:tcBorders>
              <w:top w:val="nil"/>
              <w:left w:val="nil"/>
              <w:bottom w:val="single" w:sz="4" w:space="0" w:color="auto"/>
              <w:right w:val="single" w:sz="4" w:space="0" w:color="auto"/>
            </w:tcBorders>
            <w:shd w:val="clear" w:color="auto" w:fill="auto"/>
            <w:noWrap/>
            <w:vAlign w:val="center"/>
            <w:hideMark/>
          </w:tcPr>
          <w:p w:rsidR="00422965" w:rsidRPr="00422965" w:rsidRDefault="00422965" w:rsidP="00422965">
            <w:pPr>
              <w:widowControl/>
              <w:jc w:val="center"/>
              <w:rPr>
                <w:rFonts w:ascii="宋体" w:eastAsia="宋体" w:hAnsi="宋体" w:cs="宋体"/>
                <w:color w:val="000000"/>
                <w:kern w:val="0"/>
                <w:sz w:val="20"/>
              </w:rPr>
            </w:pPr>
            <w:r w:rsidRPr="00422965">
              <w:rPr>
                <w:rFonts w:ascii="宋体" w:eastAsia="宋体" w:hAnsi="宋体" w:cs="宋体" w:hint="eastAsia"/>
                <w:color w:val="000000"/>
                <w:kern w:val="0"/>
                <w:sz w:val="20"/>
              </w:rPr>
              <w:t>≥90%</w:t>
            </w:r>
          </w:p>
        </w:tc>
        <w:tc>
          <w:tcPr>
            <w:tcW w:w="1559" w:type="dxa"/>
            <w:tcBorders>
              <w:top w:val="nil"/>
              <w:left w:val="nil"/>
              <w:bottom w:val="single" w:sz="4" w:space="0" w:color="auto"/>
              <w:right w:val="single" w:sz="4" w:space="0" w:color="auto"/>
            </w:tcBorders>
            <w:shd w:val="clear" w:color="auto" w:fill="auto"/>
            <w:vAlign w:val="center"/>
            <w:hideMark/>
          </w:tcPr>
          <w:p w:rsidR="00422965" w:rsidRPr="00422965" w:rsidRDefault="00422965" w:rsidP="00422965">
            <w:pPr>
              <w:widowControl/>
              <w:jc w:val="center"/>
              <w:rPr>
                <w:rFonts w:ascii="宋体" w:eastAsia="宋体" w:hAnsi="宋体" w:cs="宋体"/>
                <w:color w:val="000000"/>
                <w:kern w:val="0"/>
                <w:sz w:val="18"/>
                <w:szCs w:val="18"/>
              </w:rPr>
            </w:pPr>
            <w:r w:rsidRPr="00422965">
              <w:rPr>
                <w:rFonts w:ascii="宋体" w:eastAsia="宋体" w:hAnsi="宋体" w:cs="宋体" w:hint="eastAsia"/>
                <w:color w:val="000000"/>
                <w:kern w:val="0"/>
                <w:sz w:val="18"/>
                <w:szCs w:val="18"/>
              </w:rPr>
              <w:t>100%</w:t>
            </w:r>
          </w:p>
        </w:tc>
      </w:tr>
    </w:tbl>
    <w:p w:rsidR="00E31049" w:rsidRPr="005C5216" w:rsidRDefault="00E31049" w:rsidP="00422965">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lastRenderedPageBreak/>
        <w:t>四、成本效益分析。</w:t>
      </w:r>
    </w:p>
    <w:p w:rsidR="00E22B50" w:rsidRDefault="00613776" w:rsidP="00E22B50">
      <w:pPr>
        <w:topLinePunct/>
        <w:spacing w:line="540" w:lineRule="exact"/>
        <w:ind w:firstLineChars="250" w:firstLine="790"/>
        <w:rPr>
          <w:rFonts w:ascii="仿宋_GB2312" w:hAnsi="仿宋_GB2312" w:cs="仿宋_GB2312"/>
          <w:szCs w:val="32"/>
        </w:rPr>
      </w:pPr>
      <w:r w:rsidRPr="00613776">
        <w:rPr>
          <w:rFonts w:ascii="仿宋_GB2312" w:hAnsi="仿宋_GB2312" w:hint="eastAsia"/>
          <w:szCs w:val="32"/>
        </w:rPr>
        <w:t>通过</w:t>
      </w:r>
      <w:r>
        <w:rPr>
          <w:rFonts w:ascii="仿宋_GB2312" w:hAnsi="仿宋_GB2312" w:hint="eastAsia"/>
          <w:szCs w:val="32"/>
        </w:rPr>
        <w:t>投入中央</w:t>
      </w:r>
      <w:r>
        <w:rPr>
          <w:rFonts w:ascii="仿宋_GB2312" w:hAnsi="仿宋_GB2312"/>
          <w:szCs w:val="32"/>
        </w:rPr>
        <w:t>资金</w:t>
      </w:r>
      <w:r>
        <w:rPr>
          <w:rFonts w:ascii="仿宋_GB2312" w:hAnsi="仿宋_GB2312" w:hint="eastAsia"/>
          <w:szCs w:val="32"/>
        </w:rPr>
        <w:t>100万元建设</w:t>
      </w:r>
      <w:r w:rsidRPr="00613776">
        <w:rPr>
          <w:rFonts w:ascii="仿宋_GB2312" w:hAnsi="仿宋_GB2312" w:hint="eastAsia"/>
          <w:szCs w:val="32"/>
        </w:rPr>
        <w:t>东川区超群精致示范性托育服务中心建设项目</w:t>
      </w:r>
      <w:r>
        <w:rPr>
          <w:rFonts w:ascii="仿宋_GB2312" w:hAnsi="仿宋_GB2312" w:hint="eastAsia"/>
          <w:szCs w:val="32"/>
        </w:rPr>
        <w:t>，</w:t>
      </w:r>
      <w:r>
        <w:rPr>
          <w:rFonts w:ascii="仿宋_GB2312" w:hAnsi="仿宋_GB2312" w:cs="仿宋_GB2312" w:hint="eastAsia"/>
          <w:szCs w:val="32"/>
        </w:rPr>
        <w:t>新建托位100个</w:t>
      </w:r>
      <w:r w:rsidR="00E22B50">
        <w:rPr>
          <w:rFonts w:ascii="仿宋_GB2312" w:hAnsi="仿宋_GB2312" w:cs="仿宋_GB2312" w:hint="eastAsia"/>
          <w:szCs w:val="32"/>
        </w:rPr>
        <w:t>，</w:t>
      </w:r>
      <w:r w:rsidR="00E22B50">
        <w:rPr>
          <w:rFonts w:hint="eastAsia"/>
        </w:rPr>
        <w:t>托育</w:t>
      </w:r>
      <w:r w:rsidR="00E22B50">
        <w:t>基础设施</w:t>
      </w:r>
      <w:r w:rsidR="00E22B50">
        <w:rPr>
          <w:rFonts w:hint="eastAsia"/>
        </w:rPr>
        <w:t>得到</w:t>
      </w:r>
      <w:r w:rsidR="00E22B50">
        <w:t>增强</w:t>
      </w:r>
      <w:r>
        <w:rPr>
          <w:rFonts w:ascii="仿宋_GB2312" w:hAnsi="仿宋_GB2312" w:cs="仿宋_GB2312" w:hint="eastAsia"/>
          <w:szCs w:val="32"/>
        </w:rPr>
        <w:t>。</w:t>
      </w:r>
      <w:r w:rsidRPr="00613776">
        <w:rPr>
          <w:rFonts w:ascii="仿宋_GB2312" w:hAnsi="仿宋_GB2312" w:cs="仿宋_GB2312" w:hint="eastAsia"/>
          <w:szCs w:val="32"/>
        </w:rPr>
        <w:t>东川区人民政府与东川区超群幼儿园签订了《普惠托育政企合作协议书》，明确了托育机构服务年限不得少于10</w:t>
      </w:r>
      <w:r w:rsidR="00211F48">
        <w:rPr>
          <w:rFonts w:ascii="仿宋_GB2312" w:hAnsi="仿宋_GB2312" w:cs="仿宋_GB2312" w:hint="eastAsia"/>
          <w:szCs w:val="32"/>
        </w:rPr>
        <w:t>年，收费价格必须低于同期其他非普惠性托育机构的收费标准,</w:t>
      </w:r>
      <w:bookmarkStart w:id="0" w:name="_GoBack"/>
      <w:bookmarkEnd w:id="0"/>
      <w:r w:rsidR="00E22B50">
        <w:rPr>
          <w:rFonts w:ascii="仿宋_GB2312" w:hAnsi="仿宋_GB2312" w:cs="仿宋_GB2312" w:hint="eastAsia"/>
          <w:szCs w:val="32"/>
        </w:rPr>
        <w:t>减轻了</w:t>
      </w:r>
      <w:r w:rsidR="00E22B50">
        <w:rPr>
          <w:rFonts w:ascii="仿宋_GB2312" w:hAnsi="仿宋_GB2312" w:cs="仿宋_GB2312"/>
          <w:szCs w:val="32"/>
        </w:rPr>
        <w:t>适龄幼儿家庭的教育支出，提升了</w:t>
      </w:r>
      <w:r w:rsidR="00E22B50" w:rsidRPr="00E22B50">
        <w:rPr>
          <w:rFonts w:ascii="仿宋_GB2312" w:hAnsi="仿宋_GB2312" w:cs="仿宋_GB2312" w:hint="eastAsia"/>
          <w:szCs w:val="32"/>
        </w:rPr>
        <w:t>适龄婴幼家庭满意度</w:t>
      </w:r>
      <w:r w:rsidR="00E22B50">
        <w:rPr>
          <w:rFonts w:ascii="仿宋_GB2312" w:hAnsi="仿宋_GB2312" w:cs="仿宋_GB2312" w:hint="eastAsia"/>
          <w:szCs w:val="32"/>
        </w:rPr>
        <w:t>。</w:t>
      </w:r>
    </w:p>
    <w:p w:rsidR="00ED609F" w:rsidRPr="00E22B50" w:rsidRDefault="00062171" w:rsidP="00E22B50">
      <w:pPr>
        <w:topLinePunct/>
        <w:spacing w:line="540" w:lineRule="exact"/>
        <w:ind w:firstLineChars="250" w:firstLine="790"/>
        <w:rPr>
          <w:rFonts w:ascii="仿宋_GB2312" w:hAnsi="仿宋_GB2312" w:cs="仿宋_GB2312"/>
          <w:szCs w:val="32"/>
        </w:rPr>
      </w:pPr>
      <w:r>
        <w:rPr>
          <w:rFonts w:ascii="黑体" w:eastAsia="黑体" w:hAnsi="黑体" w:hint="eastAsia"/>
          <w:szCs w:val="32"/>
        </w:rPr>
        <w:t>五、主要经验及做法、存在的问题和建议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Default="005C5216" w:rsidP="005C52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5C5216" w:rsidRDefault="005C5216" w:rsidP="005C52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5C5216" w:rsidRDefault="005C5216" w:rsidP="005C52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5C5216" w:rsidRDefault="005C5216" w:rsidP="005C5216">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5C5216" w:rsidRPr="005C5216" w:rsidRDefault="005C5216" w:rsidP="005C5216">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（二）存在的问题；</w:t>
      </w:r>
    </w:p>
    <w:p w:rsidR="00E22B50" w:rsidRDefault="00E22B50" w:rsidP="00E22B50">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E22B50" w:rsidRPr="008E208E" w:rsidRDefault="00E22B50" w:rsidP="00E22B50">
      <w:pPr>
        <w:ind w:firstLineChars="200" w:firstLine="632"/>
        <w:rPr>
          <w:rFonts w:ascii="仿宋_GB2312" w:hAnsi="宋体"/>
          <w:color w:val="000000"/>
          <w:szCs w:val="32"/>
        </w:rPr>
      </w:pPr>
      <w:r w:rsidRPr="008E208E">
        <w:rPr>
          <w:rFonts w:ascii="仿宋_GB2312" w:hAnsi="宋体" w:hint="eastAsia"/>
          <w:color w:val="000000"/>
          <w:szCs w:val="32"/>
        </w:rPr>
        <w:t>1.师资需求不同：0-2岁、2-3岁、3-6岁婴幼儿的教育差异很大，越小的幼儿教育，专业性越强，这就要求要有更专业的师资团队，当地没有专业性的培训机构，教师得不到更专业的培训，不能及时学习新的教育理念。</w:t>
      </w:r>
    </w:p>
    <w:p w:rsidR="00E22B50" w:rsidRPr="008E208E" w:rsidRDefault="00E22B50" w:rsidP="00E22B50">
      <w:pPr>
        <w:ind w:firstLineChars="200" w:firstLine="632"/>
        <w:rPr>
          <w:rFonts w:ascii="仿宋_GB2312" w:hAnsi="宋体"/>
          <w:color w:val="000000"/>
          <w:szCs w:val="32"/>
        </w:rPr>
      </w:pPr>
      <w:r w:rsidRPr="008E208E">
        <w:rPr>
          <w:rFonts w:ascii="仿宋_GB2312" w:hAnsi="宋体" w:hint="eastAsia"/>
          <w:color w:val="000000"/>
          <w:szCs w:val="32"/>
        </w:rPr>
        <w:t>2.托育中心周边交通拥堵，地处东川最大的农贸批发市场下段，人员及车流量较大，家长在选择托育园时，对周边是否有停</w:t>
      </w:r>
      <w:r w:rsidRPr="008E208E">
        <w:rPr>
          <w:rFonts w:ascii="仿宋_GB2312" w:hAnsi="宋体" w:hint="eastAsia"/>
          <w:color w:val="000000"/>
          <w:szCs w:val="32"/>
        </w:rPr>
        <w:lastRenderedPageBreak/>
        <w:t xml:space="preserve">车场、停车位及是否常出现塞车等有很大顾虑。 </w:t>
      </w:r>
    </w:p>
    <w:p w:rsidR="00E22B50" w:rsidRDefault="00E22B50" w:rsidP="00E22B50">
      <w:pPr>
        <w:ind w:firstLineChars="200" w:firstLine="632"/>
        <w:rPr>
          <w:rFonts w:ascii="楷体" w:eastAsia="楷体" w:hAnsi="楷体"/>
          <w:szCs w:val="32"/>
        </w:rPr>
      </w:pPr>
      <w:r>
        <w:rPr>
          <w:rFonts w:ascii="楷体" w:eastAsia="楷体" w:hAnsi="楷体" w:hint="eastAsia"/>
          <w:szCs w:val="32"/>
        </w:rPr>
        <w:t>（三）改进措施及建议。</w:t>
      </w:r>
    </w:p>
    <w:p w:rsidR="00E22B50" w:rsidRDefault="00E22B50" w:rsidP="00E22B50">
      <w:pPr>
        <w:ind w:firstLineChars="200" w:firstLine="632"/>
        <w:rPr>
          <w:rFonts w:ascii="仿宋_GB2312"/>
          <w:szCs w:val="32"/>
        </w:rPr>
      </w:pPr>
      <w:r>
        <w:rPr>
          <w:rFonts w:ascii="仿宋_GB2312" w:hint="eastAsia"/>
          <w:szCs w:val="32"/>
        </w:rPr>
        <w:t>1.为培训出更专业师资队伍，希望有关部门根据实际情况提供专业的培训平台，提高教师、保育员和育婴师的专业水平，更好的为0-3岁婴幼儿服务。</w:t>
      </w:r>
    </w:p>
    <w:p w:rsidR="00E22B50" w:rsidRDefault="00E22B50" w:rsidP="00E22B50">
      <w:pPr>
        <w:ind w:firstLineChars="200" w:firstLine="632"/>
        <w:rPr>
          <w:rFonts w:ascii="仿宋_GB2312"/>
          <w:szCs w:val="32"/>
        </w:rPr>
      </w:pPr>
      <w:r>
        <w:rPr>
          <w:rFonts w:ascii="仿宋_GB2312" w:hint="eastAsia"/>
          <w:szCs w:val="32"/>
        </w:rPr>
        <w:t>2.为净化校园周边环境，保障交通顺畅，希望得到相关部门的支持与协助，加强协调共建，形成整治合力。</w:t>
      </w:r>
    </w:p>
    <w:p w:rsidR="00ED609F" w:rsidRPr="00E22B50" w:rsidRDefault="00ED609F">
      <w:pPr>
        <w:autoSpaceDE w:val="0"/>
        <w:autoSpaceDN w:val="0"/>
        <w:adjustRightInd w:val="0"/>
        <w:snapToGrid w:val="0"/>
        <w:spacing w:line="560" w:lineRule="exact"/>
        <w:ind w:rightChars="17" w:right="54"/>
        <w:jc w:val="left"/>
        <w:rPr>
          <w:rFonts w:ascii="仿宋_GB2312"/>
          <w:sz w:val="28"/>
          <w:szCs w:val="28"/>
        </w:rPr>
      </w:pPr>
    </w:p>
    <w:sectPr w:rsidR="00ED609F" w:rsidRPr="00E22B50" w:rsidSect="00422965">
      <w:footerReference w:type="even" r:id="rId7"/>
      <w:footerReference w:type="default" r:id="rId8"/>
      <w:pgSz w:w="11907" w:h="16840"/>
      <w:pgMar w:top="1814"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34" w:rsidRDefault="00A57234">
      <w:r>
        <w:separator/>
      </w:r>
    </w:p>
  </w:endnote>
  <w:endnote w:type="continuationSeparator" w:id="0">
    <w:p w:rsidR="00A57234" w:rsidRDefault="00A5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211F48">
      <w:rPr>
        <w:rStyle w:val="ab"/>
        <w:rFonts w:ascii="宋体" w:eastAsia="宋体" w:hAnsi="宋体"/>
        <w:noProof/>
        <w:sz w:val="28"/>
      </w:rPr>
      <w:t>12</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211F48">
      <w:rPr>
        <w:rStyle w:val="ab"/>
        <w:rFonts w:ascii="宋体" w:eastAsia="宋体" w:hAnsi="宋体"/>
        <w:noProof/>
        <w:sz w:val="28"/>
      </w:rPr>
      <w:t>13</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34" w:rsidRDefault="00A57234">
      <w:r>
        <w:separator/>
      </w:r>
    </w:p>
  </w:footnote>
  <w:footnote w:type="continuationSeparator" w:id="0">
    <w:p w:rsidR="00A57234" w:rsidRDefault="00A5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8228D"/>
    <w:rsid w:val="000841FA"/>
    <w:rsid w:val="00085C25"/>
    <w:rsid w:val="000C2BD6"/>
    <w:rsid w:val="000C6A55"/>
    <w:rsid w:val="000D0079"/>
    <w:rsid w:val="000E2826"/>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C52BA"/>
    <w:rsid w:val="001D2295"/>
    <w:rsid w:val="002021EA"/>
    <w:rsid w:val="00211F48"/>
    <w:rsid w:val="002164BD"/>
    <w:rsid w:val="00232238"/>
    <w:rsid w:val="00236F6F"/>
    <w:rsid w:val="00260330"/>
    <w:rsid w:val="0027333E"/>
    <w:rsid w:val="00280BDE"/>
    <w:rsid w:val="0028678C"/>
    <w:rsid w:val="0029300F"/>
    <w:rsid w:val="00294EE5"/>
    <w:rsid w:val="00301902"/>
    <w:rsid w:val="00304EEE"/>
    <w:rsid w:val="003209BE"/>
    <w:rsid w:val="00320A77"/>
    <w:rsid w:val="00354C3C"/>
    <w:rsid w:val="003721CE"/>
    <w:rsid w:val="00386252"/>
    <w:rsid w:val="0039440A"/>
    <w:rsid w:val="003B609C"/>
    <w:rsid w:val="003B651F"/>
    <w:rsid w:val="003D1094"/>
    <w:rsid w:val="003D3F92"/>
    <w:rsid w:val="003F15F1"/>
    <w:rsid w:val="003F7768"/>
    <w:rsid w:val="00422965"/>
    <w:rsid w:val="00441E1F"/>
    <w:rsid w:val="00443AFE"/>
    <w:rsid w:val="0044547C"/>
    <w:rsid w:val="00463CBD"/>
    <w:rsid w:val="00472EC2"/>
    <w:rsid w:val="0048484B"/>
    <w:rsid w:val="004B7A2C"/>
    <w:rsid w:val="004E5EBC"/>
    <w:rsid w:val="004F785D"/>
    <w:rsid w:val="005456D8"/>
    <w:rsid w:val="00547454"/>
    <w:rsid w:val="00547D91"/>
    <w:rsid w:val="0055335F"/>
    <w:rsid w:val="0055784C"/>
    <w:rsid w:val="00587D66"/>
    <w:rsid w:val="00596EAF"/>
    <w:rsid w:val="005B05E9"/>
    <w:rsid w:val="005C1E91"/>
    <w:rsid w:val="005C3612"/>
    <w:rsid w:val="005C5216"/>
    <w:rsid w:val="005D1F7C"/>
    <w:rsid w:val="006100E3"/>
    <w:rsid w:val="00613776"/>
    <w:rsid w:val="00623770"/>
    <w:rsid w:val="00634A37"/>
    <w:rsid w:val="0067583F"/>
    <w:rsid w:val="00684F23"/>
    <w:rsid w:val="00691838"/>
    <w:rsid w:val="006A6EB6"/>
    <w:rsid w:val="006B11BB"/>
    <w:rsid w:val="0070027F"/>
    <w:rsid w:val="0070331B"/>
    <w:rsid w:val="00711838"/>
    <w:rsid w:val="00733F3C"/>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E208E"/>
    <w:rsid w:val="008F3154"/>
    <w:rsid w:val="009156B6"/>
    <w:rsid w:val="009325DD"/>
    <w:rsid w:val="009511E2"/>
    <w:rsid w:val="00960202"/>
    <w:rsid w:val="00971ACC"/>
    <w:rsid w:val="009743ED"/>
    <w:rsid w:val="00976FC9"/>
    <w:rsid w:val="00984AA9"/>
    <w:rsid w:val="009B1D6B"/>
    <w:rsid w:val="009C2E24"/>
    <w:rsid w:val="009E07A7"/>
    <w:rsid w:val="00A032C7"/>
    <w:rsid w:val="00A449C0"/>
    <w:rsid w:val="00A45A91"/>
    <w:rsid w:val="00A57234"/>
    <w:rsid w:val="00A95C12"/>
    <w:rsid w:val="00AB6099"/>
    <w:rsid w:val="00AE7376"/>
    <w:rsid w:val="00B1591B"/>
    <w:rsid w:val="00B24234"/>
    <w:rsid w:val="00B268F0"/>
    <w:rsid w:val="00B6766E"/>
    <w:rsid w:val="00B8171D"/>
    <w:rsid w:val="00BA1A64"/>
    <w:rsid w:val="00BC60B5"/>
    <w:rsid w:val="00BC7CC4"/>
    <w:rsid w:val="00BD1B59"/>
    <w:rsid w:val="00BD39E4"/>
    <w:rsid w:val="00BD7DE4"/>
    <w:rsid w:val="00BF7471"/>
    <w:rsid w:val="00C01F37"/>
    <w:rsid w:val="00C126D1"/>
    <w:rsid w:val="00C145B3"/>
    <w:rsid w:val="00C21CDB"/>
    <w:rsid w:val="00C40EC7"/>
    <w:rsid w:val="00C647AA"/>
    <w:rsid w:val="00CD1EDA"/>
    <w:rsid w:val="00CD2387"/>
    <w:rsid w:val="00CF31FF"/>
    <w:rsid w:val="00D16944"/>
    <w:rsid w:val="00D20768"/>
    <w:rsid w:val="00D227E2"/>
    <w:rsid w:val="00D4728C"/>
    <w:rsid w:val="00D60CF2"/>
    <w:rsid w:val="00D611EB"/>
    <w:rsid w:val="00D77134"/>
    <w:rsid w:val="00D87244"/>
    <w:rsid w:val="00DA3649"/>
    <w:rsid w:val="00DD46DD"/>
    <w:rsid w:val="00DF5C26"/>
    <w:rsid w:val="00E0768F"/>
    <w:rsid w:val="00E124FB"/>
    <w:rsid w:val="00E1311C"/>
    <w:rsid w:val="00E219E0"/>
    <w:rsid w:val="00E22B50"/>
    <w:rsid w:val="00E31049"/>
    <w:rsid w:val="00E355E2"/>
    <w:rsid w:val="00E44E53"/>
    <w:rsid w:val="00E60A47"/>
    <w:rsid w:val="00E627D0"/>
    <w:rsid w:val="00E75F2E"/>
    <w:rsid w:val="00EB1222"/>
    <w:rsid w:val="00EB5E95"/>
    <w:rsid w:val="00EC759C"/>
    <w:rsid w:val="00ED609F"/>
    <w:rsid w:val="00EE1E37"/>
    <w:rsid w:val="00F32936"/>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DBC81"/>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823089401">
      <w:bodyDiv w:val="1"/>
      <w:marLeft w:val="0"/>
      <w:marRight w:val="0"/>
      <w:marTop w:val="0"/>
      <w:marBottom w:val="0"/>
      <w:divBdr>
        <w:top w:val="none" w:sz="0" w:space="0" w:color="auto"/>
        <w:left w:val="none" w:sz="0" w:space="0" w:color="auto"/>
        <w:bottom w:val="none" w:sz="0" w:space="0" w:color="auto"/>
        <w:right w:val="none" w:sz="0" w:space="0" w:color="auto"/>
      </w:divBdr>
    </w:div>
    <w:div w:id="1929576789">
      <w:bodyDiv w:val="1"/>
      <w:marLeft w:val="0"/>
      <w:marRight w:val="0"/>
      <w:marTop w:val="0"/>
      <w:marBottom w:val="0"/>
      <w:divBdr>
        <w:top w:val="none" w:sz="0" w:space="0" w:color="auto"/>
        <w:left w:val="none" w:sz="0" w:space="0" w:color="auto"/>
        <w:bottom w:val="none" w:sz="0" w:space="0" w:color="auto"/>
        <w:right w:val="none" w:sz="0" w:space="0" w:color="auto"/>
      </w:divBdr>
    </w:div>
    <w:div w:id="2078824128">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500</TotalTime>
  <Pages>13</Pages>
  <Words>917</Words>
  <Characters>5231</Characters>
  <Application>Microsoft Office Word</Application>
  <DocSecurity>0</DocSecurity>
  <Lines>43</Lines>
  <Paragraphs>12</Paragraphs>
  <ScaleCrop>false</ScaleCrop>
  <Company>家用电脑</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52</cp:revision>
  <cp:lastPrinted>2015-07-03T03:13:00Z</cp:lastPrinted>
  <dcterms:created xsi:type="dcterms:W3CDTF">2016-02-18T07:51:00Z</dcterms:created>
  <dcterms:modified xsi:type="dcterms:W3CDTF">2021-05-29T06:36:00Z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