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城乡社区服务体系建设</w:t>
      </w:r>
      <w:r>
        <w:rPr>
          <w:rFonts w:hint="eastAsia" w:ascii="方正小标宋_GBK" w:eastAsia="方正小标宋_GBK"/>
          <w:sz w:val="44"/>
          <w:szCs w:val="44"/>
        </w:rPr>
        <w:t>项目支出绩效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评价报告</w:t>
      </w:r>
    </w:p>
    <w:p>
      <w:pPr>
        <w:spacing w:line="540" w:lineRule="exact"/>
        <w:ind w:firstLine="632" w:firstLineChars="200"/>
        <w:jc w:val="left"/>
        <w:rPr>
          <w:rFonts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一、项目概况：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东川区省级城乡社区治理现代化试点工作任务1个，为东川区铜都街道铜源社区，试点主题为：一是加强社区党组织、社区居民委员会对业主委员会和物业服务企业的指导和监督，探索建立社区党组织领导下的社区居民委员会、小区业主委员会、物业服务组织等联动机制。二是易地扶贫搬迁安置社区的社区治理体系建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。主要是为了提升基层社会治理和服务能力。</w:t>
      </w:r>
    </w:p>
    <w:p>
      <w:pPr>
        <w:spacing w:line="540" w:lineRule="exact"/>
        <w:ind w:firstLine="632" w:firstLineChars="200"/>
        <w:jc w:val="lef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二、评价结论</w:t>
      </w:r>
      <w:r>
        <w:rPr>
          <w:rFonts w:hint="eastAsia" w:ascii="黑体" w:hAnsi="黑体" w:eastAsia="黑体"/>
          <w:szCs w:val="32"/>
          <w:lang w:eastAsia="zh-CN"/>
        </w:rPr>
        <w:t>：</w:t>
      </w:r>
      <w:r>
        <w:rPr>
          <w:rFonts w:hint="eastAsia" w:ascii="仿宋_GB2312"/>
          <w:sz w:val="32"/>
          <w:szCs w:val="32"/>
          <w:lang w:val="en-US" w:eastAsia="zh-CN"/>
        </w:rPr>
        <w:t>做到了健全社区管理体制、完善社区服务体系、推进社区民主自治、稳定社区社会秩序、丰富社区文化生活的预计目标。</w:t>
      </w:r>
    </w:p>
    <w:p>
      <w:pPr>
        <w:spacing w:line="540" w:lineRule="exact"/>
        <w:ind w:firstLine="632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Cs w:val="32"/>
        </w:rPr>
        <w:t>1</w:t>
      </w:r>
      <w:r>
        <w:rPr>
          <w:rFonts w:hint="eastAsia" w:ascii="楷体" w:hAnsi="楷体" w:eastAsia="楷体"/>
          <w:szCs w:val="32"/>
        </w:rPr>
        <w:t>.主要经验及做法；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按照“一社区一服务站”的要求设置社区服务站，实现社区“一委一居一站”工作模式。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全面提升社区服务功能，建立社区公共服务综合信息平台，积极推行“一站式”服务，充分发挥社区服务群众的功能，规范服务标准，提高服务水平，实现社区社会组织健康有序发展。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建立健全民主听证、协商对话、民主议事、居（村）务公开，社区居民公约等制度，畅通社区居民参与社区事务渠道，提升社区民主自治水平。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全面加强社区社会治安综合治理，构筑社区治安防控体系，扎实推进平安社区建设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建立健全社区居民利益协调机制、诉求表达机制、矛盾调处机制和权益保障机制，促进社区和谐稳定。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积极推进社区文化建设，广泛开展形式多样的社区文化活动，全面建成文化共享工程社区基层服务点，完善“农家书屋”、“儿童之家”等功能，提升社区公共文化服务能力。</w:t>
      </w:r>
    </w:p>
    <w:p>
      <w:pPr>
        <w:spacing w:line="540" w:lineRule="exact"/>
        <w:ind w:firstLine="632" w:firstLineChars="200"/>
        <w:jc w:val="left"/>
        <w:rPr>
          <w:rFonts w:hint="eastAsia" w:ascii="仿宋_GB2312" w:hAnsi="仿宋_GB2312" w:eastAsia="楷体_GB2312" w:cs="仿宋_GB2312"/>
          <w:szCs w:val="32"/>
          <w:lang w:eastAsia="zh-CN"/>
        </w:rPr>
      </w:pPr>
      <w:r>
        <w:rPr>
          <w:rFonts w:hint="eastAsia" w:ascii="楷体" w:hAnsi="楷体" w:eastAsia="楷体"/>
          <w:szCs w:val="32"/>
        </w:rPr>
        <w:t>2.存在的问题；</w:t>
      </w:r>
      <w:r>
        <w:rPr>
          <w:rFonts w:hint="eastAsia" w:ascii="楷体_GB2312" w:hAnsi="楷体_GB2312" w:eastAsia="楷体_GB2312" w:cs="楷体_GB2312"/>
          <w:sz w:val="32"/>
          <w:szCs w:val="32"/>
        </w:rPr>
        <w:t>经济来源有限，基础薄弱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sz w:val="32"/>
          <w:szCs w:val="32"/>
        </w:rPr>
        <w:t>居民参与程度不高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sz w:val="32"/>
          <w:szCs w:val="32"/>
        </w:rPr>
        <w:t>社会组织发展不足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Cs w:val="32"/>
        </w:rPr>
        <w:t>3.改进措施及建议。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加强社区党组织、社区居民委员会对业主委员会和物业服务企业的指导和监督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。采取“一帮一”模式，组织先进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直机关党组织与社区党组织结对共建。深入结对社区与党组织班子成员谈心交心，交流党建工作经验、共享信息资源，共同搞好社区党建区域化建设。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探索建立社区党组织领导下的社区居民委员会、小区业主委员会、物业服务组织等联动机制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。根据工作需要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整合利用各部门设在社区的工作点，承接公共服务和公益服务等事项，健全专业的服务机构，优化公共资源在社区的配置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社区党组织领导下的社区居民委员会、小区业主委员会、物业服务组织等联动机制。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充分利用现有远程教育资源，按照“一处固定场所、一套信息设备、一名信息员、一套管理制度、一个长效机制”的基本要求，注重信息资源共享、交流、互动，整合面向居民群众、结对单位服务的 内容和流程，建立覆盖社区，集行政管理、社会事务、便民服务于一体的综合管理服务信息平台。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充分发挥门户网站、社区服务站等各种信息工具的作用，拓宽居民获取社区公共信息和接受公共服务的渠道。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积极汇同相关部门整合利用资源探索建立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易地扶贫搬迁安置社区的社区治理体系。</w:t>
      </w:r>
    </w:p>
    <w:p>
      <w:pPr>
        <w:spacing w:line="540" w:lineRule="exact"/>
        <w:ind w:firstLine="632" w:firstLineChars="200"/>
        <w:jc w:val="left"/>
        <w:rPr>
          <w:rFonts w:hint="eastAsia" w:ascii="仿宋_GB2312" w:hAnsi="仿宋_GB2312" w:cs="仿宋_GB2312"/>
          <w:szCs w:val="32"/>
          <w:lang w:eastAsia="zh-CN"/>
        </w:rPr>
      </w:pPr>
    </w:p>
    <w:p>
      <w:pPr>
        <w:spacing w:line="540" w:lineRule="exact"/>
        <w:ind w:firstLine="632" w:firstLineChars="200"/>
        <w:jc w:val="center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铜源社区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治理创新试点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项目支出绩效评价报告</w:t>
      </w:r>
    </w:p>
    <w:p>
      <w:pPr>
        <w:topLinePunct/>
        <w:spacing w:line="540" w:lineRule="exact"/>
        <w:ind w:firstLine="790" w:firstLineChars="250"/>
        <w:rPr>
          <w:rFonts w:ascii="黑体" w:eastAsia="黑体"/>
          <w:szCs w:val="32"/>
        </w:rPr>
      </w:pPr>
    </w:p>
    <w:p>
      <w:pPr>
        <w:topLinePunct/>
        <w:spacing w:line="540" w:lineRule="exact"/>
        <w:ind w:firstLine="790" w:firstLineChars="25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（一）项目概况。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/>
          <w:szCs w:val="32"/>
        </w:rPr>
        <w:t>1.立项背景及目的。</w:t>
      </w:r>
      <w:r>
        <w:rPr>
          <w:rFonts w:hint="eastAsia" w:ascii="仿宋_GB2312" w:hAnsi="楷体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年东川区省级城乡社区治理现代化试点工作任务1个，为东川区铜都街道铜源社区，试点主题为：一是加强社区党组织、社区居民委员会对业主委员会和物业服务企业的指导和监督，探索建立社区党组织领导下的社区居民委员会、小区业主委员会、物业服务组织等联动机制。二是易地扶贫搬迁安置社区的社区治理体系建设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楷体"/>
          <w:szCs w:val="32"/>
        </w:rPr>
        <w:t>2.项目实施情况。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搭建搬迁社区服务平台，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配齐社区管理及服务人员。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 w:eastAsia="仿宋_GB2312"/>
          <w:szCs w:val="32"/>
          <w:lang w:eastAsia="zh-CN"/>
        </w:rPr>
      </w:pPr>
      <w:r>
        <w:rPr>
          <w:rFonts w:hint="eastAsia" w:ascii="仿宋_GB2312" w:hAnsi="楷体"/>
          <w:szCs w:val="32"/>
        </w:rPr>
        <w:t>3.资金来源及使用情况。</w:t>
      </w:r>
      <w:r>
        <w:rPr>
          <w:rFonts w:hint="eastAsia" w:ascii="仿宋_GB2312" w:hAnsi="楷体"/>
          <w:szCs w:val="32"/>
          <w:lang w:val="en-US" w:eastAsia="zh-CN"/>
        </w:rPr>
        <w:t>2020年第一批省级福利彩票公益金6万元整，</w:t>
      </w:r>
      <w:r>
        <w:rPr>
          <w:rFonts w:hint="eastAsia" w:ascii="仿宋_GB2312" w:hAnsi="楷体"/>
          <w:szCs w:val="32"/>
          <w:lang w:eastAsia="zh-CN"/>
        </w:rPr>
        <w:t>已全部发放到铜都街道铜源社区项目建设中。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  <w:lang w:eastAsia="zh-CN"/>
        </w:rPr>
      </w:pPr>
      <w:r>
        <w:rPr>
          <w:rFonts w:hint="eastAsia" w:ascii="仿宋_GB2312" w:hAnsi="楷体"/>
          <w:szCs w:val="32"/>
        </w:rPr>
        <w:t>4.组织及管理情况。</w:t>
      </w:r>
      <w:r>
        <w:rPr>
          <w:rFonts w:hint="eastAsia" w:ascii="仿宋_GB2312" w:hAnsi="楷体"/>
          <w:b/>
          <w:bCs/>
          <w:szCs w:val="32"/>
          <w:lang w:eastAsia="zh-CN"/>
        </w:rPr>
        <w:t>一是</w:t>
      </w:r>
      <w:r>
        <w:rPr>
          <w:rFonts w:hint="eastAsia" w:ascii="仿宋_GB2312" w:hAnsi="楷体"/>
          <w:szCs w:val="32"/>
        </w:rPr>
        <w:t>项目组织情况</w:t>
      </w:r>
      <w:r>
        <w:rPr>
          <w:rFonts w:hint="eastAsia" w:ascii="仿宋_GB2312" w:hAnsi="楷体"/>
          <w:szCs w:val="32"/>
          <w:lang w:eastAsia="zh-CN"/>
        </w:rPr>
        <w:t>。严格按照《云南省民政厅关于开展省级城乡社区治理现代化试点工作的通知》的文件要求进行试点项目建设。</w:t>
      </w:r>
      <w:r>
        <w:rPr>
          <w:rFonts w:hint="eastAsia" w:ascii="仿宋_GB2312" w:hAnsi="楷体"/>
          <w:b/>
          <w:bCs/>
          <w:szCs w:val="32"/>
          <w:lang w:eastAsia="zh-CN"/>
        </w:rPr>
        <w:t>二是</w:t>
      </w:r>
      <w:r>
        <w:rPr>
          <w:rFonts w:hint="eastAsia" w:ascii="仿宋_GB2312" w:hAnsi="楷体"/>
          <w:szCs w:val="32"/>
        </w:rPr>
        <w:t>项目实施流程</w:t>
      </w:r>
      <w:r>
        <w:rPr>
          <w:rFonts w:hint="eastAsia" w:ascii="仿宋_GB2312" w:hAnsi="楷体"/>
          <w:szCs w:val="32"/>
          <w:lang w:eastAsia="zh-CN"/>
        </w:rPr>
        <w:t>。铜源社区申报</w:t>
      </w:r>
      <w:r>
        <w:rPr>
          <w:rFonts w:hint="eastAsia" w:ascii="仿宋_GB2312" w:hAnsi="楷体"/>
          <w:szCs w:val="32"/>
          <w:lang w:val="en-US" w:eastAsia="zh-CN"/>
        </w:rPr>
        <w:t>-铜都街道写申报意见-区民政局初审推荐意见-市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民政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审核推荐意见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-经省民政厅同意后，下拨经费，然后开始建设项目</w:t>
      </w:r>
      <w:r>
        <w:rPr>
          <w:rFonts w:hint="eastAsia" w:ascii="仿宋_GB2312" w:hAnsi="楷体"/>
          <w:szCs w:val="32"/>
          <w:lang w:val="en-US" w:eastAsia="zh-CN"/>
        </w:rPr>
        <w:t>。</w:t>
      </w:r>
      <w:r>
        <w:rPr>
          <w:rFonts w:hint="eastAsia" w:ascii="仿宋_GB2312" w:hAnsi="楷体"/>
          <w:b/>
          <w:bCs/>
          <w:szCs w:val="32"/>
          <w:lang w:eastAsia="zh-CN"/>
        </w:rPr>
        <w:t>三是</w:t>
      </w:r>
      <w:r>
        <w:rPr>
          <w:rFonts w:hint="eastAsia" w:ascii="仿宋_GB2312" w:hAnsi="楷体"/>
          <w:szCs w:val="32"/>
        </w:rPr>
        <w:t>资金拨付流程。</w:t>
      </w:r>
      <w:r>
        <w:rPr>
          <w:rFonts w:hint="eastAsia" w:ascii="仿宋_GB2312" w:hAnsi="楷体"/>
          <w:szCs w:val="32"/>
          <w:lang w:eastAsia="zh-CN"/>
        </w:rPr>
        <w:t>民政局严格按照上级资金使用要求，把</w:t>
      </w:r>
      <w:r>
        <w:rPr>
          <w:rFonts w:hint="eastAsia" w:ascii="仿宋_GB2312" w:hAnsi="楷体"/>
          <w:szCs w:val="32"/>
          <w:lang w:val="en-US" w:eastAsia="zh-CN"/>
        </w:rPr>
        <w:t>6万元</w:t>
      </w:r>
      <w:r>
        <w:rPr>
          <w:rFonts w:hint="eastAsia" w:ascii="仿宋_GB2312" w:hAnsi="楷体"/>
          <w:szCs w:val="32"/>
          <w:lang w:eastAsia="zh-CN"/>
        </w:rPr>
        <w:t>下拨给铜都街道铜源社区。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（二）绩效目标。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 w:eastAsia="仿宋_GB2312"/>
          <w:szCs w:val="32"/>
          <w:lang w:eastAsia="zh-CN"/>
        </w:rPr>
      </w:pPr>
      <w:r>
        <w:rPr>
          <w:rFonts w:hint="eastAsia" w:ascii="仿宋_GB2312" w:hAnsi="楷体"/>
          <w:szCs w:val="32"/>
        </w:rPr>
        <w:t>1.总目标。</w:t>
      </w:r>
      <w:r>
        <w:rPr>
          <w:rFonts w:hint="eastAsia" w:ascii="仿宋_GB2312"/>
          <w:sz w:val="32"/>
          <w:szCs w:val="32"/>
          <w:lang w:val="en-US" w:eastAsia="zh-CN"/>
        </w:rPr>
        <w:t>健全社区管理体制、完善社区服务体系、推进社区民主自治、稳定社区社会秩序、丰富社区文化生活</w:t>
      </w:r>
      <w:r>
        <w:rPr>
          <w:rFonts w:hint="eastAsia" w:ascii="仿宋_GB2312" w:hAnsi="楷体"/>
          <w:szCs w:val="32"/>
          <w:lang w:eastAsia="zh-CN"/>
        </w:rPr>
        <w:t>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2.年度目标。</w:t>
      </w:r>
      <w:r>
        <w:rPr>
          <w:rFonts w:hint="eastAsia" w:ascii="仿宋_GB2312" w:hAnsi="楷体"/>
          <w:szCs w:val="32"/>
          <w:lang w:eastAsia="zh-CN"/>
        </w:rPr>
        <w:t>提升社区社会治理和服务能力。</w:t>
      </w:r>
    </w:p>
    <w:p>
      <w:pPr>
        <w:topLinePunct/>
        <w:spacing w:line="540" w:lineRule="exact"/>
        <w:ind w:firstLine="79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二、绩效评价工作情况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楷体" w:hAnsi="楷体" w:eastAsia="楷体"/>
          <w:szCs w:val="32"/>
        </w:rPr>
        <w:t>（一）绩效评价目的。</w:t>
      </w:r>
      <w:r>
        <w:rPr>
          <w:rFonts w:hint="eastAsia" w:ascii="仿宋_GB2312" w:hAnsi="楷体"/>
          <w:szCs w:val="3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（二）绩效评价工作方案制定过程。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/>
          <w:szCs w:val="32"/>
        </w:rPr>
        <w:t>1.前期调研。</w:t>
      </w:r>
      <w:r>
        <w:rPr>
          <w:rFonts w:hint="eastAsia" w:ascii="仿宋_GB2312" w:hAnsi="楷体"/>
          <w:szCs w:val="32"/>
          <w:lang w:eastAsia="zh-CN"/>
        </w:rPr>
        <w:t>结合铜源社区是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易地扶贫搬迁安置社区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的实际情况，急需建设一个社区治理创新服务平台，让村（居）民适应当地生活，维护社会稳定。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2.研究文件。</w:t>
      </w:r>
      <w:r>
        <w:rPr>
          <w:rFonts w:hint="eastAsia" w:ascii="仿宋_GB2312" w:hAnsi="仿宋_GB2312" w:cs="仿宋_GB2312"/>
          <w:szCs w:val="32"/>
          <w:lang w:eastAsia="zh-CN"/>
        </w:rPr>
        <w:t>坚持吃透政策，明确专人，认真落实，在政策落实过程中发现问题，及时采取措施，化解矛盾，确保农村社会和谐稳定。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 w:eastAsia="仿宋_GB2312"/>
          <w:szCs w:val="32"/>
          <w:lang w:eastAsia="zh-CN"/>
        </w:rPr>
      </w:pPr>
      <w:r>
        <w:rPr>
          <w:rFonts w:hint="eastAsia" w:ascii="仿宋_GB2312" w:hAnsi="楷体"/>
          <w:szCs w:val="32"/>
        </w:rPr>
        <w:t>3.绩效评价指标体系及工作方案的设计。</w:t>
      </w:r>
      <w:r>
        <w:rPr>
          <w:rFonts w:hint="eastAsia" w:ascii="仿宋_GB2312" w:hAnsi="楷体"/>
          <w:szCs w:val="32"/>
          <w:lang w:eastAsia="zh-CN"/>
        </w:rPr>
        <w:t>严格按照项目支出绩效评价的要求进行</w:t>
      </w:r>
      <w:r>
        <w:rPr>
          <w:rFonts w:hint="eastAsia" w:ascii="仿宋_GB2312" w:hAnsi="楷体"/>
          <w:szCs w:val="32"/>
        </w:rPr>
        <w:t>评价指标体系及工作方案的设计</w:t>
      </w:r>
      <w:r>
        <w:rPr>
          <w:rFonts w:hint="eastAsia" w:ascii="仿宋_GB2312" w:hAnsi="楷体"/>
          <w:szCs w:val="32"/>
          <w:lang w:eastAsia="zh-CN"/>
        </w:rPr>
        <w:t>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（三）绩效评价原则、评价方法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1.绩效评价原则。</w:t>
      </w:r>
      <w:r>
        <w:rPr>
          <w:rFonts w:hint="eastAsia" w:ascii="仿宋_GB2312" w:hAnsi="楷体"/>
          <w:szCs w:val="32"/>
          <w:lang w:eastAsia="zh-CN"/>
        </w:rPr>
        <w:t>采取</w:t>
      </w:r>
      <w:r>
        <w:rPr>
          <w:rFonts w:hint="eastAsia" w:ascii="仿宋_GB2312" w:hAnsi="楷体"/>
          <w:szCs w:val="32"/>
        </w:rPr>
        <w:t>科学规范、公开公正、绩效相关等原则。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2.绩效评价方法。</w:t>
      </w:r>
      <w:r>
        <w:rPr>
          <w:rFonts w:hint="eastAsia" w:ascii="仿宋_GB2312" w:hAnsi="楷体"/>
          <w:szCs w:val="32"/>
          <w:lang w:eastAsia="zh-CN"/>
        </w:rPr>
        <w:t>采取</w:t>
      </w:r>
      <w:r>
        <w:rPr>
          <w:rFonts w:hint="eastAsia" w:ascii="仿宋_GB2312" w:hAnsi="楷体"/>
          <w:szCs w:val="32"/>
        </w:rPr>
        <w:t>指标评价、数据采集和社会调查中所采用的方法。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（四）绩效评价实施过程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1.数据填报和采集。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2.社会调查。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3.数据分析和撰写报告。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（五）本次绩效评价的局限性。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由于本次绩效评价为自评，时间及获取资料有限，往往带有一定的主观性。</w:t>
      </w:r>
    </w:p>
    <w:p>
      <w:pPr>
        <w:topLinePunct/>
        <w:spacing w:line="540" w:lineRule="exact"/>
        <w:ind w:firstLine="79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三、评价结论和绩效分析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（一）评价结论。</w:t>
      </w:r>
    </w:p>
    <w:p>
      <w:pPr>
        <w:topLinePunct/>
        <w:spacing w:line="540" w:lineRule="exact"/>
        <w:ind w:firstLine="790" w:firstLineChars="25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1.评价结果。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经评价，本次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铜源社区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治理创新试点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项目建设支出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绩效自评得分: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，评价等级为“优”。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2.主要绩效。</w:t>
      </w:r>
      <w:r>
        <w:rPr>
          <w:rFonts w:hint="eastAsia" w:ascii="仿宋_GB2312" w:hAnsi="仿宋"/>
          <w:szCs w:val="32"/>
          <w:lang w:eastAsia="zh-CN"/>
        </w:rPr>
        <w:t>根据《</w:t>
      </w:r>
      <w:r>
        <w:rPr>
          <w:rFonts w:hint="eastAsia" w:ascii="仿宋_GB2312" w:hAnsi="楷体"/>
          <w:szCs w:val="32"/>
          <w:lang w:eastAsia="zh-CN"/>
        </w:rPr>
        <w:t>云南省民政厅关于开展省级城乡社区治理现代化试点工作的通知》的文件要求，通过</w:t>
      </w:r>
      <w:r>
        <w:rPr>
          <w:rFonts w:hint="eastAsia" w:ascii="仿宋_GB2312"/>
          <w:sz w:val="32"/>
          <w:szCs w:val="32"/>
          <w:lang w:val="en-US" w:eastAsia="zh-CN"/>
        </w:rPr>
        <w:t>健全社区管理体制、</w:t>
      </w:r>
      <w:r>
        <w:rPr>
          <w:rFonts w:hint="eastAsia" w:ascii="仿宋_GB2312" w:hAnsi="楷体"/>
          <w:szCs w:val="32"/>
          <w:lang w:eastAsia="zh-CN"/>
        </w:rPr>
        <w:t>完善综合服务设施等方面，确实提升了社区的社会治理和服务能力。</w:t>
      </w:r>
    </w:p>
    <w:p>
      <w:pPr>
        <w:topLinePunct/>
        <w:spacing w:line="540" w:lineRule="exact"/>
        <w:ind w:firstLine="790" w:firstLineChars="250"/>
        <w:rPr>
          <w:rFonts w:hint="default" w:ascii="仿宋" w:hAnsi="仿宋" w:eastAsia="楷体"/>
          <w:szCs w:val="32"/>
          <w:lang w:val="en-US" w:eastAsia="zh-CN"/>
        </w:rPr>
      </w:pPr>
      <w:r>
        <w:rPr>
          <w:rFonts w:hint="eastAsia" w:ascii="楷体" w:hAnsi="楷体" w:eastAsia="楷体"/>
          <w:szCs w:val="32"/>
        </w:rPr>
        <w:t>（二）具体绩效分析。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项目</w:t>
      </w:r>
      <w:r>
        <w:rPr>
          <w:rFonts w:hint="eastAsia" w:ascii="仿宋_GB2312" w:hAnsi="仿宋_GB2312" w:cs="仿宋_GB2312"/>
          <w:szCs w:val="32"/>
          <w:lang w:eastAsia="zh-CN"/>
        </w:rPr>
        <w:t>绩效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共</w:t>
      </w:r>
      <w:r>
        <w:rPr>
          <w:rFonts w:hint="eastAsia" w:ascii="仿宋_GB2312" w:hAnsi="仿宋_GB2312" w:cs="仿宋_GB231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分，</w:t>
      </w:r>
      <w:r>
        <w:rPr>
          <w:rFonts w:hint="eastAsia" w:ascii="仿宋_GB2312" w:hAnsi="仿宋_GB2312" w:cs="仿宋_GB2312"/>
          <w:szCs w:val="32"/>
          <w:lang w:val="en-US" w:eastAsia="zh-CN"/>
        </w:rPr>
        <w:t>占比60%，绩效得分60分。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仿宋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Cs w:val="32"/>
        </w:rPr>
        <w:t>四、成本效益分析。</w:t>
      </w: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一是</w:t>
      </w:r>
      <w:r>
        <w:rPr>
          <w:rFonts w:hint="eastAsia" w:ascii="仿宋_GB2312" w:hAnsi="仿宋"/>
          <w:b w:val="0"/>
          <w:bCs w:val="0"/>
        </w:rPr>
        <w:t>昆明市东川区民政局项目预算资金拨付到位，并按照相关规定全部用于项目支出，通过总结资金使用管理经验，完善资金管理办法，提高财政资金的使用效率，为以后年度编制项目预算、选择项目实施主体等提供参考依据。</w:t>
      </w:r>
      <w:r>
        <w:rPr>
          <w:rFonts w:hint="eastAsia" w:ascii="仿宋_GB2312" w:hAnsi="仿宋"/>
          <w:b/>
          <w:bCs/>
          <w:lang w:eastAsia="zh-CN"/>
        </w:rPr>
        <w:t>二是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昆明市东川区民政局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年项目支出绩效情况良好，按设定的目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标任务执行效率完成各项工作。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cs="仿宋_GB231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东川区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铜源社区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治理创新试点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项目建设投入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6万元，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成效显著，提升了</w:t>
      </w:r>
      <w:r>
        <w:rPr>
          <w:rFonts w:hint="eastAsia" w:ascii="仿宋_GB2312" w:hAnsi="楷体"/>
          <w:szCs w:val="32"/>
          <w:lang w:eastAsia="zh-CN"/>
        </w:rPr>
        <w:t>社区的社会治理和服务能力。</w:t>
      </w:r>
    </w:p>
    <w:p>
      <w:pPr>
        <w:topLinePunct/>
        <w:spacing w:line="540" w:lineRule="exact"/>
        <w:ind w:firstLine="79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五、主要经验及做法、存在的问题和建议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（一）主要经验及做法；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东川区民政局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铜源社区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治理创新试点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建设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绩效目标开展了动态监控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，对本单位项目完成情况、项目完成进度、项目效益与预期目标偏差等情况进行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分析总结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（二）存在的问题；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昆明市东川区民政局在部分绩效内容的设定上量化不够具体，考核标准、考核条件过于简单和笼统。需进一步考核指标，加强考核标准和考核条件。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szCs w:val="32"/>
        </w:rPr>
        <w:t>（三）建议和改进措施。</w:t>
      </w: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一是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结合单位实际情况修订完善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绩效管理实施细则、考评结果运用实施细则、考评规则办法，完备绩效管理制度办法和指标体系，使绩效考核有章可循，有据可依。结合项目情况，制定相应细化、量化的绩效目标，严格按目标实施。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收支计划执行情况分析，加快资金执行进度。</w:t>
      </w: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jc w:val="center"/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绩效评价报告正文后需附以下佐证材料</w:t>
      </w:r>
    </w:p>
    <w:p>
      <w:pPr>
        <w:spacing w:line="540" w:lineRule="exact"/>
        <w:ind w:left="-10" w:leftChars="0" w:firstLine="650" w:firstLineChars="0"/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1.绩效评价指标体系；</w:t>
      </w:r>
    </w:p>
    <w:p>
      <w:pPr>
        <w:spacing w:line="540" w:lineRule="exact"/>
        <w:ind w:left="-10" w:leftChars="0" w:firstLine="650" w:firstLineChars="0"/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2.基础数据表（进行成本效益分析需采集的数据）；</w:t>
      </w:r>
    </w:p>
    <w:p>
      <w:pPr>
        <w:spacing w:line="540" w:lineRule="exact"/>
        <w:ind w:left="-10" w:leftChars="0" w:firstLine="650" w:firstLineChars="0"/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3.访谈分析报告；</w:t>
      </w:r>
    </w:p>
    <w:p>
      <w:pPr>
        <w:spacing w:line="540" w:lineRule="exact"/>
        <w:ind w:left="-10" w:leftChars="0" w:firstLine="650" w:firstLineChars="0"/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4.社会调查问卷分析报告；</w:t>
      </w:r>
    </w:p>
    <w:p>
      <w:pPr>
        <w:spacing w:line="540" w:lineRule="exact"/>
        <w:ind w:left="-10" w:leftChars="0" w:firstLine="650" w:firstLineChars="0"/>
        <w:jc w:val="both"/>
        <w:rPr>
          <w:rFonts w:hint="eastAsia" w:ascii="仿宋_GB2312" w:hAnsi="仿宋"/>
        </w:rPr>
      </w:pPr>
      <w:r>
        <w:rPr>
          <w:rFonts w:hint="eastAsia" w:ascii="仿宋_GB2312" w:hAnsi="仿宋"/>
        </w:rPr>
        <w:t>5.①区政府相关规划、决策、批复；②立项申请、批复文件；③绩效目标申报表</w:t>
      </w:r>
      <w:r>
        <w:rPr>
          <w:rFonts w:hint="eastAsia" w:ascii="仿宋_GB2312" w:hAnsi="仿宋"/>
          <w:lang w:eastAsia="zh-CN"/>
        </w:rPr>
        <w:t>；</w:t>
      </w:r>
      <w:r>
        <w:rPr>
          <w:rFonts w:hint="eastAsia" w:ascii="仿宋_GB2312" w:hAnsi="仿宋_GB2312" w:eastAsia="仿宋_GB2312" w:cs="仿宋_GB2312"/>
          <w:lang w:eastAsia="zh-CN"/>
        </w:rPr>
        <w:t>④</w:t>
      </w:r>
      <w:r>
        <w:rPr>
          <w:rFonts w:hint="eastAsia" w:ascii="仿宋_GB2312" w:hAnsi="仿宋"/>
          <w:lang w:eastAsia="zh-CN"/>
        </w:rPr>
        <w:t>项目竣工验收报告、审计报告等</w:t>
      </w:r>
      <w:r>
        <w:rPr>
          <w:rFonts w:hint="eastAsia" w:ascii="仿宋_GB2312" w:hAnsi="仿宋"/>
        </w:rPr>
        <w:t>。</w:t>
      </w:r>
    </w:p>
    <w:p>
      <w:pPr>
        <w:widowControl w:val="0"/>
        <w:autoSpaceDE w:val="0"/>
        <w:autoSpaceDN w:val="0"/>
        <w:adjustRightInd w:val="0"/>
        <w:snapToGrid w:val="0"/>
        <w:spacing w:line="560" w:lineRule="exact"/>
        <w:ind w:right="53" w:rightChars="17"/>
        <w:jc w:val="left"/>
        <w:rPr>
          <w:rFonts w:ascii="仿宋_GB2312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41" w:right="1531" w:bottom="1871" w:left="1531" w:header="851" w:footer="1304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35"/>
      <w:rPr>
        <w:rStyle w:val="9"/>
        <w:rFonts w:ascii="宋体" w:hAnsi="宋体" w:eastAsia="宋体"/>
        <w:sz w:val="28"/>
      </w:rPr>
    </w:pPr>
    <w:r>
      <w:rPr>
        <w:rStyle w:val="9"/>
        <w:rFonts w:ascii="宋体" w:hAnsi="宋体" w:eastAsia="宋体"/>
        <w:sz w:val="28"/>
      </w:rPr>
      <w:t>—</w:t>
    </w: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3</w:t>
    </w:r>
    <w:r>
      <w:rPr>
        <w:rStyle w:val="9"/>
        <w:rFonts w:ascii="宋体" w:hAnsi="宋体" w:eastAsia="宋体"/>
        <w:sz w:val="28"/>
      </w:rPr>
      <w:fldChar w:fldCharType="end"/>
    </w:r>
    <w:r>
      <w:rPr>
        <w:rStyle w:val="9"/>
        <w:rFonts w:ascii="宋体" w:hAnsi="宋体" w:eastAsia="宋体"/>
        <w:sz w:val="28"/>
      </w:rPr>
      <w:t>—</w:t>
    </w:r>
  </w:p>
  <w:p>
    <w:pPr>
      <w:pStyle w:val="5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35"/>
      <w:rPr>
        <w:rStyle w:val="9"/>
        <w:rFonts w:ascii="宋体" w:hAnsi="宋体" w:eastAsia="宋体"/>
        <w:sz w:val="28"/>
      </w:rPr>
    </w:pPr>
    <w:r>
      <w:rPr>
        <w:rStyle w:val="9"/>
        <w:rFonts w:ascii="宋体" w:hAnsi="宋体" w:eastAsia="宋体"/>
        <w:sz w:val="28"/>
      </w:rPr>
      <w:t>—</w:t>
    </w: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4</w:t>
    </w:r>
    <w:r>
      <w:rPr>
        <w:rStyle w:val="9"/>
        <w:rFonts w:ascii="宋体" w:hAnsi="宋体" w:eastAsia="宋体"/>
        <w:sz w:val="28"/>
      </w:rPr>
      <w:fldChar w:fldCharType="end"/>
    </w:r>
    <w:r>
      <w:rPr>
        <w:rStyle w:val="9"/>
        <w:rFonts w:ascii="宋体" w:hAnsi="宋体" w:eastAsia="宋体"/>
        <w:sz w:val="28"/>
      </w:rPr>
      <w:t>—</w:t>
    </w:r>
  </w:p>
  <w:p>
    <w:pPr>
      <w:pStyle w:val="5"/>
      <w:ind w:left="300"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evenAndOddHeaders w:val="1"/>
  <w:drawingGridHorizontalSpacing w:val="158"/>
  <w:drawingGridVerticalSpacing w:val="587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5F"/>
    <w:rsid w:val="00002E28"/>
    <w:rsid w:val="0001706E"/>
    <w:rsid w:val="00031386"/>
    <w:rsid w:val="00061B34"/>
    <w:rsid w:val="00085C25"/>
    <w:rsid w:val="000C6A55"/>
    <w:rsid w:val="000D0079"/>
    <w:rsid w:val="000E4635"/>
    <w:rsid w:val="000E57AE"/>
    <w:rsid w:val="000F0DDC"/>
    <w:rsid w:val="000F2D14"/>
    <w:rsid w:val="000F2E4E"/>
    <w:rsid w:val="00112694"/>
    <w:rsid w:val="0013625A"/>
    <w:rsid w:val="00155091"/>
    <w:rsid w:val="00167969"/>
    <w:rsid w:val="00171B5D"/>
    <w:rsid w:val="001776A1"/>
    <w:rsid w:val="00185A5A"/>
    <w:rsid w:val="00197124"/>
    <w:rsid w:val="001B5425"/>
    <w:rsid w:val="001D2295"/>
    <w:rsid w:val="002021EA"/>
    <w:rsid w:val="002164BD"/>
    <w:rsid w:val="00232238"/>
    <w:rsid w:val="00236F6F"/>
    <w:rsid w:val="00260330"/>
    <w:rsid w:val="0027333E"/>
    <w:rsid w:val="00280BDE"/>
    <w:rsid w:val="0028678C"/>
    <w:rsid w:val="00294EE5"/>
    <w:rsid w:val="00301902"/>
    <w:rsid w:val="00304EEE"/>
    <w:rsid w:val="003209BE"/>
    <w:rsid w:val="00320A77"/>
    <w:rsid w:val="003721CE"/>
    <w:rsid w:val="00386252"/>
    <w:rsid w:val="0039440A"/>
    <w:rsid w:val="003B609C"/>
    <w:rsid w:val="003B651F"/>
    <w:rsid w:val="003D3F92"/>
    <w:rsid w:val="003F15F1"/>
    <w:rsid w:val="003F7768"/>
    <w:rsid w:val="00441E1F"/>
    <w:rsid w:val="00443AFE"/>
    <w:rsid w:val="0044547C"/>
    <w:rsid w:val="00463CBD"/>
    <w:rsid w:val="0048484B"/>
    <w:rsid w:val="004B7A2C"/>
    <w:rsid w:val="004E5EBC"/>
    <w:rsid w:val="005456D8"/>
    <w:rsid w:val="00547454"/>
    <w:rsid w:val="00547D91"/>
    <w:rsid w:val="0055335F"/>
    <w:rsid w:val="0055784C"/>
    <w:rsid w:val="00587D66"/>
    <w:rsid w:val="00596EAF"/>
    <w:rsid w:val="005B05E9"/>
    <w:rsid w:val="005C1E91"/>
    <w:rsid w:val="005C3612"/>
    <w:rsid w:val="005D1F7C"/>
    <w:rsid w:val="00623770"/>
    <w:rsid w:val="00634A37"/>
    <w:rsid w:val="0067583F"/>
    <w:rsid w:val="00684F23"/>
    <w:rsid w:val="00691838"/>
    <w:rsid w:val="006A6EB6"/>
    <w:rsid w:val="006B11BB"/>
    <w:rsid w:val="0070331B"/>
    <w:rsid w:val="00711838"/>
    <w:rsid w:val="007347E8"/>
    <w:rsid w:val="00752484"/>
    <w:rsid w:val="00767A70"/>
    <w:rsid w:val="007740E0"/>
    <w:rsid w:val="007E48FF"/>
    <w:rsid w:val="007F24E4"/>
    <w:rsid w:val="007F5BD0"/>
    <w:rsid w:val="0080354F"/>
    <w:rsid w:val="008273F9"/>
    <w:rsid w:val="008452A9"/>
    <w:rsid w:val="0086384F"/>
    <w:rsid w:val="00885932"/>
    <w:rsid w:val="00896C1C"/>
    <w:rsid w:val="008D4DFD"/>
    <w:rsid w:val="008F3154"/>
    <w:rsid w:val="009156B6"/>
    <w:rsid w:val="009511E2"/>
    <w:rsid w:val="00960202"/>
    <w:rsid w:val="00971ACC"/>
    <w:rsid w:val="00984AA9"/>
    <w:rsid w:val="009B1D6B"/>
    <w:rsid w:val="009C2E24"/>
    <w:rsid w:val="009E07A7"/>
    <w:rsid w:val="00A032C7"/>
    <w:rsid w:val="00A449C0"/>
    <w:rsid w:val="00A45A91"/>
    <w:rsid w:val="00AB6099"/>
    <w:rsid w:val="00B1591B"/>
    <w:rsid w:val="00B268F0"/>
    <w:rsid w:val="00B6766E"/>
    <w:rsid w:val="00B8171D"/>
    <w:rsid w:val="00BA1A64"/>
    <w:rsid w:val="00BC60B5"/>
    <w:rsid w:val="00BC7CC4"/>
    <w:rsid w:val="00BD1B59"/>
    <w:rsid w:val="00BD7DE4"/>
    <w:rsid w:val="00BF7471"/>
    <w:rsid w:val="00C01F37"/>
    <w:rsid w:val="00C126D1"/>
    <w:rsid w:val="00C145B3"/>
    <w:rsid w:val="00C21CDB"/>
    <w:rsid w:val="00C40EC7"/>
    <w:rsid w:val="00C647AA"/>
    <w:rsid w:val="00CD2387"/>
    <w:rsid w:val="00D16944"/>
    <w:rsid w:val="00D20768"/>
    <w:rsid w:val="00D4728C"/>
    <w:rsid w:val="00D60CF2"/>
    <w:rsid w:val="00D611EB"/>
    <w:rsid w:val="00D77134"/>
    <w:rsid w:val="00D87244"/>
    <w:rsid w:val="00DA3649"/>
    <w:rsid w:val="00DD46DD"/>
    <w:rsid w:val="00E0768F"/>
    <w:rsid w:val="00E124FB"/>
    <w:rsid w:val="00E219E0"/>
    <w:rsid w:val="00E355E2"/>
    <w:rsid w:val="00E44E53"/>
    <w:rsid w:val="00E60A47"/>
    <w:rsid w:val="00E627D0"/>
    <w:rsid w:val="00E75F2E"/>
    <w:rsid w:val="00EB1222"/>
    <w:rsid w:val="00EB5E95"/>
    <w:rsid w:val="00F40020"/>
    <w:rsid w:val="00F525BE"/>
    <w:rsid w:val="00F613AB"/>
    <w:rsid w:val="00F8179E"/>
    <w:rsid w:val="00FB0339"/>
    <w:rsid w:val="01A161A9"/>
    <w:rsid w:val="031E2BF9"/>
    <w:rsid w:val="092D5F13"/>
    <w:rsid w:val="0E5F0DE0"/>
    <w:rsid w:val="14E217F0"/>
    <w:rsid w:val="1EF6404E"/>
    <w:rsid w:val="24C14377"/>
    <w:rsid w:val="25514A15"/>
    <w:rsid w:val="2C3F7497"/>
    <w:rsid w:val="2EFB69EF"/>
    <w:rsid w:val="30BA5A39"/>
    <w:rsid w:val="34A749DB"/>
    <w:rsid w:val="38031D6D"/>
    <w:rsid w:val="3BCA4F11"/>
    <w:rsid w:val="404A15E1"/>
    <w:rsid w:val="40F12A8F"/>
    <w:rsid w:val="45114E8A"/>
    <w:rsid w:val="477C14A3"/>
    <w:rsid w:val="4F7370ED"/>
    <w:rsid w:val="4FB02522"/>
    <w:rsid w:val="4FD5181C"/>
    <w:rsid w:val="56C42A1B"/>
    <w:rsid w:val="599D7622"/>
    <w:rsid w:val="59BD59BE"/>
    <w:rsid w:val="59D87298"/>
    <w:rsid w:val="5A72588C"/>
    <w:rsid w:val="5DF059E1"/>
    <w:rsid w:val="5E430320"/>
    <w:rsid w:val="5E914308"/>
    <w:rsid w:val="5F0A0529"/>
    <w:rsid w:val="6364505B"/>
    <w:rsid w:val="67D747FC"/>
    <w:rsid w:val="69270930"/>
    <w:rsid w:val="70BA2008"/>
    <w:rsid w:val="76C06208"/>
    <w:rsid w:val="774674FE"/>
    <w:rsid w:val="79767F74"/>
    <w:rsid w:val="7B2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99"/>
    <w:pPr>
      <w:ind w:firstLine="632" w:firstLineChars="200"/>
    </w:pPr>
  </w:style>
  <w:style w:type="paragraph" w:styleId="4">
    <w:name w:val="Date"/>
    <w:basedOn w:val="1"/>
    <w:next w:val="1"/>
    <w:link w:val="13"/>
    <w:uiPriority w:val="99"/>
    <w:pPr>
      <w:ind w:left="100" w:leftChars="25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页眉 Char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页脚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日期 Char"/>
    <w:link w:val="4"/>
    <w:semiHidden/>
    <w:qFormat/>
    <w:uiPriority w:val="99"/>
    <w:rPr>
      <w:rFonts w:eastAsia="仿宋_GB2312"/>
      <w:sz w:val="32"/>
      <w:szCs w:val="20"/>
    </w:rPr>
  </w:style>
  <w:style w:type="character" w:customStyle="1" w:styleId="14">
    <w:name w:val="正文文本缩进 Char"/>
    <w:link w:val="3"/>
    <w:semiHidden/>
    <w:qFormat/>
    <w:uiPriority w:val="99"/>
    <w:rPr>
      <w:rFonts w:eastAsia="仿宋_GB2312"/>
      <w:sz w:val="32"/>
      <w:szCs w:val="20"/>
    </w:rPr>
  </w:style>
  <w:style w:type="paragraph" w:customStyle="1" w:styleId="15">
    <w:name w:val="Char Char Char Char Char Char"/>
    <w:basedOn w:val="1"/>
    <w:qFormat/>
    <w:uiPriority w:val="99"/>
    <w:pPr>
      <w:adjustRightInd w:val="0"/>
    </w:pPr>
    <w:rPr>
      <w:rFonts w:ascii="Tahoma" w:hAnsi="Tahoma" w:eastAsia="宋体"/>
      <w:sz w:val="24"/>
    </w:rPr>
  </w:style>
  <w:style w:type="character" w:customStyle="1" w:styleId="16">
    <w:name w:val="标题 1 Char"/>
    <w:link w:val="2"/>
    <w:qFormat/>
    <w:uiPriority w:val="99"/>
    <w:rPr>
      <w:rFonts w:ascii="Calibri" w:hAnsi="Calibri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68;&#20010;&#21333;&#20301;&#25991;&#20214;&#65288;201412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一个单位文件（201412）</Template>
  <Company>家用电脑</Company>
  <Pages>10</Pages>
  <Words>355</Words>
  <Characters>2026</Characters>
  <Lines>16</Lines>
  <Paragraphs>4</Paragraphs>
  <TotalTime>8</TotalTime>
  <ScaleCrop>false</ScaleCrop>
  <LinksUpToDate>false</LinksUpToDate>
  <CharactersWithSpaces>2377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2016-02-18T07:51:00Z</dcterms:created>
  <dc:creator>y</dc:creator>
  <cp:lastModifiedBy>Administrator</cp:lastModifiedBy>
  <cp:lastPrinted>2021-08-30T01:17:14Z</cp:lastPrinted>
  <dcterms:modified xsi:type="dcterms:W3CDTF">2021-08-30T01:17:24Z</dcterms:modified>
  <dc:title>益财会〔2002〕4号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