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topLinePunct/>
        <w:spacing w:line="54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中国共产党昆明市东川区委员会政法委员会2020年铁路护路联防工作专项资金项目支出</w:t>
      </w:r>
    </w:p>
    <w:p>
      <w:pPr>
        <w:topLinePunct/>
        <w:spacing w:line="54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绩效评价报告</w:t>
      </w:r>
    </w:p>
    <w:p>
      <w:pPr>
        <w:rPr>
          <w:rFonts w:hint="eastAsia"/>
          <w:lang w:val="en-US" w:eastAsia="zh-CN"/>
        </w:rPr>
      </w:pPr>
    </w:p>
    <w:p>
      <w:pPr>
        <w:topLinePunct/>
        <w:spacing w:line="540" w:lineRule="exact"/>
        <w:ind w:firstLine="790" w:firstLineChars="250"/>
        <w:rPr>
          <w:rFonts w:ascii="黑体" w:eastAsia="黑体"/>
          <w:szCs w:val="32"/>
        </w:rPr>
      </w:pPr>
      <w:r>
        <w:rPr>
          <w:rFonts w:hint="eastAsia" w:ascii="黑体" w:eastAsia="黑体"/>
          <w:szCs w:val="32"/>
        </w:rPr>
        <w:t>一、项目基本情况</w:t>
      </w:r>
    </w:p>
    <w:p>
      <w:pPr>
        <w:topLinePunct/>
        <w:spacing w:line="540" w:lineRule="exact"/>
        <w:ind w:firstLine="790" w:firstLineChars="250"/>
        <w:rPr>
          <w:rFonts w:ascii="楷体" w:hAnsi="楷体" w:eastAsia="楷体"/>
          <w:szCs w:val="32"/>
        </w:rPr>
      </w:pPr>
      <w:r>
        <w:rPr>
          <w:rFonts w:hint="eastAsia" w:ascii="楷体" w:hAnsi="楷体" w:eastAsia="楷体"/>
          <w:szCs w:val="32"/>
        </w:rPr>
        <w:t>（一）项目概况</w:t>
      </w:r>
    </w:p>
    <w:p>
      <w:pPr>
        <w:topLinePunct/>
        <w:spacing w:line="540" w:lineRule="exact"/>
        <w:ind w:firstLine="790" w:firstLineChars="250"/>
        <w:rPr>
          <w:rFonts w:hint="eastAsia" w:ascii="仿宋_GB2312" w:hAnsi="楷体"/>
          <w:b/>
          <w:bCs/>
          <w:szCs w:val="32"/>
        </w:rPr>
      </w:pPr>
      <w:r>
        <w:rPr>
          <w:rFonts w:hint="eastAsia" w:ascii="仿宋_GB2312" w:hAnsi="楷体"/>
          <w:b/>
          <w:bCs/>
          <w:szCs w:val="32"/>
        </w:rPr>
        <w:t>1.</w:t>
      </w:r>
      <w:r>
        <w:rPr>
          <w:rFonts w:hint="eastAsia" w:ascii="仿宋_GB2312" w:hAnsi="楷体"/>
          <w:b/>
          <w:bCs/>
          <w:szCs w:val="32"/>
          <w:highlight w:val="none"/>
        </w:rPr>
        <w:t>立项背景</w:t>
      </w:r>
      <w:r>
        <w:rPr>
          <w:rFonts w:hint="eastAsia" w:ascii="仿宋_GB2312" w:hAnsi="楷体"/>
          <w:b/>
          <w:bCs/>
          <w:szCs w:val="32"/>
        </w:rPr>
        <w:t>及目的</w:t>
      </w:r>
    </w:p>
    <w:p>
      <w:pPr>
        <w:numPr>
          <w:ilvl w:val="0"/>
          <w:numId w:val="0"/>
        </w:numPr>
        <w:spacing w:line="540" w:lineRule="exact"/>
        <w:ind w:firstLine="632" w:firstLineChars="200"/>
        <w:jc w:val="left"/>
        <w:rPr>
          <w:rFonts w:hint="eastAsia" w:ascii="仿宋_GB2312"/>
          <w:szCs w:val="32"/>
        </w:rPr>
      </w:pPr>
      <w:r>
        <w:rPr>
          <w:rFonts w:hint="eastAsia" w:ascii="仿宋_GB2312"/>
          <w:szCs w:val="32"/>
        </w:rPr>
        <w:t>区铁路护路联防工作</w:t>
      </w:r>
      <w:r>
        <w:rPr>
          <w:rFonts w:hint="eastAsia" w:ascii="仿宋_GB2312"/>
          <w:szCs w:val="32"/>
          <w:lang w:eastAsia="zh-CN"/>
        </w:rPr>
        <w:t>是</w:t>
      </w:r>
      <w:r>
        <w:rPr>
          <w:rFonts w:hint="eastAsia" w:ascii="仿宋_GB2312"/>
          <w:szCs w:val="32"/>
        </w:rPr>
        <w:t>以铁路运行安全为重点，以平安创建和信息化建设为载体，不断创新护路模式，整合路地资源，强化队伍管理，努力构建人防、物防、技防“三位一体”的路地联防、联动、联控线路治安防控体系，不断加强基层基础工作和护路队伍管理，深化平安铁路创建活动，大力开展“三项排查”，集中整治突出治安问题，增强沿线群众防范意识，实现“零发案、零事故”的目标，确保铁路运输安全畅通，为我区经济、社会发展创造良好的运输环境。</w:t>
      </w:r>
    </w:p>
    <w:p>
      <w:pPr>
        <w:numPr>
          <w:ilvl w:val="0"/>
          <w:numId w:val="0"/>
        </w:numPr>
        <w:topLinePunct/>
        <w:spacing w:line="540" w:lineRule="exact"/>
        <w:ind w:firstLine="632" w:firstLineChars="200"/>
        <w:rPr>
          <w:rFonts w:hint="eastAsia" w:ascii="仿宋_GB2312" w:hAnsi="楷体"/>
          <w:b/>
          <w:bCs/>
          <w:szCs w:val="32"/>
        </w:rPr>
      </w:pPr>
      <w:r>
        <w:rPr>
          <w:rFonts w:hint="eastAsia" w:ascii="仿宋_GB2312" w:hAnsi="楷体"/>
          <w:b/>
          <w:bCs/>
          <w:szCs w:val="32"/>
          <w:lang w:val="en-US" w:eastAsia="zh-CN"/>
        </w:rPr>
        <w:t>2.</w:t>
      </w:r>
      <w:r>
        <w:rPr>
          <w:rFonts w:hint="eastAsia" w:ascii="仿宋_GB2312" w:hAnsi="楷体"/>
          <w:b/>
          <w:bCs/>
          <w:szCs w:val="32"/>
        </w:rPr>
        <w:t>项目实施情况</w:t>
      </w:r>
    </w:p>
    <w:p>
      <w:pPr>
        <w:numPr>
          <w:ilvl w:val="0"/>
          <w:numId w:val="0"/>
        </w:numPr>
        <w:spacing w:line="540" w:lineRule="exact"/>
        <w:ind w:firstLine="632" w:firstLineChars="200"/>
        <w:jc w:val="left"/>
        <w:rPr>
          <w:rFonts w:hint="eastAsia" w:ascii="仿宋_GB2312" w:hAnsi="Times New Roman" w:cs="Times New Roman"/>
          <w:szCs w:val="32"/>
        </w:rPr>
      </w:pPr>
      <w:r>
        <w:rPr>
          <w:rFonts w:hint="eastAsia" w:ascii="仿宋_GB2312" w:hAnsi="Times New Roman" w:cs="Times New Roman"/>
          <w:szCs w:val="32"/>
          <w:lang w:val="en-US" w:eastAsia="zh-CN"/>
        </w:rPr>
        <w:t>2020年，为确保铁路护路工作顺利开展，该项目由</w:t>
      </w:r>
      <w:r>
        <w:rPr>
          <w:rFonts w:hint="eastAsia" w:ascii="仿宋_GB2312" w:cs="Times New Roman"/>
          <w:szCs w:val="32"/>
          <w:lang w:val="en-US" w:eastAsia="zh-CN"/>
        </w:rPr>
        <w:t>区</w:t>
      </w:r>
      <w:r>
        <w:rPr>
          <w:rFonts w:hint="eastAsia" w:ascii="仿宋_GB2312" w:hAnsi="Times New Roman" w:cs="Times New Roman"/>
          <w:szCs w:val="32"/>
          <w:lang w:val="en-US" w:eastAsia="zh-CN"/>
        </w:rPr>
        <w:t>财政将经费拨入</w:t>
      </w:r>
      <w:r>
        <w:rPr>
          <w:rFonts w:hint="eastAsia" w:ascii="宋体" w:hAnsi="宋体" w:cs="仿宋_GB2312"/>
          <w:szCs w:val="32"/>
        </w:rPr>
        <w:t>中国共产党昆明市东川区委员会政法委员会</w:t>
      </w:r>
      <w:r>
        <w:rPr>
          <w:rFonts w:hint="eastAsia" w:ascii="仿宋_GB2312" w:hAnsi="Times New Roman" w:cs="Times New Roman"/>
          <w:szCs w:val="32"/>
          <w:lang w:val="en-US" w:eastAsia="zh-CN"/>
        </w:rPr>
        <w:t>，由</w:t>
      </w:r>
      <w:r>
        <w:rPr>
          <w:rFonts w:hint="eastAsia" w:ascii="宋体" w:hAnsi="宋体" w:cs="仿宋_GB2312"/>
          <w:szCs w:val="32"/>
        </w:rPr>
        <w:t>中国共产党昆明市东川区委员会政法委员会</w:t>
      </w:r>
      <w:r>
        <w:rPr>
          <w:rFonts w:hint="eastAsia" w:ascii="仿宋_GB2312" w:hAnsi="Times New Roman" w:cs="Times New Roman"/>
          <w:szCs w:val="32"/>
          <w:lang w:val="en-US" w:eastAsia="zh-CN"/>
        </w:rPr>
        <w:t>统筹将相关经费拨付给涉及的铜都街道、阿旺镇</w:t>
      </w:r>
      <w:r>
        <w:rPr>
          <w:rFonts w:hint="eastAsia" w:ascii="仿宋_GB2312" w:hAnsi="Times New Roman" w:cs="Times New Roman"/>
          <w:szCs w:val="32"/>
        </w:rPr>
        <w:t>。</w:t>
      </w:r>
    </w:p>
    <w:p>
      <w:pPr>
        <w:numPr>
          <w:ilvl w:val="0"/>
          <w:numId w:val="0"/>
        </w:numPr>
        <w:topLinePunct/>
        <w:spacing w:line="540" w:lineRule="exact"/>
        <w:ind w:firstLine="632" w:firstLineChars="200"/>
        <w:rPr>
          <w:rFonts w:hint="eastAsia" w:ascii="仿宋_GB2312" w:hAnsi="楷体"/>
          <w:b/>
          <w:bCs/>
          <w:szCs w:val="32"/>
        </w:rPr>
      </w:pPr>
      <w:r>
        <w:rPr>
          <w:rFonts w:hint="eastAsia" w:ascii="仿宋_GB2312" w:hAnsi="楷体"/>
          <w:b/>
          <w:bCs/>
          <w:szCs w:val="32"/>
          <w:lang w:val="en-US" w:eastAsia="zh-CN"/>
        </w:rPr>
        <w:t>3.</w:t>
      </w:r>
      <w:r>
        <w:rPr>
          <w:rFonts w:hint="eastAsia" w:ascii="仿宋_GB2312" w:hAnsi="楷体"/>
          <w:b/>
          <w:bCs/>
          <w:szCs w:val="32"/>
        </w:rPr>
        <w:t>资金来源及使用情况</w:t>
      </w:r>
    </w:p>
    <w:p>
      <w:pPr>
        <w:spacing w:line="540" w:lineRule="exact"/>
        <w:ind w:firstLine="632" w:firstLineChars="200"/>
        <w:jc w:val="left"/>
        <w:rPr>
          <w:rFonts w:hint="eastAsia" w:ascii="仿宋_GB2312" w:hAnsi="楷体"/>
          <w:szCs w:val="32"/>
        </w:rPr>
      </w:pPr>
      <w:r>
        <w:rPr>
          <w:rFonts w:hint="eastAsia" w:ascii="仿宋_GB2312" w:hAnsi="Times New Roman" w:cs="Times New Roman"/>
          <w:szCs w:val="32"/>
          <w:lang w:val="en-US" w:eastAsia="zh-CN"/>
        </w:rPr>
        <w:t>2020年，为确保铁路护路工作顺利开展，该项目财政拨款收入经费12万元，支出11.92万元，主要用于护路队员务工补贴、电话费补助及办公经费补助。结转结余资金0.08万元。</w:t>
      </w:r>
    </w:p>
    <w:p>
      <w:pPr>
        <w:numPr>
          <w:ilvl w:val="0"/>
          <w:numId w:val="0"/>
        </w:numPr>
        <w:topLinePunct/>
        <w:spacing w:line="540" w:lineRule="exact"/>
        <w:ind w:firstLine="632" w:firstLineChars="200"/>
        <w:rPr>
          <w:rFonts w:hint="eastAsia" w:ascii="仿宋_GB2312" w:hAnsi="楷体"/>
          <w:b/>
          <w:bCs/>
          <w:szCs w:val="32"/>
        </w:rPr>
      </w:pPr>
      <w:r>
        <w:rPr>
          <w:rFonts w:hint="eastAsia" w:ascii="仿宋_GB2312" w:hAnsi="楷体"/>
          <w:b/>
          <w:bCs/>
          <w:szCs w:val="32"/>
          <w:lang w:val="en-US" w:eastAsia="zh-CN"/>
        </w:rPr>
        <w:t>4.</w:t>
      </w:r>
      <w:r>
        <w:rPr>
          <w:rFonts w:hint="eastAsia" w:ascii="仿宋_GB2312" w:hAnsi="楷体"/>
          <w:b/>
          <w:bCs/>
          <w:szCs w:val="32"/>
        </w:rPr>
        <w:t>组织及管理情况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 w:hAnsi="楷体" w:eastAsia="楷体"/>
          <w:szCs w:val="32"/>
        </w:rPr>
      </w:pPr>
      <w:r>
        <w:rPr>
          <w:rFonts w:hint="eastAsia" w:ascii="仿宋_GB2312" w:hAnsi="Times New Roman" w:cs="Times New Roman"/>
          <w:szCs w:val="32"/>
          <w:lang w:val="en-US" w:eastAsia="zh-CN"/>
        </w:rPr>
        <w:t>东川区铁路护路联防工作专项资金</w:t>
      </w:r>
      <w:r>
        <w:rPr>
          <w:rFonts w:hint="eastAsia" w:ascii="仿宋_GB2312" w:hAnsi="楷体"/>
          <w:color w:val="000000" w:themeColor="text1"/>
          <w:szCs w:val="32"/>
        </w:rPr>
        <w:t>由</w:t>
      </w:r>
      <w:r>
        <w:rPr>
          <w:rFonts w:hint="eastAsia" w:ascii="仿宋_GB2312" w:hAnsi="楷体"/>
          <w:color w:val="000000" w:themeColor="text1"/>
          <w:szCs w:val="32"/>
          <w:lang w:eastAsia="zh-CN"/>
        </w:rPr>
        <w:t>区级财政</w:t>
      </w:r>
      <w:r>
        <w:rPr>
          <w:rFonts w:hint="eastAsia" w:ascii="仿宋_GB2312" w:hAnsi="楷体"/>
          <w:color w:val="000000" w:themeColor="text1"/>
          <w:szCs w:val="32"/>
        </w:rPr>
        <w:t>下拨</w:t>
      </w:r>
      <w:r>
        <w:rPr>
          <w:rFonts w:hint="eastAsia" w:ascii="仿宋_GB2312" w:hAnsi="仿宋_GB2312" w:cs="仿宋_GB2312"/>
          <w:color w:val="000000" w:themeColor="text1"/>
          <w:sz w:val="32"/>
          <w:szCs w:val="32"/>
          <w:lang w:eastAsia="zh-CN"/>
        </w:rPr>
        <w:t>，</w:t>
      </w:r>
      <w:r>
        <w:rPr>
          <w:rFonts w:hint="eastAsia" w:ascii="仿宋_GB2312" w:eastAsia="仿宋_GB2312"/>
          <w:color w:val="000000" w:themeColor="text1"/>
          <w:sz w:val="32"/>
          <w:szCs w:val="32"/>
        </w:rPr>
        <w:t>为确保</w:t>
      </w:r>
      <w:r>
        <w:rPr>
          <w:rFonts w:hint="eastAsia" w:ascii="仿宋_GB2312"/>
          <w:color w:val="000000" w:themeColor="text1"/>
          <w:sz w:val="32"/>
          <w:szCs w:val="32"/>
          <w:lang w:eastAsia="zh-CN"/>
        </w:rPr>
        <w:t>东川区铁路护路工作正常有序</w:t>
      </w:r>
      <w:r>
        <w:rPr>
          <w:rFonts w:hint="eastAsia" w:ascii="仿宋_GB2312" w:eastAsia="仿宋_GB2312"/>
          <w:color w:val="000000" w:themeColor="text1"/>
          <w:sz w:val="32"/>
          <w:szCs w:val="32"/>
        </w:rPr>
        <w:t>开展，</w:t>
      </w:r>
      <w:r>
        <w:rPr>
          <w:rFonts w:hint="eastAsia" w:ascii="宋体" w:hAnsi="宋体" w:eastAsia="仿宋_GB2312"/>
          <w:sz w:val="32"/>
          <w:szCs w:val="32"/>
        </w:rPr>
        <w:t>我区将铁路护路联防工作纳入了平安建设的总体规划和目标考核体系，纳入了当地社会治安综合治理主要内容，调整</w:t>
      </w:r>
      <w:r>
        <w:rPr>
          <w:rFonts w:hint="eastAsia" w:ascii="仿宋_GB2312" w:hAnsi="楷体" w:cs="Times New Roman"/>
          <w:color w:val="000000" w:themeColor="text1"/>
          <w:szCs w:val="32"/>
        </w:rPr>
        <w:t>充实了东川区铁路护路工作领导小组成员单位和相关负责人，铜都街道、阿旺镇成立了以政法副书记为组长的工作领导小组，形成10名工作人员专兼职负责、地方民兵积</w:t>
      </w:r>
      <w:r>
        <w:rPr>
          <w:rFonts w:hint="eastAsia" w:ascii="宋体" w:hAnsi="宋体" w:eastAsia="仿宋_GB2312"/>
          <w:sz w:val="32"/>
          <w:szCs w:val="32"/>
        </w:rPr>
        <w:t>极参与铁路护路工作的局面，确保了有人抓、有人管。</w:t>
      </w:r>
    </w:p>
    <w:p>
      <w:pPr>
        <w:numPr>
          <w:ilvl w:val="0"/>
          <w:numId w:val="0"/>
        </w:numPr>
        <w:topLinePunct/>
        <w:spacing w:line="540" w:lineRule="exact"/>
        <w:ind w:leftChars="250"/>
        <w:rPr>
          <w:rFonts w:ascii="楷体" w:hAnsi="楷体" w:eastAsia="楷体"/>
          <w:szCs w:val="32"/>
        </w:rPr>
      </w:pPr>
      <w:r>
        <w:rPr>
          <w:rFonts w:hint="eastAsia" w:ascii="楷体" w:hAnsi="楷体" w:eastAsia="楷体"/>
          <w:szCs w:val="32"/>
        </w:rPr>
        <w:t>（二）绩效目标</w:t>
      </w:r>
    </w:p>
    <w:p>
      <w:pPr>
        <w:topLinePunct/>
        <w:spacing w:line="540" w:lineRule="exact"/>
        <w:ind w:firstLine="632" w:firstLineChars="200"/>
        <w:rPr>
          <w:rFonts w:hint="eastAsia" w:ascii="仿宋_GB2312" w:hAnsi="楷体"/>
          <w:b/>
          <w:bCs/>
          <w:szCs w:val="32"/>
        </w:rPr>
      </w:pPr>
      <w:r>
        <w:rPr>
          <w:rFonts w:hint="eastAsia" w:ascii="仿宋_GB2312" w:hAnsi="楷体"/>
          <w:b/>
          <w:bCs/>
          <w:szCs w:val="32"/>
        </w:rPr>
        <w:t>1.总目标</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宋体" w:hAnsi="宋体" w:eastAsia="仿宋_GB2312"/>
          <w:sz w:val="32"/>
          <w:szCs w:val="32"/>
        </w:rPr>
      </w:pPr>
      <w:r>
        <w:rPr>
          <w:rFonts w:hint="eastAsia" w:ascii="宋体" w:hAnsi="宋体" w:eastAsia="仿宋_GB2312"/>
          <w:sz w:val="32"/>
          <w:szCs w:val="32"/>
        </w:rPr>
        <w:t>增强沿线群众防范意识，实现“零发案、零事故”的目标，确保铁路运输安全畅通，为我区经济、社会发展创造良好的运输环境。</w:t>
      </w:r>
    </w:p>
    <w:p>
      <w:pPr>
        <w:numPr>
          <w:ilvl w:val="0"/>
          <w:numId w:val="0"/>
        </w:numPr>
        <w:topLinePunct/>
        <w:spacing w:line="540" w:lineRule="exact"/>
        <w:ind w:firstLine="632" w:firstLineChars="200"/>
        <w:rPr>
          <w:rFonts w:ascii="仿宋_GB2312" w:hAnsi="楷体"/>
          <w:b/>
          <w:bCs/>
          <w:szCs w:val="32"/>
        </w:rPr>
      </w:pPr>
      <w:r>
        <w:rPr>
          <w:rFonts w:hint="eastAsia" w:ascii="仿宋_GB2312" w:hAnsi="楷体"/>
          <w:b/>
          <w:bCs/>
          <w:szCs w:val="32"/>
          <w:lang w:val="en-US" w:eastAsia="zh-CN"/>
        </w:rPr>
        <w:t>2.</w:t>
      </w:r>
      <w:r>
        <w:rPr>
          <w:rFonts w:hint="eastAsia" w:ascii="仿宋_GB2312" w:hAnsi="楷体"/>
          <w:b/>
          <w:bCs/>
          <w:szCs w:val="32"/>
        </w:rPr>
        <w:t>年度目标</w:t>
      </w:r>
    </w:p>
    <w:p>
      <w:pPr>
        <w:topLinePunct/>
        <w:spacing w:line="540" w:lineRule="exact"/>
        <w:ind w:firstLine="632" w:firstLineChars="200"/>
        <w:rPr>
          <w:rFonts w:hint="eastAsia" w:ascii="宋体" w:hAnsi="宋体" w:cs="Times New Roman"/>
          <w:sz w:val="32"/>
          <w:szCs w:val="32"/>
          <w:lang w:val="en-US" w:eastAsia="zh-CN"/>
        </w:rPr>
      </w:pPr>
      <w:r>
        <w:rPr>
          <w:rFonts w:hint="eastAsia" w:ascii="仿宋_GB2312"/>
          <w:szCs w:val="32"/>
        </w:rPr>
        <w:t>按照要求配备</w:t>
      </w:r>
      <w:r>
        <w:rPr>
          <w:rFonts w:ascii="仿宋_GB2312"/>
          <w:szCs w:val="32"/>
        </w:rPr>
        <w:t>10名护路队员</w:t>
      </w:r>
      <w:r>
        <w:rPr>
          <w:rFonts w:hint="eastAsia" w:ascii="仿宋_GB2312"/>
          <w:szCs w:val="32"/>
          <w:lang w:eastAsia="zh-CN"/>
        </w:rPr>
        <w:t>，</w:t>
      </w:r>
      <w:r>
        <w:rPr>
          <w:rFonts w:hint="eastAsia" w:ascii="宋体" w:hAnsi="宋体" w:eastAsia="仿宋_GB2312"/>
          <w:sz w:val="32"/>
          <w:szCs w:val="32"/>
        </w:rPr>
        <w:t>确保了有人抓、有人管</w:t>
      </w:r>
      <w:r>
        <w:rPr>
          <w:rFonts w:hint="eastAsia" w:ascii="宋体" w:hAnsi="宋体"/>
          <w:sz w:val="32"/>
          <w:szCs w:val="32"/>
          <w:lang w:eastAsia="zh-CN"/>
        </w:rPr>
        <w:t>，</w:t>
      </w:r>
      <w:r>
        <w:rPr>
          <w:rFonts w:hint="eastAsia" w:ascii="宋体" w:hAnsi="宋体" w:eastAsia="仿宋_GB2312"/>
          <w:sz w:val="32"/>
          <w:szCs w:val="32"/>
        </w:rPr>
        <w:t>不断加强基层基础工作和护路队伍管理</w:t>
      </w:r>
      <w:r>
        <w:rPr>
          <w:rFonts w:hint="eastAsia" w:ascii="宋体" w:hAnsi="宋体"/>
          <w:sz w:val="32"/>
          <w:szCs w:val="32"/>
          <w:lang w:eastAsia="zh-CN"/>
        </w:rPr>
        <w:t>。</w:t>
      </w:r>
      <w:r>
        <w:rPr>
          <w:rFonts w:hint="eastAsia" w:ascii="宋体" w:hAnsi="宋体" w:cs="Times New Roman"/>
          <w:sz w:val="32"/>
          <w:szCs w:val="32"/>
          <w:lang w:val="en-US" w:eastAsia="zh-CN"/>
        </w:rPr>
        <w:t>到铁路沿线周边学校、村组开展铁路安全常识宣传教育；与各责任单位和护路队员签订责任书；与铁路范围内的大牲畜、机动车辆、五残人员进行排查并签订《责任书》；完成全年承包任务，确保全年铁路安全运行无事故。</w:t>
      </w:r>
    </w:p>
    <w:p>
      <w:pPr>
        <w:topLinePunct/>
        <w:spacing w:line="540" w:lineRule="exact"/>
        <w:ind w:firstLine="632" w:firstLineChars="200"/>
        <w:rPr>
          <w:rFonts w:ascii="黑体" w:hAnsi="黑体" w:eastAsia="黑体"/>
          <w:szCs w:val="32"/>
        </w:rPr>
      </w:pPr>
      <w:r>
        <w:rPr>
          <w:rFonts w:hint="eastAsia" w:ascii="黑体" w:hAnsi="黑体" w:eastAsia="黑体"/>
          <w:szCs w:val="32"/>
        </w:rPr>
        <w:t>二、绩效评价工作情况</w:t>
      </w:r>
    </w:p>
    <w:p>
      <w:pPr>
        <w:topLinePunct/>
        <w:spacing w:line="540" w:lineRule="exact"/>
        <w:ind w:firstLine="632" w:firstLineChars="200"/>
        <w:rPr>
          <w:rFonts w:ascii="仿宋_GB2312" w:hAnsi="楷体"/>
          <w:szCs w:val="32"/>
        </w:rPr>
      </w:pPr>
      <w:r>
        <w:rPr>
          <w:rFonts w:hint="eastAsia" w:ascii="楷体" w:hAnsi="楷体" w:eastAsia="楷体"/>
          <w:szCs w:val="32"/>
        </w:rPr>
        <w:t>（一）绩效评价目的。</w:t>
      </w:r>
      <w:r>
        <w:rPr>
          <w:rFonts w:hint="eastAsia" w:ascii="仿宋_GB2312" w:hAnsi="楷体"/>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topLinePunct/>
        <w:spacing w:line="540" w:lineRule="exact"/>
        <w:ind w:firstLine="632" w:firstLineChars="200"/>
        <w:rPr>
          <w:rFonts w:ascii="楷体" w:hAnsi="楷体" w:eastAsia="楷体"/>
          <w:szCs w:val="32"/>
        </w:rPr>
      </w:pPr>
      <w:r>
        <w:rPr>
          <w:rFonts w:hint="eastAsia" w:ascii="楷体" w:hAnsi="楷体" w:eastAsia="楷体"/>
          <w:szCs w:val="32"/>
        </w:rPr>
        <w:t>（二）绩效评价工作方案制定过程</w:t>
      </w:r>
    </w:p>
    <w:p>
      <w:pPr>
        <w:topLinePunct/>
        <w:spacing w:line="540" w:lineRule="exact"/>
        <w:ind w:firstLine="632" w:firstLineChars="200"/>
        <w:rPr>
          <w:rFonts w:hint="eastAsia" w:ascii="仿宋_GB2312" w:hAnsi="楷体"/>
          <w:b/>
          <w:bCs/>
          <w:szCs w:val="32"/>
        </w:rPr>
      </w:pPr>
      <w:r>
        <w:rPr>
          <w:rFonts w:hint="eastAsia" w:ascii="仿宋_GB2312" w:hAnsi="楷体"/>
          <w:b/>
          <w:bCs/>
          <w:szCs w:val="32"/>
        </w:rPr>
        <w:t>1.前期调研</w:t>
      </w:r>
    </w:p>
    <w:p>
      <w:pPr>
        <w:keepNext w:val="0"/>
        <w:keepLines w:val="0"/>
        <w:pageBreakBefore w:val="0"/>
        <w:widowControl w:val="0"/>
        <w:kinsoku/>
        <w:wordWrap/>
        <w:overflowPunct/>
        <w:topLinePunct/>
        <w:autoSpaceDE/>
        <w:autoSpaceDN/>
        <w:bidi w:val="0"/>
        <w:adjustRightInd/>
        <w:snapToGrid/>
        <w:spacing w:line="580" w:lineRule="exact"/>
        <w:ind w:right="0" w:rightChars="0" w:firstLine="632" w:firstLineChars="200"/>
        <w:textAlignment w:val="auto"/>
        <w:rPr>
          <w:rFonts w:hint="eastAsia" w:ascii="仿宋_GB2312" w:hAnsi="楷体"/>
          <w:szCs w:val="32"/>
        </w:rPr>
      </w:pPr>
      <w:r>
        <w:rPr>
          <w:rFonts w:hint="eastAsia" w:ascii="宋体" w:hAnsi="宋体" w:cs="仿宋_GB2312"/>
          <w:szCs w:val="32"/>
        </w:rPr>
        <w:t>中国共产党昆明市东川区委员会政法委员会</w:t>
      </w:r>
      <w:r>
        <w:rPr>
          <w:rFonts w:hint="eastAsia" w:ascii="仿宋_GB2312" w:hAnsi="楷体"/>
          <w:color w:val="000000" w:themeColor="text1"/>
          <w:szCs w:val="32"/>
        </w:rPr>
        <w:t>成立绩效评价工作小组，对本单位的项目报送情况进行整理，结合掌握情况，对报送的项目实施情况进行调研分析、核查落实，在核查无误的情况下进行汇总，为绩效评价工作奠定基础。</w:t>
      </w:r>
    </w:p>
    <w:p>
      <w:pPr>
        <w:numPr>
          <w:ilvl w:val="0"/>
          <w:numId w:val="0"/>
        </w:numPr>
        <w:topLinePunct/>
        <w:spacing w:line="540" w:lineRule="exact"/>
        <w:ind w:firstLine="632" w:firstLineChars="200"/>
        <w:rPr>
          <w:rFonts w:hint="eastAsia" w:ascii="仿宋_GB2312" w:hAnsi="楷体"/>
          <w:b/>
          <w:bCs/>
          <w:szCs w:val="32"/>
        </w:rPr>
      </w:pPr>
      <w:r>
        <w:rPr>
          <w:rFonts w:hint="eastAsia" w:ascii="仿宋_GB2312" w:hAnsi="楷体"/>
          <w:b/>
          <w:bCs/>
          <w:szCs w:val="32"/>
          <w:lang w:val="en-US" w:eastAsia="zh-CN"/>
        </w:rPr>
        <w:t>2.</w:t>
      </w:r>
      <w:r>
        <w:rPr>
          <w:rFonts w:hint="eastAsia" w:ascii="仿宋_GB2312" w:hAnsi="楷体"/>
          <w:b/>
          <w:bCs/>
          <w:szCs w:val="32"/>
        </w:rPr>
        <w:t>研究文件</w:t>
      </w:r>
    </w:p>
    <w:p>
      <w:pPr>
        <w:topLinePunct/>
        <w:spacing w:line="560" w:lineRule="exact"/>
        <w:ind w:firstLine="632" w:firstLineChars="200"/>
        <w:rPr>
          <w:rFonts w:hint="eastAsia" w:ascii="仿宋_GB2312" w:hAnsi="楷体"/>
          <w:szCs w:val="32"/>
        </w:rPr>
      </w:pPr>
      <w:r>
        <w:rPr>
          <w:rFonts w:hint="eastAsia" w:ascii="宋体" w:hAnsi="宋体" w:cs="仿宋_GB2312"/>
          <w:szCs w:val="32"/>
        </w:rPr>
        <w:t>中国共产党昆明市东川区委员会政法委员会</w:t>
      </w:r>
      <w:r>
        <w:rPr>
          <w:rFonts w:hint="eastAsia" w:ascii="仿宋_GB2312" w:hAnsi="楷体"/>
          <w:color w:val="000000" w:themeColor="text1"/>
          <w:szCs w:val="32"/>
          <w:highlight w:val="none"/>
        </w:rPr>
        <w:t>根据《中华人民共和国预算法》，按照</w:t>
      </w:r>
      <w:r>
        <w:rPr>
          <w:rFonts w:hint="eastAsia" w:ascii="仿宋_GB2312" w:hAnsi="仿宋_GB2312" w:eastAsia="仿宋_GB2312" w:cs="仿宋_GB2312"/>
          <w:sz w:val="32"/>
          <w:szCs w:val="32"/>
          <w:highlight w:val="none"/>
          <w:lang w:eastAsia="zh-CN"/>
        </w:rPr>
        <w:t>《项目支出绩效评价管理办法》（</w:t>
      </w:r>
      <w:r>
        <w:rPr>
          <w:rFonts w:hint="eastAsia" w:ascii="仿宋_GB2312" w:hAnsi="仿宋_GB2312" w:eastAsia="仿宋_GB2312" w:cs="仿宋_GB2312"/>
          <w:sz w:val="32"/>
          <w:szCs w:val="32"/>
          <w:lang w:eastAsia="zh-CN"/>
        </w:rPr>
        <w:t>财预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10号）</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东川区财政局</w:t>
      </w:r>
      <w:r>
        <w:rPr>
          <w:rFonts w:hint="eastAsia" w:ascii="仿宋_GB2312" w:hAnsi="仿宋_GB2312" w:eastAsia="仿宋_GB2312" w:cs="仿宋_GB2312"/>
          <w:sz w:val="32"/>
          <w:szCs w:val="32"/>
          <w:lang w:val="en-US" w:eastAsia="zh-CN"/>
        </w:rPr>
        <w:t>关于开展东川区2020年度绩效自评工作的通知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东</w:t>
      </w:r>
      <w:r>
        <w:rPr>
          <w:rFonts w:hint="eastAsia" w:ascii="仿宋_GB2312" w:hAnsi="仿宋_GB2312" w:eastAsia="仿宋_GB2312" w:cs="仿宋_GB2312"/>
          <w:sz w:val="32"/>
          <w:szCs w:val="32"/>
          <w:lang w:eastAsia="zh-CN"/>
        </w:rPr>
        <w:t>财绩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r>
        <w:rPr>
          <w:rFonts w:hint="eastAsia" w:ascii="仿宋_GB2312" w:hAnsi="楷体"/>
          <w:color w:val="000000" w:themeColor="text1"/>
          <w:szCs w:val="32"/>
          <w:highlight w:val="none"/>
          <w:lang w:eastAsia="zh-CN"/>
        </w:rPr>
        <w:t>文件</w:t>
      </w:r>
      <w:r>
        <w:rPr>
          <w:rFonts w:hint="eastAsia" w:ascii="仿宋_GB2312" w:hAnsi="楷体"/>
          <w:color w:val="000000" w:themeColor="text1"/>
          <w:szCs w:val="32"/>
          <w:highlight w:val="none"/>
        </w:rPr>
        <w:t>要求</w:t>
      </w:r>
      <w:r>
        <w:rPr>
          <w:rFonts w:hint="eastAsia" w:ascii="仿宋_GB2312" w:hAnsi="楷体"/>
          <w:color w:val="000000" w:themeColor="text1"/>
          <w:szCs w:val="32"/>
          <w:highlight w:val="none"/>
          <w:lang w:eastAsia="zh-CN"/>
        </w:rPr>
        <w:t>，</w:t>
      </w:r>
      <w:r>
        <w:rPr>
          <w:rFonts w:hint="eastAsia" w:ascii="仿宋_GB2312" w:hAnsi="楷体"/>
          <w:color w:val="000000" w:themeColor="text1"/>
          <w:szCs w:val="32"/>
          <w:highlight w:val="none"/>
        </w:rPr>
        <w:t>并查看</w:t>
      </w:r>
      <w:r>
        <w:rPr>
          <w:rFonts w:hint="eastAsia" w:ascii="仿宋_GB2312" w:hAnsi="楷体"/>
          <w:color w:val="000000" w:themeColor="text1"/>
          <w:szCs w:val="32"/>
          <w:highlight w:val="none"/>
          <w:lang w:eastAsia="zh-CN"/>
        </w:rPr>
        <w:t>单位</w:t>
      </w:r>
      <w:r>
        <w:rPr>
          <w:rFonts w:hint="eastAsia" w:ascii="仿宋_GB2312" w:hAnsi="楷体"/>
          <w:color w:val="000000" w:themeColor="text1"/>
          <w:szCs w:val="32"/>
          <w:highlight w:val="none"/>
        </w:rPr>
        <w:t>年度工作任务目标，专项资金项目</w:t>
      </w:r>
      <w:r>
        <w:rPr>
          <w:rFonts w:hint="eastAsia" w:ascii="仿宋_GB2312" w:hAnsi="楷体"/>
          <w:color w:val="000000" w:themeColor="text1"/>
          <w:szCs w:val="32"/>
          <w:highlight w:val="none"/>
          <w:lang w:eastAsia="zh-CN"/>
        </w:rPr>
        <w:t>，</w:t>
      </w:r>
      <w:r>
        <w:rPr>
          <w:rFonts w:hint="eastAsia" w:ascii="仿宋_GB2312" w:hAnsi="楷体"/>
          <w:color w:val="000000" w:themeColor="text1"/>
          <w:szCs w:val="32"/>
          <w:highlight w:val="none"/>
        </w:rPr>
        <w:t>绩效目标申报表，为开展绩效评价工作奠定基础。</w:t>
      </w:r>
    </w:p>
    <w:p>
      <w:pPr>
        <w:numPr>
          <w:ilvl w:val="0"/>
          <w:numId w:val="0"/>
        </w:numPr>
        <w:topLinePunct/>
        <w:spacing w:line="540" w:lineRule="exact"/>
        <w:ind w:firstLine="632" w:firstLineChars="200"/>
        <w:rPr>
          <w:rFonts w:hint="eastAsia" w:ascii="仿宋_GB2312" w:hAnsi="楷体"/>
          <w:b/>
          <w:bCs/>
          <w:szCs w:val="32"/>
        </w:rPr>
      </w:pPr>
      <w:r>
        <w:rPr>
          <w:rFonts w:hint="eastAsia" w:ascii="仿宋_GB2312" w:hAnsi="楷体"/>
          <w:b/>
          <w:bCs/>
          <w:szCs w:val="32"/>
          <w:lang w:val="en-US" w:eastAsia="zh-CN"/>
        </w:rPr>
        <w:t>3.</w:t>
      </w:r>
      <w:r>
        <w:rPr>
          <w:rFonts w:hint="eastAsia" w:ascii="仿宋_GB2312" w:hAnsi="楷体"/>
          <w:b/>
          <w:bCs/>
          <w:szCs w:val="32"/>
        </w:rPr>
        <w:t>绩效评价指标体系及工作方案的设计</w:t>
      </w:r>
    </w:p>
    <w:p>
      <w:pPr>
        <w:keepNext w:val="0"/>
        <w:keepLines w:val="0"/>
        <w:pageBreakBefore w:val="0"/>
        <w:widowControl w:val="0"/>
        <w:kinsoku/>
        <w:wordWrap/>
        <w:overflowPunct/>
        <w:topLinePunct/>
        <w:autoSpaceDE/>
        <w:autoSpaceDN/>
        <w:bidi w:val="0"/>
        <w:adjustRightInd/>
        <w:snapToGrid/>
        <w:spacing w:line="580" w:lineRule="exact"/>
        <w:ind w:right="0" w:rightChars="0" w:firstLine="632" w:firstLineChars="200"/>
        <w:textAlignment w:val="auto"/>
        <w:rPr>
          <w:rFonts w:hint="eastAsia" w:ascii="仿宋_GB2312" w:hAnsi="楷体"/>
          <w:color w:val="auto"/>
          <w:szCs w:val="32"/>
        </w:rPr>
      </w:pPr>
      <w:r>
        <w:rPr>
          <w:rFonts w:hint="eastAsia" w:ascii="仿宋_GB2312" w:hAnsi="楷体"/>
          <w:color w:val="auto"/>
          <w:szCs w:val="32"/>
        </w:rPr>
        <w:t>（1）绩效评价指标体系</w:t>
      </w:r>
    </w:p>
    <w:p>
      <w:pPr>
        <w:keepNext w:val="0"/>
        <w:keepLines w:val="0"/>
        <w:pageBreakBefore w:val="0"/>
        <w:widowControl w:val="0"/>
        <w:kinsoku/>
        <w:wordWrap/>
        <w:overflowPunct/>
        <w:topLinePunct/>
        <w:autoSpaceDE/>
        <w:autoSpaceDN/>
        <w:bidi w:val="0"/>
        <w:adjustRightInd/>
        <w:snapToGrid/>
        <w:spacing w:line="580" w:lineRule="exact"/>
        <w:ind w:right="0" w:rightChars="0" w:firstLine="632" w:firstLineChars="200"/>
        <w:textAlignment w:val="auto"/>
        <w:rPr>
          <w:rFonts w:hint="eastAsia" w:ascii="仿宋_GB2312" w:hAnsi="楷体"/>
          <w:color w:val="auto"/>
          <w:szCs w:val="32"/>
        </w:rPr>
      </w:pPr>
      <w:r>
        <w:rPr>
          <w:rFonts w:hint="eastAsia" w:ascii="仿宋_GB2312" w:hAnsi="楷体"/>
          <w:color w:val="auto"/>
          <w:szCs w:val="32"/>
        </w:rPr>
        <w:t>绩效评价指标体系共设一级指标三个，分别为项目决策（20%）、项目管理（20%）、项目绩效（60%）；二级指标七个，分别为项目立项、项目目标、投入管理、财务管理、项目实施、项目产出、项目效益；再根据项目具体情况细化为三级指标及四级指标。</w:t>
      </w:r>
    </w:p>
    <w:p>
      <w:pPr>
        <w:keepNext w:val="0"/>
        <w:keepLines w:val="0"/>
        <w:pageBreakBefore w:val="0"/>
        <w:widowControl w:val="0"/>
        <w:kinsoku/>
        <w:wordWrap/>
        <w:overflowPunct/>
        <w:topLinePunct/>
        <w:autoSpaceDE/>
        <w:autoSpaceDN/>
        <w:bidi w:val="0"/>
        <w:adjustRightInd/>
        <w:snapToGrid/>
        <w:spacing w:line="580" w:lineRule="exact"/>
        <w:ind w:right="0" w:rightChars="0" w:firstLine="632" w:firstLineChars="200"/>
        <w:textAlignment w:val="auto"/>
        <w:rPr>
          <w:rFonts w:hint="eastAsia" w:ascii="仿宋_GB2312" w:hAnsi="楷体"/>
          <w:color w:val="auto"/>
          <w:szCs w:val="32"/>
        </w:rPr>
      </w:pPr>
      <w:r>
        <w:rPr>
          <w:rFonts w:hint="eastAsia" w:ascii="仿宋_GB2312" w:hAnsi="楷体"/>
          <w:color w:val="auto"/>
          <w:szCs w:val="32"/>
        </w:rPr>
        <w:t>（2）工作方案</w:t>
      </w:r>
    </w:p>
    <w:p>
      <w:pPr>
        <w:keepNext w:val="0"/>
        <w:keepLines w:val="0"/>
        <w:pageBreakBefore w:val="0"/>
        <w:widowControl w:val="0"/>
        <w:kinsoku/>
        <w:wordWrap/>
        <w:overflowPunct/>
        <w:topLinePunct/>
        <w:autoSpaceDE/>
        <w:autoSpaceDN/>
        <w:bidi w:val="0"/>
        <w:adjustRightInd/>
        <w:snapToGrid/>
        <w:spacing w:line="580" w:lineRule="exact"/>
        <w:ind w:right="0" w:rightChars="0" w:firstLine="632" w:firstLineChars="200"/>
        <w:textAlignment w:val="auto"/>
        <w:rPr>
          <w:rFonts w:hint="eastAsia" w:ascii="仿宋_GB2312" w:hAnsi="楷体"/>
          <w:color w:val="auto"/>
          <w:szCs w:val="32"/>
        </w:rPr>
      </w:pPr>
      <w:r>
        <w:rPr>
          <w:rFonts w:hint="eastAsia" w:ascii="仿宋_GB2312" w:hAnsi="楷体"/>
          <w:color w:val="auto"/>
          <w:szCs w:val="32"/>
        </w:rPr>
        <w:t>绩效评价工作小组组织召开绩效评价会议，确定绩效评价重点，选取适合的绩效评价方式，制定绩效评价指标体系，明确绩效评价标准和评分标准，对相关单位的绩效资料报送情况进行现场核查、搜集证据材料，并形成评价结论，得出绩效评分。</w:t>
      </w:r>
    </w:p>
    <w:p>
      <w:pPr>
        <w:topLinePunct/>
        <w:spacing w:line="540" w:lineRule="exact"/>
        <w:ind w:firstLine="632" w:firstLineChars="200"/>
        <w:rPr>
          <w:rFonts w:ascii="楷体" w:hAnsi="楷体" w:eastAsia="楷体"/>
          <w:szCs w:val="32"/>
        </w:rPr>
      </w:pPr>
      <w:r>
        <w:rPr>
          <w:rFonts w:hint="eastAsia" w:ascii="楷体" w:hAnsi="楷体" w:eastAsia="楷体"/>
          <w:szCs w:val="32"/>
        </w:rPr>
        <w:t>（三）绩效评价原则、评价方法</w:t>
      </w:r>
    </w:p>
    <w:p>
      <w:pPr>
        <w:keepNext w:val="0"/>
        <w:keepLines w:val="0"/>
        <w:pageBreakBefore w:val="0"/>
        <w:widowControl w:val="0"/>
        <w:kinsoku/>
        <w:wordWrap/>
        <w:overflowPunct/>
        <w:topLinePunct/>
        <w:autoSpaceDE/>
        <w:autoSpaceDN/>
        <w:bidi w:val="0"/>
        <w:adjustRightInd/>
        <w:snapToGrid/>
        <w:spacing w:line="580" w:lineRule="exact"/>
        <w:ind w:right="0" w:rightChars="0" w:firstLine="632" w:firstLineChars="200"/>
        <w:jc w:val="both"/>
        <w:textAlignment w:val="auto"/>
        <w:outlineLvl w:val="2"/>
        <w:rPr>
          <w:rFonts w:hint="eastAsia" w:ascii="仿宋_GB2312" w:hAnsi="楷体"/>
          <w:b/>
          <w:bCs/>
          <w:color w:val="000000" w:themeColor="text1"/>
          <w:szCs w:val="32"/>
        </w:rPr>
      </w:pPr>
      <w:r>
        <w:rPr>
          <w:rFonts w:hint="eastAsia" w:ascii="仿宋_GB2312" w:hAnsi="楷体"/>
          <w:b/>
          <w:bCs/>
          <w:szCs w:val="32"/>
        </w:rPr>
        <w:t>1.绩效评价原则</w:t>
      </w:r>
    </w:p>
    <w:p>
      <w:pPr>
        <w:keepNext w:val="0"/>
        <w:keepLines w:val="0"/>
        <w:pageBreakBefore w:val="0"/>
        <w:widowControl w:val="0"/>
        <w:kinsoku/>
        <w:wordWrap/>
        <w:overflowPunct/>
        <w:topLinePunct/>
        <w:autoSpaceDE/>
        <w:autoSpaceDN/>
        <w:bidi w:val="0"/>
        <w:adjustRightInd/>
        <w:snapToGrid/>
        <w:spacing w:line="580" w:lineRule="exact"/>
        <w:ind w:right="0" w:rightChars="0" w:firstLine="632" w:firstLineChars="200"/>
        <w:jc w:val="both"/>
        <w:textAlignment w:val="auto"/>
        <w:outlineLvl w:val="9"/>
        <w:rPr>
          <w:rFonts w:hint="eastAsia" w:ascii="仿宋_GB2312" w:hAnsi="楷体"/>
          <w:color w:val="000000" w:themeColor="text1"/>
          <w:szCs w:val="32"/>
        </w:rPr>
      </w:pPr>
      <w:r>
        <w:rPr>
          <w:rFonts w:hint="eastAsia" w:ascii="仿宋_GB2312" w:hAnsi="楷体"/>
          <w:color w:val="000000" w:themeColor="text1"/>
          <w:szCs w:val="32"/>
        </w:rPr>
        <w:t>（1）经济性、效率性和有效性原则；</w:t>
      </w:r>
    </w:p>
    <w:p>
      <w:pPr>
        <w:keepNext w:val="0"/>
        <w:keepLines w:val="0"/>
        <w:pageBreakBefore w:val="0"/>
        <w:widowControl w:val="0"/>
        <w:kinsoku/>
        <w:wordWrap/>
        <w:overflowPunct/>
        <w:topLinePunct/>
        <w:autoSpaceDE/>
        <w:autoSpaceDN/>
        <w:bidi w:val="0"/>
        <w:adjustRightInd/>
        <w:snapToGrid/>
        <w:spacing w:line="580" w:lineRule="exact"/>
        <w:ind w:right="0" w:rightChars="0" w:firstLine="632" w:firstLineChars="200"/>
        <w:jc w:val="both"/>
        <w:textAlignment w:val="auto"/>
        <w:outlineLvl w:val="9"/>
        <w:rPr>
          <w:rFonts w:hint="eastAsia" w:ascii="仿宋_GB2312" w:hAnsi="楷体"/>
          <w:color w:val="000000" w:themeColor="text1"/>
          <w:szCs w:val="32"/>
        </w:rPr>
      </w:pPr>
      <w:r>
        <w:rPr>
          <w:rFonts w:hint="eastAsia" w:ascii="仿宋_GB2312" w:hAnsi="楷体"/>
          <w:color w:val="000000" w:themeColor="text1"/>
          <w:szCs w:val="32"/>
        </w:rPr>
        <w:t>（2）经济效益、社会效益和生态环境效益原则；</w:t>
      </w:r>
    </w:p>
    <w:p>
      <w:pPr>
        <w:keepNext w:val="0"/>
        <w:keepLines w:val="0"/>
        <w:pageBreakBefore w:val="0"/>
        <w:widowControl w:val="0"/>
        <w:kinsoku/>
        <w:wordWrap/>
        <w:overflowPunct/>
        <w:topLinePunct/>
        <w:autoSpaceDE/>
        <w:autoSpaceDN/>
        <w:bidi w:val="0"/>
        <w:adjustRightInd/>
        <w:snapToGrid/>
        <w:spacing w:line="580" w:lineRule="exact"/>
        <w:ind w:right="0" w:rightChars="0" w:firstLine="632" w:firstLineChars="200"/>
        <w:jc w:val="both"/>
        <w:textAlignment w:val="auto"/>
        <w:outlineLvl w:val="9"/>
        <w:rPr>
          <w:rFonts w:hint="eastAsia" w:ascii="仿宋_GB2312" w:hAnsi="楷体"/>
          <w:color w:val="000000" w:themeColor="text1"/>
          <w:szCs w:val="32"/>
        </w:rPr>
      </w:pPr>
      <w:r>
        <w:rPr>
          <w:rFonts w:hint="eastAsia" w:ascii="仿宋_GB2312" w:hAnsi="楷体"/>
          <w:color w:val="000000" w:themeColor="text1"/>
          <w:szCs w:val="32"/>
        </w:rPr>
        <w:t>（3）财政支出和产出绩效对应原则；</w:t>
      </w:r>
    </w:p>
    <w:p>
      <w:pPr>
        <w:keepNext w:val="0"/>
        <w:keepLines w:val="0"/>
        <w:pageBreakBefore w:val="0"/>
        <w:widowControl w:val="0"/>
        <w:kinsoku/>
        <w:wordWrap/>
        <w:overflowPunct/>
        <w:topLinePunct/>
        <w:autoSpaceDE/>
        <w:autoSpaceDN/>
        <w:bidi w:val="0"/>
        <w:adjustRightInd/>
        <w:snapToGrid/>
        <w:spacing w:line="580" w:lineRule="exact"/>
        <w:ind w:right="0" w:rightChars="0" w:firstLine="632" w:firstLineChars="200"/>
        <w:jc w:val="both"/>
        <w:textAlignment w:val="auto"/>
        <w:outlineLvl w:val="9"/>
        <w:rPr>
          <w:rFonts w:ascii="仿宋_GB2312" w:hAnsi="楷体"/>
          <w:color w:val="000000" w:themeColor="text1"/>
          <w:szCs w:val="32"/>
        </w:rPr>
      </w:pPr>
      <w:r>
        <w:rPr>
          <w:rFonts w:hint="eastAsia" w:ascii="仿宋_GB2312" w:hAnsi="楷体"/>
          <w:color w:val="000000" w:themeColor="text1"/>
          <w:szCs w:val="32"/>
        </w:rPr>
        <w:t>（4）定量分析与定性分析相结合原则。</w:t>
      </w:r>
    </w:p>
    <w:p>
      <w:pPr>
        <w:keepNext w:val="0"/>
        <w:keepLines w:val="0"/>
        <w:pageBreakBefore w:val="0"/>
        <w:widowControl w:val="0"/>
        <w:kinsoku/>
        <w:wordWrap/>
        <w:overflowPunct/>
        <w:topLinePunct/>
        <w:autoSpaceDE/>
        <w:autoSpaceDN/>
        <w:bidi w:val="0"/>
        <w:adjustRightInd/>
        <w:snapToGrid/>
        <w:spacing w:line="580" w:lineRule="exact"/>
        <w:ind w:right="0" w:rightChars="0" w:firstLine="632" w:firstLineChars="200"/>
        <w:jc w:val="both"/>
        <w:textAlignment w:val="auto"/>
        <w:outlineLvl w:val="2"/>
        <w:rPr>
          <w:rFonts w:hint="eastAsia" w:ascii="仿宋_GB2312" w:hAnsi="楷体"/>
          <w:b/>
          <w:bCs/>
          <w:color w:val="000000" w:themeColor="text1"/>
          <w:szCs w:val="32"/>
        </w:rPr>
      </w:pPr>
      <w:bookmarkStart w:id="0" w:name="_Toc24976"/>
      <w:bookmarkStart w:id="1" w:name="_Toc32224"/>
      <w:bookmarkStart w:id="2" w:name="_Toc923_WPSOffice_Level3"/>
      <w:r>
        <w:rPr>
          <w:rFonts w:hint="eastAsia" w:ascii="仿宋_GB2312" w:hAnsi="楷体"/>
          <w:b/>
          <w:bCs/>
          <w:color w:val="000000" w:themeColor="text1"/>
          <w:szCs w:val="32"/>
        </w:rPr>
        <w:t>2.绩效评价方法</w:t>
      </w:r>
      <w:bookmarkEnd w:id="0"/>
      <w:bookmarkEnd w:id="1"/>
      <w:bookmarkEnd w:id="2"/>
    </w:p>
    <w:p>
      <w:pPr>
        <w:topLinePunct/>
        <w:spacing w:line="540" w:lineRule="exact"/>
        <w:ind w:firstLine="632" w:firstLineChars="200"/>
        <w:rPr>
          <w:rFonts w:hint="eastAsia" w:ascii="仿宋_GB2312" w:hAnsi="仿宋_GB2312" w:eastAsia="仿宋_GB2312" w:cs="仿宋_GB2312"/>
          <w:color w:val="000000" w:themeColor="text1"/>
          <w:sz w:val="32"/>
          <w:szCs w:val="32"/>
          <w:highlight w:val="none"/>
          <w:lang w:eastAsia="zh-CN"/>
        </w:rPr>
      </w:pPr>
      <w:r>
        <w:rPr>
          <w:rFonts w:hint="eastAsia" w:ascii="宋体" w:hAnsi="宋体" w:cs="仿宋_GB2312"/>
          <w:szCs w:val="32"/>
        </w:rPr>
        <w:t>中国共产党昆明市东川区委员会政法委员会</w:t>
      </w:r>
      <w:r>
        <w:rPr>
          <w:rFonts w:hint="eastAsia" w:ascii="仿宋_GB2312" w:hAnsi="楷体"/>
          <w:color w:val="000000" w:themeColor="text1"/>
          <w:szCs w:val="32"/>
          <w:highlight w:val="none"/>
        </w:rPr>
        <w:t>根据《中华人民共和国预算法》，按照</w:t>
      </w:r>
      <w:r>
        <w:rPr>
          <w:rFonts w:hint="eastAsia" w:ascii="仿宋_GB2312" w:hAnsi="仿宋_GB2312" w:eastAsia="仿宋_GB2312" w:cs="仿宋_GB2312"/>
          <w:sz w:val="32"/>
          <w:szCs w:val="32"/>
          <w:highlight w:val="none"/>
          <w:lang w:eastAsia="zh-CN"/>
        </w:rPr>
        <w:t>《项目支出绩效评价管理办法》（</w:t>
      </w:r>
      <w:r>
        <w:rPr>
          <w:rFonts w:hint="eastAsia" w:ascii="仿宋_GB2312" w:hAnsi="仿宋_GB2312" w:eastAsia="仿宋_GB2312" w:cs="仿宋_GB2312"/>
          <w:sz w:val="32"/>
          <w:szCs w:val="32"/>
          <w:lang w:eastAsia="zh-CN"/>
        </w:rPr>
        <w:t>财预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10号）</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东川区财政局</w:t>
      </w:r>
      <w:r>
        <w:rPr>
          <w:rFonts w:hint="eastAsia" w:ascii="仿宋_GB2312" w:hAnsi="仿宋_GB2312" w:eastAsia="仿宋_GB2312" w:cs="仿宋_GB2312"/>
          <w:sz w:val="32"/>
          <w:szCs w:val="32"/>
          <w:lang w:val="en-US" w:eastAsia="zh-CN"/>
        </w:rPr>
        <w:t>关于开展东川区2020年度绩效自评工作的通知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东</w:t>
      </w:r>
      <w:r>
        <w:rPr>
          <w:rFonts w:hint="eastAsia" w:ascii="仿宋_GB2312" w:hAnsi="仿宋_GB2312" w:eastAsia="仿宋_GB2312" w:cs="仿宋_GB2312"/>
          <w:sz w:val="32"/>
          <w:szCs w:val="32"/>
          <w:lang w:eastAsia="zh-CN"/>
        </w:rPr>
        <w:t>财绩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r>
        <w:rPr>
          <w:rFonts w:hint="eastAsia" w:ascii="仿宋_GB2312" w:hAnsi="楷体"/>
          <w:color w:val="000000" w:themeColor="text1"/>
          <w:szCs w:val="32"/>
          <w:highlight w:val="none"/>
          <w:lang w:eastAsia="zh-CN"/>
        </w:rPr>
        <w:t>文件</w:t>
      </w:r>
      <w:r>
        <w:rPr>
          <w:rFonts w:hint="eastAsia" w:ascii="仿宋_GB2312" w:hAnsi="楷体"/>
          <w:color w:val="000000" w:themeColor="text1"/>
          <w:szCs w:val="32"/>
          <w:highlight w:val="none"/>
        </w:rPr>
        <w:t>要求</w:t>
      </w:r>
      <w:r>
        <w:rPr>
          <w:rFonts w:hint="eastAsia" w:ascii="仿宋_GB2312" w:hAnsi="楷体"/>
          <w:color w:val="000000" w:themeColor="text1"/>
          <w:szCs w:val="32"/>
          <w:highlight w:val="none"/>
          <w:lang w:eastAsia="zh-CN"/>
        </w:rPr>
        <w:t>，</w:t>
      </w:r>
      <w:r>
        <w:rPr>
          <w:rFonts w:hint="eastAsia" w:ascii="仿宋_GB2312" w:hAnsi="仿宋_GB2312" w:eastAsia="仿宋_GB2312" w:cs="仿宋_GB2312"/>
          <w:color w:val="000000" w:themeColor="text1"/>
          <w:sz w:val="32"/>
          <w:szCs w:val="32"/>
          <w:highlight w:val="none"/>
        </w:rPr>
        <w:t>采用定量分析与定性分析相结合、运用比较分析的办法，对部门规划、项目立项、管理制度、绩效指标、预算执行、资金使用、项目监管、绩效目标的完成情况及产生效果进行评价</w:t>
      </w:r>
      <w:r>
        <w:rPr>
          <w:rFonts w:hint="eastAsia" w:ascii="仿宋_GB2312" w:hAnsi="仿宋_GB2312" w:eastAsia="仿宋_GB2312" w:cs="仿宋_GB2312"/>
          <w:color w:val="000000" w:themeColor="text1"/>
          <w:sz w:val="32"/>
          <w:szCs w:val="32"/>
          <w:highlight w:val="none"/>
          <w:lang w:eastAsia="zh-CN"/>
        </w:rPr>
        <w:t>。</w:t>
      </w:r>
    </w:p>
    <w:p>
      <w:pPr>
        <w:topLinePunct/>
        <w:spacing w:line="540" w:lineRule="exact"/>
        <w:ind w:firstLine="632" w:firstLineChars="200"/>
        <w:rPr>
          <w:rFonts w:ascii="楷体" w:hAnsi="楷体" w:eastAsia="楷体"/>
          <w:szCs w:val="32"/>
        </w:rPr>
      </w:pPr>
      <w:r>
        <w:rPr>
          <w:rFonts w:hint="eastAsia" w:ascii="楷体" w:hAnsi="楷体" w:eastAsia="楷体"/>
          <w:szCs w:val="32"/>
        </w:rPr>
        <w:t>（四）绩效评价实施过程</w:t>
      </w:r>
    </w:p>
    <w:p>
      <w:pPr>
        <w:topLinePunct/>
        <w:spacing w:line="540" w:lineRule="exact"/>
        <w:ind w:firstLine="632" w:firstLineChars="200"/>
        <w:rPr>
          <w:rFonts w:hint="eastAsia" w:ascii="仿宋_GB2312" w:hAnsi="楷体"/>
          <w:b/>
          <w:bCs/>
          <w:szCs w:val="32"/>
        </w:rPr>
      </w:pPr>
      <w:r>
        <w:rPr>
          <w:rFonts w:hint="eastAsia" w:ascii="仿宋_GB2312" w:hAnsi="楷体"/>
          <w:b/>
          <w:bCs/>
          <w:szCs w:val="32"/>
        </w:rPr>
        <w:t>1.数据填报和采集</w:t>
      </w:r>
    </w:p>
    <w:p>
      <w:pPr>
        <w:keepNext w:val="0"/>
        <w:keepLines w:val="0"/>
        <w:pageBreakBefore w:val="0"/>
        <w:widowControl w:val="0"/>
        <w:kinsoku/>
        <w:wordWrap/>
        <w:overflowPunct/>
        <w:topLinePunct/>
        <w:autoSpaceDE/>
        <w:autoSpaceDN/>
        <w:bidi w:val="0"/>
        <w:adjustRightInd/>
        <w:snapToGrid/>
        <w:spacing w:line="580" w:lineRule="exact"/>
        <w:ind w:right="0" w:rightChars="0" w:firstLine="632" w:firstLineChars="200"/>
        <w:jc w:val="both"/>
        <w:textAlignment w:val="auto"/>
        <w:outlineLvl w:val="9"/>
        <w:rPr>
          <w:rFonts w:hint="eastAsia" w:ascii="仿宋_GB2312" w:hAnsi="楷体"/>
          <w:szCs w:val="32"/>
        </w:rPr>
      </w:pPr>
      <w:r>
        <w:rPr>
          <w:rFonts w:hint="eastAsia" w:ascii="仿宋_GB2312" w:hAnsi="楷体"/>
          <w:color w:val="000000" w:themeColor="text1"/>
          <w:szCs w:val="32"/>
          <w:lang w:eastAsia="zh-CN"/>
        </w:rPr>
        <w:t>本次绩效评价数据来源于预算批复及明细、部门决算报表、绩效目标申报表、绩效目标完成情况、部门年度工作总结，基础数据台账，根据以上资料进行分析汇总，形成绩效自评报告的基础数据。</w:t>
      </w:r>
    </w:p>
    <w:p>
      <w:pPr>
        <w:numPr>
          <w:ilvl w:val="0"/>
          <w:numId w:val="0"/>
        </w:numPr>
        <w:topLinePunct/>
        <w:spacing w:line="540" w:lineRule="exact"/>
        <w:ind w:firstLine="632" w:firstLineChars="200"/>
        <w:rPr>
          <w:rFonts w:hint="eastAsia" w:ascii="仿宋_GB2312" w:hAnsi="楷体"/>
          <w:b/>
          <w:bCs/>
          <w:szCs w:val="32"/>
        </w:rPr>
      </w:pPr>
      <w:r>
        <w:rPr>
          <w:rFonts w:hint="eastAsia" w:ascii="仿宋_GB2312" w:hAnsi="楷体"/>
          <w:b/>
          <w:bCs/>
          <w:szCs w:val="32"/>
          <w:lang w:val="en-US" w:eastAsia="zh-CN"/>
        </w:rPr>
        <w:t>2.</w:t>
      </w:r>
      <w:r>
        <w:rPr>
          <w:rFonts w:hint="eastAsia" w:ascii="仿宋_GB2312" w:hAnsi="楷体"/>
          <w:b/>
          <w:bCs/>
          <w:szCs w:val="32"/>
        </w:rPr>
        <w:t>社会调查</w:t>
      </w:r>
    </w:p>
    <w:p>
      <w:pPr>
        <w:numPr>
          <w:ilvl w:val="0"/>
          <w:numId w:val="0"/>
        </w:numPr>
        <w:topLinePunct/>
        <w:spacing w:line="540" w:lineRule="exact"/>
        <w:ind w:firstLine="632" w:firstLineChars="200"/>
        <w:rPr>
          <w:rFonts w:hint="eastAsia" w:ascii="仿宋_GB2312" w:hAnsi="楷体"/>
          <w:szCs w:val="32"/>
        </w:rPr>
      </w:pPr>
      <w:r>
        <w:rPr>
          <w:rFonts w:hint="eastAsia" w:ascii="宋体" w:hAnsi="宋体" w:cs="仿宋_GB2312"/>
          <w:szCs w:val="32"/>
        </w:rPr>
        <w:t>中国共产党昆明市东川区委员会政法委员会</w:t>
      </w:r>
      <w:r>
        <w:rPr>
          <w:rFonts w:hint="eastAsia" w:ascii="仿宋_GB2312" w:hAnsi="楷体"/>
          <w:color w:val="000000" w:themeColor="text1"/>
          <w:szCs w:val="32"/>
          <w:lang w:eastAsia="zh-CN"/>
        </w:rPr>
        <w:t>绩效评价工作小组根据项目的开展情况，设计相关的调查问卷，对社会公众对象进行满意度调查，并对调查结果进行统计分析，形成社会调查问卷分析报告。</w:t>
      </w:r>
    </w:p>
    <w:p>
      <w:pPr>
        <w:numPr>
          <w:ilvl w:val="0"/>
          <w:numId w:val="0"/>
        </w:numPr>
        <w:topLinePunct/>
        <w:spacing w:line="540" w:lineRule="exact"/>
        <w:ind w:firstLine="632" w:firstLineChars="200"/>
        <w:rPr>
          <w:rFonts w:hint="eastAsia" w:ascii="仿宋_GB2312" w:hAnsi="楷体"/>
          <w:b/>
          <w:bCs/>
          <w:szCs w:val="32"/>
        </w:rPr>
      </w:pPr>
      <w:r>
        <w:rPr>
          <w:rFonts w:hint="eastAsia" w:ascii="仿宋_GB2312" w:hAnsi="楷体"/>
          <w:b/>
          <w:bCs/>
          <w:szCs w:val="32"/>
          <w:lang w:val="en-US" w:eastAsia="zh-CN"/>
        </w:rPr>
        <w:t>3.</w:t>
      </w:r>
      <w:r>
        <w:rPr>
          <w:rFonts w:hint="eastAsia" w:ascii="仿宋_GB2312" w:hAnsi="楷体"/>
          <w:b/>
          <w:bCs/>
          <w:szCs w:val="32"/>
        </w:rPr>
        <w:t>数据分析和撰写报告</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32" w:firstLineChars="200"/>
        <w:jc w:val="both"/>
        <w:textAlignment w:val="auto"/>
        <w:outlineLvl w:val="9"/>
        <w:rPr>
          <w:rFonts w:hint="eastAsia" w:ascii="仿宋_GB2312" w:hAnsi="楷体"/>
          <w:color w:val="000000" w:themeColor="text1"/>
          <w:szCs w:val="32"/>
          <w:lang w:eastAsia="zh-CN"/>
        </w:rPr>
      </w:pPr>
      <w:r>
        <w:rPr>
          <w:rFonts w:hint="eastAsia" w:ascii="仿宋_GB2312" w:hAnsi="楷体"/>
          <w:color w:val="000000" w:themeColor="text1"/>
          <w:szCs w:val="32"/>
          <w:lang w:eastAsia="zh-CN"/>
        </w:rPr>
        <w:t>根据要求，</w:t>
      </w:r>
      <w:r>
        <w:rPr>
          <w:rFonts w:hint="eastAsia" w:ascii="宋体" w:hAnsi="宋体" w:cs="仿宋_GB2312"/>
          <w:szCs w:val="32"/>
        </w:rPr>
        <w:t>中国共产党昆明市东川区委员会政法委员会</w:t>
      </w:r>
      <w:r>
        <w:rPr>
          <w:rFonts w:hint="eastAsia" w:ascii="仿宋_GB2312" w:hAnsi="楷体"/>
          <w:color w:val="000000" w:themeColor="text1"/>
          <w:szCs w:val="32"/>
          <w:lang w:eastAsia="zh-CN"/>
        </w:rPr>
        <w:t>对</w:t>
      </w:r>
      <w:r>
        <w:rPr>
          <w:rFonts w:hint="eastAsia" w:ascii="仿宋_GB2312"/>
          <w:color w:val="000000" w:themeColor="text1"/>
          <w:szCs w:val="32"/>
        </w:rPr>
        <w:t>区级</w:t>
      </w:r>
      <w:r>
        <w:rPr>
          <w:rFonts w:hint="eastAsia" w:ascii="仿宋_GB2312"/>
          <w:color w:val="000000" w:themeColor="text1"/>
          <w:szCs w:val="32"/>
          <w:lang w:val="en-US" w:eastAsia="zh-CN"/>
        </w:rPr>
        <w:t>2020</w:t>
      </w:r>
      <w:r>
        <w:rPr>
          <w:rFonts w:hint="eastAsia" w:ascii="仿宋_GB2312"/>
          <w:color w:val="000000" w:themeColor="text1"/>
          <w:szCs w:val="32"/>
        </w:rPr>
        <w:t>年度年初预算批复的项目支出资金</w:t>
      </w:r>
      <w:r>
        <w:rPr>
          <w:rFonts w:hint="eastAsia" w:ascii="仿宋_GB2312" w:hAnsi="楷体"/>
          <w:color w:val="000000" w:themeColor="text1"/>
          <w:szCs w:val="32"/>
          <w:lang w:eastAsia="zh-CN"/>
        </w:rPr>
        <w:t>从项目决策、项目管理、项目绩效（包括产出和效益）三个方面进行评价，得出评价结论及得分，撰写绩效自评报告。</w:t>
      </w:r>
    </w:p>
    <w:p>
      <w:pPr>
        <w:keepNext w:val="0"/>
        <w:keepLines w:val="0"/>
        <w:pageBreakBefore w:val="0"/>
        <w:widowControl w:val="0"/>
        <w:kinsoku/>
        <w:wordWrap/>
        <w:overflowPunct/>
        <w:topLinePunct/>
        <w:autoSpaceDE/>
        <w:autoSpaceDN/>
        <w:bidi w:val="0"/>
        <w:adjustRightInd/>
        <w:snapToGrid/>
        <w:spacing w:line="580" w:lineRule="exact"/>
        <w:ind w:right="0" w:rightChars="0" w:firstLine="632" w:firstLineChars="200"/>
        <w:jc w:val="both"/>
        <w:textAlignment w:val="auto"/>
        <w:outlineLvl w:val="9"/>
        <w:rPr>
          <w:rFonts w:hint="eastAsia" w:ascii="仿宋_GB2312" w:hAnsi="楷体"/>
          <w:color w:val="000000" w:themeColor="text1"/>
          <w:szCs w:val="32"/>
          <w:lang w:eastAsia="zh-CN"/>
        </w:rPr>
      </w:pPr>
      <w:r>
        <w:rPr>
          <w:rFonts w:hint="eastAsia" w:ascii="仿宋_GB2312" w:hAnsi="楷体"/>
          <w:color w:val="000000" w:themeColor="text1"/>
          <w:szCs w:val="32"/>
          <w:lang w:eastAsia="zh-CN"/>
        </w:rPr>
        <w:t>项目决策方面，主要是评价绩效目标的设定情况，包括绩效目标设立的充分性、明确性、合理性以及细化程度，看绩效目标的设立是否符合客观实际，是否与部门履职相一致，绩效指标是否清晰、细化、可衡量。</w:t>
      </w:r>
    </w:p>
    <w:p>
      <w:pPr>
        <w:keepNext w:val="0"/>
        <w:keepLines w:val="0"/>
        <w:pageBreakBefore w:val="0"/>
        <w:widowControl w:val="0"/>
        <w:kinsoku/>
        <w:wordWrap/>
        <w:overflowPunct/>
        <w:topLinePunct/>
        <w:autoSpaceDE/>
        <w:autoSpaceDN/>
        <w:bidi w:val="0"/>
        <w:adjustRightInd/>
        <w:snapToGrid/>
        <w:spacing w:line="580" w:lineRule="exact"/>
        <w:ind w:right="0" w:rightChars="0" w:firstLine="632" w:firstLineChars="200"/>
        <w:jc w:val="both"/>
        <w:textAlignment w:val="auto"/>
        <w:outlineLvl w:val="9"/>
        <w:rPr>
          <w:rFonts w:hint="eastAsia" w:ascii="仿宋_GB2312" w:hAnsi="楷体"/>
          <w:color w:val="000000" w:themeColor="text1"/>
          <w:szCs w:val="32"/>
          <w:lang w:eastAsia="zh-CN"/>
        </w:rPr>
      </w:pPr>
      <w:r>
        <w:rPr>
          <w:rFonts w:hint="eastAsia" w:ascii="仿宋_GB2312" w:hAnsi="楷体"/>
          <w:color w:val="000000" w:themeColor="text1"/>
          <w:szCs w:val="32"/>
          <w:lang w:eastAsia="zh-CN"/>
        </w:rPr>
        <w:t>项目管理方面，主要是资金投入和使用情况、为实现绩效目标制定的制度、采取的措施等，包括评价资金分配过程、投入方式、资金到位、预算执行和结果；看资金分配过程是否科学规范，资金投入方式是否合理，资金是否及时到位，预算执行进度是否按预期进行，资金使用是否经济有效；项目制度包括项目管理制度、财务管理制度、资产管理制度和绩效跟踪管理措施以及制度措施的落实情况。</w:t>
      </w:r>
    </w:p>
    <w:p>
      <w:pPr>
        <w:keepNext w:val="0"/>
        <w:keepLines w:val="0"/>
        <w:pageBreakBefore w:val="0"/>
        <w:widowControl w:val="0"/>
        <w:kinsoku/>
        <w:wordWrap/>
        <w:overflowPunct/>
        <w:topLinePunct/>
        <w:autoSpaceDE/>
        <w:autoSpaceDN/>
        <w:bidi w:val="0"/>
        <w:adjustRightInd/>
        <w:snapToGrid/>
        <w:spacing w:line="580" w:lineRule="exact"/>
        <w:ind w:right="0" w:rightChars="0" w:firstLine="632" w:firstLineChars="200"/>
        <w:jc w:val="both"/>
        <w:textAlignment w:val="auto"/>
        <w:outlineLvl w:val="9"/>
        <w:rPr>
          <w:rFonts w:hint="eastAsia" w:ascii="仿宋_GB2312" w:hAnsi="楷体"/>
          <w:szCs w:val="32"/>
        </w:rPr>
      </w:pPr>
      <w:r>
        <w:rPr>
          <w:rFonts w:hint="eastAsia" w:ascii="仿宋_GB2312" w:hAnsi="楷体"/>
          <w:color w:val="000000" w:themeColor="text1"/>
          <w:szCs w:val="32"/>
          <w:lang w:eastAsia="zh-CN"/>
        </w:rPr>
        <w:t>项目绩效方面，主要是绩效目标的实现程度和效果，绩效目标的实现程度包括产出数量、产出质量、产出时效和产出成本；效果包括经济效益、社会效益、生态效益、可持续影响以及服务对象满意度等。</w:t>
      </w:r>
    </w:p>
    <w:p>
      <w:pPr>
        <w:numPr>
          <w:ilvl w:val="0"/>
          <w:numId w:val="0"/>
        </w:numPr>
        <w:topLinePunct/>
        <w:spacing w:line="540" w:lineRule="exact"/>
        <w:ind w:firstLine="632" w:firstLineChars="200"/>
        <w:rPr>
          <w:rFonts w:hint="eastAsia" w:ascii="楷体" w:hAnsi="楷体" w:eastAsia="楷体"/>
          <w:szCs w:val="32"/>
        </w:rPr>
      </w:pPr>
      <w:r>
        <w:rPr>
          <w:rFonts w:hint="eastAsia" w:ascii="楷体" w:hAnsi="楷体" w:eastAsia="楷体"/>
          <w:szCs w:val="32"/>
          <w:lang w:eastAsia="zh-CN"/>
        </w:rPr>
        <w:t>（五）</w:t>
      </w:r>
      <w:r>
        <w:rPr>
          <w:rFonts w:hint="eastAsia" w:ascii="楷体" w:hAnsi="楷体" w:eastAsia="楷体"/>
          <w:szCs w:val="32"/>
        </w:rPr>
        <w:t>本次绩效评价的局限性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楷体" w:hAnsi="楷体" w:eastAsia="楷体"/>
          <w:szCs w:val="32"/>
        </w:rPr>
      </w:pPr>
      <w:r>
        <w:rPr>
          <w:rFonts w:hint="eastAsia" w:ascii="仿宋_GB2312" w:hAnsi="仿宋_GB2312" w:eastAsia="仿宋_GB2312" w:cs="仿宋_GB2312"/>
          <w:color w:val="000000" w:themeColor="text1"/>
          <w:szCs w:val="32"/>
          <w:lang w:eastAsia="zh-CN"/>
        </w:rPr>
        <w:t>由于本次绩效评价为自评，时间及获取资料有限，往往带有一定的主观性。</w:t>
      </w:r>
    </w:p>
    <w:p>
      <w:pPr>
        <w:topLinePunct/>
        <w:spacing w:line="540" w:lineRule="exact"/>
        <w:ind w:firstLine="632" w:firstLineChars="200"/>
        <w:rPr>
          <w:rFonts w:ascii="黑体" w:hAnsi="黑体" w:eastAsia="黑体"/>
          <w:szCs w:val="32"/>
        </w:rPr>
      </w:pPr>
      <w:r>
        <w:rPr>
          <w:rFonts w:hint="eastAsia" w:ascii="黑体" w:hAnsi="黑体" w:eastAsia="黑体"/>
          <w:szCs w:val="32"/>
        </w:rPr>
        <w:t>三、评价结论和绩效分析</w:t>
      </w:r>
    </w:p>
    <w:p>
      <w:pPr>
        <w:topLinePunct/>
        <w:spacing w:line="540" w:lineRule="exact"/>
        <w:ind w:firstLine="632" w:firstLineChars="200"/>
        <w:rPr>
          <w:rFonts w:ascii="楷体" w:hAnsi="楷体" w:eastAsia="楷体"/>
          <w:szCs w:val="32"/>
        </w:rPr>
      </w:pPr>
      <w:r>
        <w:rPr>
          <w:rFonts w:hint="eastAsia" w:ascii="楷体" w:hAnsi="楷体" w:eastAsia="楷体"/>
          <w:szCs w:val="32"/>
        </w:rPr>
        <w:t>（一）评价结论</w:t>
      </w:r>
    </w:p>
    <w:p>
      <w:pPr>
        <w:topLinePunct/>
        <w:spacing w:line="540" w:lineRule="exact"/>
        <w:ind w:firstLine="632" w:firstLineChars="200"/>
        <w:rPr>
          <w:rFonts w:hint="eastAsia" w:ascii="仿宋" w:hAnsi="仿宋" w:eastAsia="仿宋"/>
          <w:b/>
          <w:bCs/>
          <w:szCs w:val="32"/>
        </w:rPr>
      </w:pPr>
      <w:r>
        <w:rPr>
          <w:rFonts w:hint="eastAsia" w:ascii="仿宋" w:hAnsi="仿宋" w:eastAsia="仿宋"/>
          <w:b/>
          <w:bCs/>
          <w:szCs w:val="32"/>
        </w:rPr>
        <w:t>1.评价结果</w:t>
      </w:r>
    </w:p>
    <w:p>
      <w:pPr>
        <w:topLinePunct/>
        <w:spacing w:line="540" w:lineRule="exact"/>
        <w:ind w:firstLine="632" w:firstLineChars="200"/>
        <w:rPr>
          <w:rFonts w:hint="eastAsia" w:ascii="仿宋" w:hAnsi="仿宋" w:eastAsia="仿宋"/>
          <w:szCs w:val="32"/>
        </w:rPr>
      </w:pPr>
      <w:r>
        <w:rPr>
          <w:rFonts w:hint="eastAsia" w:ascii="仿宋_GB2312" w:cs="仿宋_GB2312"/>
          <w:color w:val="000000"/>
          <w:szCs w:val="32"/>
          <w:lang w:eastAsia="zh-CN"/>
        </w:rPr>
        <w:t>东川区铁路护路联防工作专项资金</w:t>
      </w:r>
      <w:r>
        <w:rPr>
          <w:rFonts w:hint="eastAsia" w:ascii="仿宋_GB2312" w:cs="仿宋_GB2312"/>
          <w:color w:val="000000"/>
          <w:szCs w:val="32"/>
          <w:lang w:val="en-US" w:eastAsia="zh-CN"/>
        </w:rPr>
        <w:t>项目按照计划完成年初设定的目标任务，</w:t>
      </w:r>
      <w:r>
        <w:rPr>
          <w:rFonts w:hint="eastAsia" w:ascii="仿宋_GB2312" w:eastAsia="仿宋_GB2312" w:cs="仿宋_GB2312"/>
          <w:color w:val="000000"/>
          <w:szCs w:val="32"/>
          <w:lang w:eastAsia="zh-CN"/>
        </w:rPr>
        <w:t>经评价，</w:t>
      </w:r>
      <w:r>
        <w:rPr>
          <w:rFonts w:hint="eastAsia" w:ascii="仿宋_GB2312" w:cs="仿宋_GB2312"/>
          <w:color w:val="000000"/>
          <w:szCs w:val="32"/>
          <w:lang w:eastAsia="zh-CN"/>
        </w:rPr>
        <w:t>该项目</w:t>
      </w:r>
      <w:r>
        <w:rPr>
          <w:rFonts w:hint="eastAsia" w:ascii="仿宋_GB2312" w:eastAsia="仿宋_GB2312" w:cs="仿宋_GB2312"/>
          <w:color w:val="000000"/>
          <w:szCs w:val="32"/>
          <w:lang w:eastAsia="zh-CN"/>
        </w:rPr>
        <w:t>支出绩效自评得分:</w:t>
      </w:r>
      <w:r>
        <w:rPr>
          <w:rFonts w:hint="eastAsia" w:ascii="仿宋_GB2312" w:eastAsia="仿宋_GB2312" w:cs="仿宋_GB2312"/>
          <w:color w:val="000000"/>
          <w:szCs w:val="32"/>
          <w:lang w:val="en-US" w:eastAsia="zh-CN"/>
        </w:rPr>
        <w:t>9</w:t>
      </w:r>
      <w:r>
        <w:rPr>
          <w:rFonts w:hint="eastAsia" w:ascii="仿宋_GB2312" w:cs="仿宋_GB2312"/>
          <w:color w:val="000000"/>
          <w:szCs w:val="32"/>
          <w:lang w:val="en-US" w:eastAsia="zh-CN"/>
        </w:rPr>
        <w:t>8</w:t>
      </w:r>
      <w:r>
        <w:rPr>
          <w:rFonts w:hint="eastAsia" w:ascii="仿宋_GB2312" w:eastAsia="仿宋_GB2312" w:cs="仿宋_GB2312"/>
          <w:color w:val="000000"/>
          <w:szCs w:val="32"/>
          <w:lang w:val="en-US" w:eastAsia="zh-CN"/>
        </w:rPr>
        <w:t>分</w:t>
      </w:r>
      <w:r>
        <w:rPr>
          <w:rFonts w:hint="eastAsia" w:ascii="仿宋_GB2312" w:eastAsia="仿宋_GB2312" w:cs="仿宋_GB2312"/>
          <w:color w:val="000000"/>
          <w:szCs w:val="32"/>
          <w:lang w:eastAsia="zh-CN"/>
        </w:rPr>
        <w:t>，评价等级为“优”</w:t>
      </w:r>
      <w:r>
        <w:rPr>
          <w:rFonts w:hint="eastAsia" w:ascii="仿宋_GB2312" w:cs="仿宋_GB2312"/>
          <w:color w:val="000000"/>
          <w:szCs w:val="32"/>
          <w:lang w:eastAsia="zh-CN"/>
        </w:rPr>
        <w:t>。</w:t>
      </w:r>
    </w:p>
    <w:p>
      <w:pPr>
        <w:topLinePunct/>
        <w:spacing w:line="540" w:lineRule="exact"/>
        <w:ind w:firstLine="632" w:firstLineChars="200"/>
        <w:rPr>
          <w:rFonts w:hint="eastAsia" w:ascii="仿宋_GB2312" w:hAnsi="仿宋"/>
          <w:b/>
          <w:bCs/>
          <w:szCs w:val="32"/>
        </w:rPr>
      </w:pPr>
      <w:r>
        <w:rPr>
          <w:rFonts w:hint="eastAsia" w:ascii="仿宋_GB2312" w:hAnsi="仿宋"/>
          <w:b/>
          <w:bCs/>
          <w:szCs w:val="32"/>
        </w:rPr>
        <w:t>2.主要绩效</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楷体_GB2312" w:hAnsi="宋体" w:eastAsia="楷体_GB2312"/>
          <w:sz w:val="32"/>
          <w:szCs w:val="32"/>
        </w:rPr>
      </w:pPr>
      <w:r>
        <w:rPr>
          <w:rFonts w:hint="eastAsia" w:ascii="楷体_GB2312" w:hAnsi="宋体" w:eastAsia="楷体_GB2312"/>
          <w:sz w:val="32"/>
          <w:szCs w:val="32"/>
          <w:lang w:eastAsia="zh-CN"/>
        </w:rPr>
        <w:t>（</w:t>
      </w:r>
      <w:r>
        <w:rPr>
          <w:rFonts w:hint="eastAsia" w:ascii="楷体_GB2312" w:hAnsi="宋体" w:eastAsia="楷体_GB2312"/>
          <w:sz w:val="32"/>
          <w:szCs w:val="32"/>
          <w:lang w:val="en-US" w:eastAsia="zh-CN"/>
        </w:rPr>
        <w:t>1</w:t>
      </w:r>
      <w:r>
        <w:rPr>
          <w:rFonts w:hint="eastAsia" w:ascii="楷体_GB2312" w:hAnsi="宋体" w:eastAsia="楷体_GB2312"/>
          <w:sz w:val="32"/>
          <w:szCs w:val="32"/>
          <w:lang w:eastAsia="zh-CN"/>
        </w:rPr>
        <w:t>）</w:t>
      </w:r>
      <w:r>
        <w:rPr>
          <w:rFonts w:hint="eastAsia" w:ascii="楷体_GB2312" w:hAnsi="宋体" w:eastAsia="楷体_GB2312"/>
          <w:sz w:val="32"/>
          <w:szCs w:val="32"/>
        </w:rPr>
        <w:t>加强组织领导，增强护路工作合力</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宋体" w:hAnsi="宋体" w:eastAsia="仿宋_GB2312"/>
          <w:sz w:val="32"/>
          <w:szCs w:val="32"/>
          <w:lang w:val="en-US" w:eastAsia="zh-CN"/>
        </w:rPr>
      </w:pPr>
      <w:r>
        <w:rPr>
          <w:rFonts w:hint="eastAsia" w:ascii="宋体" w:hAnsi="宋体" w:cs="Times New Roman"/>
          <w:b/>
          <w:sz w:val="32"/>
          <w:szCs w:val="32"/>
          <w:lang w:eastAsia="zh-CN"/>
        </w:rPr>
        <w:t>一是</w:t>
      </w:r>
      <w:r>
        <w:rPr>
          <w:rFonts w:hint="eastAsia" w:ascii="宋体" w:hAnsi="宋体" w:eastAsia="仿宋_GB2312"/>
          <w:sz w:val="32"/>
          <w:szCs w:val="32"/>
        </w:rPr>
        <w:t>研究完善了《东川区义务铁路护路联防队伍管理办法》、《东川区铁路护路联防承包责任书考核实施办法》、《东川区护路护线联席会议制度》，进一步推进铁路护路联防队伍正规化建设，用制度管人、靠机制干事、凭实绩说话</w:t>
      </w:r>
      <w:r>
        <w:rPr>
          <w:rFonts w:hint="eastAsia" w:ascii="宋体" w:hAnsi="宋体"/>
          <w:sz w:val="32"/>
          <w:szCs w:val="32"/>
          <w:lang w:eastAsia="zh-CN"/>
        </w:rPr>
        <w:t>。</w:t>
      </w:r>
      <w:r>
        <w:rPr>
          <w:rFonts w:hint="eastAsia" w:ascii="宋体" w:hAnsi="宋体" w:cs="Times New Roman"/>
          <w:b/>
          <w:sz w:val="32"/>
          <w:szCs w:val="32"/>
          <w:lang w:eastAsia="zh-CN"/>
        </w:rPr>
        <w:t>二</w:t>
      </w:r>
      <w:r>
        <w:rPr>
          <w:rFonts w:hint="eastAsia" w:ascii="宋体" w:hAnsi="宋体" w:eastAsia="仿宋_GB2312" w:cs="Times New Roman"/>
          <w:b/>
          <w:sz w:val="32"/>
          <w:szCs w:val="32"/>
          <w:lang w:eastAsia="zh-CN"/>
        </w:rPr>
        <w:t>是</w:t>
      </w:r>
      <w:r>
        <w:rPr>
          <w:rFonts w:hint="eastAsia" w:ascii="宋体" w:hAnsi="宋体" w:eastAsia="仿宋_GB2312"/>
          <w:sz w:val="32"/>
          <w:szCs w:val="32"/>
        </w:rPr>
        <w:t>调整充实了东川区铁路护路工作领导小组成员单位和相关负责人，铜都街道、阿旺镇成立了以政法副书记为组长的工作领导小组，形成10名工作人员专兼职负责、地方民兵积极参与铁路护路工作的局面，确保了有人抓、有人管。</w:t>
      </w:r>
      <w:r>
        <w:rPr>
          <w:rFonts w:hint="eastAsia" w:ascii="宋体" w:hAnsi="宋体"/>
          <w:b/>
          <w:sz w:val="32"/>
          <w:szCs w:val="32"/>
          <w:lang w:eastAsia="zh-CN"/>
        </w:rPr>
        <w:t>三</w:t>
      </w:r>
      <w:r>
        <w:rPr>
          <w:rFonts w:hint="eastAsia" w:ascii="宋体" w:hAnsi="宋体" w:eastAsia="仿宋_GB2312"/>
          <w:b/>
          <w:sz w:val="32"/>
          <w:szCs w:val="32"/>
        </w:rPr>
        <w:t>是</w:t>
      </w:r>
      <w:r>
        <w:rPr>
          <w:rFonts w:hint="eastAsia" w:ascii="宋体" w:hAnsi="宋体" w:eastAsia="仿宋_GB2312"/>
          <w:sz w:val="32"/>
          <w:szCs w:val="32"/>
        </w:rPr>
        <w:t>对铁路护路联防工作进行统一部署。与涉路镇（街道）、责任单位签订了20</w:t>
      </w:r>
      <w:r>
        <w:rPr>
          <w:rFonts w:hint="eastAsia" w:ascii="宋体" w:hAnsi="宋体" w:eastAsia="仿宋_GB2312"/>
          <w:sz w:val="32"/>
          <w:szCs w:val="32"/>
          <w:lang w:val="en-US" w:eastAsia="zh-CN"/>
        </w:rPr>
        <w:t>20</w:t>
      </w:r>
      <w:r>
        <w:rPr>
          <w:rFonts w:hint="eastAsia" w:ascii="宋体" w:hAnsi="宋体" w:eastAsia="仿宋_GB2312"/>
          <w:sz w:val="32"/>
          <w:szCs w:val="32"/>
        </w:rPr>
        <w:t>年铁路护路联防承包责任书，各镇（街道）与义务护路队员签订了承包责任书，确保了护路联防工作各项措施的落实</w:t>
      </w:r>
      <w:r>
        <w:rPr>
          <w:rFonts w:hint="eastAsia" w:ascii="宋体" w:hAnsi="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楷体_GB2312" w:hAnsi="宋体" w:eastAsia="楷体_GB2312"/>
          <w:sz w:val="32"/>
          <w:szCs w:val="32"/>
        </w:rPr>
      </w:pPr>
      <w:r>
        <w:rPr>
          <w:rFonts w:hint="eastAsia" w:ascii="楷体_GB2312" w:hAnsi="宋体" w:eastAsia="楷体_GB2312"/>
          <w:sz w:val="32"/>
          <w:szCs w:val="32"/>
        </w:rPr>
        <w:t>（</w:t>
      </w:r>
      <w:r>
        <w:rPr>
          <w:rFonts w:hint="eastAsia" w:ascii="楷体_GB2312" w:hAnsi="宋体" w:eastAsia="楷体_GB2312"/>
          <w:sz w:val="32"/>
          <w:szCs w:val="32"/>
          <w:lang w:val="en-US" w:eastAsia="zh-CN"/>
        </w:rPr>
        <w:t>2</w:t>
      </w:r>
      <w:r>
        <w:rPr>
          <w:rFonts w:hint="eastAsia" w:ascii="楷体_GB2312" w:hAnsi="宋体" w:eastAsia="楷体_GB2312"/>
          <w:sz w:val="32"/>
          <w:szCs w:val="32"/>
        </w:rPr>
        <w:t>）深化宣传教育，营造爱路护路意识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宋体" w:hAnsi="宋体" w:eastAsia="仿宋_GB2312"/>
          <w:sz w:val="32"/>
          <w:szCs w:val="32"/>
          <w:lang w:val="en-US" w:eastAsia="zh-CN"/>
        </w:rPr>
      </w:pPr>
      <w:r>
        <w:rPr>
          <w:rFonts w:hint="eastAsia" w:ascii="宋体" w:hAnsi="宋体" w:eastAsia="仿宋_GB2312"/>
          <w:sz w:val="32"/>
          <w:szCs w:val="32"/>
        </w:rPr>
        <w:t>利用</w:t>
      </w:r>
      <w:r>
        <w:rPr>
          <w:rFonts w:hint="eastAsia" w:ascii="宋体" w:hAnsi="宋体"/>
          <w:sz w:val="32"/>
          <w:szCs w:val="32"/>
          <w:lang w:eastAsia="zh-CN"/>
        </w:rPr>
        <w:t>学校</w:t>
      </w:r>
      <w:r>
        <w:rPr>
          <w:rFonts w:hint="eastAsia" w:ascii="宋体" w:hAnsi="宋体" w:eastAsia="仿宋_GB2312"/>
          <w:sz w:val="32"/>
          <w:szCs w:val="32"/>
        </w:rPr>
        <w:t>校会、班会、家长会等形式举办专题讲座和现场宣讲</w:t>
      </w:r>
      <w:r>
        <w:rPr>
          <w:rFonts w:hint="eastAsia" w:ascii="宋体" w:hAnsi="宋体"/>
          <w:sz w:val="32"/>
          <w:szCs w:val="32"/>
          <w:lang w:eastAsia="zh-CN"/>
        </w:rPr>
        <w:t>，</w:t>
      </w:r>
      <w:r>
        <w:rPr>
          <w:rFonts w:hint="eastAsia" w:ascii="宋体" w:hAnsi="宋体" w:eastAsia="仿宋_GB2312"/>
          <w:sz w:val="32"/>
          <w:szCs w:val="32"/>
        </w:rPr>
        <w:t>以铜都街道、阿旺镇赶集天为依托，结合“三下乡”、</w:t>
      </w:r>
      <w:r>
        <w:rPr>
          <w:rFonts w:hint="eastAsia" w:ascii="宋体" w:hAnsi="宋体" w:eastAsia="仿宋_GB2312"/>
          <w:sz w:val="32"/>
          <w:szCs w:val="32"/>
          <w:lang w:val="en-US" w:eastAsia="zh-CN"/>
        </w:rPr>
        <w:t>平安建设</w:t>
      </w:r>
      <w:r>
        <w:rPr>
          <w:rFonts w:hint="eastAsia" w:ascii="宋体" w:hAnsi="宋体" w:eastAsia="仿宋_GB2312"/>
          <w:sz w:val="32"/>
          <w:szCs w:val="32"/>
        </w:rPr>
        <w:t>（</w:t>
      </w:r>
      <w:r>
        <w:rPr>
          <w:rFonts w:hint="eastAsia" w:ascii="宋体" w:hAnsi="宋体" w:eastAsia="仿宋_GB2312"/>
          <w:sz w:val="32"/>
          <w:szCs w:val="32"/>
          <w:lang w:val="en-US" w:eastAsia="zh-CN"/>
        </w:rPr>
        <w:t>综治工作</w:t>
      </w:r>
      <w:r>
        <w:rPr>
          <w:rFonts w:hint="eastAsia" w:ascii="宋体" w:hAnsi="宋体" w:eastAsia="仿宋_GB2312"/>
          <w:sz w:val="32"/>
          <w:szCs w:val="32"/>
        </w:rPr>
        <w:t>）暨扫黑除恶宣传月等平台，积极组织各大局、镇（街道）护路办和车站派出所等成员单位，通过广播、展板、文艺演出等多种喜闻乐见的形式，到集镇上开展</w:t>
      </w:r>
      <w:r>
        <w:rPr>
          <w:rFonts w:hint="eastAsia" w:ascii="宋体" w:hAnsi="宋体"/>
          <w:sz w:val="32"/>
          <w:szCs w:val="32"/>
          <w:lang w:eastAsia="zh-CN"/>
        </w:rPr>
        <w:t>相关法律法规</w:t>
      </w:r>
      <w:r>
        <w:rPr>
          <w:rFonts w:hint="eastAsia" w:ascii="宋体" w:hAnsi="宋体" w:eastAsia="仿宋_GB2312"/>
          <w:sz w:val="32"/>
          <w:szCs w:val="32"/>
        </w:rPr>
        <w:t>宣传活动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196"/>
        <w:textAlignment w:val="auto"/>
        <w:rPr>
          <w:rFonts w:ascii="楷体_GB2312" w:hAnsi="宋体" w:eastAsia="楷体_GB2312"/>
          <w:b/>
          <w:kern w:val="0"/>
          <w:sz w:val="32"/>
          <w:szCs w:val="32"/>
        </w:rPr>
      </w:pPr>
      <w:r>
        <w:rPr>
          <w:rFonts w:hint="eastAsia" w:ascii="楷体_GB2312" w:hAnsi="宋体" w:eastAsia="楷体_GB2312"/>
          <w:sz w:val="32"/>
          <w:szCs w:val="32"/>
        </w:rPr>
        <w:t>（</w:t>
      </w:r>
      <w:r>
        <w:rPr>
          <w:rFonts w:hint="eastAsia" w:ascii="楷体_GB2312" w:hAnsi="宋体" w:eastAsia="楷体_GB2312"/>
          <w:sz w:val="32"/>
          <w:szCs w:val="32"/>
          <w:lang w:val="en-US" w:eastAsia="zh-CN"/>
        </w:rPr>
        <w:t>3</w:t>
      </w:r>
      <w:r>
        <w:rPr>
          <w:rFonts w:hint="eastAsia" w:ascii="楷体_GB2312" w:hAnsi="宋体" w:eastAsia="楷体_GB2312"/>
          <w:sz w:val="32"/>
          <w:szCs w:val="32"/>
        </w:rPr>
        <w:t>）做实防控措施，实现“零发案、零事故”</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宋体" w:hAnsi="宋体" w:eastAsia="仿宋_GB2312"/>
          <w:sz w:val="32"/>
          <w:szCs w:val="32"/>
        </w:rPr>
      </w:pPr>
      <w:r>
        <w:rPr>
          <w:rFonts w:hint="eastAsia" w:ascii="宋体" w:hAnsi="宋体" w:eastAsia="仿宋_GB2312"/>
          <w:b/>
          <w:sz w:val="32"/>
          <w:szCs w:val="32"/>
        </w:rPr>
        <w:t>一是</w:t>
      </w:r>
      <w:r>
        <w:rPr>
          <w:rFonts w:hint="eastAsia" w:ascii="宋体" w:hAnsi="宋体" w:eastAsia="仿宋_GB2312"/>
          <w:b w:val="0"/>
          <w:bCs/>
          <w:sz w:val="32"/>
          <w:szCs w:val="32"/>
        </w:rPr>
        <w:t>实行承包责任制</w:t>
      </w:r>
      <w:r>
        <w:rPr>
          <w:rFonts w:hint="eastAsia" w:ascii="宋体" w:hAnsi="宋体" w:eastAsia="仿宋_GB2312"/>
          <w:sz w:val="32"/>
          <w:szCs w:val="32"/>
        </w:rPr>
        <w:t>。各镇（街道）护路领导小组组长、副组长对铁路护路联防工作划片包干，每个义务护路队员承包约5公里里程，做好巡线、宣传、上报、处理等工作，确保安全畅通。同时，严格奖惩，对发生事故的扣减补贴，取消评优评先资格，对全年无事故的进行奖励。</w:t>
      </w:r>
      <w:r>
        <w:rPr>
          <w:rFonts w:hint="eastAsia" w:ascii="宋体" w:hAnsi="宋体" w:eastAsia="仿宋_GB2312"/>
          <w:b/>
          <w:sz w:val="32"/>
          <w:szCs w:val="32"/>
        </w:rPr>
        <w:t>二是</w:t>
      </w:r>
      <w:r>
        <w:rPr>
          <w:rFonts w:hint="eastAsia" w:ascii="宋体" w:hAnsi="宋体" w:eastAsia="仿宋_GB2312"/>
          <w:b w:val="0"/>
          <w:bCs/>
          <w:sz w:val="32"/>
          <w:szCs w:val="32"/>
        </w:rPr>
        <w:t>对重点人员分门别类管理</w:t>
      </w:r>
      <w:r>
        <w:rPr>
          <w:rFonts w:hint="eastAsia" w:ascii="宋体" w:hAnsi="宋体" w:eastAsia="仿宋_GB2312"/>
          <w:sz w:val="32"/>
          <w:szCs w:val="32"/>
        </w:rPr>
        <w:t>。对铁路沿线中小学生实行学校、家长两条线管理；铁路沿线群众由居委会按村规民约进行管理；对五残人员实行家庭负责制管理；大牲畜饲养户、机动车驾驶员采取承诺管理。</w:t>
      </w:r>
      <w:r>
        <w:rPr>
          <w:rFonts w:hint="eastAsia" w:ascii="宋体" w:hAnsi="宋体" w:eastAsia="仿宋_GB2312"/>
          <w:b/>
          <w:sz w:val="32"/>
          <w:szCs w:val="32"/>
        </w:rPr>
        <w:t>三是</w:t>
      </w:r>
      <w:r>
        <w:rPr>
          <w:rFonts w:hint="eastAsia" w:ascii="宋体" w:hAnsi="宋体" w:eastAsia="仿宋_GB2312"/>
          <w:b w:val="0"/>
          <w:bCs/>
          <w:sz w:val="32"/>
          <w:szCs w:val="32"/>
        </w:rPr>
        <w:t>严防严控。</w:t>
      </w:r>
      <w:r>
        <w:rPr>
          <w:rFonts w:hint="eastAsia" w:ascii="宋体" w:hAnsi="宋体" w:eastAsia="仿宋_GB2312"/>
          <w:sz w:val="32"/>
          <w:szCs w:val="32"/>
        </w:rPr>
        <w:t>对车、人流量较大的非法通道，泥石流易发地段，事故易发地，行人、大牲畜上道等重点地段进行重点防控，实现“零发案、零事故”的目标。</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Chars="0"/>
        <w:textAlignment w:val="auto"/>
        <w:rPr>
          <w:rFonts w:hint="eastAsia" w:ascii="楷体_GB2312" w:hAnsi="楷体_GB2312" w:eastAsia="楷体_GB2312" w:cs="楷体_GB2312"/>
          <w:color w:val="000000" w:themeColor="text1"/>
          <w:sz w:val="32"/>
          <w:szCs w:val="32"/>
          <w:highlight w:val="none"/>
          <w:lang w:eastAsia="zh-CN"/>
        </w:rPr>
      </w:pPr>
      <w:r>
        <w:rPr>
          <w:rFonts w:hint="eastAsia" w:ascii="楷体_GB2312" w:hAnsi="楷体_GB2312" w:eastAsia="楷体_GB2312" w:cs="楷体_GB2312"/>
          <w:color w:val="000000" w:themeColor="text1"/>
          <w:sz w:val="32"/>
          <w:szCs w:val="32"/>
          <w:highlight w:val="none"/>
          <w:lang w:eastAsia="zh-CN"/>
        </w:rPr>
        <w:t>具体绩效分析</w:t>
      </w:r>
    </w:p>
    <w:p>
      <w:pPr>
        <w:numPr>
          <w:ilvl w:val="0"/>
          <w:numId w:val="0"/>
        </w:numPr>
        <w:topLinePunct/>
        <w:spacing w:line="600" w:lineRule="exact"/>
        <w:ind w:firstLine="632" w:firstLineChars="200"/>
        <w:rPr>
          <w:rFonts w:hint="eastAsia" w:ascii="宋体" w:hAnsi="宋体"/>
          <w:color w:val="000000" w:themeColor="text1"/>
          <w:sz w:val="32"/>
          <w:szCs w:val="32"/>
          <w:highlight w:val="none"/>
          <w:lang w:eastAsia="zh-CN"/>
        </w:rPr>
      </w:pPr>
      <w:r>
        <w:rPr>
          <w:rFonts w:hint="eastAsia" w:ascii="仿宋_GB2312" w:hAnsi="仿宋_GB2312" w:cs="仿宋_GB2312"/>
          <w:color w:val="000000"/>
          <w:szCs w:val="32"/>
        </w:rPr>
        <w:t>项目绩效部分的指标体系、具体绩效及得分情况如下：</w:t>
      </w:r>
    </w:p>
    <w:tbl>
      <w:tblPr>
        <w:tblStyle w:val="10"/>
        <w:tblW w:w="1011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6"/>
        <w:gridCol w:w="917"/>
        <w:gridCol w:w="795"/>
        <w:gridCol w:w="1609"/>
        <w:gridCol w:w="495"/>
        <w:gridCol w:w="494"/>
        <w:gridCol w:w="1990"/>
        <w:gridCol w:w="1990"/>
        <w:gridCol w:w="1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5"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四级指标</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分值</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指标解释</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评分标准</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数据来源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2" w:hRule="atLeast"/>
          <w:jc w:val="center"/>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A.项目决策（20%）</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A1.项目立项（8%）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A11.与部门中长期规划目标适应性</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A111.与部门中长期规划目标匹配性</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考察项目与部门中长期目标是否匹配</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匹配，得满分；不匹配，不得分</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部门中长期规划目标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6"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A12.立项依据充分性</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A121.与市政府相关规划、决策匹配性</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考察项目是否符合市政府相关发展规划和政府决策</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符合，得满分；不符合，不得分。</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市政府相关规划、决策、批复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A122.与部门职责适应性</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考察项目是否与部门职责密切相关。</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是，得满分；否，不得分。</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部门职责文件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A13.项目立项规范性</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A131.前期调研情况</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考察项目立项是否经过前期调研。</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是，得满分；否，不得分。</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A132.立项程序规范性</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考察项目的申请、设立过程是否符合相关要求。</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是，得满分；否，不得分。</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立项申请、批复文件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4"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A2.项目目标（12%）</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A21.绩效目标设定的合理性</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A211.绩效目标相关性</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考察设定的绩效目标是否与事业发展规划相关。</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是，得满分；否，不得分。</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绩效目标申报表、部门规划、年度工作目标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6"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A212.绩效目标完整性</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考察设定的绩效目标是否完整地反应预期产出和效果</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是，得满分；否，不得分。</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绩效目标申报表、年度工作目标、立项申请、批复文件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5"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A213.目标与预算的匹配性</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考察设定的绩效目标是否与年度预算相匹配。</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是，得满分；否，不得分。</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绩效目标申报表、立项申请、批复文件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6"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A22.绩效指标设定的明确性</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A221.指标细化分解情况</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考察是否将绩效目标细化分解为清晰、可衡量的绩效指标。</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是，得满分；否，不得分。</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绩效目标申报表、立项申请、批复文件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4"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A222.指标与目标的匹配性</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考察设定的绩效指标是否与年度工作任务相对应。</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是，得满分；否，不得分。</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绩效目标申报表、年度工作任务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2" w:hRule="atLeast"/>
          <w:jc w:val="center"/>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B.项目管理（20%）</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B1.投入管理（4%）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B11.预算编制合理性</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考察预算编制是否充分、合理的预计项目支出并完整反应</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合理得满分；存在一项不合理，扣0.5分，扣完为止</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预算分析、预算批复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1"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B12.预算调整规范性</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考察存在预算调整时是否按照相关规定执行调整程序。</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规范，得满分；部分规范，得一分；不规范，不得分。</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33"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B13.预算执行率</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考察项目预算执行的进度。预算执行率=实际支出金额/项目预算金额×100%</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预算执行率95%以上，得满分；低于95%，每下降1%扣权重的1%；预算执行率60%以下，不计分。</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绩效目标申报表、支付指令、合同、财务凭证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3"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B2.财务管理（6%）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B21.资金使用情况</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考察项目资金使用是否符合预算批复的用途，是否存在截留、挤占、挪用、虚列支出等情况。</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合规，得满分；存在一项不合规，扣1分，扣完为止。</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绩效目标申报表、支付指令，合同、财务凭证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18"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B22.财务管理制度健全性</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考察项目的财务制度是否健全、完善、有效。</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a.是否已制定或具有相应的财务管理办法；                         b.项目财务管理办法是否符合相关财务会计制度的规定；                                              c.是否存在需要完善的风险控制环节。                            符合所有条件，得满分； 一项不符合，扣1分，扣完为止。</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2"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B23.财务监控有效性</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B231.资金拨付程序完整性</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考察资金拨付是否具有完整的审批程序和手续，是否符合相关制度规定。</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资金拨付申请、审批手续完整，得满分；存在一例手续不完整，不得分。</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支付申请单、支付指令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2"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B232财务制度执行有效性</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考察是否存在违反相关财务管理制度的情况。</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不存在，得满分；存在1例，不得分。</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财务管理制度、访谈、会计凭证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4"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B3.项目实施（10%）</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B31.项目管理制度健全性</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B311.项目实施单位管理制度健全性</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项目实施单位为保障项目顺利实施制订的与项目直接相关的业务管理制度是否健全、完善和有效。</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制订相关制度或采取措施，得满分；制度不完善或者措施不明确，得权重的60%；没有相关制度或措施，不得分。</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项目实施单位管理制度、访谈、现场调查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3"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B312.管理方监管措施健全性</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考察项目主管部门为保障项目顺利实施采取的监管措施是否明确，是否存在需要完善的风险控制环节。</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监管措施明确、完善，得满分；每存在一项需要完善的风险控制点，扣权重的30%，扣完为止。</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管理制度、访谈、现场调查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4"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B32.项目管理制度执行有效性</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B321.项目实施单位管理制度执行情况</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考察项目实施单位制订的管理制度是否有效执行。</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有效执行，得满分；部分执行，得权重的60%；未执行，不得分。</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项目实施单位管理制度、现场调查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3"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B322.监管措施执行情况</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项目主管部门所制订的监管措施是否有效执行。</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有效执行，得满分；部分执行，得权重的60%；未执行，不得分。</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管理制度、现场调查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4"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B323.合同执行情况</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考察与项目相关的合同是否有效执行。</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有效执行，得满分；部分执行，得权重的60%；未执行，不得分。</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合同、现场调查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1"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B324.台账记录规范性</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考察项目实施过程中的相关台账记录是否完整，并符合要求。</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规范，得满分；部分规范，得权重的60%；不规范，不得分。</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台账记录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B33.政府采购规范性</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B331.采购方式合规性</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考察采购方式是否符合国家、本市的相关要求。</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符合相关要求，得满分；一项不符合，不得分。</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政府采购相关材料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B332.采购流程规范性</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考察采购流程是否符合相关规定。</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符合相关要求，得满分；一项不符合，不得分。</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政府采购相关材料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71" w:hRule="atLeast"/>
          <w:jc w:val="center"/>
        </w:trPr>
        <w:tc>
          <w:tcPr>
            <w:tcW w:w="64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C1.项目产出（30%）</w:t>
            </w:r>
          </w:p>
        </w:tc>
        <w:tc>
          <w:tcPr>
            <w:tcW w:w="79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C11.2020年东川区铁路护路联防工作完成情况</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C112.按照要求配备10名护路队员，确保了有人抓、有人管，不断加强基层基础工作和护路队伍管理</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9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按照要求配备10名护路队员，确保了有人抓、有人管，不断加强基层基础工作和护路队伍管理</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完成率100%，得满分，未完成不得分。</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项目计划及实施资料、完成情况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5" w:hRule="atLeast"/>
          <w:jc w:val="center"/>
        </w:trPr>
        <w:tc>
          <w:tcPr>
            <w:tcW w:w="64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C113.到铁路沿线周边学校、村组开展铁路安全常识宣传教育覆盖率</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到铁路沿线周边学校、村组开展铁路安全常识宣传教育覆盖率。</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全部覆盖，得满分；每少一类，扣1分，扣完为止。</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项目计划及实施资料、完成情况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3" w:hRule="atLeast"/>
          <w:jc w:val="center"/>
        </w:trPr>
        <w:tc>
          <w:tcPr>
            <w:tcW w:w="64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C114.与各责任单位和护路队员签订责任书；与铁路范围内的大牲畜、机动车辆、五残人员进行排查并签订《责任书》，确保全年铁路安全运行无事故。</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完成全年承包任务，确保全年铁路安全运行无事故。</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完成率100%，得满分，未完成不得分。</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项目计划及实施资料、完成情况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7" w:hRule="atLeast"/>
          <w:jc w:val="center"/>
        </w:trPr>
        <w:tc>
          <w:tcPr>
            <w:tcW w:w="64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C2.项目效益（30%）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C21.社会效益</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C211. 排查、化解、整治突出的涉路治安问题、涉路矛盾纠纷。 开展铁路沿线隐患排查整治工作，确保铁路运输安全100%畅通。 落实巡防制度，协助处置重大灾害事故。</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增强沿线群众防范意识，为我区经济、社会发展创造良好的运输环境。</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①完成排查、化解、整治突出的涉路治安问题、涉路矛盾纠纷，得7分；②，确保铁路运输安全100%畅通，得7分；③创造良好的运输环境，得7分。</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访谈分析报告、项目计划及实施资料、完成情况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93" w:hRule="atLeast"/>
          <w:jc w:val="center"/>
        </w:trPr>
        <w:tc>
          <w:tcPr>
            <w:tcW w:w="64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C22公众满意度</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C221.服务对象满意度调查</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通过问卷调查询问服务对象对项目实施、项目产出、项目效果、项目改进的满意度调查。</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社会服务对象调查问卷每一项满意度评分得分率在90%以上得1分，在80%以上不足90得0.75分，在70%以上不足80%得0.5分，在60%以上不足70%得0.25分，不足60%得0分。</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问卷调查分析报告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100分</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98</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宋体" w:hAnsi="宋体"/>
          <w:sz w:val="32"/>
          <w:szCs w:val="32"/>
          <w:highlight w:val="yellow"/>
          <w:lang w:eastAsia="zh-CN"/>
        </w:rPr>
      </w:pPr>
    </w:p>
    <w:p>
      <w:pPr>
        <w:numPr>
          <w:ilvl w:val="0"/>
          <w:numId w:val="2"/>
        </w:numPr>
        <w:topLinePunct/>
        <w:spacing w:line="540" w:lineRule="exact"/>
        <w:ind w:left="0" w:leftChars="0" w:firstLine="632" w:firstLineChars="200"/>
        <w:rPr>
          <w:rFonts w:hint="eastAsia" w:ascii="黑体" w:hAnsi="黑体" w:eastAsia="黑体"/>
          <w:szCs w:val="32"/>
        </w:rPr>
      </w:pPr>
      <w:r>
        <w:rPr>
          <w:rFonts w:hint="eastAsia" w:ascii="黑体" w:hAnsi="黑体" w:eastAsia="黑体"/>
          <w:szCs w:val="32"/>
        </w:rPr>
        <w:t>成本效益分析。</w:t>
      </w:r>
    </w:p>
    <w:p>
      <w:pPr>
        <w:keepNext w:val="0"/>
        <w:keepLines w:val="0"/>
        <w:pageBreakBefore w:val="0"/>
        <w:widowControl w:val="0"/>
        <w:numPr>
          <w:ilvl w:val="0"/>
          <w:numId w:val="0"/>
        </w:numPr>
        <w:kinsoku/>
        <w:wordWrap/>
        <w:overflowPunct/>
        <w:topLinePunct/>
        <w:autoSpaceDE/>
        <w:autoSpaceDN/>
        <w:bidi w:val="0"/>
        <w:adjustRightInd/>
        <w:snapToGrid/>
        <w:spacing w:line="620" w:lineRule="exact"/>
        <w:ind w:left="0" w:leftChars="0" w:right="0" w:rightChars="0" w:firstLine="632" w:firstLineChars="200"/>
        <w:jc w:val="both"/>
        <w:textAlignment w:val="auto"/>
        <w:outlineLvl w:val="9"/>
        <w:rPr>
          <w:rFonts w:hint="eastAsia" w:ascii="楷体" w:hAnsi="楷体" w:eastAsia="楷体" w:cs="楷体"/>
          <w:color w:val="000000" w:themeColor="text1"/>
          <w:szCs w:val="32"/>
          <w:lang w:eastAsia="zh-CN"/>
        </w:rPr>
      </w:pPr>
      <w:bookmarkStart w:id="3" w:name="_Toc13043_WPSOffice_Level2"/>
      <w:r>
        <w:rPr>
          <w:rFonts w:hint="eastAsia" w:ascii="楷体" w:hAnsi="楷体" w:eastAsia="楷体" w:cs="楷体"/>
          <w:color w:val="000000" w:themeColor="text1"/>
          <w:szCs w:val="32"/>
          <w:lang w:eastAsia="zh-CN"/>
        </w:rPr>
        <w:t>（一）经济性分析</w:t>
      </w:r>
      <w:bookmarkEnd w:id="3"/>
    </w:p>
    <w:p>
      <w:pPr>
        <w:keepNext w:val="0"/>
        <w:keepLines w:val="0"/>
        <w:pageBreakBefore w:val="0"/>
        <w:widowControl w:val="0"/>
        <w:numPr>
          <w:ilvl w:val="0"/>
          <w:numId w:val="0"/>
        </w:numPr>
        <w:kinsoku/>
        <w:wordWrap/>
        <w:overflowPunct/>
        <w:topLinePunct/>
        <w:autoSpaceDE/>
        <w:autoSpaceDN/>
        <w:bidi w:val="0"/>
        <w:adjustRightInd/>
        <w:snapToGrid/>
        <w:spacing w:line="620" w:lineRule="exact"/>
        <w:ind w:left="0" w:leftChars="0" w:right="0" w:rightChars="0" w:firstLine="632" w:firstLineChars="200"/>
        <w:jc w:val="both"/>
        <w:textAlignment w:val="auto"/>
        <w:outlineLvl w:val="9"/>
        <w:rPr>
          <w:rFonts w:hint="eastAsia" w:ascii="楷体" w:hAnsi="楷体" w:eastAsia="楷体" w:cs="楷体"/>
          <w:color w:val="000000" w:themeColor="text1"/>
          <w:szCs w:val="32"/>
          <w:lang w:eastAsia="zh-CN"/>
        </w:rPr>
      </w:pPr>
      <w:r>
        <w:rPr>
          <w:rFonts w:hint="eastAsia" w:ascii="宋体" w:hAnsi="宋体" w:cs="仿宋_GB2312"/>
          <w:szCs w:val="32"/>
        </w:rPr>
        <w:t>中国共产党昆明市东川区委员会政法委员会</w:t>
      </w:r>
      <w:r>
        <w:rPr>
          <w:rFonts w:hint="eastAsia" w:ascii="仿宋_GB2312" w:hAnsi="仿宋_GB2312" w:eastAsia="仿宋_GB2312" w:cs="仿宋_GB2312"/>
          <w:color w:val="000000" w:themeColor="text1"/>
          <w:szCs w:val="32"/>
          <w:lang w:eastAsia="zh-CN"/>
        </w:rPr>
        <w:t>年初项目预算资金拨付到位，并按照相关规定全部用于单位项目支出，通过总结资金使用管理经验，完善资金管理办法，提</w:t>
      </w:r>
      <w:r>
        <w:rPr>
          <w:rFonts w:hint="eastAsia" w:ascii="仿宋_GB2312" w:hAnsi="仿宋_GB2312" w:eastAsia="仿宋_GB2312" w:cs="仿宋_GB2312"/>
          <w:color w:val="000000" w:themeColor="text1"/>
          <w:szCs w:val="32"/>
        </w:rPr>
        <w:t>高财政资金的使用效率，为以</w:t>
      </w:r>
      <w:r>
        <w:rPr>
          <w:rFonts w:hint="eastAsia" w:ascii="仿宋_GB2312" w:hAnsi="仿宋_GB2312" w:eastAsia="仿宋_GB2312" w:cs="仿宋_GB2312"/>
          <w:color w:val="000000" w:themeColor="text1"/>
          <w:szCs w:val="32"/>
          <w:lang w:eastAsia="zh-CN"/>
        </w:rPr>
        <w:t>后年度编制项目预算、选择项目实施主体等提供参考依据。</w:t>
      </w:r>
    </w:p>
    <w:p>
      <w:pPr>
        <w:keepNext w:val="0"/>
        <w:keepLines w:val="0"/>
        <w:pageBreakBefore w:val="0"/>
        <w:widowControl w:val="0"/>
        <w:numPr>
          <w:ilvl w:val="0"/>
          <w:numId w:val="0"/>
        </w:numPr>
        <w:kinsoku/>
        <w:wordWrap/>
        <w:overflowPunct/>
        <w:topLinePunct/>
        <w:autoSpaceDE/>
        <w:autoSpaceDN/>
        <w:bidi w:val="0"/>
        <w:adjustRightInd/>
        <w:snapToGrid/>
        <w:spacing w:line="620" w:lineRule="exact"/>
        <w:ind w:left="0" w:leftChars="0" w:right="0" w:rightChars="0" w:firstLine="632" w:firstLineChars="200"/>
        <w:jc w:val="both"/>
        <w:textAlignment w:val="auto"/>
        <w:outlineLvl w:val="9"/>
        <w:rPr>
          <w:rFonts w:hint="eastAsia" w:ascii="楷体" w:hAnsi="楷体" w:eastAsia="楷体" w:cs="楷体"/>
          <w:color w:val="000000" w:themeColor="text1"/>
          <w:szCs w:val="32"/>
          <w:lang w:eastAsia="zh-CN"/>
        </w:rPr>
      </w:pPr>
      <w:bookmarkStart w:id="4" w:name="_Toc923_WPSOffice_Level2"/>
      <w:r>
        <w:rPr>
          <w:rFonts w:hint="eastAsia" w:ascii="楷体" w:hAnsi="楷体" w:eastAsia="楷体" w:cs="楷体"/>
          <w:color w:val="000000" w:themeColor="text1"/>
          <w:szCs w:val="32"/>
          <w:lang w:eastAsia="zh-CN"/>
        </w:rPr>
        <w:t>（二）效率性分析</w:t>
      </w:r>
      <w:bookmarkEnd w:id="4"/>
    </w:p>
    <w:p>
      <w:pPr>
        <w:keepNext w:val="0"/>
        <w:keepLines w:val="0"/>
        <w:pageBreakBefore w:val="0"/>
        <w:widowControl w:val="0"/>
        <w:numPr>
          <w:ilvl w:val="0"/>
          <w:numId w:val="0"/>
        </w:numPr>
        <w:kinsoku/>
        <w:wordWrap/>
        <w:overflowPunct/>
        <w:topLinePunct/>
        <w:autoSpaceDE/>
        <w:autoSpaceDN/>
        <w:bidi w:val="0"/>
        <w:adjustRightInd/>
        <w:snapToGrid/>
        <w:spacing w:line="620" w:lineRule="exact"/>
        <w:ind w:left="0" w:leftChars="0" w:right="0" w:rightChars="0" w:firstLine="632" w:firstLineChars="200"/>
        <w:jc w:val="both"/>
        <w:textAlignment w:val="auto"/>
        <w:outlineLvl w:val="9"/>
        <w:rPr>
          <w:rFonts w:hint="eastAsia" w:ascii="楷体_GB2312" w:hAnsi="楷体_GB2312" w:eastAsia="楷体_GB2312" w:cs="楷体_GB2312"/>
          <w:color w:val="000000" w:themeColor="text1"/>
          <w:sz w:val="32"/>
          <w:szCs w:val="32"/>
          <w:highlight w:val="none"/>
        </w:rPr>
      </w:pPr>
      <w:r>
        <w:rPr>
          <w:rFonts w:hint="eastAsia" w:ascii="宋体" w:hAnsi="宋体" w:cs="仿宋_GB2312"/>
          <w:szCs w:val="32"/>
        </w:rPr>
        <w:t>中国共产党昆明市东川区委员会政法委员会</w:t>
      </w:r>
      <w:r>
        <w:rPr>
          <w:rFonts w:hint="eastAsia" w:ascii="宋体" w:hAnsi="宋体" w:cs="仿宋_GB2312"/>
          <w:szCs w:val="32"/>
          <w:lang w:val="en-US" w:eastAsia="zh-CN"/>
        </w:rPr>
        <w:t>2020</w:t>
      </w:r>
      <w:r>
        <w:rPr>
          <w:rFonts w:hint="eastAsia" w:ascii="仿宋_GB2312" w:hAnsi="仿宋_GB2312" w:cs="仿宋_GB2312"/>
          <w:color w:val="000000" w:themeColor="text1"/>
          <w:szCs w:val="32"/>
          <w:lang w:eastAsia="zh-CN"/>
        </w:rPr>
        <w:t>年项目支出绩效情况良好，按年初设定的目</w:t>
      </w:r>
      <w:r>
        <w:rPr>
          <w:rFonts w:hint="eastAsia" w:ascii="仿宋_GB2312" w:hAnsi="仿宋_GB2312" w:cs="仿宋_GB2312"/>
          <w:color w:val="000000" w:themeColor="text1"/>
          <w:szCs w:val="32"/>
        </w:rPr>
        <w:t>标任务执行效率完成各项工作。</w:t>
      </w:r>
    </w:p>
    <w:p>
      <w:pPr>
        <w:keepNext w:val="0"/>
        <w:keepLines w:val="0"/>
        <w:pageBreakBefore w:val="0"/>
        <w:widowControl w:val="0"/>
        <w:numPr>
          <w:ilvl w:val="0"/>
          <w:numId w:val="0"/>
        </w:numPr>
        <w:kinsoku/>
        <w:wordWrap/>
        <w:overflowPunct/>
        <w:topLinePunct/>
        <w:autoSpaceDE/>
        <w:autoSpaceDN/>
        <w:bidi w:val="0"/>
        <w:adjustRightInd/>
        <w:snapToGrid/>
        <w:spacing w:line="620" w:lineRule="exact"/>
        <w:ind w:left="0" w:leftChars="0" w:right="0" w:rightChars="0" w:firstLine="632" w:firstLineChars="200"/>
        <w:jc w:val="both"/>
        <w:textAlignment w:val="auto"/>
        <w:outlineLvl w:val="9"/>
        <w:rPr>
          <w:rFonts w:hint="eastAsia" w:ascii="楷体" w:hAnsi="楷体" w:eastAsia="楷体" w:cs="楷体"/>
          <w:color w:val="000000" w:themeColor="text1"/>
          <w:szCs w:val="32"/>
          <w:lang w:eastAsia="zh-CN"/>
        </w:rPr>
      </w:pPr>
      <w:bookmarkStart w:id="5" w:name="_Toc27896_WPSOffice_Level2"/>
      <w:r>
        <w:rPr>
          <w:rFonts w:hint="eastAsia" w:ascii="楷体" w:hAnsi="楷体" w:eastAsia="楷体" w:cs="楷体"/>
          <w:color w:val="000000" w:themeColor="text1"/>
          <w:szCs w:val="32"/>
          <w:lang w:eastAsia="zh-CN"/>
        </w:rPr>
        <w:t>（三）效益性分析</w:t>
      </w:r>
      <w:bookmarkEnd w:id="5"/>
    </w:p>
    <w:p>
      <w:pPr>
        <w:keepNext w:val="0"/>
        <w:keepLines w:val="0"/>
        <w:pageBreakBefore w:val="0"/>
        <w:widowControl w:val="0"/>
        <w:numPr>
          <w:ilvl w:val="0"/>
          <w:numId w:val="0"/>
        </w:numPr>
        <w:kinsoku/>
        <w:wordWrap/>
        <w:overflowPunct/>
        <w:topLinePunct/>
        <w:autoSpaceDE/>
        <w:autoSpaceDN/>
        <w:bidi w:val="0"/>
        <w:adjustRightInd/>
        <w:snapToGrid/>
        <w:spacing w:line="620" w:lineRule="exact"/>
        <w:ind w:left="0" w:leftChars="0" w:right="0" w:rightChars="0" w:firstLine="632" w:firstLineChars="200"/>
        <w:jc w:val="both"/>
        <w:textAlignment w:val="auto"/>
        <w:outlineLvl w:val="9"/>
        <w:rPr>
          <w:rFonts w:hint="eastAsia" w:ascii="黑体" w:hAnsi="黑体" w:eastAsia="黑体"/>
          <w:szCs w:val="32"/>
        </w:rPr>
      </w:pPr>
      <w:r>
        <w:rPr>
          <w:rFonts w:hint="eastAsia" w:ascii="宋体" w:hAnsi="宋体" w:cs="仿宋_GB2312"/>
          <w:szCs w:val="32"/>
        </w:rPr>
        <w:t>中国共产党昆明市东川区委员会政法委员会</w:t>
      </w:r>
      <w:r>
        <w:rPr>
          <w:rFonts w:hint="eastAsia" w:ascii="仿宋_GB2312" w:hAnsi="仿宋_GB2312" w:cs="仿宋_GB2312"/>
          <w:color w:val="000000" w:themeColor="text1"/>
          <w:szCs w:val="32"/>
          <w:highlight w:val="none"/>
          <w:lang w:eastAsia="zh-CN"/>
        </w:rPr>
        <w:t>较好地完成了</w:t>
      </w:r>
      <w:r>
        <w:rPr>
          <w:rFonts w:hint="eastAsia" w:ascii="仿宋_GB2312" w:hAnsi="仿宋_GB2312" w:cs="仿宋_GB2312"/>
          <w:color w:val="000000" w:themeColor="text1"/>
          <w:szCs w:val="32"/>
          <w:highlight w:val="none"/>
          <w:lang w:val="en-US" w:eastAsia="zh-CN"/>
        </w:rPr>
        <w:t>2020</w:t>
      </w:r>
      <w:r>
        <w:rPr>
          <w:rFonts w:hint="eastAsia" w:ascii="仿宋_GB2312" w:hAnsi="仿宋_GB2312" w:cs="仿宋_GB2312"/>
          <w:color w:val="000000" w:themeColor="text1"/>
          <w:szCs w:val="32"/>
          <w:highlight w:val="none"/>
          <w:lang w:eastAsia="zh-CN"/>
        </w:rPr>
        <w:t>年初设定的工作任务，</w:t>
      </w:r>
      <w:r>
        <w:rPr>
          <w:rFonts w:hint="eastAsia" w:ascii="仿宋_GB2312" w:hAnsi="仿宋_GB2312" w:cs="仿宋_GB2312"/>
          <w:color w:val="000000" w:themeColor="text1"/>
          <w:szCs w:val="32"/>
          <w:highlight w:val="none"/>
          <w:lang w:val="en-US" w:eastAsia="zh-CN"/>
        </w:rPr>
        <w:t>2020</w:t>
      </w:r>
      <w:r>
        <w:rPr>
          <w:rFonts w:hint="eastAsia" w:ascii="仿宋_GB2312" w:hAnsi="仿宋_GB2312" w:cs="仿宋_GB2312"/>
          <w:color w:val="000000" w:themeColor="text1"/>
          <w:szCs w:val="32"/>
          <w:highlight w:val="none"/>
          <w:lang w:eastAsia="zh-CN"/>
        </w:rPr>
        <w:t>年专项经费实际支出未超出预算规定，保障了专项工作的开展。我单位认真履行工作职责，及时完成年初制</w:t>
      </w:r>
      <w:r>
        <w:rPr>
          <w:rFonts w:hint="eastAsia" w:ascii="仿宋_GB2312" w:hAnsi="仿宋_GB2312" w:cs="仿宋_GB2312"/>
          <w:color w:val="000000" w:themeColor="text1"/>
          <w:szCs w:val="32"/>
          <w:lang w:eastAsia="zh-CN"/>
        </w:rPr>
        <w:t>定的各项工作任务，质量达标。</w:t>
      </w:r>
    </w:p>
    <w:p>
      <w:pPr>
        <w:topLinePunct/>
        <w:spacing w:line="540" w:lineRule="exact"/>
        <w:ind w:firstLine="790" w:firstLineChars="250"/>
        <w:rPr>
          <w:rFonts w:ascii="黑体" w:hAnsi="黑体" w:eastAsia="黑体"/>
          <w:szCs w:val="32"/>
        </w:rPr>
      </w:pPr>
      <w:r>
        <w:rPr>
          <w:rFonts w:hint="eastAsia" w:ascii="黑体" w:hAnsi="黑体" w:eastAsia="黑体"/>
          <w:szCs w:val="32"/>
        </w:rPr>
        <w:t>五、主要经验及做法、存在的问题和建议</w:t>
      </w:r>
    </w:p>
    <w:p>
      <w:pPr>
        <w:topLinePunct/>
        <w:spacing w:line="540" w:lineRule="exact"/>
        <w:ind w:firstLine="632" w:firstLineChars="200"/>
        <w:rPr>
          <w:rFonts w:hint="eastAsia" w:ascii="楷体" w:hAnsi="楷体" w:eastAsia="楷体"/>
          <w:szCs w:val="32"/>
        </w:rPr>
      </w:pPr>
      <w:r>
        <w:rPr>
          <w:rFonts w:hint="eastAsia" w:ascii="楷体" w:hAnsi="楷体" w:eastAsia="楷体"/>
          <w:szCs w:val="32"/>
        </w:rPr>
        <w:t>（一）主要经验及做法</w:t>
      </w:r>
    </w:p>
    <w:p>
      <w:pPr>
        <w:topLinePunct/>
        <w:spacing w:line="540" w:lineRule="exact"/>
        <w:ind w:firstLine="632" w:firstLineChars="200"/>
        <w:rPr>
          <w:rFonts w:hint="eastAsia" w:ascii="楷体" w:eastAsia="楷体"/>
          <w:szCs w:val="32"/>
        </w:rPr>
      </w:pPr>
      <w:r>
        <w:rPr>
          <w:rFonts w:hint="eastAsia" w:ascii="宋体" w:hAnsi="宋体" w:cs="仿宋_GB2312"/>
          <w:szCs w:val="32"/>
        </w:rPr>
        <w:t>中国共产党昆明市东川区委员会政法委员会</w:t>
      </w:r>
      <w:r>
        <w:rPr>
          <w:rFonts w:hint="eastAsia" w:ascii="仿宋_GB2312" w:cs="仿宋_GB2312"/>
          <w:color w:val="000000"/>
          <w:szCs w:val="32"/>
          <w:lang w:eastAsia="zh-CN"/>
        </w:rPr>
        <w:t>对</w:t>
      </w:r>
      <w:r>
        <w:rPr>
          <w:rFonts w:hint="eastAsia" w:ascii="仿宋_GB2312"/>
          <w:color w:val="000000"/>
          <w:szCs w:val="32"/>
          <w:lang w:val="en-US" w:eastAsia="zh-CN"/>
        </w:rPr>
        <w:t>东川区铁路护路联防工作专项资金</w:t>
      </w:r>
      <w:r>
        <w:rPr>
          <w:rFonts w:hint="eastAsia" w:ascii="仿宋_GB2312" w:cs="仿宋_GB2312"/>
          <w:color w:val="000000"/>
          <w:szCs w:val="32"/>
          <w:lang w:val="en-US" w:eastAsia="zh-CN"/>
        </w:rPr>
        <w:t>项目绩效目标开展了动态监控</w:t>
      </w:r>
      <w:r>
        <w:rPr>
          <w:rFonts w:hint="eastAsia" w:ascii="仿宋_GB2312" w:cs="仿宋_GB2312"/>
          <w:color w:val="000000"/>
          <w:szCs w:val="32"/>
          <w:lang w:eastAsia="zh-CN"/>
        </w:rPr>
        <w:t>，对乡镇（街道）项目完成情况、项目完成进度、项目效益与预期目标偏差等情况进行</w:t>
      </w:r>
      <w:r>
        <w:rPr>
          <w:rFonts w:hint="eastAsia" w:ascii="仿宋_GB2312" w:cs="仿宋_GB2312"/>
          <w:color w:val="000000"/>
          <w:szCs w:val="32"/>
          <w:lang w:val="en-US" w:eastAsia="zh-CN"/>
        </w:rPr>
        <w:t>分析总结。</w:t>
      </w:r>
    </w:p>
    <w:p>
      <w:pPr>
        <w:numPr>
          <w:ilvl w:val="0"/>
          <w:numId w:val="0"/>
        </w:numPr>
        <w:tabs>
          <w:tab w:val="left" w:pos="0"/>
        </w:tabs>
        <w:topLinePunct/>
        <w:spacing w:line="540" w:lineRule="exact"/>
        <w:ind w:firstLine="632" w:firstLineChars="200"/>
        <w:rPr>
          <w:rFonts w:hint="eastAsia" w:ascii="楷体" w:hAnsi="楷体" w:eastAsia="楷体"/>
          <w:szCs w:val="32"/>
        </w:rPr>
      </w:pPr>
      <w:r>
        <w:rPr>
          <w:rFonts w:hint="eastAsia" w:ascii="楷体" w:hAnsi="楷体" w:eastAsia="楷体"/>
          <w:szCs w:val="32"/>
          <w:lang w:eastAsia="zh-CN"/>
        </w:rPr>
        <w:t>（二）</w:t>
      </w:r>
      <w:r>
        <w:rPr>
          <w:rFonts w:hint="eastAsia" w:ascii="楷体" w:hAnsi="楷体" w:eastAsia="楷体"/>
          <w:szCs w:val="32"/>
        </w:rPr>
        <w:t>存在的问题</w:t>
      </w:r>
    </w:p>
    <w:p>
      <w:pPr>
        <w:topLinePunct/>
        <w:spacing w:line="540" w:lineRule="exact"/>
        <w:ind w:firstLine="632" w:firstLineChars="200"/>
        <w:rPr>
          <w:rFonts w:hint="eastAsia" w:ascii="楷体" w:hAnsi="楷体" w:eastAsia="楷体"/>
          <w:szCs w:val="32"/>
        </w:rPr>
      </w:pPr>
      <w:r>
        <w:rPr>
          <w:rFonts w:hint="eastAsia" w:ascii="宋体" w:hAnsi="宋体" w:cs="仿宋_GB2312"/>
          <w:szCs w:val="32"/>
        </w:rPr>
        <w:t>中国共产党昆明市东川区委员会政法委员会</w:t>
      </w:r>
      <w:r>
        <w:rPr>
          <w:rFonts w:hint="eastAsia" w:ascii="仿宋_GB2312" w:cs="仿宋_GB2312"/>
          <w:color w:val="000000"/>
          <w:szCs w:val="32"/>
          <w:lang w:eastAsia="zh-CN"/>
        </w:rPr>
        <w:t>绩效内容的设定上量化不够具体，考核标准、考核条件过于简单和笼统。</w:t>
      </w:r>
      <w:r>
        <w:rPr>
          <w:rFonts w:ascii="仿宋_GB2312" w:cs="仿宋_GB2312"/>
          <w:color w:val="000000"/>
          <w:szCs w:val="32"/>
          <w:lang w:eastAsia="zh-CN"/>
        </w:rPr>
        <w:t>护路队员</w:t>
      </w:r>
      <w:r>
        <w:rPr>
          <w:rFonts w:hint="eastAsia" w:ascii="仿宋_GB2312" w:cs="仿宋_GB2312"/>
          <w:color w:val="000000"/>
          <w:szCs w:val="32"/>
          <w:lang w:eastAsia="zh-CN"/>
        </w:rPr>
        <w:t>待遇偏低</w:t>
      </w:r>
      <w:r>
        <w:rPr>
          <w:rFonts w:ascii="仿宋_GB2312" w:cs="仿宋_GB2312"/>
          <w:color w:val="000000"/>
          <w:szCs w:val="32"/>
          <w:lang w:eastAsia="zh-CN"/>
        </w:rPr>
        <w:t>、年龄偏大</w:t>
      </w:r>
      <w:r>
        <w:rPr>
          <w:rFonts w:hint="eastAsia" w:ascii="仿宋_GB2312" w:cs="仿宋_GB2312"/>
          <w:color w:val="000000"/>
          <w:szCs w:val="32"/>
          <w:lang w:eastAsia="zh-CN"/>
        </w:rPr>
        <w:t>。</w:t>
      </w:r>
    </w:p>
    <w:p>
      <w:pPr>
        <w:topLinePunct/>
        <w:spacing w:line="540" w:lineRule="exact"/>
        <w:ind w:firstLine="632" w:firstLineChars="200"/>
        <w:rPr>
          <w:rFonts w:ascii="楷体" w:hAnsi="楷体" w:eastAsia="楷体"/>
          <w:szCs w:val="32"/>
        </w:rPr>
      </w:pPr>
      <w:r>
        <w:rPr>
          <w:rFonts w:hint="eastAsia" w:ascii="楷体" w:hAnsi="楷体" w:eastAsia="楷体"/>
          <w:szCs w:val="32"/>
        </w:rPr>
        <w:t>（三）建议和改进措施</w:t>
      </w:r>
    </w:p>
    <w:p>
      <w:pPr>
        <w:topLinePunct/>
        <w:spacing w:line="540" w:lineRule="exact"/>
        <w:ind w:firstLine="632" w:firstLineChars="200"/>
        <w:rPr>
          <w:rFonts w:eastAsia="黑体"/>
        </w:rPr>
      </w:pPr>
      <w:r>
        <w:rPr>
          <w:rFonts w:hint="eastAsia" w:ascii="仿宋_GB2312" w:cs="仿宋_GB2312"/>
          <w:color w:val="000000"/>
          <w:szCs w:val="32"/>
          <w:lang w:eastAsia="zh-CN"/>
        </w:rPr>
        <w:t>结合东川区</w:t>
      </w:r>
      <w:r>
        <w:rPr>
          <w:rFonts w:ascii="仿宋_GB2312" w:cs="仿宋_GB2312"/>
          <w:color w:val="000000"/>
          <w:szCs w:val="32"/>
          <w:lang w:eastAsia="zh-CN"/>
        </w:rPr>
        <w:t>护路队员</w:t>
      </w:r>
      <w:r>
        <w:rPr>
          <w:rFonts w:hint="eastAsia" w:ascii="仿宋_GB2312" w:cs="仿宋_GB2312"/>
          <w:color w:val="000000"/>
          <w:szCs w:val="32"/>
          <w:lang w:eastAsia="zh-CN"/>
        </w:rPr>
        <w:t>实际情况，制定相应</w:t>
      </w:r>
      <w:bookmarkStart w:id="6" w:name="_GoBack"/>
      <w:bookmarkEnd w:id="6"/>
      <w:r>
        <w:rPr>
          <w:rFonts w:hint="eastAsia" w:ascii="仿宋_GB2312" w:cs="仿宋_GB2312"/>
          <w:color w:val="000000"/>
          <w:szCs w:val="32"/>
          <w:lang w:eastAsia="zh-CN"/>
        </w:rPr>
        <w:t>细化、量化的绩效目标，严格按目标实施</w:t>
      </w:r>
      <w:r>
        <w:rPr>
          <w:rFonts w:ascii="仿宋_GB2312" w:cs="仿宋_GB2312"/>
          <w:color w:val="000000"/>
          <w:szCs w:val="32"/>
          <w:lang w:eastAsia="zh-CN"/>
        </w:rPr>
        <w:t>。</w:t>
      </w:r>
    </w:p>
    <w:p>
      <w:pPr>
        <w:topLinePunct/>
        <w:spacing w:line="540" w:lineRule="exact"/>
        <w:ind w:firstLine="790" w:firstLineChars="250"/>
        <w:rPr>
          <w:rFonts w:hint="eastAsia" w:ascii="楷体" w:hAnsi="楷体" w:eastAsia="楷体"/>
          <w:szCs w:val="32"/>
        </w:rPr>
      </w:pPr>
    </w:p>
    <w:p>
      <w:pPr>
        <w:widowControl w:val="0"/>
        <w:autoSpaceDE w:val="0"/>
        <w:autoSpaceDN w:val="0"/>
        <w:adjustRightInd w:val="0"/>
        <w:snapToGrid w:val="0"/>
        <w:spacing w:line="560" w:lineRule="exact"/>
        <w:ind w:right="53" w:rightChars="17"/>
        <w:jc w:val="left"/>
        <w:rPr>
          <w:rFonts w:ascii="仿宋_GB2312"/>
          <w:sz w:val="28"/>
          <w:szCs w:val="28"/>
        </w:rPr>
      </w:pPr>
    </w:p>
    <w:sectPr>
      <w:footerReference r:id="rId3" w:type="default"/>
      <w:footerReference r:id="rId4" w:type="even"/>
      <w:pgSz w:w="11907" w:h="16840"/>
      <w:pgMar w:top="2041" w:right="1531" w:bottom="1871" w:left="1531" w:header="851" w:footer="1304" w:gutter="0"/>
      <w:pgNumType w:fmt="decimal"/>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rPr>
        <w:sz w:val="28"/>
      </w:rPr>
    </w:pPr>
    <w:r>
      <w:rPr>
        <w:sz w:val="2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ind w:right="335"/>
                  <w:rPr>
                    <w:rStyle w:val="8"/>
                    <w:rFonts w:hint="eastAsia" w:ascii="宋体" w:hAnsi="宋体" w:eastAsia="宋体"/>
                    <w:sz w:val="28"/>
                    <w:lang w:eastAsia="zh-CN"/>
                  </w:rPr>
                </w:pPr>
                <w:r>
                  <w:rPr>
                    <w:rStyle w:val="8"/>
                    <w:rFonts w:hint="eastAsia" w:ascii="宋体" w:hAnsi="宋体" w:eastAsia="宋体"/>
                    <w:sz w:val="28"/>
                    <w:lang w:eastAsia="zh-CN"/>
                  </w:rPr>
                  <w:t xml:space="preserve">— </w:t>
                </w:r>
                <w:r>
                  <w:rPr>
                    <w:rStyle w:val="8"/>
                    <w:rFonts w:hint="eastAsia" w:ascii="宋体" w:hAnsi="宋体" w:eastAsia="宋体"/>
                    <w:sz w:val="28"/>
                    <w:lang w:eastAsia="zh-CN"/>
                  </w:rPr>
                  <w:fldChar w:fldCharType="begin"/>
                </w:r>
                <w:r>
                  <w:rPr>
                    <w:rStyle w:val="8"/>
                    <w:rFonts w:hint="eastAsia" w:ascii="宋体" w:hAnsi="宋体" w:eastAsia="宋体"/>
                    <w:sz w:val="28"/>
                    <w:lang w:eastAsia="zh-CN"/>
                  </w:rPr>
                  <w:instrText xml:space="preserve"> PAGE  \* MERGEFORMAT </w:instrText>
                </w:r>
                <w:r>
                  <w:rPr>
                    <w:rStyle w:val="8"/>
                    <w:rFonts w:hint="eastAsia" w:ascii="宋体" w:hAnsi="宋体" w:eastAsia="宋体"/>
                    <w:sz w:val="28"/>
                    <w:lang w:eastAsia="zh-CN"/>
                  </w:rPr>
                  <w:fldChar w:fldCharType="separate"/>
                </w:r>
                <w:r>
                  <w:rPr>
                    <w:rStyle w:val="8"/>
                    <w:rFonts w:hint="eastAsia" w:ascii="宋体" w:hAnsi="宋体" w:eastAsia="宋体"/>
                    <w:sz w:val="28"/>
                    <w:lang w:eastAsia="zh-CN"/>
                  </w:rPr>
                  <w:t>1</w:t>
                </w:r>
                <w:r>
                  <w:rPr>
                    <w:rStyle w:val="8"/>
                    <w:rFonts w:hint="eastAsia" w:ascii="宋体" w:hAnsi="宋体" w:eastAsia="宋体"/>
                    <w:sz w:val="28"/>
                    <w:lang w:eastAsia="zh-CN"/>
                  </w:rPr>
                  <w:fldChar w:fldCharType="end"/>
                </w:r>
                <w:r>
                  <w:rPr>
                    <w:rStyle w:val="8"/>
                    <w:rFonts w:hint="eastAsia" w:ascii="宋体" w:hAnsi="宋体" w:eastAsia="宋体"/>
                    <w:sz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00" w:right="360" w:firstLine="360"/>
      <w:rPr>
        <w:sz w:val="28"/>
      </w:rPr>
    </w:pPr>
    <w:r>
      <w:rPr>
        <w:sz w:val="2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ind w:left="335"/>
                  <w:rPr>
                    <w:rStyle w:val="8"/>
                    <w:rFonts w:hint="eastAsia" w:ascii="宋体" w:hAnsi="宋体" w:eastAsia="宋体"/>
                    <w:sz w:val="28"/>
                    <w:lang w:eastAsia="zh-CN"/>
                  </w:rPr>
                </w:pPr>
                <w:r>
                  <w:rPr>
                    <w:rStyle w:val="8"/>
                    <w:rFonts w:hint="eastAsia" w:ascii="宋体" w:hAnsi="宋体" w:eastAsia="宋体"/>
                    <w:sz w:val="28"/>
                    <w:lang w:eastAsia="zh-CN"/>
                  </w:rPr>
                  <w:t xml:space="preserve">— </w:t>
                </w:r>
                <w:r>
                  <w:rPr>
                    <w:rStyle w:val="8"/>
                    <w:rFonts w:hint="eastAsia" w:ascii="宋体" w:hAnsi="宋体" w:eastAsia="宋体"/>
                    <w:sz w:val="28"/>
                    <w:lang w:eastAsia="zh-CN"/>
                  </w:rPr>
                  <w:fldChar w:fldCharType="begin"/>
                </w:r>
                <w:r>
                  <w:rPr>
                    <w:rStyle w:val="8"/>
                    <w:rFonts w:hint="eastAsia" w:ascii="宋体" w:hAnsi="宋体" w:eastAsia="宋体"/>
                    <w:sz w:val="28"/>
                    <w:lang w:eastAsia="zh-CN"/>
                  </w:rPr>
                  <w:instrText xml:space="preserve"> PAGE  \* MERGEFORMAT </w:instrText>
                </w:r>
                <w:r>
                  <w:rPr>
                    <w:rStyle w:val="8"/>
                    <w:rFonts w:hint="eastAsia" w:ascii="宋体" w:hAnsi="宋体" w:eastAsia="宋体"/>
                    <w:sz w:val="28"/>
                    <w:lang w:eastAsia="zh-CN"/>
                  </w:rPr>
                  <w:fldChar w:fldCharType="separate"/>
                </w:r>
                <w:r>
                  <w:rPr>
                    <w:rStyle w:val="8"/>
                    <w:rFonts w:hint="eastAsia" w:ascii="宋体" w:hAnsi="宋体" w:eastAsia="宋体"/>
                    <w:sz w:val="28"/>
                    <w:lang w:eastAsia="zh-CN"/>
                  </w:rPr>
                  <w:t>2</w:t>
                </w:r>
                <w:r>
                  <w:rPr>
                    <w:rStyle w:val="8"/>
                    <w:rFonts w:hint="eastAsia" w:ascii="宋体" w:hAnsi="宋体" w:eastAsia="宋体"/>
                    <w:sz w:val="28"/>
                    <w:lang w:eastAsia="zh-CN"/>
                  </w:rPr>
                  <w:fldChar w:fldCharType="end"/>
                </w:r>
                <w:r>
                  <w:rPr>
                    <w:rStyle w:val="8"/>
                    <w:rFonts w:hint="eastAsia" w:ascii="宋体" w:hAnsi="宋体" w:eastAsia="宋体"/>
                    <w:sz w:val="28"/>
                    <w:lang w:eastAsia="zh-CN"/>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5D8CE4"/>
    <w:multiLevelType w:val="singleLevel"/>
    <w:tmpl w:val="A15D8CE4"/>
    <w:lvl w:ilvl="0" w:tentative="0">
      <w:start w:val="2"/>
      <w:numFmt w:val="chineseCounting"/>
      <w:suff w:val="nothing"/>
      <w:lvlText w:val="（%1）"/>
      <w:lvlJc w:val="left"/>
      <w:rPr>
        <w:rFonts w:hint="eastAsia"/>
      </w:rPr>
    </w:lvl>
  </w:abstractNum>
  <w:abstractNum w:abstractNumId="1">
    <w:nsid w:val="F795126D"/>
    <w:multiLevelType w:val="singleLevel"/>
    <w:tmpl w:val="F795126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evenAndOddHeaders w:val="1"/>
  <w:drawingGridHorizontalSpacing w:val="158"/>
  <w:drawingGridVerticalSpacing w:val="587"/>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5F"/>
    <w:rsid w:val="00002E28"/>
    <w:rsid w:val="0001706E"/>
    <w:rsid w:val="00031386"/>
    <w:rsid w:val="00061B34"/>
    <w:rsid w:val="00085C25"/>
    <w:rsid w:val="000C6A55"/>
    <w:rsid w:val="000D0079"/>
    <w:rsid w:val="000E4635"/>
    <w:rsid w:val="000E57AE"/>
    <w:rsid w:val="000F0DDC"/>
    <w:rsid w:val="000F2D14"/>
    <w:rsid w:val="000F2E4E"/>
    <w:rsid w:val="00112694"/>
    <w:rsid w:val="0013625A"/>
    <w:rsid w:val="00155091"/>
    <w:rsid w:val="00167969"/>
    <w:rsid w:val="00171B5D"/>
    <w:rsid w:val="001776A1"/>
    <w:rsid w:val="00185A5A"/>
    <w:rsid w:val="00197124"/>
    <w:rsid w:val="001B5425"/>
    <w:rsid w:val="001D2295"/>
    <w:rsid w:val="002021EA"/>
    <w:rsid w:val="002164BD"/>
    <w:rsid w:val="00232238"/>
    <w:rsid w:val="00236F6F"/>
    <w:rsid w:val="00260330"/>
    <w:rsid w:val="0027333E"/>
    <w:rsid w:val="00280BDE"/>
    <w:rsid w:val="0028678C"/>
    <w:rsid w:val="00294EE5"/>
    <w:rsid w:val="00301902"/>
    <w:rsid w:val="00304EEE"/>
    <w:rsid w:val="003209BE"/>
    <w:rsid w:val="00320A77"/>
    <w:rsid w:val="003721CE"/>
    <w:rsid w:val="00386252"/>
    <w:rsid w:val="0039440A"/>
    <w:rsid w:val="003B609C"/>
    <w:rsid w:val="003B651F"/>
    <w:rsid w:val="003D3F92"/>
    <w:rsid w:val="003F15F1"/>
    <w:rsid w:val="003F7768"/>
    <w:rsid w:val="00441E1F"/>
    <w:rsid w:val="00443AFE"/>
    <w:rsid w:val="0044547C"/>
    <w:rsid w:val="00463CBD"/>
    <w:rsid w:val="0048484B"/>
    <w:rsid w:val="004B7A2C"/>
    <w:rsid w:val="004E5EBC"/>
    <w:rsid w:val="005456D8"/>
    <w:rsid w:val="00547454"/>
    <w:rsid w:val="00547D91"/>
    <w:rsid w:val="0055335F"/>
    <w:rsid w:val="0055784C"/>
    <w:rsid w:val="00587D66"/>
    <w:rsid w:val="00596EAF"/>
    <w:rsid w:val="005B05E9"/>
    <w:rsid w:val="005C1E91"/>
    <w:rsid w:val="005C3612"/>
    <w:rsid w:val="005D1F7C"/>
    <w:rsid w:val="00623770"/>
    <w:rsid w:val="00634A37"/>
    <w:rsid w:val="0067583F"/>
    <w:rsid w:val="00684F23"/>
    <w:rsid w:val="00691838"/>
    <w:rsid w:val="006A6EB6"/>
    <w:rsid w:val="006B11BB"/>
    <w:rsid w:val="0070331B"/>
    <w:rsid w:val="00711838"/>
    <w:rsid w:val="007347E8"/>
    <w:rsid w:val="00752484"/>
    <w:rsid w:val="00767A70"/>
    <w:rsid w:val="007740E0"/>
    <w:rsid w:val="007E48FF"/>
    <w:rsid w:val="007F24E4"/>
    <w:rsid w:val="007F5BD0"/>
    <w:rsid w:val="0080354F"/>
    <w:rsid w:val="008273F9"/>
    <w:rsid w:val="008452A9"/>
    <w:rsid w:val="0086384F"/>
    <w:rsid w:val="00885932"/>
    <w:rsid w:val="00896C1C"/>
    <w:rsid w:val="008D4DFD"/>
    <w:rsid w:val="008F3154"/>
    <w:rsid w:val="009156B6"/>
    <w:rsid w:val="009511E2"/>
    <w:rsid w:val="00960202"/>
    <w:rsid w:val="00971ACC"/>
    <w:rsid w:val="00984AA9"/>
    <w:rsid w:val="009B1D6B"/>
    <w:rsid w:val="009C2E24"/>
    <w:rsid w:val="009E07A7"/>
    <w:rsid w:val="00A032C7"/>
    <w:rsid w:val="00A449C0"/>
    <w:rsid w:val="00A45A91"/>
    <w:rsid w:val="00AB6099"/>
    <w:rsid w:val="00B1591B"/>
    <w:rsid w:val="00B268F0"/>
    <w:rsid w:val="00B6766E"/>
    <w:rsid w:val="00B8171D"/>
    <w:rsid w:val="00BA1A64"/>
    <w:rsid w:val="00BC60B5"/>
    <w:rsid w:val="00BC7CC4"/>
    <w:rsid w:val="00BD1B59"/>
    <w:rsid w:val="00BD7DE4"/>
    <w:rsid w:val="00BE50BB"/>
    <w:rsid w:val="00BF7471"/>
    <w:rsid w:val="00C01F37"/>
    <w:rsid w:val="00C126D1"/>
    <w:rsid w:val="00C145B3"/>
    <w:rsid w:val="00C21CDB"/>
    <w:rsid w:val="00C40EC7"/>
    <w:rsid w:val="00C647AA"/>
    <w:rsid w:val="00CD2387"/>
    <w:rsid w:val="00D16944"/>
    <w:rsid w:val="00D20768"/>
    <w:rsid w:val="00D4728C"/>
    <w:rsid w:val="00D60CF2"/>
    <w:rsid w:val="00D611EB"/>
    <w:rsid w:val="00D77134"/>
    <w:rsid w:val="00D87244"/>
    <w:rsid w:val="00DA3649"/>
    <w:rsid w:val="00DD46DD"/>
    <w:rsid w:val="00E0768F"/>
    <w:rsid w:val="00E124FB"/>
    <w:rsid w:val="00E219E0"/>
    <w:rsid w:val="00E355E2"/>
    <w:rsid w:val="00E44E53"/>
    <w:rsid w:val="00E60A47"/>
    <w:rsid w:val="00E627D0"/>
    <w:rsid w:val="00E75F2E"/>
    <w:rsid w:val="00EB1222"/>
    <w:rsid w:val="00EB5E95"/>
    <w:rsid w:val="00F40020"/>
    <w:rsid w:val="00F525BE"/>
    <w:rsid w:val="00F613AB"/>
    <w:rsid w:val="00F8179E"/>
    <w:rsid w:val="00FB0339"/>
    <w:rsid w:val="0BE94B10"/>
    <w:rsid w:val="0ED54F39"/>
    <w:rsid w:val="11AD6E0B"/>
    <w:rsid w:val="12C07178"/>
    <w:rsid w:val="16524050"/>
    <w:rsid w:val="19985CEF"/>
    <w:rsid w:val="1B7960FB"/>
    <w:rsid w:val="1F7E4BD8"/>
    <w:rsid w:val="21DB4EB5"/>
    <w:rsid w:val="2461340C"/>
    <w:rsid w:val="24C14377"/>
    <w:rsid w:val="254D251D"/>
    <w:rsid w:val="26430EED"/>
    <w:rsid w:val="268917BB"/>
    <w:rsid w:val="269F58E5"/>
    <w:rsid w:val="2CC21B22"/>
    <w:rsid w:val="2EB2399C"/>
    <w:rsid w:val="2EFB69EF"/>
    <w:rsid w:val="2FC65D32"/>
    <w:rsid w:val="30C81A9D"/>
    <w:rsid w:val="32BF21F4"/>
    <w:rsid w:val="351E40EF"/>
    <w:rsid w:val="38031D6D"/>
    <w:rsid w:val="389D31C4"/>
    <w:rsid w:val="3B80030D"/>
    <w:rsid w:val="3BCA4F11"/>
    <w:rsid w:val="3CB565BE"/>
    <w:rsid w:val="3D212044"/>
    <w:rsid w:val="3DA165C8"/>
    <w:rsid w:val="3EE71BC9"/>
    <w:rsid w:val="42D01853"/>
    <w:rsid w:val="458E42F8"/>
    <w:rsid w:val="477C14A3"/>
    <w:rsid w:val="48F10AC0"/>
    <w:rsid w:val="4AD22616"/>
    <w:rsid w:val="4D2276A8"/>
    <w:rsid w:val="4F7370ED"/>
    <w:rsid w:val="4FB02522"/>
    <w:rsid w:val="532B7B0E"/>
    <w:rsid w:val="56C42A1B"/>
    <w:rsid w:val="5E914308"/>
    <w:rsid w:val="5FB46A63"/>
    <w:rsid w:val="634664B1"/>
    <w:rsid w:val="64815B18"/>
    <w:rsid w:val="68544C31"/>
    <w:rsid w:val="6B064B50"/>
    <w:rsid w:val="6D801EB5"/>
    <w:rsid w:val="6E4B7AAF"/>
    <w:rsid w:val="6F9562DC"/>
    <w:rsid w:val="70BA2008"/>
    <w:rsid w:val="7132527D"/>
    <w:rsid w:val="72460EB1"/>
    <w:rsid w:val="731C0313"/>
    <w:rsid w:val="74FD5F1F"/>
    <w:rsid w:val="774D26C8"/>
    <w:rsid w:val="7A910EBE"/>
    <w:rsid w:val="7B2753CB"/>
    <w:rsid w:val="7DC334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6"/>
    <w:qFormat/>
    <w:locked/>
    <w:uiPriority w:val="99"/>
    <w:pPr>
      <w:keepNext/>
      <w:keepLines/>
      <w:spacing w:before="340" w:after="330" w:line="578" w:lineRule="auto"/>
      <w:outlineLvl w:val="0"/>
    </w:pPr>
    <w:rPr>
      <w:rFonts w:ascii="Calibri" w:hAnsi="Calibri" w:eastAsia="宋体" w:cs="Calibri"/>
      <w:b/>
      <w:bCs/>
      <w:kern w:val="44"/>
      <w:sz w:val="44"/>
      <w:szCs w:val="44"/>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4"/>
    <w:qFormat/>
    <w:uiPriority w:val="99"/>
    <w:pPr>
      <w:ind w:firstLine="632" w:firstLineChars="200"/>
    </w:pPr>
  </w:style>
  <w:style w:type="paragraph" w:styleId="4">
    <w:name w:val="Date"/>
    <w:basedOn w:val="1"/>
    <w:next w:val="1"/>
    <w:link w:val="13"/>
    <w:qFormat/>
    <w:uiPriority w:val="99"/>
    <w:pPr>
      <w:ind w:left="100" w:leftChars="2500"/>
    </w:p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99"/>
    <w:rPr>
      <w:rFonts w:cs="Times New Roman"/>
    </w:rPr>
  </w:style>
  <w:style w:type="character" w:styleId="9">
    <w:name w:val="Hyperlink"/>
    <w:qFormat/>
    <w:uiPriority w:val="99"/>
    <w:rPr>
      <w:rFonts w:cs="Times New Roman"/>
      <w:color w:val="0000FF"/>
      <w:u w:val="single"/>
    </w:rPr>
  </w:style>
  <w:style w:type="character" w:customStyle="1" w:styleId="11">
    <w:name w:val="页眉 Char"/>
    <w:link w:val="6"/>
    <w:semiHidden/>
    <w:qFormat/>
    <w:uiPriority w:val="99"/>
    <w:rPr>
      <w:rFonts w:eastAsia="仿宋_GB2312"/>
      <w:sz w:val="18"/>
      <w:szCs w:val="18"/>
    </w:rPr>
  </w:style>
  <w:style w:type="character" w:customStyle="1" w:styleId="12">
    <w:name w:val="页脚 Char"/>
    <w:link w:val="5"/>
    <w:semiHidden/>
    <w:qFormat/>
    <w:uiPriority w:val="99"/>
    <w:rPr>
      <w:rFonts w:eastAsia="仿宋_GB2312"/>
      <w:sz w:val="18"/>
      <w:szCs w:val="18"/>
    </w:rPr>
  </w:style>
  <w:style w:type="character" w:customStyle="1" w:styleId="13">
    <w:name w:val="日期 Char"/>
    <w:link w:val="4"/>
    <w:semiHidden/>
    <w:qFormat/>
    <w:uiPriority w:val="99"/>
    <w:rPr>
      <w:rFonts w:eastAsia="仿宋_GB2312"/>
      <w:sz w:val="32"/>
      <w:szCs w:val="20"/>
    </w:rPr>
  </w:style>
  <w:style w:type="character" w:customStyle="1" w:styleId="14">
    <w:name w:val="正文文本缩进 Char"/>
    <w:link w:val="3"/>
    <w:semiHidden/>
    <w:qFormat/>
    <w:uiPriority w:val="99"/>
    <w:rPr>
      <w:rFonts w:eastAsia="仿宋_GB2312"/>
      <w:sz w:val="32"/>
      <w:szCs w:val="20"/>
    </w:rPr>
  </w:style>
  <w:style w:type="paragraph" w:customStyle="1" w:styleId="15">
    <w:name w:val="Char Char Char Char Char Char"/>
    <w:basedOn w:val="1"/>
    <w:qFormat/>
    <w:uiPriority w:val="99"/>
    <w:pPr>
      <w:adjustRightInd w:val="0"/>
    </w:pPr>
    <w:rPr>
      <w:rFonts w:ascii="Tahoma" w:hAnsi="Tahoma" w:eastAsia="宋体"/>
      <w:sz w:val="24"/>
    </w:rPr>
  </w:style>
  <w:style w:type="character" w:customStyle="1" w:styleId="16">
    <w:name w:val="标题 1 Char"/>
    <w:link w:val="2"/>
    <w:qFormat/>
    <w:uiPriority w:val="99"/>
    <w:rPr>
      <w:rFonts w:ascii="Calibri" w:hAnsi="Calibri" w:cs="Calibri"/>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10</Pages>
  <Words>355</Words>
  <Characters>2026</Characters>
  <Lines>16</Lines>
  <Paragraphs>4</Paragraphs>
  <TotalTime>12</TotalTime>
  <ScaleCrop>false</ScaleCrop>
  <LinksUpToDate>false</LinksUpToDate>
  <CharactersWithSpaces>2377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Administrator</cp:lastModifiedBy>
  <cp:lastPrinted>2021-08-23T05:13:04Z</cp:lastPrinted>
  <dcterms:modified xsi:type="dcterms:W3CDTF">2021-08-23T05:21:11Z</dcterms:modified>
  <dc:title>益财会〔2002〕4号</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KSOSaveFontToCloudKey">
    <vt:lpwstr>235295794_cloud</vt:lpwstr>
  </property>
</Properties>
</file>