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简体" w:cs="方正小标宋简体"/>
          <w:color w:val="000000"/>
          <w:spacing w:val="-20"/>
          <w:sz w:val="44"/>
          <w:szCs w:val="44"/>
        </w:rPr>
      </w:pPr>
      <w:bookmarkStart w:id="0" w:name="_Toc15014_WPSOffice_Level1"/>
    </w:p>
    <w:p>
      <w:pPr>
        <w:keepNext w:val="0"/>
        <w:keepLines w:val="0"/>
        <w:pageBreakBefore w:val="0"/>
        <w:kinsoku/>
        <w:wordWrap/>
        <w:overflowPunct/>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中国共产党昆明市东川区委员会政法委员会2020年度</w:t>
      </w:r>
      <w:bookmarkEnd w:id="0"/>
      <w:bookmarkStart w:id="1" w:name="_Toc17148_WPSOffice_Level1"/>
      <w:r>
        <w:rPr>
          <w:rFonts w:hint="eastAsia" w:ascii="Times New Roman" w:hAnsi="Times New Roman" w:eastAsia="方正小标宋简体" w:cs="方正小标宋简体"/>
          <w:sz w:val="44"/>
          <w:szCs w:val="44"/>
        </w:rPr>
        <w:t>扫黑除恶专项斗争工作项目支出绩效评价报告</w:t>
      </w:r>
      <w:bookmarkEnd w:id="1"/>
    </w:p>
    <w:p>
      <w:pPr>
        <w:keepNext w:val="0"/>
        <w:keepLines w:val="0"/>
        <w:pageBreakBefore w:val="0"/>
        <w:kinsoku/>
        <w:wordWrap/>
        <w:overflowPunct/>
        <w:autoSpaceDE/>
        <w:autoSpaceDN/>
        <w:bidi w:val="0"/>
        <w:adjustRightInd/>
        <w:snapToGrid/>
        <w:spacing w:line="560" w:lineRule="exact"/>
        <w:rPr>
          <w:rFonts w:ascii="Times New Roman" w:hAnsi="Times New Roman"/>
        </w:rPr>
      </w:pP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黑体"/>
          <w:szCs w:val="32"/>
        </w:rPr>
      </w:pPr>
      <w:r>
        <w:rPr>
          <w:rFonts w:hint="eastAsia" w:ascii="Times New Roman" w:hAnsi="Times New Roman"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（一）项目概况</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szCs w:val="32"/>
        </w:rPr>
        <w:t>1.立项背景及目的</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cs="仿宋_GB2312"/>
          <w:color w:val="000000"/>
          <w:szCs w:val="32"/>
          <w:lang w:eastAsia="zh-CN"/>
        </w:rPr>
        <w:t>根据省、市、区扫黑除恶专项斗争工作相关</w:t>
      </w:r>
      <w:r>
        <w:rPr>
          <w:rFonts w:hint="eastAsia" w:ascii="Times New Roman" w:hAnsi="Times New Roman" w:cs="仿宋_GB2312"/>
          <w:color w:val="000000"/>
          <w:szCs w:val="32"/>
        </w:rPr>
        <w:t>文件要求</w:t>
      </w:r>
      <w:r>
        <w:rPr>
          <w:rFonts w:hint="eastAsia" w:ascii="Times New Roman" w:hAnsi="Times New Roman" w:cs="仿宋_GB2312"/>
          <w:color w:val="000000"/>
          <w:szCs w:val="32"/>
          <w:lang w:eastAsia="zh-CN"/>
        </w:rPr>
        <w:t>，深入开展扫黑除恶专项斗争工作，目的为</w:t>
      </w:r>
      <w:r>
        <w:rPr>
          <w:rFonts w:hint="eastAsia" w:ascii="Times New Roman" w:hAnsi="Times New Roman" w:cs="仿宋_GB2312"/>
          <w:color w:val="000000"/>
          <w:szCs w:val="32"/>
        </w:rPr>
        <w:t>大力维护全区社会大局稳定，实现东川区长治久安、社会经济持续快速发展、人民群众满意，让群众安全感明显增强，对社会治安的满意率明显提高</w:t>
      </w:r>
      <w:r>
        <w:rPr>
          <w:rFonts w:hint="eastAsia" w:ascii="Times New Roman" w:hAnsi="Times New Roman" w:cs="仿宋_GB2312"/>
          <w:color w:val="000000"/>
          <w:szCs w:val="32"/>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szCs w:val="32"/>
        </w:rPr>
        <w:t>2.项目实施情况</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cs="仿宋_GB2312"/>
          <w:color w:val="000000"/>
          <w:szCs w:val="32"/>
        </w:rPr>
        <w:t>东川区扫黑除恶专项斗争工作专项经费</w:t>
      </w:r>
      <w:r>
        <w:rPr>
          <w:rFonts w:hint="eastAsia" w:ascii="Times New Roman" w:hAnsi="Times New Roman"/>
          <w:color w:val="000000"/>
          <w:szCs w:val="32"/>
        </w:rPr>
        <w:t>项目由区财政下拨</w:t>
      </w:r>
      <w:r>
        <w:rPr>
          <w:rFonts w:hint="eastAsia" w:ascii="Times New Roman" w:hAnsi="Times New Roman" w:cs="仿宋_GB2312"/>
          <w:color w:val="000000"/>
          <w:szCs w:val="32"/>
        </w:rPr>
        <w:t>，</w:t>
      </w:r>
      <w:r>
        <w:rPr>
          <w:rFonts w:hint="eastAsia" w:ascii="Times New Roman" w:hAnsi="Times New Roman"/>
          <w:color w:val="000000"/>
          <w:szCs w:val="32"/>
        </w:rPr>
        <w:t>为确保</w:t>
      </w:r>
      <w:r>
        <w:rPr>
          <w:rFonts w:hint="eastAsia" w:ascii="Times New Roman" w:hAnsi="Times New Roman" w:cs="仿宋_GB2312"/>
          <w:color w:val="000000"/>
          <w:szCs w:val="32"/>
          <w:lang w:eastAsia="zh-CN"/>
        </w:rPr>
        <w:t>扫黑除恶专项斗争</w:t>
      </w:r>
      <w:r>
        <w:rPr>
          <w:rFonts w:hint="eastAsia" w:ascii="Times New Roman" w:hAnsi="Times New Roman"/>
          <w:color w:val="000000"/>
          <w:szCs w:val="32"/>
        </w:rPr>
        <w:t>有序开展，</w:t>
      </w:r>
      <w:r>
        <w:rPr>
          <w:rFonts w:hint="eastAsia" w:ascii="Times New Roman" w:hAnsi="Times New Roman" w:cs="仿宋_GB2312"/>
          <w:color w:val="000000"/>
          <w:szCs w:val="32"/>
        </w:rPr>
        <w:t>扫黑除恶专项斗争工作专项经费</w:t>
      </w:r>
      <w:r>
        <w:rPr>
          <w:rFonts w:hint="eastAsia" w:ascii="Times New Roman" w:hAnsi="Times New Roman"/>
          <w:color w:val="000000"/>
          <w:szCs w:val="32"/>
        </w:rPr>
        <w:t>由区委政法委</w:t>
      </w:r>
      <w:r>
        <w:rPr>
          <w:rFonts w:hint="eastAsia" w:ascii="Times New Roman" w:hAnsi="Times New Roman"/>
          <w:color w:val="000000"/>
          <w:szCs w:val="32"/>
          <w:lang w:eastAsia="zh-CN"/>
        </w:rPr>
        <w:t>统筹实施。</w:t>
      </w:r>
    </w:p>
    <w:p>
      <w:pPr>
        <w:keepNext w:val="0"/>
        <w:keepLines w:val="0"/>
        <w:pageBreakBefore w:val="0"/>
        <w:numPr>
          <w:ilvl w:val="0"/>
          <w:numId w:val="0"/>
        </w:numPr>
        <w:kinsoku/>
        <w:wordWrap/>
        <w:overflow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szCs w:val="32"/>
          <w:lang w:val="en-US" w:eastAsia="zh-CN"/>
        </w:rPr>
        <w:t>3.</w:t>
      </w:r>
      <w:r>
        <w:rPr>
          <w:rFonts w:hint="eastAsia" w:ascii="Times New Roman" w:hAnsi="Times New Roman"/>
          <w:szCs w:val="32"/>
        </w:rPr>
        <w:t>资金来源及使用情况</w:t>
      </w:r>
    </w:p>
    <w:p>
      <w:pPr>
        <w:keepNext w:val="0"/>
        <w:keepLines w:val="0"/>
        <w:pageBreakBefore w:val="0"/>
        <w:numPr>
          <w:ilvl w:val="0"/>
          <w:numId w:val="0"/>
        </w:numPr>
        <w:kinsoku/>
        <w:wordWrap/>
        <w:overflowPunct/>
        <w:autoSpaceDE/>
        <w:autoSpaceDN/>
        <w:bidi w:val="0"/>
        <w:adjustRightInd/>
        <w:snapToGrid/>
        <w:spacing w:line="560" w:lineRule="exact"/>
        <w:ind w:firstLine="632" w:firstLineChars="200"/>
        <w:rPr>
          <w:rFonts w:hint="eastAsia" w:ascii="Times New Roman" w:hAnsi="Times New Roman"/>
          <w:color w:val="000000"/>
          <w:szCs w:val="32"/>
          <w:lang w:val="en-US" w:eastAsia="zh-CN"/>
        </w:rPr>
      </w:pPr>
      <w:r>
        <w:rPr>
          <w:rFonts w:hint="eastAsia" w:ascii="Times New Roman" w:hAnsi="Times New Roman" w:cs="仿宋_GB2312"/>
          <w:color w:val="000000"/>
          <w:szCs w:val="32"/>
        </w:rPr>
        <w:t>截至2020年12月31日，中国共产党昆明市东川区委员会政法委员会</w:t>
      </w:r>
      <w:r>
        <w:rPr>
          <w:rFonts w:hint="eastAsia" w:ascii="Times New Roman" w:hAnsi="Times New Roman" w:cs="仿宋_GB2312"/>
          <w:color w:val="000000"/>
          <w:szCs w:val="32"/>
          <w:lang w:val="en-US" w:eastAsia="zh-CN"/>
        </w:rPr>
        <w:t>2020</w:t>
      </w:r>
      <w:r>
        <w:rPr>
          <w:rFonts w:hint="eastAsia" w:ascii="Times New Roman" w:hAnsi="Times New Roman" w:cs="仿宋_GB2312"/>
          <w:color w:val="000000"/>
          <w:szCs w:val="32"/>
        </w:rPr>
        <w:t>年扫黑除恶专项斗争</w:t>
      </w:r>
      <w:r>
        <w:rPr>
          <w:rFonts w:hint="eastAsia" w:ascii="Times New Roman" w:hAnsi="Times New Roman" w:cs="仿宋_GB2312"/>
          <w:color w:val="000000"/>
          <w:szCs w:val="32"/>
          <w:lang w:eastAsia="zh-CN"/>
        </w:rPr>
        <w:t>工作</w:t>
      </w:r>
      <w:r>
        <w:rPr>
          <w:rFonts w:hint="eastAsia" w:ascii="Times New Roman" w:hAnsi="Times New Roman" w:cs="仿宋_GB2312"/>
          <w:color w:val="000000"/>
          <w:szCs w:val="32"/>
        </w:rPr>
        <w:t>经费项目年初预算资金10万元，</w:t>
      </w:r>
      <w:r>
        <w:rPr>
          <w:rFonts w:hint="eastAsia" w:ascii="Times New Roman" w:hAnsi="Times New Roman"/>
          <w:color w:val="000000"/>
          <w:szCs w:val="32"/>
        </w:rPr>
        <w:t>财政拨入经费</w:t>
      </w:r>
      <w:r>
        <w:rPr>
          <w:rFonts w:hint="eastAsia" w:ascii="Times New Roman" w:hAnsi="Times New Roman" w:cs="仿宋_GB2312"/>
          <w:color w:val="000000"/>
          <w:szCs w:val="32"/>
        </w:rPr>
        <w:t>10万元</w:t>
      </w:r>
      <w:r>
        <w:rPr>
          <w:rFonts w:hint="eastAsia" w:ascii="Times New Roman" w:hAnsi="Times New Roman"/>
          <w:color w:val="000000"/>
          <w:szCs w:val="32"/>
        </w:rPr>
        <w:t>，</w:t>
      </w:r>
      <w:r>
        <w:rPr>
          <w:rFonts w:hint="eastAsia" w:ascii="Times New Roman" w:hAnsi="Times New Roman"/>
          <w:color w:val="000000"/>
          <w:szCs w:val="32"/>
          <w:lang w:eastAsia="zh-CN"/>
        </w:rPr>
        <w:t>支出</w:t>
      </w:r>
      <w:r>
        <w:rPr>
          <w:rFonts w:hint="eastAsia" w:ascii="Times New Roman" w:hAnsi="Times New Roman"/>
          <w:color w:val="000000"/>
          <w:szCs w:val="32"/>
          <w:lang w:val="en-US" w:eastAsia="zh-CN"/>
        </w:rPr>
        <w:t>10万元，主要用于扫黑除恶宣传工作支出。</w:t>
      </w:r>
    </w:p>
    <w:p>
      <w:pPr>
        <w:keepNext w:val="0"/>
        <w:keepLines w:val="0"/>
        <w:pageBreakBefore w:val="0"/>
        <w:numPr>
          <w:ilvl w:val="0"/>
          <w:numId w:val="0"/>
        </w:numPr>
        <w:kinsoku/>
        <w:wordWrap/>
        <w:overflow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szCs w:val="32"/>
          <w:lang w:val="en-US" w:eastAsia="zh-CN"/>
        </w:rPr>
        <w:t>4.</w:t>
      </w:r>
      <w:r>
        <w:rPr>
          <w:rFonts w:hint="eastAsia" w:ascii="Times New Roman" w:hAnsi="Times New Roman"/>
          <w:szCs w:val="32"/>
        </w:rPr>
        <w:t>组织及管理情况</w:t>
      </w:r>
    </w:p>
    <w:p>
      <w:pPr>
        <w:keepNext w:val="0"/>
        <w:keepLines w:val="0"/>
        <w:pageBreakBefore w:val="0"/>
        <w:kinsoku/>
        <w:wordWrap/>
        <w:overflow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s="仿宋_GB2312"/>
          <w:color w:val="000000"/>
          <w:szCs w:val="32"/>
        </w:rPr>
        <w:t>中国共产党昆明市东川区委员会政法委员会</w:t>
      </w:r>
      <w:r>
        <w:rPr>
          <w:rFonts w:hint="eastAsia" w:ascii="Times New Roman" w:hAnsi="Times New Roman"/>
          <w:color w:val="000000"/>
          <w:szCs w:val="32"/>
        </w:rPr>
        <w:t>项目类经费由区级财政下拨</w:t>
      </w:r>
      <w:r>
        <w:rPr>
          <w:rFonts w:hint="eastAsia" w:ascii="Times New Roman" w:hAnsi="Times New Roman" w:cs="仿宋_GB2312"/>
          <w:color w:val="000000"/>
          <w:szCs w:val="32"/>
        </w:rPr>
        <w:t>，</w:t>
      </w:r>
      <w:r>
        <w:rPr>
          <w:rFonts w:hint="eastAsia" w:ascii="Times New Roman" w:hAnsi="Times New Roman"/>
          <w:color w:val="000000"/>
          <w:szCs w:val="32"/>
        </w:rPr>
        <w:t>为确保扫黑除恶专项斗争有序开展，由区委政法委书记古鹏任领导小组办公室主任，负责专项斗争工作的统筹协调。为确保专项行动顺利开展，财政拨入经费10万元，由区委政法委统筹</w:t>
      </w:r>
      <w:r>
        <w:rPr>
          <w:rFonts w:hint="eastAsia" w:ascii="Times New Roman" w:hAnsi="Times New Roman"/>
          <w:color w:val="000000"/>
          <w:szCs w:val="32"/>
          <w:lang w:eastAsia="zh-CN"/>
        </w:rPr>
        <w:t>支出</w:t>
      </w:r>
      <w:r>
        <w:rPr>
          <w:rFonts w:hint="eastAsia" w:ascii="Times New Roman" w:hAnsi="Times New Roman"/>
          <w:color w:val="000000"/>
          <w:szCs w:val="32"/>
        </w:rPr>
        <w:t>。</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（二）绩效目标</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szCs w:val="32"/>
        </w:rPr>
        <w:t>1.总目标</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仿宋_GB2312"/>
          <w:color w:val="000000"/>
          <w:szCs w:val="32"/>
          <w:lang w:val="en-US" w:eastAsia="zh-CN"/>
        </w:rPr>
      </w:pPr>
      <w:r>
        <w:rPr>
          <w:rFonts w:hint="eastAsia" w:ascii="Times New Roman" w:hAnsi="Times New Roman"/>
          <w:color w:val="000000"/>
          <w:szCs w:val="32"/>
        </w:rPr>
        <w:t>大力维护全区社会大局稳定，实现东川区长治久安、社会经济持续快速发展、人民群众满意，让群众安全感明显增强，对社会治安的满意率明显提高，确保东川经济高质量稳定发展</w:t>
      </w:r>
      <w:r>
        <w:rPr>
          <w:rFonts w:hint="eastAsia" w:ascii="Times New Roman" w:hAnsi="Times New Roman"/>
          <w:color w:val="000000"/>
          <w:szCs w:val="32"/>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ascii="Times New Roman" w:hAnsi="Times New Roman"/>
          <w:szCs w:val="32"/>
        </w:rPr>
      </w:pPr>
      <w:r>
        <w:rPr>
          <w:rFonts w:hint="eastAsia" w:ascii="Times New Roman" w:hAnsi="Times New Roman"/>
          <w:szCs w:val="32"/>
        </w:rPr>
        <w:t>2.年度目标</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color w:val="000000"/>
          <w:szCs w:val="32"/>
          <w:lang w:eastAsia="zh-CN"/>
        </w:rPr>
      </w:pPr>
      <w:r>
        <w:rPr>
          <w:rFonts w:hint="eastAsia" w:ascii="Times New Roman" w:hAnsi="Times New Roman"/>
          <w:color w:val="000000"/>
          <w:szCs w:val="32"/>
        </w:rPr>
        <w:t>中国共产党昆明市东川区委员会政法委员会紧紧围绕工作职能，为全区经济发展保驾护航</w:t>
      </w:r>
      <w:r>
        <w:rPr>
          <w:rFonts w:hint="eastAsia" w:ascii="Times New Roman" w:hAnsi="Times New Roman"/>
          <w:color w:val="000000"/>
          <w:szCs w:val="32"/>
          <w:lang w:eastAsia="zh-CN"/>
        </w:rPr>
        <w:t>，</w:t>
      </w:r>
      <w:r>
        <w:rPr>
          <w:rFonts w:hint="eastAsia" w:ascii="Times New Roman" w:hAnsi="Times New Roman"/>
          <w:color w:val="000000"/>
          <w:szCs w:val="32"/>
        </w:rPr>
        <w:t>确保东川经济高质量稳定发展</w:t>
      </w:r>
      <w:r>
        <w:rPr>
          <w:rFonts w:hint="eastAsia" w:ascii="Times New Roman" w:hAnsi="Times New Roman"/>
          <w:color w:val="000000"/>
          <w:szCs w:val="32"/>
          <w:lang w:eastAsia="zh-CN"/>
        </w:rPr>
        <w:t>。</w:t>
      </w:r>
      <w:r>
        <w:rPr>
          <w:rFonts w:hint="eastAsia" w:ascii="Times New Roman" w:hAnsi="Times New Roman"/>
          <w:color w:val="000000"/>
          <w:szCs w:val="32"/>
        </w:rPr>
        <w:t>人民群众满意，让群众安全感明显增强，对社会治安的满意率明显提高</w:t>
      </w:r>
      <w:r>
        <w:rPr>
          <w:rFonts w:hint="eastAsia" w:ascii="Times New Roman" w:hAnsi="Times New Roman"/>
          <w:color w:val="000000"/>
          <w:szCs w:val="32"/>
          <w:lang w:eastAsia="zh-CN"/>
        </w:rPr>
        <w:t>，</w:t>
      </w:r>
      <w:r>
        <w:rPr>
          <w:rFonts w:hint="eastAsia" w:ascii="Times New Roman" w:hAnsi="Times New Roman"/>
          <w:color w:val="000000"/>
          <w:szCs w:val="32"/>
        </w:rPr>
        <w:t>实现东川区长治久安、社会经济持续快速发展、人民群众满意，让群众安全感明显增强，对社会治安的满意率明显提高</w:t>
      </w:r>
      <w:r>
        <w:rPr>
          <w:rFonts w:hint="eastAsia" w:ascii="Times New Roman" w:hAnsi="Times New Roman"/>
          <w:color w:val="000000"/>
          <w:szCs w:val="32"/>
          <w:lang w:eastAsia="zh-CN"/>
        </w:rPr>
        <w:t>。</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黑体"/>
          <w:szCs w:val="32"/>
        </w:rPr>
      </w:pPr>
      <w:r>
        <w:rPr>
          <w:rFonts w:hint="eastAsia" w:ascii="Times New Roman" w:hAnsi="Times New Roman" w:eastAsia="黑体"/>
          <w:szCs w:val="32"/>
        </w:rPr>
        <w:t>二、绩效评价工作情况</w:t>
      </w:r>
    </w:p>
    <w:p>
      <w:pPr>
        <w:keepNext w:val="0"/>
        <w:keepLines w:val="0"/>
        <w:pageBreakBefore w:val="0"/>
        <w:kinsoku/>
        <w:wordWrap/>
        <w:overflowPunct/>
        <w:topLinePunct/>
        <w:autoSpaceDE/>
        <w:autoSpaceDN/>
        <w:bidi w:val="0"/>
        <w:adjustRightInd/>
        <w:snapToGrid/>
        <w:spacing w:line="560" w:lineRule="exact"/>
        <w:ind w:firstLine="790" w:firstLineChars="250"/>
        <w:rPr>
          <w:rFonts w:hint="eastAsia" w:ascii="Times New Roman" w:hAnsi="Times New Roman" w:eastAsia="楷体_GB2312" w:cs="楷体_GB2312"/>
          <w:szCs w:val="32"/>
        </w:rPr>
      </w:pPr>
      <w:r>
        <w:rPr>
          <w:rFonts w:hint="eastAsia" w:ascii="Times New Roman" w:hAnsi="Times New Roman" w:eastAsia="楷体_GB2312" w:cs="楷体_GB2312"/>
          <w:szCs w:val="32"/>
        </w:rPr>
        <w:t>（一）绩效评价目的</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szCs w:val="32"/>
        </w:rPr>
      </w:pPr>
      <w:r>
        <w:rPr>
          <w:rFonts w:hint="eastAsia" w:ascii="Times New Roman" w:hAnsi="Times New Roman"/>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overflowPunct/>
        <w:topLinePunct/>
        <w:autoSpaceDE/>
        <w:autoSpaceDN/>
        <w:bidi w:val="0"/>
        <w:adjustRightInd/>
        <w:snapToGrid/>
        <w:spacing w:line="560" w:lineRule="exact"/>
        <w:ind w:firstLine="790" w:firstLineChars="250"/>
        <w:rPr>
          <w:rFonts w:hint="eastAsia" w:ascii="Times New Roman" w:hAnsi="Times New Roman" w:eastAsia="楷体_GB2312" w:cs="楷体_GB2312"/>
          <w:szCs w:val="32"/>
        </w:rPr>
      </w:pPr>
      <w:r>
        <w:rPr>
          <w:rFonts w:hint="eastAsia" w:ascii="Times New Roman" w:hAnsi="Times New Roman" w:eastAsia="楷体_GB2312" w:cs="楷体_GB2312"/>
          <w:szCs w:val="32"/>
        </w:rPr>
        <w:t>（二）绩效评价工作方案制定过程</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szCs w:val="32"/>
        </w:rPr>
      </w:pPr>
      <w:r>
        <w:rPr>
          <w:rFonts w:hint="eastAsia" w:ascii="Times New Roman" w:hAnsi="Times New Roman"/>
          <w:szCs w:val="32"/>
        </w:rPr>
        <w:t>1.前期调研</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color w:val="000000"/>
          <w:szCs w:val="32"/>
        </w:rPr>
      </w:pPr>
      <w:r>
        <w:rPr>
          <w:rFonts w:hint="eastAsia" w:ascii="Times New Roman" w:hAnsi="Times New Roman" w:cs="仿宋_GB2312"/>
          <w:color w:val="000000"/>
          <w:szCs w:val="32"/>
        </w:rPr>
        <w:t>中国共产党昆明市东川区委员会政法委员会</w:t>
      </w:r>
      <w:r>
        <w:rPr>
          <w:rFonts w:hint="eastAsia" w:ascii="Times New Roman" w:hAnsi="Times New Roman"/>
          <w:color w:val="000000"/>
          <w:szCs w:val="32"/>
        </w:rPr>
        <w:t>成立绩效评价工作小组，对本单位的项目报送情况进行</w:t>
      </w:r>
      <w:r>
        <w:rPr>
          <w:rFonts w:hint="eastAsia" w:ascii="Times New Roman" w:hAnsi="Times New Roman" w:cs="Times New Roman"/>
          <w:color w:val="000000"/>
          <w:szCs w:val="32"/>
        </w:rPr>
        <w:t>整理，结合掌握情况，</w:t>
      </w:r>
      <w:r>
        <w:rPr>
          <w:rFonts w:hint="eastAsia" w:ascii="Times New Roman" w:hAnsi="Times New Roman"/>
          <w:color w:val="000000"/>
          <w:szCs w:val="32"/>
        </w:rPr>
        <w:t>对报送的项目实施情况进行调研分析、核查落实，在核查无误的情况下进行汇总，为绩效评价工作奠定基础。</w:t>
      </w:r>
    </w:p>
    <w:p>
      <w:pPr>
        <w:keepNext w:val="0"/>
        <w:keepLines w:val="0"/>
        <w:pageBreakBefore w:val="0"/>
        <w:kinsoku/>
        <w:wordWrap/>
        <w:overflowPunct/>
        <w:autoSpaceDE/>
        <w:autoSpaceDN/>
        <w:bidi w:val="0"/>
        <w:adjustRightInd/>
        <w:snapToGrid/>
        <w:spacing w:line="560" w:lineRule="exact"/>
        <w:ind w:firstLine="632" w:firstLineChars="200"/>
        <w:jc w:val="left"/>
        <w:rPr>
          <w:rFonts w:ascii="Times New Roman" w:hAnsi="Times New Roman"/>
          <w:szCs w:val="32"/>
        </w:rPr>
      </w:pPr>
      <w:r>
        <w:rPr>
          <w:rFonts w:hint="eastAsia" w:ascii="Times New Roman" w:hAnsi="Times New Roman"/>
          <w:szCs w:val="32"/>
        </w:rPr>
        <w:t>2.研究文件</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szCs w:val="32"/>
        </w:rPr>
      </w:pPr>
      <w:r>
        <w:rPr>
          <w:rFonts w:hint="eastAsia" w:ascii="Times New Roman" w:hAnsi="Times New Roman" w:cs="仿宋_GB2312"/>
          <w:szCs w:val="32"/>
        </w:rPr>
        <w:t>中国共产党昆明市东川区委员会政法委员会</w:t>
      </w:r>
      <w:r>
        <w:rPr>
          <w:rFonts w:hint="eastAsia" w:ascii="Times New Roman" w:hAnsi="Times New Roman"/>
          <w:color w:val="000000" w:themeColor="text1"/>
          <w:szCs w:val="32"/>
          <w:highlight w:val="none"/>
          <w14:textFill>
            <w14:solidFill>
              <w14:schemeClr w14:val="tx1"/>
            </w14:solidFill>
          </w14:textFill>
        </w:rPr>
        <w:t>根据《中华人民共和国预算法》，按照</w:t>
      </w:r>
      <w:r>
        <w:rPr>
          <w:rFonts w:hint="eastAsia" w:ascii="Times New Roman" w:hAnsi="Times New Roman" w:eastAsia="仿宋_GB2312" w:cs="仿宋_GB2312"/>
          <w:sz w:val="32"/>
          <w:szCs w:val="32"/>
          <w:highlight w:val="none"/>
          <w:lang w:eastAsia="zh-CN"/>
        </w:rPr>
        <w:t>《项目支出绩效评价管理办法》（</w:t>
      </w:r>
      <w:r>
        <w:rPr>
          <w:rFonts w:hint="eastAsia" w:ascii="Times New Roman" w:hAnsi="Times New Roman" w:eastAsia="仿宋_GB2312" w:cs="仿宋_GB2312"/>
          <w:sz w:val="32"/>
          <w:szCs w:val="32"/>
          <w:lang w:eastAsia="zh-CN"/>
        </w:rPr>
        <w:t>财预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10号）</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东川区财政局</w:t>
      </w:r>
      <w:r>
        <w:rPr>
          <w:rFonts w:hint="eastAsia" w:ascii="Times New Roman" w:hAnsi="Times New Roman" w:eastAsia="仿宋_GB2312" w:cs="仿宋_GB2312"/>
          <w:sz w:val="32"/>
          <w:szCs w:val="32"/>
          <w:lang w:val="en-US" w:eastAsia="zh-CN"/>
        </w:rPr>
        <w:t>关于开展东川区2020年度绩效自评工作的通知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东</w:t>
      </w:r>
      <w:r>
        <w:rPr>
          <w:rFonts w:hint="eastAsia" w:ascii="Times New Roman" w:hAnsi="Times New Roman" w:eastAsia="仿宋_GB2312" w:cs="仿宋_GB2312"/>
          <w:sz w:val="32"/>
          <w:szCs w:val="32"/>
          <w:lang w:eastAsia="zh-CN"/>
        </w:rPr>
        <w:t>财绩</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号）</w:t>
      </w:r>
      <w:r>
        <w:rPr>
          <w:rFonts w:hint="eastAsia" w:ascii="Times New Roman" w:hAnsi="Times New Roman"/>
          <w:color w:val="000000" w:themeColor="text1"/>
          <w:szCs w:val="32"/>
          <w:highlight w:val="none"/>
          <w:lang w:eastAsia="zh-CN"/>
          <w14:textFill>
            <w14:solidFill>
              <w14:schemeClr w14:val="tx1"/>
            </w14:solidFill>
          </w14:textFill>
        </w:rPr>
        <w:t>文件</w:t>
      </w:r>
      <w:r>
        <w:rPr>
          <w:rFonts w:hint="eastAsia" w:ascii="Times New Roman" w:hAnsi="Times New Roman"/>
          <w:color w:val="000000" w:themeColor="text1"/>
          <w:szCs w:val="32"/>
          <w:highlight w:val="none"/>
          <w14:textFill>
            <w14:solidFill>
              <w14:schemeClr w14:val="tx1"/>
            </w14:solidFill>
          </w14:textFill>
        </w:rPr>
        <w:t>要求</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并查看</w:t>
      </w:r>
      <w:r>
        <w:rPr>
          <w:rFonts w:hint="eastAsia" w:ascii="Times New Roman" w:hAnsi="Times New Roman"/>
          <w:color w:val="000000" w:themeColor="text1"/>
          <w:szCs w:val="32"/>
          <w:highlight w:val="none"/>
          <w:lang w:eastAsia="zh-CN"/>
          <w14:textFill>
            <w14:solidFill>
              <w14:schemeClr w14:val="tx1"/>
            </w14:solidFill>
          </w14:textFill>
        </w:rPr>
        <w:t>单位</w:t>
      </w:r>
      <w:r>
        <w:rPr>
          <w:rFonts w:hint="eastAsia" w:ascii="Times New Roman" w:hAnsi="Times New Roman"/>
          <w:color w:val="000000" w:themeColor="text1"/>
          <w:szCs w:val="32"/>
          <w:highlight w:val="none"/>
          <w14:textFill>
            <w14:solidFill>
              <w14:schemeClr w14:val="tx1"/>
            </w14:solidFill>
          </w14:textFill>
        </w:rPr>
        <w:t>年度工作任务目标，专项资金项目</w:t>
      </w:r>
      <w:r>
        <w:rPr>
          <w:rFonts w:hint="eastAsia" w:ascii="Times New Roman" w:hAnsi="Times New Roman"/>
          <w:color w:val="000000" w:themeColor="text1"/>
          <w:szCs w:val="32"/>
          <w:highlight w:val="none"/>
          <w:lang w:eastAsia="zh-CN"/>
          <w14:textFill>
            <w14:solidFill>
              <w14:schemeClr w14:val="tx1"/>
            </w14:solidFill>
          </w14:textFill>
        </w:rPr>
        <w:t>，</w:t>
      </w:r>
      <w:r>
        <w:rPr>
          <w:rFonts w:hint="eastAsia" w:ascii="Times New Roman" w:hAnsi="Times New Roman"/>
          <w:color w:val="000000" w:themeColor="text1"/>
          <w:szCs w:val="32"/>
          <w:highlight w:val="none"/>
          <w14:textFill>
            <w14:solidFill>
              <w14:schemeClr w14:val="tx1"/>
            </w14:solidFill>
          </w14:textFill>
        </w:rPr>
        <w:t>绩效目标申报表，为开展绩效评价工作奠定基础。</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szCs w:val="32"/>
        </w:rPr>
        <w:t>3.绩效评价指标体系及工作方案的设计</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（1）绩效评价指标体系</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（2）工作方案</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szCs w:val="32"/>
        </w:rPr>
      </w:pPr>
      <w:r>
        <w:rPr>
          <w:rFonts w:hint="eastAsia" w:ascii="Times New Roman" w:hAnsi="Times New Roman"/>
          <w:color w:val="000000"/>
          <w:szCs w:val="32"/>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（三）绩效评价原则、评价方法</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ascii="Times New Roman" w:hAnsi="Times New Roman"/>
          <w:color w:val="000000"/>
          <w:szCs w:val="32"/>
        </w:rPr>
      </w:pPr>
      <w:bookmarkStart w:id="2" w:name="_Toc13043_WPSOffice_Level3"/>
      <w:bookmarkStart w:id="3" w:name="_Toc6299"/>
      <w:bookmarkStart w:id="4" w:name="_Toc15295"/>
      <w:r>
        <w:rPr>
          <w:rFonts w:hint="eastAsia" w:ascii="Times New Roman" w:hAnsi="Times New Roman"/>
          <w:color w:val="000000"/>
          <w:szCs w:val="32"/>
        </w:rPr>
        <w:t>1.绩效评价原则</w:t>
      </w:r>
      <w:bookmarkEnd w:id="2"/>
      <w:bookmarkEnd w:id="3"/>
      <w:bookmarkEnd w:id="4"/>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（1）经济性、效率性和有效性原则；</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（2）经济效益、社会效益和生态环境效益原则；</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（3）财政支出和产出绩效对应原则；</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（4）定量分析与定性分析相结合原则。</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ascii="Times New Roman" w:hAnsi="Times New Roman"/>
          <w:color w:val="000000"/>
          <w:szCs w:val="32"/>
        </w:rPr>
      </w:pPr>
      <w:bookmarkStart w:id="5" w:name="_Toc923_WPSOffice_Level3"/>
      <w:bookmarkStart w:id="6" w:name="_Toc32224"/>
      <w:bookmarkStart w:id="7" w:name="_Toc24976"/>
      <w:r>
        <w:rPr>
          <w:rFonts w:hint="eastAsia" w:ascii="Times New Roman" w:hAnsi="Times New Roman"/>
          <w:color w:val="000000"/>
          <w:szCs w:val="32"/>
        </w:rPr>
        <w:t>2.绩效评价方法</w:t>
      </w:r>
      <w:bookmarkEnd w:id="5"/>
      <w:bookmarkEnd w:id="6"/>
      <w:bookmarkEnd w:id="7"/>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s="仿宋_GB2312"/>
          <w:color w:val="000000"/>
          <w:szCs w:val="32"/>
        </w:rPr>
        <w:t>中国共产党昆明市东川区委员会政法委员会</w:t>
      </w:r>
      <w:r>
        <w:rPr>
          <w:rFonts w:hint="eastAsia" w:ascii="Times New Roman" w:hAnsi="Times New Roman"/>
          <w:color w:val="000000" w:themeColor="text1"/>
          <w:szCs w:val="32"/>
          <w:highlight w:val="none"/>
          <w14:textFill>
            <w14:solidFill>
              <w14:schemeClr w14:val="tx1"/>
            </w14:solidFill>
          </w14:textFill>
        </w:rPr>
        <w:t>根据《中华人民共和国预算法》，按照</w:t>
      </w:r>
      <w:r>
        <w:rPr>
          <w:rFonts w:hint="eastAsia" w:ascii="Times New Roman" w:hAnsi="Times New Roman" w:eastAsia="仿宋_GB2312" w:cs="仿宋_GB2312"/>
          <w:sz w:val="32"/>
          <w:szCs w:val="32"/>
          <w:highlight w:val="none"/>
          <w:lang w:eastAsia="zh-CN"/>
        </w:rPr>
        <w:t>《项目支出绩效评价管理办法》（</w:t>
      </w:r>
      <w:r>
        <w:rPr>
          <w:rFonts w:hint="eastAsia" w:ascii="Times New Roman" w:hAnsi="Times New Roman" w:eastAsia="仿宋_GB2312" w:cs="仿宋_GB2312"/>
          <w:sz w:val="32"/>
          <w:szCs w:val="32"/>
          <w:lang w:eastAsia="zh-CN"/>
        </w:rPr>
        <w:t>财预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2020</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10号）</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东川区财政局</w:t>
      </w:r>
      <w:r>
        <w:rPr>
          <w:rFonts w:hint="eastAsia" w:ascii="Times New Roman" w:hAnsi="Times New Roman" w:eastAsia="仿宋_GB2312" w:cs="仿宋_GB2312"/>
          <w:sz w:val="32"/>
          <w:szCs w:val="32"/>
          <w:lang w:val="en-US" w:eastAsia="zh-CN"/>
        </w:rPr>
        <w:t>关于开展东川区2020年度绩效自评工作的通知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东</w:t>
      </w:r>
      <w:r>
        <w:rPr>
          <w:rFonts w:hint="eastAsia" w:ascii="Times New Roman" w:hAnsi="Times New Roman" w:eastAsia="仿宋_GB2312" w:cs="仿宋_GB2312"/>
          <w:sz w:val="32"/>
          <w:szCs w:val="32"/>
          <w:lang w:eastAsia="zh-CN"/>
        </w:rPr>
        <w:t>财绩</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号）</w:t>
      </w:r>
      <w:r>
        <w:rPr>
          <w:rFonts w:hint="eastAsia" w:ascii="Times New Roman" w:hAnsi="Times New Roman"/>
          <w:color w:val="000000" w:themeColor="text1"/>
          <w:szCs w:val="32"/>
          <w:highlight w:val="none"/>
          <w:lang w:eastAsia="zh-CN"/>
          <w14:textFill>
            <w14:solidFill>
              <w14:schemeClr w14:val="tx1"/>
            </w14:solidFill>
          </w14:textFill>
        </w:rPr>
        <w:t>文件</w:t>
      </w:r>
      <w:r>
        <w:rPr>
          <w:rFonts w:hint="eastAsia" w:ascii="Times New Roman" w:hAnsi="Times New Roman"/>
          <w:color w:val="000000" w:themeColor="text1"/>
          <w:szCs w:val="32"/>
          <w:highlight w:val="none"/>
          <w14:textFill>
            <w14:solidFill>
              <w14:schemeClr w14:val="tx1"/>
            </w14:solidFill>
          </w14:textFill>
        </w:rPr>
        <w:t>要求</w:t>
      </w:r>
      <w:r>
        <w:rPr>
          <w:rFonts w:hint="eastAsia" w:ascii="Times New Roman" w:hAnsi="Times New Roman"/>
          <w:color w:val="000000"/>
          <w:szCs w:val="32"/>
        </w:rPr>
        <w:t>，</w:t>
      </w:r>
      <w:r>
        <w:rPr>
          <w:rFonts w:hint="eastAsia" w:ascii="Times New Roman" w:hAnsi="Times New Roman" w:cs="仿宋_GB2312"/>
          <w:color w:val="000000"/>
          <w:szCs w:val="32"/>
        </w:rPr>
        <w:t>采用定量分析与定性分析相结合、运用比较分析的办法，对部门规划、项目立项、管理制度、绩效指标、预算执行、资金使用、项目监管、绩效目标的完成情况及产生效果进行评价。</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（四）绩效评价实施过程</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ascii="Times New Roman" w:hAnsi="Times New Roman"/>
          <w:color w:val="000000"/>
          <w:szCs w:val="32"/>
        </w:rPr>
      </w:pPr>
      <w:bookmarkStart w:id="8" w:name="_Toc29169"/>
      <w:bookmarkStart w:id="9" w:name="_Toc25031"/>
      <w:bookmarkStart w:id="10" w:name="_Toc15041_WPSOffice_Level3"/>
      <w:r>
        <w:rPr>
          <w:rFonts w:hint="eastAsia" w:ascii="Times New Roman" w:hAnsi="Times New Roman"/>
          <w:color w:val="000000"/>
          <w:szCs w:val="32"/>
        </w:rPr>
        <w:t>1.数据填报和采集</w:t>
      </w:r>
      <w:bookmarkEnd w:id="8"/>
      <w:bookmarkEnd w:id="9"/>
      <w:bookmarkEnd w:id="10"/>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本次绩效评价数据来源于预算批复及明细、部门决算报表、绩效目标申报表、绩效目标完成情况、部门年度工作总结，基础数据台账，根据以上资料进行分析汇总，形成绩效自评报告的基础数据。</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outlineLvl w:val="2"/>
        <w:rPr>
          <w:rFonts w:ascii="Times New Roman" w:hAnsi="Times New Roman"/>
          <w:color w:val="000000"/>
          <w:szCs w:val="32"/>
        </w:rPr>
      </w:pPr>
      <w:bookmarkStart w:id="11" w:name="_Toc5280_WPSOffice_Level3"/>
      <w:bookmarkStart w:id="12" w:name="_Toc17260"/>
      <w:bookmarkStart w:id="13" w:name="_Toc32454"/>
      <w:r>
        <w:rPr>
          <w:rFonts w:hint="eastAsia" w:ascii="Times New Roman" w:hAnsi="Times New Roman"/>
          <w:color w:val="000000"/>
          <w:szCs w:val="32"/>
          <w:lang w:val="en-US" w:eastAsia="zh-CN"/>
        </w:rPr>
        <w:t>2.</w:t>
      </w:r>
      <w:r>
        <w:rPr>
          <w:rFonts w:hint="eastAsia" w:ascii="Times New Roman" w:hAnsi="Times New Roman"/>
          <w:color w:val="000000"/>
          <w:szCs w:val="32"/>
        </w:rPr>
        <w:t>社会调查</w:t>
      </w:r>
      <w:bookmarkEnd w:id="11"/>
      <w:bookmarkEnd w:id="12"/>
      <w:bookmarkEnd w:id="13"/>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s="仿宋_GB2312"/>
          <w:color w:val="000000"/>
          <w:szCs w:val="32"/>
        </w:rPr>
        <w:t>中国共产党昆明市东川区委员会政法委员会</w:t>
      </w:r>
      <w:r>
        <w:rPr>
          <w:rFonts w:hint="eastAsia" w:ascii="Times New Roman" w:hAnsi="Times New Roman"/>
          <w:color w:val="000000"/>
          <w:szCs w:val="32"/>
        </w:rPr>
        <w:t>绩效评价工作小组根据项目的开展情况，设计相关的调查问卷，对社会公众对象进行满意度调查，并对调查结果进行统计分析，形成社会调查问卷分析报告。</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outlineLvl w:val="2"/>
        <w:rPr>
          <w:rFonts w:ascii="Times New Roman" w:hAnsi="Times New Roman"/>
          <w:color w:val="000000"/>
          <w:szCs w:val="32"/>
        </w:rPr>
      </w:pPr>
      <w:bookmarkStart w:id="14" w:name="_Toc22779_WPSOffice_Level3"/>
      <w:bookmarkStart w:id="15" w:name="_Toc27606"/>
      <w:bookmarkStart w:id="16" w:name="_Toc12388"/>
      <w:r>
        <w:rPr>
          <w:rFonts w:hint="eastAsia" w:ascii="Times New Roman" w:hAnsi="Times New Roman"/>
          <w:color w:val="000000"/>
          <w:szCs w:val="32"/>
          <w:lang w:val="en-US" w:eastAsia="zh-CN"/>
        </w:rPr>
        <w:t>3.</w:t>
      </w:r>
      <w:r>
        <w:rPr>
          <w:rFonts w:hint="eastAsia" w:ascii="Times New Roman" w:hAnsi="Times New Roman"/>
          <w:color w:val="000000"/>
          <w:szCs w:val="32"/>
        </w:rPr>
        <w:t>数据分析和撰写报告</w:t>
      </w:r>
      <w:bookmarkEnd w:id="14"/>
      <w:bookmarkEnd w:id="15"/>
      <w:bookmarkEnd w:id="16"/>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根据要求，</w:t>
      </w:r>
      <w:r>
        <w:rPr>
          <w:rFonts w:hint="eastAsia" w:ascii="Times New Roman" w:hAnsi="Times New Roman" w:cs="仿宋_GB2312"/>
          <w:color w:val="000000"/>
          <w:szCs w:val="32"/>
        </w:rPr>
        <w:t>中国共产党昆明市东川区委员会政法委员会</w:t>
      </w:r>
      <w:r>
        <w:rPr>
          <w:rFonts w:hint="eastAsia" w:ascii="Times New Roman" w:hAnsi="Times New Roman"/>
          <w:color w:val="000000"/>
          <w:szCs w:val="32"/>
        </w:rPr>
        <w:t>对区级2020年度年初预算批复的项目支出资金从项目决策、项目管理、项目绩效（包括产出和效益）三个方面进行评价，得出评价结论及得分，撰写绩效自评报告。</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项目管理方面，主要是资金投入和使用情况、</w:t>
      </w:r>
      <w:r>
        <w:rPr>
          <w:rFonts w:hint="eastAsia" w:ascii="Times New Roman" w:hAnsi="Times New Roman"/>
          <w:color w:val="000000"/>
          <w:szCs w:val="32"/>
          <w:lang w:eastAsia="zh-CN"/>
        </w:rPr>
        <w:t>为</w:t>
      </w:r>
      <w:r>
        <w:rPr>
          <w:rFonts w:hint="eastAsia" w:ascii="Times New Roman" w:hAnsi="Times New Roman"/>
          <w:color w:val="000000"/>
          <w:szCs w:val="32"/>
        </w:rPr>
        <w:t>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olor w:val="000000"/>
          <w:szCs w:val="32"/>
        </w:rPr>
      </w:pPr>
      <w:r>
        <w:rPr>
          <w:rFonts w:hint="eastAsia" w:ascii="Times New Roman" w:hAnsi="Times New Roman"/>
          <w:color w:val="000000"/>
          <w:szCs w:val="32"/>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kinsoku/>
        <w:wordWrap/>
        <w:overflow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（五）本次绩效评价的局限性</w:t>
      </w:r>
    </w:p>
    <w:p>
      <w:pPr>
        <w:keepNext w:val="0"/>
        <w:keepLines w:val="0"/>
        <w:pageBreakBefore w:val="0"/>
        <w:kinsoku/>
        <w:wordWrap/>
        <w:overflow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rPr>
        <w:t>由于本次绩效评价为自评，时间及获取资料有限，往往带有一定的主观性。</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黑体"/>
          <w:szCs w:val="32"/>
        </w:rPr>
      </w:pPr>
      <w:r>
        <w:rPr>
          <w:rFonts w:hint="eastAsia" w:ascii="Times New Roman" w:hAnsi="Times New Roman" w:eastAsia="黑体"/>
          <w:szCs w:val="32"/>
        </w:rPr>
        <w:t>三、评价结论和绩效分析</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rPr>
        <w:t>（一）评价结论</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ascii="Times New Roman" w:hAnsi="Times New Roman" w:cs="仿宋_GB2312"/>
          <w:color w:val="000000"/>
          <w:szCs w:val="32"/>
        </w:rPr>
      </w:pPr>
      <w:r>
        <w:rPr>
          <w:rFonts w:hint="eastAsia" w:ascii="Times New Roman" w:hAnsi="Times New Roman" w:cs="仿宋_GB2312"/>
          <w:color w:val="000000"/>
          <w:szCs w:val="32"/>
        </w:rPr>
        <w:t>1.评价结果</w:t>
      </w:r>
    </w:p>
    <w:p>
      <w:pPr>
        <w:keepNext w:val="0"/>
        <w:keepLines w:val="0"/>
        <w:pageBreakBefore w:val="0"/>
        <w:kinsoku/>
        <w:wordWrap/>
        <w:overflow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rPr>
        <w:t>经评价，东川区扫黑除恶专项斗争工作专项经费</w:t>
      </w:r>
      <w:r>
        <w:rPr>
          <w:rFonts w:hint="eastAsia" w:ascii="Times New Roman" w:hAnsi="Times New Roman"/>
          <w:color w:val="000000"/>
          <w:szCs w:val="32"/>
        </w:rPr>
        <w:t>项目</w:t>
      </w:r>
      <w:r>
        <w:rPr>
          <w:rFonts w:hint="eastAsia" w:ascii="Times New Roman" w:hAnsi="Times New Roman" w:cs="仿宋_GB2312"/>
          <w:color w:val="000000"/>
          <w:szCs w:val="32"/>
        </w:rPr>
        <w:t>预算支出绩效自评得分:100分，评价等级为“优”。</w:t>
      </w:r>
    </w:p>
    <w:p>
      <w:pPr>
        <w:keepNext w:val="0"/>
        <w:keepLines w:val="0"/>
        <w:pageBreakBefore w:val="0"/>
        <w:kinsoku/>
        <w:wordWrap/>
        <w:overflowPunct/>
        <w:topLinePunct/>
        <w:autoSpaceDE/>
        <w:autoSpaceDN/>
        <w:bidi w:val="0"/>
        <w:adjustRightInd/>
        <w:snapToGrid/>
        <w:spacing w:line="560" w:lineRule="exact"/>
        <w:ind w:firstLine="632" w:firstLineChars="200"/>
        <w:outlineLvl w:val="2"/>
        <w:rPr>
          <w:rFonts w:hint="eastAsia" w:ascii="Times New Roman" w:hAnsi="Times New Roman" w:cs="仿宋_GB2312"/>
          <w:color w:val="000000"/>
          <w:szCs w:val="32"/>
        </w:rPr>
      </w:pPr>
      <w:r>
        <w:rPr>
          <w:rFonts w:hint="eastAsia" w:ascii="Times New Roman" w:hAnsi="Times New Roman" w:cs="仿宋_GB2312"/>
          <w:color w:val="000000"/>
          <w:szCs w:val="32"/>
          <w:lang w:val="en-US" w:eastAsia="zh-CN"/>
        </w:rPr>
        <w:t>2.</w:t>
      </w:r>
      <w:r>
        <w:rPr>
          <w:rFonts w:hint="eastAsia" w:ascii="Times New Roman" w:hAnsi="Times New Roman" w:cs="仿宋_GB2312"/>
          <w:color w:val="000000"/>
          <w:szCs w:val="32"/>
        </w:rPr>
        <w:t>主要绩效</w:t>
      </w:r>
    </w:p>
    <w:p>
      <w:pPr>
        <w:keepNext w:val="0"/>
        <w:keepLines w:val="0"/>
        <w:pageBreakBefore w:val="0"/>
        <w:kinsoku/>
        <w:wordWrap/>
        <w:overflowPunct/>
        <w:autoSpaceDE/>
        <w:autoSpaceDN/>
        <w:bidi w:val="0"/>
        <w:adjustRightInd/>
        <w:snapToGrid/>
        <w:spacing w:line="560" w:lineRule="exact"/>
        <w:rPr>
          <w:rFonts w:hint="eastAsia" w:ascii="Times New Roman" w:hAnsi="Times New Roman"/>
        </w:rPr>
      </w:pPr>
    </w:p>
    <w:tbl>
      <w:tblPr>
        <w:tblStyle w:val="11"/>
        <w:tblW w:w="8820" w:type="dxa"/>
        <w:jc w:val="center"/>
        <w:tblInd w:w="0" w:type="dxa"/>
        <w:tblLayout w:type="fixed"/>
        <w:tblCellMar>
          <w:top w:w="15" w:type="dxa"/>
          <w:left w:w="15" w:type="dxa"/>
          <w:bottom w:w="15" w:type="dxa"/>
          <w:right w:w="15" w:type="dxa"/>
        </w:tblCellMar>
      </w:tblPr>
      <w:tblGrid>
        <w:gridCol w:w="1035"/>
        <w:gridCol w:w="1395"/>
        <w:gridCol w:w="5595"/>
        <w:gridCol w:w="795"/>
      </w:tblGrid>
      <w:tr>
        <w:tblPrEx>
          <w:tblLayout w:type="fixed"/>
        </w:tblPrEx>
        <w:trPr>
          <w:trHeight w:val="28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hint="eastAsia" w:ascii="Times New Roman" w:hAnsi="Times New Roman" w:eastAsia="黑体" w:cs="黑体"/>
                <w:b w:val="0"/>
                <w:bCs/>
                <w:color w:val="000000"/>
                <w:sz w:val="24"/>
                <w:szCs w:val="24"/>
              </w:rPr>
            </w:pPr>
            <w:r>
              <w:rPr>
                <w:rFonts w:hint="eastAsia" w:ascii="Times New Roman" w:hAnsi="Times New Roman" w:eastAsia="黑体" w:cs="黑体"/>
                <w:b w:val="0"/>
                <w:bCs/>
                <w:color w:val="000000"/>
                <w:kern w:val="0"/>
                <w:sz w:val="24"/>
                <w:szCs w:val="24"/>
                <w:lang w:bidi="ar"/>
              </w:rPr>
              <w:t>实施单位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hint="eastAsia" w:ascii="Times New Roman" w:hAnsi="Times New Roman" w:eastAsia="黑体" w:cs="黑体"/>
                <w:b w:val="0"/>
                <w:bCs/>
                <w:color w:val="000000"/>
                <w:sz w:val="24"/>
                <w:szCs w:val="24"/>
              </w:rPr>
            </w:pPr>
            <w:r>
              <w:rPr>
                <w:rFonts w:hint="eastAsia" w:ascii="Times New Roman" w:hAnsi="Times New Roman" w:eastAsia="黑体" w:cs="黑体"/>
                <w:b w:val="0"/>
                <w:bCs/>
                <w:color w:val="000000"/>
                <w:kern w:val="0"/>
                <w:sz w:val="24"/>
                <w:szCs w:val="24"/>
                <w:lang w:bidi="ar"/>
              </w:rPr>
              <w:t>项目名称</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hint="eastAsia" w:ascii="Times New Roman" w:hAnsi="Times New Roman" w:eastAsia="黑体" w:cs="黑体"/>
                <w:b w:val="0"/>
                <w:bCs/>
                <w:color w:val="000000"/>
                <w:sz w:val="24"/>
                <w:szCs w:val="24"/>
              </w:rPr>
            </w:pPr>
            <w:r>
              <w:rPr>
                <w:rFonts w:hint="eastAsia" w:ascii="Times New Roman" w:hAnsi="Times New Roman" w:eastAsia="黑体" w:cs="黑体"/>
                <w:b w:val="0"/>
                <w:bCs/>
                <w:color w:val="000000"/>
                <w:kern w:val="0"/>
                <w:sz w:val="24"/>
                <w:szCs w:val="24"/>
                <w:lang w:bidi="ar"/>
              </w:rPr>
              <w:t>年度目标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hint="eastAsia" w:ascii="Times New Roman" w:hAnsi="Times New Roman" w:eastAsia="黑体" w:cs="黑体"/>
                <w:b w:val="0"/>
                <w:bCs/>
                <w:color w:val="000000"/>
                <w:sz w:val="24"/>
                <w:szCs w:val="24"/>
              </w:rPr>
            </w:pPr>
            <w:r>
              <w:rPr>
                <w:rFonts w:hint="eastAsia" w:ascii="Times New Roman" w:hAnsi="Times New Roman" w:eastAsia="黑体" w:cs="黑体"/>
                <w:b w:val="0"/>
                <w:bCs/>
                <w:color w:val="000000"/>
                <w:kern w:val="0"/>
                <w:sz w:val="24"/>
                <w:szCs w:val="24"/>
                <w:lang w:bidi="ar"/>
              </w:rPr>
              <w:t>完成情况</w:t>
            </w:r>
          </w:p>
        </w:tc>
      </w:tr>
      <w:tr>
        <w:tblPrEx>
          <w:tblLayout w:type="fixed"/>
        </w:tblPrEx>
        <w:trPr>
          <w:trHeight w:val="420"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昆明市东川区委政法委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为全区经济发展保驾护航</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确保东川经济高质量稳定发展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完成</w:t>
            </w:r>
          </w:p>
        </w:tc>
      </w:tr>
      <w:tr>
        <w:tblPrEx>
          <w:tblLayout w:type="fixed"/>
          <w:tblCellMar>
            <w:top w:w="15" w:type="dxa"/>
            <w:left w:w="15" w:type="dxa"/>
            <w:bottom w:w="15" w:type="dxa"/>
            <w:right w:w="15" w:type="dxa"/>
          </w:tblCellMar>
        </w:tblPrEx>
        <w:trPr>
          <w:trHeight w:val="42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人民群众满意，让群众安全感明显增强，对社会治安的满意率明显提高</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实现东川区长治久安、社会经济持续快速发展、人民群众满意，让群众安全感明显增强，对社会治安的满意率明显提高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s="仿宋_GB2312"/>
                <w:color w:val="000000"/>
                <w:kern w:val="0"/>
                <w:sz w:val="24"/>
                <w:szCs w:val="24"/>
                <w:lang w:bidi="ar"/>
              </w:rPr>
              <w:t>完成</w:t>
            </w:r>
          </w:p>
        </w:tc>
      </w:tr>
    </w:tbl>
    <w:p>
      <w:pPr>
        <w:keepNext w:val="0"/>
        <w:keepLines w:val="0"/>
        <w:pageBreakBefore w:val="0"/>
        <w:kinsoku/>
        <w:wordWrap/>
        <w:overflowPunct/>
        <w:autoSpaceDE/>
        <w:autoSpaceDN/>
        <w:bidi w:val="0"/>
        <w:adjustRightInd/>
        <w:snapToGrid/>
        <w:spacing w:line="560" w:lineRule="exact"/>
        <w:rPr>
          <w:rFonts w:hint="eastAsia" w:ascii="Times New Roman" w:hAnsi="Times New Roman"/>
          <w:lang w:eastAsia="zh-CN"/>
        </w:rPr>
      </w:pPr>
    </w:p>
    <w:p>
      <w:pPr>
        <w:keepNext w:val="0"/>
        <w:keepLines w:val="0"/>
        <w:pageBreakBefore w:val="0"/>
        <w:numPr>
          <w:ilvl w:val="0"/>
          <w:numId w:val="0"/>
        </w:numPr>
        <w:tabs>
          <w:tab w:val="left" w:pos="1318"/>
        </w:tabs>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szCs w:val="32"/>
        </w:rPr>
      </w:pPr>
      <w:r>
        <w:rPr>
          <w:rFonts w:hint="eastAsia" w:ascii="Times New Roman" w:hAnsi="Times New Roman" w:eastAsia="楷体_GB2312" w:cs="楷体_GB2312"/>
          <w:szCs w:val="32"/>
          <w:lang w:eastAsia="zh-CN"/>
        </w:rPr>
        <w:t>（二）</w:t>
      </w:r>
      <w:r>
        <w:rPr>
          <w:rFonts w:hint="eastAsia" w:ascii="Times New Roman" w:hAnsi="Times New Roman" w:eastAsia="楷体_GB2312" w:cs="楷体_GB2312"/>
          <w:szCs w:val="32"/>
        </w:rPr>
        <w:t>具体绩效分析</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rPr>
          <w:rFonts w:hint="eastAsia" w:ascii="黑体" w:hAnsi="黑体" w:eastAsia="黑体" w:cs="黑体"/>
          <w:b w:val="0"/>
          <w:bCs w:val="0"/>
          <w:color w:val="000000"/>
          <w:szCs w:val="32"/>
        </w:rPr>
      </w:pPr>
      <w:r>
        <w:rPr>
          <w:rFonts w:hint="eastAsia" w:ascii="Times New Roman" w:hAnsi="Times New Roman" w:cs="仿宋_GB2312"/>
          <w:color w:val="000000"/>
          <w:szCs w:val="32"/>
        </w:rPr>
        <w:t>项目绩效部分的指标体系、具体绩效及得分情况如下：</w:t>
      </w:r>
    </w:p>
    <w:tbl>
      <w:tblPr>
        <w:tblStyle w:val="11"/>
        <w:tblpPr w:leftFromText="180" w:rightFromText="180" w:vertAnchor="text" w:horzAnchor="page" w:tblpXSpec="center" w:tblpY="1186"/>
        <w:tblOverlap w:val="never"/>
        <w:tblW w:w="8717" w:type="dxa"/>
        <w:jc w:val="center"/>
        <w:tblInd w:w="0" w:type="dxa"/>
        <w:tblLayout w:type="fixed"/>
        <w:tblCellMar>
          <w:top w:w="15" w:type="dxa"/>
          <w:left w:w="15" w:type="dxa"/>
          <w:bottom w:w="15" w:type="dxa"/>
          <w:right w:w="15" w:type="dxa"/>
        </w:tblCellMar>
      </w:tblPr>
      <w:tblGrid>
        <w:gridCol w:w="625"/>
        <w:gridCol w:w="727"/>
        <w:gridCol w:w="906"/>
        <w:gridCol w:w="862"/>
        <w:gridCol w:w="512"/>
        <w:gridCol w:w="525"/>
        <w:gridCol w:w="2092"/>
        <w:gridCol w:w="1215"/>
        <w:gridCol w:w="1253"/>
      </w:tblGrid>
      <w:tr>
        <w:tblPrEx>
          <w:tblLayout w:type="fixed"/>
          <w:tblCellMar>
            <w:top w:w="15" w:type="dxa"/>
            <w:left w:w="15" w:type="dxa"/>
            <w:bottom w:w="15" w:type="dxa"/>
            <w:right w:w="15" w:type="dxa"/>
          </w:tblCellMar>
        </w:tblPrEx>
        <w:trPr>
          <w:trHeight w:val="42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一级指标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二级指标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三级指标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四级指标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分值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得分</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指标解释</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评分标准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hint="eastAsia" w:ascii="黑体" w:hAnsi="黑体" w:eastAsia="黑体" w:cs="黑体"/>
                <w:b w:val="0"/>
                <w:bCs w:val="0"/>
                <w:color w:val="000000"/>
                <w:sz w:val="18"/>
                <w:szCs w:val="18"/>
              </w:rPr>
            </w:pPr>
            <w:r>
              <w:rPr>
                <w:rFonts w:hint="eastAsia" w:ascii="黑体" w:hAnsi="黑体" w:eastAsia="黑体" w:cs="黑体"/>
                <w:b w:val="0"/>
                <w:bCs w:val="0"/>
                <w:color w:val="000000"/>
                <w:sz w:val="18"/>
                <w:szCs w:val="18"/>
              </w:rPr>
              <w:t>数据来源</w:t>
            </w:r>
          </w:p>
        </w:tc>
      </w:tr>
      <w:tr>
        <w:tblPrEx>
          <w:tblLayout w:type="fixed"/>
          <w:tblCellMar>
            <w:top w:w="15" w:type="dxa"/>
            <w:left w:w="15" w:type="dxa"/>
            <w:bottom w:w="15" w:type="dxa"/>
            <w:right w:w="15" w:type="dxa"/>
          </w:tblCellMar>
        </w:tblPrEx>
        <w:trPr>
          <w:trHeight w:val="84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A.项目决策（20%）</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A1.项目立项（8%）</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A11.与部门中长期规划目标适应性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A111.与部门中长期规划目标匹配性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考察项目与部门中长期目标是否匹配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匹配，得满分；不匹配，不得分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部门中长期规划目标</w:t>
            </w:r>
          </w:p>
        </w:tc>
      </w:tr>
      <w:tr>
        <w:tblPrEx>
          <w:tblLayout w:type="fixed"/>
          <w:tblCellMar>
            <w:top w:w="15" w:type="dxa"/>
            <w:left w:w="15" w:type="dxa"/>
            <w:bottom w:w="15" w:type="dxa"/>
            <w:right w:w="15" w:type="dxa"/>
          </w:tblCellMar>
        </w:tblPrEx>
        <w:trPr>
          <w:trHeight w:val="84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A12.立项依据充分性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A121.与市政府相关规划、决策匹配性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考察项目是否符合市政府相关发展规划和政府决策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符合，得满分；不符合，不得分。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市政府相关规划、决策、批复</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A122.与部门职责适应性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考察项目是否与部门职责密切相关。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部门职责文件</w:t>
            </w:r>
          </w:p>
        </w:tc>
      </w:tr>
      <w:tr>
        <w:tblPrEx>
          <w:tblLayout w:type="fixed"/>
          <w:tblCellMar>
            <w:top w:w="15" w:type="dxa"/>
            <w:left w:w="15" w:type="dxa"/>
            <w:bottom w:w="15" w:type="dxa"/>
            <w:right w:w="15" w:type="dxa"/>
          </w:tblCellMar>
        </w:tblPrEx>
        <w:trPr>
          <w:trHeight w:val="4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A13.项目立项规范性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A131.前期调研情况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考察项目立项是否经过前期调研。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调研报告</w:t>
            </w:r>
          </w:p>
        </w:tc>
      </w:tr>
      <w:tr>
        <w:tblPrEx>
          <w:tblLayout w:type="fixed"/>
          <w:tblCellMar>
            <w:top w:w="15" w:type="dxa"/>
            <w:left w:w="15" w:type="dxa"/>
            <w:bottom w:w="15" w:type="dxa"/>
            <w:right w:w="15" w:type="dxa"/>
          </w:tblCellMar>
        </w:tblPrEx>
        <w:trPr>
          <w:trHeight w:val="4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A132.立项程序规范性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考察项目的申请、设立过程是否符合相关要求。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立项申请、批复文件</w:t>
            </w:r>
          </w:p>
        </w:tc>
      </w:tr>
      <w:tr>
        <w:tblPrEx>
          <w:tblLayout w:type="fixed"/>
          <w:tblCellMar>
            <w:top w:w="15" w:type="dxa"/>
            <w:left w:w="15" w:type="dxa"/>
            <w:bottom w:w="15" w:type="dxa"/>
            <w:right w:w="15" w:type="dxa"/>
          </w:tblCellMar>
        </w:tblPrEx>
        <w:trPr>
          <w:trHeight w:val="4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A2.项目目标（12%）</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A21.绩效目标设定的合理性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A211.绩效目标相关性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考察设定的绩效目标是否与事业发展规划相关。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绩效目标申报表、部门规划、年度工作目标</w:t>
            </w:r>
          </w:p>
        </w:tc>
      </w:tr>
      <w:tr>
        <w:tblPrEx>
          <w:tblLayout w:type="fixed"/>
          <w:tblCellMar>
            <w:top w:w="15" w:type="dxa"/>
            <w:left w:w="15" w:type="dxa"/>
            <w:bottom w:w="15" w:type="dxa"/>
            <w:right w:w="15" w:type="dxa"/>
          </w:tblCellMar>
        </w:tblPrEx>
        <w:trPr>
          <w:trHeight w:val="4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A212.绩效目标完整性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考察设定的绩效目标是否完整地反应预期产出和效果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绩效目标申报表、年度工作目标、立项申请、批复文件</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A213.目标与预算的匹配性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考察设定的绩效目标是否与年度预算相匹配。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绩效目标申报表、立项申请、批复文件</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A22.绩效指标设定的明确性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A221.指标细化分解情况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考察是否将绩效目标细化分解为清晰、可衡量的绩效指标。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绩效目标申报表、立项申请、批复文件</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A222.指标与目标的匹配性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3</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考察设定的绩效指标是否与年度工作任务相对应。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是，得满分；否，不得分。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绩效目标申报表、年度工作任务</w:t>
            </w:r>
          </w:p>
        </w:tc>
      </w:tr>
      <w:tr>
        <w:tblPrEx>
          <w:tblLayout w:type="fixed"/>
          <w:tblCellMar>
            <w:top w:w="15" w:type="dxa"/>
            <w:left w:w="15" w:type="dxa"/>
            <w:bottom w:w="15" w:type="dxa"/>
            <w:right w:w="15" w:type="dxa"/>
          </w:tblCellMar>
        </w:tblPrEx>
        <w:trPr>
          <w:trHeight w:val="63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B.项目管理（20%）</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highlight w:val="none"/>
              </w:rPr>
            </w:pPr>
            <w:r>
              <w:rPr>
                <w:rFonts w:hint="eastAsia" w:ascii="Times New Roman" w:hAnsi="Times New Roman"/>
                <w:color w:val="000000"/>
                <w:sz w:val="18"/>
                <w:szCs w:val="18"/>
                <w:highlight w:val="none"/>
              </w:rPr>
              <w:t>B1.投入管理（4%）</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highlight w:val="none"/>
              </w:rPr>
            </w:pPr>
            <w:r>
              <w:rPr>
                <w:rFonts w:hint="eastAsia" w:ascii="Times New Roman" w:hAnsi="Times New Roman"/>
                <w:color w:val="000000"/>
                <w:sz w:val="18"/>
                <w:szCs w:val="18"/>
                <w:highlight w:val="none"/>
              </w:rPr>
              <w:t>B11.预算编制合理性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考察预算编制是否充分、合理的预计项目支出并完整反应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合理得满分；存在一项不合理，扣0.5分，扣完为止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预算分析、预算批复</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highlight w:val="none"/>
              </w:rPr>
            </w:pPr>
            <w:r>
              <w:rPr>
                <w:rFonts w:hint="eastAsia" w:ascii="Times New Roman" w:hAnsi="Times New Roman"/>
                <w:color w:val="000000"/>
                <w:sz w:val="18"/>
                <w:szCs w:val="18"/>
                <w:highlight w:val="none"/>
              </w:rPr>
              <w:t>B12.预算调整规范性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考察存在预算调整时是否按照相关规定执行调整程序。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规范，得满分；部分规范，得一分；不规范，不得分。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预算调整文件</w:t>
            </w:r>
          </w:p>
        </w:tc>
      </w:tr>
      <w:tr>
        <w:tblPrEx>
          <w:tblLayout w:type="fixed"/>
          <w:tblCellMar>
            <w:top w:w="15" w:type="dxa"/>
            <w:left w:w="15" w:type="dxa"/>
            <w:bottom w:w="15" w:type="dxa"/>
            <w:right w:w="15" w:type="dxa"/>
          </w:tblCellMar>
        </w:tblPrEx>
        <w:trPr>
          <w:trHeight w:val="105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B13.预算执行率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highlight w:val="yellow"/>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考察项目预算执行的进度。预算执行率=实际支出金额/项目预算金额×100%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预算执行率95%以上，得满分；低于95%，每下降1%扣权重的1%；预算执行率60%以下，不计分。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绩效目标申报表、支付指令、合同、财务凭证</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B2.财务管理（6%）</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B21.资金使用情况</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考察项目资金使用是否符合预算批复的用途，是否存在截留、挤占、挪用、虚列支出等情况。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合规，得满分；存在一项不合规，扣1分，扣完为止。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绩效目标申报表、支付指令，合同、财务凭证</w:t>
            </w:r>
          </w:p>
        </w:tc>
      </w:tr>
      <w:tr>
        <w:tblPrEx>
          <w:tblLayout w:type="fixed"/>
          <w:tblCellMar>
            <w:top w:w="15" w:type="dxa"/>
            <w:left w:w="15" w:type="dxa"/>
            <w:bottom w:w="15" w:type="dxa"/>
            <w:right w:w="15" w:type="dxa"/>
          </w:tblCellMar>
        </w:tblPrEx>
        <w:trPr>
          <w:trHeight w:val="210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B22.财务管理制度健全性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考察项目的财务制度是否健全、完善、有效。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autoSpaceDE/>
              <w:autoSpaceDN/>
              <w:bidi w:val="0"/>
              <w:adjustRightInd/>
              <w:snapToGrid/>
              <w:spacing w:line="560" w:lineRule="exact"/>
              <w:jc w:val="left"/>
              <w:textAlignment w:val="top"/>
              <w:rPr>
                <w:rFonts w:ascii="Times New Roman" w:hAnsi="Times New Roman" w:cs="仿宋_GB2312"/>
                <w:color w:val="000000"/>
                <w:sz w:val="24"/>
                <w:szCs w:val="24"/>
              </w:rPr>
            </w:pPr>
            <w:r>
              <w:rPr>
                <w:rFonts w:hint="eastAsia" w:ascii="Times New Roman" w:hAnsi="Times New Roman"/>
                <w:color w:val="000000"/>
                <w:sz w:val="18"/>
                <w:szCs w:val="18"/>
              </w:rPr>
              <w:t>a.是否已制定或具有相应的财务管理办法；                         b.项目财务管理办法是否符合相关财务会计制度的规定；                                              c.是否存在需要完善的风险控制环节。                            符合所有条件，得满分； 一项不符合，扣1分，扣完为止。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财务管理制度</w:t>
            </w:r>
          </w:p>
        </w:tc>
      </w:tr>
      <w:tr>
        <w:tblPrEx>
          <w:tblLayout w:type="fixed"/>
          <w:tblCellMar>
            <w:top w:w="15" w:type="dxa"/>
            <w:left w:w="15" w:type="dxa"/>
            <w:bottom w:w="15" w:type="dxa"/>
            <w:right w:w="15" w:type="dxa"/>
          </w:tblCellMar>
        </w:tblPrEx>
        <w:trPr>
          <w:trHeight w:val="35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B23.财务监控有效性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B231.资金拨付程序完整性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考察资金拨付是否具有完整的审批程序和手续，是否符合相关制度规定。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资金拨付申请、审批手续完整，得满分；存在一例手续不完整，不得分。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支付申请单、支付指令</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B232财务制度执行有效性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考察是否存在违反相关财务管理制度的情况。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不存在，得满分；存在1例，不得分。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财务管理制度、访谈、会计凭证</w:t>
            </w:r>
          </w:p>
        </w:tc>
      </w:tr>
      <w:tr>
        <w:tblPrEx>
          <w:tblLayout w:type="fixed"/>
          <w:tblCellMar>
            <w:top w:w="15" w:type="dxa"/>
            <w:left w:w="15" w:type="dxa"/>
            <w:bottom w:w="15" w:type="dxa"/>
            <w:right w:w="15" w:type="dxa"/>
          </w:tblCellMar>
        </w:tblPrEx>
        <w:trPr>
          <w:trHeight w:val="105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B3.项目实施（10%）</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B31.项目管理制度健全性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B311.项目实施单位管理制度健全性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项目实施单位为保障项目顺利实施制订的与项目直接相关的业务管理制度是否健全、完善和有效。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制订相关制度或采取措施，得满分；制度不完善或者措施不明确，得权重的60%；没有相关制度或措施，不得分。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项目实施单位管理制度、访谈、现场调查</w:t>
            </w:r>
          </w:p>
        </w:tc>
      </w:tr>
      <w:tr>
        <w:tblPrEx>
          <w:tblLayout w:type="fixed"/>
          <w:tblCellMar>
            <w:top w:w="15" w:type="dxa"/>
            <w:left w:w="15" w:type="dxa"/>
            <w:bottom w:w="15" w:type="dxa"/>
            <w:right w:w="15" w:type="dxa"/>
          </w:tblCellMar>
        </w:tblPrEx>
        <w:trPr>
          <w:trHeight w:val="105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B312.管理方监管措施健全性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考察项目主管部门为保障项目顺利实施采取的监管措施是否明确，是否存在需要完善的风险控制环节。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监管措施明确、完善，得满分；每存在一项需要完善的风险控制点，扣权重的30%，扣完为止。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管理制度、访谈、现场调查</w:t>
            </w:r>
          </w:p>
        </w:tc>
      </w:tr>
      <w:tr>
        <w:tblPrEx>
          <w:tblLayout w:type="fixed"/>
          <w:tblCellMar>
            <w:top w:w="15" w:type="dxa"/>
            <w:left w:w="15" w:type="dxa"/>
            <w:bottom w:w="15" w:type="dxa"/>
            <w:right w:w="15" w:type="dxa"/>
          </w:tblCellMar>
        </w:tblPrEx>
        <w:trPr>
          <w:trHeight w:val="84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B32.项目管理制度执行有效性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B321.项目实施单位管理制度执行情况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考察项目实施单位制订的管理制度是否有效执行。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有效执行，得满分；部分执行，得权重的60%；未执行，不得分。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项目实施单位管理制度、现场调查</w:t>
            </w:r>
          </w:p>
        </w:tc>
      </w:tr>
      <w:tr>
        <w:tblPrEx>
          <w:tblLayout w:type="fixed"/>
          <w:tblCellMar>
            <w:top w:w="15" w:type="dxa"/>
            <w:left w:w="15" w:type="dxa"/>
            <w:bottom w:w="15" w:type="dxa"/>
            <w:right w:w="15" w:type="dxa"/>
          </w:tblCellMar>
        </w:tblPrEx>
        <w:trPr>
          <w:trHeight w:val="84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B322.监管措施执行情况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项目主管部门所制订的监管措施是否有效执行。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有效执行，得满分；部分执行，得权重的60%；未执行，不得分。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管理制度、现场调查</w:t>
            </w:r>
          </w:p>
        </w:tc>
      </w:tr>
      <w:tr>
        <w:tblPrEx>
          <w:tblLayout w:type="fixed"/>
          <w:tblCellMar>
            <w:top w:w="15" w:type="dxa"/>
            <w:left w:w="15" w:type="dxa"/>
            <w:bottom w:w="15" w:type="dxa"/>
            <w:right w:w="15" w:type="dxa"/>
          </w:tblCellMar>
        </w:tblPrEx>
        <w:trPr>
          <w:trHeight w:val="84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B323.合同执行情况</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考察与项目相关的合同是否有效执行。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有效执行，得满分；部分执行，得权重的60%；未执行，不得分。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合同、现场调查</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B324.台账记录规范性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考察项目实施过程中的相关台账记录是否完整，并符合要求。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规范，得满分；部分规范，得权重的60%；不规范，不得分。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台账记录</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B33.政府采购规范性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B331.采购方式合规性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考察采购方式是否符合国家、本市的相关要求。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符合相关要求，得满分；一项不符合，不得分。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政府采购相关材料</w:t>
            </w:r>
          </w:p>
        </w:tc>
      </w:tr>
      <w:tr>
        <w:tblPrEx>
          <w:tblLayout w:type="fixed"/>
          <w:tblCellMar>
            <w:top w:w="15" w:type="dxa"/>
            <w:left w:w="15" w:type="dxa"/>
            <w:bottom w:w="15" w:type="dxa"/>
            <w:right w:w="15" w:type="dxa"/>
          </w:tblCellMar>
        </w:tblPrEx>
        <w:trPr>
          <w:trHeight w:val="63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B332.采购流程规范性</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考察采购流程是否符合相关规定。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符合相关要求，得满分；一项不符合，不得分。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政府采购相关材料</w:t>
            </w:r>
          </w:p>
        </w:tc>
      </w:tr>
      <w:tr>
        <w:tblPrEx>
          <w:tblLayout w:type="fixed"/>
          <w:tblCellMar>
            <w:top w:w="15" w:type="dxa"/>
            <w:left w:w="15" w:type="dxa"/>
            <w:bottom w:w="15" w:type="dxa"/>
            <w:right w:w="15" w:type="dxa"/>
          </w:tblCellMar>
        </w:tblPrEx>
        <w:trPr>
          <w:trHeight w:val="168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C.项目绩效（60%）</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C1.项目产出（30%）</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C11.扫黑除恶经费保障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20"/>
              </w:rPr>
            </w:pPr>
            <w:r>
              <w:rPr>
                <w:rFonts w:hint="eastAsia" w:ascii="Times New Roman" w:hAnsi="Times New Roman"/>
                <w:color w:val="000000"/>
                <w:sz w:val="20"/>
              </w:rPr>
              <w:t>C111扫黑除恶宣传片制作</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20"/>
              </w:rPr>
            </w:pPr>
            <w:r>
              <w:rPr>
                <w:rFonts w:hint="eastAsia" w:ascii="Times New Roman" w:hAnsi="Times New Roman"/>
                <w:color w:val="000000"/>
                <w:sz w:val="20"/>
              </w:rPr>
              <w:t>总结三年来扫黑除恶专项斗争工作，使专项斗争工作常态化。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按照要求完成，得满分；未完成一项的，扣0.5分，扣完为止。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项目计划及实施资料、完成情况</w:t>
            </w:r>
          </w:p>
        </w:tc>
      </w:tr>
      <w:tr>
        <w:tblPrEx>
          <w:tblLayout w:type="fixed"/>
          <w:tblCellMar>
            <w:top w:w="15" w:type="dxa"/>
            <w:left w:w="15" w:type="dxa"/>
            <w:bottom w:w="15" w:type="dxa"/>
            <w:right w:w="15" w:type="dxa"/>
          </w:tblCellMar>
        </w:tblPrEx>
        <w:trPr>
          <w:trHeight w:val="147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20"/>
              </w:rPr>
            </w:pPr>
            <w:r>
              <w:rPr>
                <w:rFonts w:hint="eastAsia" w:ascii="Times New Roman" w:hAnsi="Times New Roman"/>
                <w:color w:val="000000"/>
                <w:sz w:val="20"/>
              </w:rPr>
              <w:t>C11扫黑除恶宣传资料制作</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eastAsia="宋体" w:cs="宋体"/>
                <w:color w:val="000000"/>
                <w:sz w:val="18"/>
                <w:szCs w:val="18"/>
              </w:rPr>
            </w:pPr>
            <w:r>
              <w:rPr>
                <w:rFonts w:hint="eastAsia" w:ascii="Times New Roman" w:hAnsi="Times New Roman"/>
                <w:color w:val="000000"/>
                <w:sz w:val="18"/>
                <w:szCs w:val="18"/>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20"/>
              </w:rPr>
            </w:pPr>
            <w:r>
              <w:rPr>
                <w:rFonts w:hint="eastAsia" w:ascii="Times New Roman" w:hAnsi="Times New Roman"/>
                <w:color w:val="000000"/>
                <w:sz w:val="20"/>
              </w:rPr>
              <w:t>总结三年来扫黑除恶专项斗争工作，使专项斗争工作常态化。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按照要求完成，得满分；未完成一项的，扣0.5分，扣完为止。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color w:val="000000"/>
                <w:sz w:val="18"/>
                <w:szCs w:val="18"/>
              </w:rPr>
            </w:pPr>
            <w:r>
              <w:rPr>
                <w:rFonts w:hint="eastAsia" w:ascii="Times New Roman" w:hAnsi="Times New Roman"/>
                <w:color w:val="000000"/>
                <w:sz w:val="18"/>
                <w:szCs w:val="18"/>
              </w:rPr>
              <w:t>项目计划及实施资料、完成情况</w:t>
            </w:r>
          </w:p>
        </w:tc>
      </w:tr>
      <w:tr>
        <w:tblPrEx>
          <w:tblLayout w:type="fixed"/>
          <w:tblCellMar>
            <w:top w:w="15" w:type="dxa"/>
            <w:left w:w="15" w:type="dxa"/>
            <w:bottom w:w="15" w:type="dxa"/>
            <w:right w:w="15" w:type="dxa"/>
          </w:tblCellMar>
        </w:tblPrEx>
        <w:trPr>
          <w:trHeight w:val="168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C2.项目效益（30%）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C21.社会效益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C211.为全区经济发展保驾护航</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确保东川经济高质量稳定发展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确保东川经济高质量稳定发展</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cs="仿宋_GB2312"/>
                <w:color w:val="000000"/>
                <w:sz w:val="24"/>
                <w:szCs w:val="24"/>
              </w:rPr>
            </w:pPr>
            <w:r>
              <w:rPr>
                <w:rFonts w:hint="eastAsia" w:ascii="Times New Roman" w:hAnsi="Times New Roman"/>
                <w:color w:val="000000"/>
                <w:sz w:val="18"/>
                <w:szCs w:val="18"/>
              </w:rPr>
              <w:t>确保东川经济高质量稳定发展</w:t>
            </w:r>
          </w:p>
        </w:tc>
      </w:tr>
      <w:tr>
        <w:tblPrEx>
          <w:tblLayout w:type="fixed"/>
          <w:tblCellMar>
            <w:top w:w="15" w:type="dxa"/>
            <w:left w:w="15" w:type="dxa"/>
            <w:bottom w:w="15" w:type="dxa"/>
            <w:right w:w="15" w:type="dxa"/>
          </w:tblCellMar>
        </w:tblPrEx>
        <w:trPr>
          <w:trHeight w:val="105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center"/>
              <w:rPr>
                <w:rFonts w:ascii="Times New Roman" w:hAnsi="Times New Roman" w:cs="仿宋_GB2312"/>
                <w:color w:val="000000"/>
                <w:sz w:val="24"/>
                <w:szCs w:val="24"/>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left"/>
              <w:rPr>
                <w:rFonts w:ascii="Times New Roman" w:hAnsi="Times New Roman" w:cs="仿宋_GB2312"/>
                <w:color w:val="000000"/>
                <w:sz w:val="24"/>
                <w:szCs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C22.满意度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C221大力维护全区社会大局稳定，实现东川区长治久安、社会经济持续快速发展、人民群众满意，让群众安全感明显增强，对社会治安的满意率明显提高</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center"/>
              <w:textAlignment w:val="center"/>
              <w:rPr>
                <w:rFonts w:ascii="Times New Roman" w:hAnsi="Times New Roman" w:cs="仿宋_GB2312"/>
                <w:color w:val="000000"/>
                <w:sz w:val="24"/>
                <w:szCs w:val="24"/>
              </w:rPr>
            </w:pPr>
            <w:r>
              <w:rPr>
                <w:rFonts w:hint="eastAsia" w:ascii="Times New Roman" w:hAnsi="Times New Roman"/>
                <w:color w:val="000000"/>
                <w:sz w:val="18"/>
                <w:szCs w:val="18"/>
              </w:rPr>
              <w:t>15</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大力维护全区社会大局稳定，实现东川区长治久安、社会经济持续快速发展、人民群众满意，让群众安全感明显增强，对社会治安的满意率明显提高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问卷调查</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autoSpaceDE/>
              <w:autoSpaceDN/>
              <w:bidi w:val="0"/>
              <w:adjustRightInd/>
              <w:snapToGrid/>
              <w:spacing w:line="560" w:lineRule="exact"/>
              <w:jc w:val="left"/>
              <w:textAlignment w:val="center"/>
              <w:rPr>
                <w:rFonts w:ascii="Times New Roman" w:hAnsi="Times New Roman" w:cs="仿宋_GB2312"/>
                <w:color w:val="000000"/>
                <w:sz w:val="24"/>
                <w:szCs w:val="24"/>
              </w:rPr>
            </w:pPr>
            <w:r>
              <w:rPr>
                <w:rFonts w:hint="eastAsia" w:ascii="Times New Roman" w:hAnsi="Times New Roman"/>
                <w:color w:val="000000"/>
                <w:sz w:val="18"/>
                <w:szCs w:val="18"/>
              </w:rPr>
              <w:t>问卷调查</w:t>
            </w:r>
          </w:p>
        </w:tc>
      </w:tr>
      <w:tr>
        <w:tblPrEx>
          <w:tblLayout w:type="fixed"/>
          <w:tblCellMar>
            <w:top w:w="15" w:type="dxa"/>
            <w:left w:w="15" w:type="dxa"/>
            <w:bottom w:w="15" w:type="dxa"/>
            <w:right w:w="15" w:type="dxa"/>
          </w:tblCellMar>
        </w:tblPrEx>
        <w:trPr>
          <w:trHeight w:val="42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r>
              <w:rPr>
                <w:rFonts w:hint="eastAsia" w:ascii="Times New Roman" w:hAnsi="Times New Roman"/>
                <w:b/>
                <w:bCs/>
                <w:color w:val="000000"/>
                <w:sz w:val="18"/>
                <w:szCs w:val="18"/>
              </w:rPr>
              <w:t>合计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r>
              <w:rPr>
                <w:rFonts w:hint="eastAsia" w:ascii="Times New Roman" w:hAnsi="Times New Roman"/>
                <w:b/>
                <w:bCs/>
                <w:color w:val="000000"/>
                <w:sz w:val="18"/>
                <w:szCs w:val="18"/>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r>
              <w:rPr>
                <w:rFonts w:hint="eastAsia" w:ascii="Times New Roman" w:hAnsi="Times New Roman"/>
                <w:b/>
                <w:bCs/>
                <w:color w:val="000000"/>
                <w:sz w:val="18"/>
                <w:szCs w:val="18"/>
              </w:rPr>
              <w:t>100分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jc w:val="right"/>
              <w:rPr>
                <w:rFonts w:hint="eastAsia" w:ascii="Times New Roman" w:hAnsi="Times New Roman" w:eastAsia="宋体" w:cs="宋体"/>
                <w:b/>
                <w:bCs/>
                <w:color w:val="auto"/>
                <w:sz w:val="18"/>
                <w:szCs w:val="18"/>
                <w:lang w:val="en-US" w:eastAsia="zh-CN"/>
              </w:rPr>
            </w:pPr>
            <w:r>
              <w:rPr>
                <w:rFonts w:hint="eastAsia" w:ascii="Times New Roman" w:hAnsi="Times New Roman" w:eastAsia="宋体"/>
                <w:b/>
                <w:bCs/>
                <w:color w:val="auto"/>
                <w:sz w:val="18"/>
                <w:szCs w:val="18"/>
                <w:lang w:val="en-US" w:eastAsia="zh-CN"/>
              </w:rPr>
              <w:t>100</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auto"/>
                <w:sz w:val="18"/>
                <w:szCs w:val="18"/>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autoSpaceDE/>
              <w:autoSpaceDN/>
              <w:bidi w:val="0"/>
              <w:adjustRightInd/>
              <w:snapToGrid/>
              <w:spacing w:line="560" w:lineRule="exact"/>
              <w:rPr>
                <w:rFonts w:ascii="Times New Roman" w:hAnsi="Times New Roman" w:eastAsia="宋体" w:cs="宋体"/>
                <w:b/>
                <w:bCs/>
                <w:color w:val="000000"/>
                <w:sz w:val="18"/>
                <w:szCs w:val="18"/>
              </w:rPr>
            </w:pPr>
          </w:p>
        </w:tc>
      </w:tr>
    </w:tbl>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仿宋"/>
          <w:szCs w:val="32"/>
        </w:rPr>
      </w:pP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黑体"/>
          <w:szCs w:val="32"/>
        </w:rPr>
      </w:pPr>
      <w:r>
        <w:rPr>
          <w:rFonts w:hint="eastAsia" w:ascii="Times New Roman" w:hAnsi="Times New Roman" w:eastAsia="黑体"/>
          <w:szCs w:val="32"/>
        </w:rPr>
        <w:t>四、成本效益分析</w:t>
      </w:r>
      <w:bookmarkStart w:id="17" w:name="_Toc13043_WPSOffice_Level2"/>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color w:val="000000"/>
          <w:szCs w:val="32"/>
        </w:rPr>
      </w:pPr>
      <w:r>
        <w:rPr>
          <w:rFonts w:hint="eastAsia" w:ascii="Times New Roman" w:hAnsi="Times New Roman" w:eastAsia="楷体_GB2312" w:cs="楷体_GB2312"/>
          <w:color w:val="000000"/>
          <w:szCs w:val="32"/>
        </w:rPr>
        <w:t>（一）经济性分析</w:t>
      </w:r>
      <w:bookmarkEnd w:id="17"/>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 w:cs="楷体"/>
          <w:color w:val="000000"/>
          <w:szCs w:val="32"/>
        </w:rPr>
      </w:pPr>
      <w:r>
        <w:rPr>
          <w:rFonts w:hint="eastAsia" w:ascii="Times New Roman" w:hAnsi="Times New Roman" w:cs="仿宋_GB2312"/>
          <w:color w:val="000000"/>
          <w:szCs w:val="32"/>
          <w:lang w:eastAsia="zh-CN"/>
        </w:rPr>
        <w:t>东</w:t>
      </w:r>
      <w:r>
        <w:rPr>
          <w:rFonts w:hint="eastAsia" w:ascii="Times New Roman" w:hAnsi="Times New Roman" w:cs="仿宋_GB2312"/>
          <w:color w:val="000000"/>
          <w:szCs w:val="32"/>
        </w:rPr>
        <w:t>川区扫黑除恶专项斗争工作专项经费</w:t>
      </w:r>
      <w:r>
        <w:rPr>
          <w:rFonts w:hint="eastAsia" w:ascii="Times New Roman" w:hAnsi="Times New Roman"/>
          <w:color w:val="000000"/>
          <w:szCs w:val="32"/>
        </w:rPr>
        <w:t>项目</w:t>
      </w:r>
      <w:r>
        <w:rPr>
          <w:rFonts w:hint="eastAsia" w:ascii="Times New Roman" w:hAnsi="Times New Roman" w:cs="仿宋_GB2312"/>
          <w:color w:val="000000"/>
          <w:szCs w:val="32"/>
        </w:rPr>
        <w:t>预算资金拨付到位，并按照相关规定全部用于单位项目支出，通过总结资金使用管理经验，完善资金管理办法，提高财政资金的使用效率，为以后年度编制项目预算、选择项目实施主体等提供参考依据。</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color w:val="000000"/>
          <w:szCs w:val="32"/>
        </w:rPr>
      </w:pPr>
      <w:bookmarkStart w:id="18" w:name="_Toc923_WPSOffice_Level2"/>
      <w:r>
        <w:rPr>
          <w:rFonts w:hint="eastAsia" w:ascii="Times New Roman" w:hAnsi="Times New Roman" w:eastAsia="楷体_GB2312" w:cs="楷体_GB2312"/>
          <w:color w:val="000000"/>
          <w:szCs w:val="32"/>
        </w:rPr>
        <w:t>（二）效率性分析</w:t>
      </w:r>
      <w:bookmarkEnd w:id="18"/>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eastAsia="楷体_GB2312" w:cs="楷体_GB2312"/>
          <w:color w:val="000000"/>
          <w:szCs w:val="32"/>
        </w:rPr>
      </w:pPr>
      <w:r>
        <w:rPr>
          <w:rFonts w:hint="eastAsia" w:ascii="Times New Roman" w:hAnsi="Times New Roman" w:cs="仿宋_GB2312"/>
          <w:color w:val="000000"/>
          <w:szCs w:val="32"/>
        </w:rPr>
        <w:t>中国共产党昆明市东川区委员会政法委员会2020年项目支出绩效情况良好，按年初设定的目标任务执行效率完成各项工作。</w:t>
      </w:r>
    </w:p>
    <w:p>
      <w:pPr>
        <w:keepNext w:val="0"/>
        <w:keepLines w:val="0"/>
        <w:pageBreakBefore w:val="0"/>
        <w:kinsoku/>
        <w:wordWrap/>
        <w:overflowPunct/>
        <w:topLinePunct/>
        <w:autoSpaceDE/>
        <w:autoSpaceDN/>
        <w:bidi w:val="0"/>
        <w:adjustRightInd/>
        <w:snapToGrid/>
        <w:spacing w:line="560" w:lineRule="exact"/>
        <w:ind w:firstLine="632" w:firstLineChars="200"/>
        <w:rPr>
          <w:rFonts w:hint="eastAsia" w:ascii="Times New Roman" w:hAnsi="Times New Roman" w:eastAsia="楷体_GB2312" w:cs="楷体_GB2312"/>
          <w:color w:val="000000"/>
          <w:szCs w:val="32"/>
        </w:rPr>
      </w:pPr>
      <w:bookmarkStart w:id="19" w:name="_Toc27896_WPSOffice_Level2"/>
      <w:r>
        <w:rPr>
          <w:rFonts w:hint="eastAsia" w:ascii="Times New Roman" w:hAnsi="Times New Roman" w:eastAsia="楷体_GB2312" w:cs="楷体_GB2312"/>
          <w:color w:val="000000"/>
          <w:szCs w:val="32"/>
        </w:rPr>
        <w:t>（三）效益性分析</w:t>
      </w:r>
      <w:bookmarkEnd w:id="19"/>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rPr>
        <w:t>中国共产党昆明市东川区委员会政法委员会较好地完成了2020年初设定的工作任务，2020年专项经费实际支出未超出预算规定，保障了专项工作的开展。我单位认真履行工作职责，及时完成年初制定的各项工作任务，质量达标。</w:t>
      </w:r>
    </w:p>
    <w:p>
      <w:pPr>
        <w:keepNext w:val="0"/>
        <w:keepLines w:val="0"/>
        <w:pageBreakBefore w:val="0"/>
        <w:kinsoku/>
        <w:wordWrap/>
        <w:overflowPunct/>
        <w:topLinePunct/>
        <w:autoSpaceDE/>
        <w:autoSpaceDN/>
        <w:bidi w:val="0"/>
        <w:adjustRightInd/>
        <w:snapToGrid/>
        <w:spacing w:line="560" w:lineRule="exact"/>
        <w:ind w:firstLine="790" w:firstLineChars="250"/>
        <w:rPr>
          <w:rFonts w:ascii="Times New Roman" w:hAnsi="Times New Roman" w:eastAsia="黑体"/>
          <w:szCs w:val="32"/>
        </w:rPr>
      </w:pPr>
      <w:r>
        <w:rPr>
          <w:rFonts w:hint="eastAsia" w:ascii="Times New Roman" w:hAnsi="Times New Roman" w:eastAsia="黑体"/>
          <w:szCs w:val="32"/>
        </w:rPr>
        <w:t>五、主要经验及做法、存在的问题和建议</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hint="eastAsia" w:ascii="Times New Roman" w:hAnsi="Times New Roman" w:eastAsia="楷体_GB2312" w:cs="楷体_GB2312"/>
          <w:color w:val="000000"/>
          <w:szCs w:val="32"/>
        </w:rPr>
      </w:pPr>
      <w:bookmarkStart w:id="20" w:name="_Toc15538"/>
      <w:bookmarkStart w:id="21" w:name="_Toc11048_WPSOffice_Level2"/>
      <w:bookmarkStart w:id="22" w:name="_Toc31834"/>
      <w:r>
        <w:rPr>
          <w:rFonts w:hint="eastAsia" w:ascii="Times New Roman" w:hAnsi="Times New Roman" w:eastAsia="楷体_GB2312" w:cs="楷体_GB2312"/>
          <w:color w:val="000000"/>
          <w:szCs w:val="32"/>
        </w:rPr>
        <w:t>（一）主要经验及做法</w:t>
      </w:r>
      <w:bookmarkEnd w:id="20"/>
      <w:bookmarkEnd w:id="21"/>
      <w:bookmarkEnd w:id="22"/>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rPr>
        <w:t>中国共产党昆明市东川区委员会政法委员会对全区扫黑除恶专项斗争项目绩效目标开展了动态监控，对本单位项目完成情况、项目完成进度、项目效益与预期目标偏差等情况进行分析总结。</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outlineLvl w:val="1"/>
        <w:rPr>
          <w:rFonts w:hint="eastAsia" w:ascii="Times New Roman" w:hAnsi="Times New Roman" w:eastAsia="楷体_GB2312" w:cs="楷体_GB2312"/>
          <w:color w:val="000000"/>
          <w:szCs w:val="32"/>
        </w:rPr>
      </w:pPr>
      <w:bookmarkStart w:id="23" w:name="_Toc3359"/>
      <w:bookmarkStart w:id="24" w:name="_Toc25771"/>
      <w:bookmarkStart w:id="25" w:name="_Toc3807_WPSOffice_Level2"/>
      <w:r>
        <w:rPr>
          <w:rFonts w:hint="eastAsia" w:ascii="Times New Roman" w:hAnsi="Times New Roman" w:eastAsia="楷体_GB2312" w:cs="楷体_GB2312"/>
          <w:color w:val="000000"/>
          <w:szCs w:val="32"/>
          <w:lang w:eastAsia="zh-CN"/>
        </w:rPr>
        <w:t>（二）</w:t>
      </w:r>
      <w:r>
        <w:rPr>
          <w:rFonts w:hint="eastAsia" w:ascii="Times New Roman" w:hAnsi="Times New Roman" w:eastAsia="楷体_GB2312" w:cs="楷体_GB2312"/>
          <w:color w:val="000000"/>
          <w:szCs w:val="32"/>
        </w:rPr>
        <w:t>存在的问题</w:t>
      </w:r>
      <w:bookmarkEnd w:id="23"/>
      <w:bookmarkEnd w:id="24"/>
      <w:bookmarkEnd w:id="25"/>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rPr>
        <w:t>中国共产党昆明市东川区委员会政法委员会在部分绩效内容的设定上量化不够具体，考核标准、考核条件过于简单和笼统。需进一步考核指标，加强考核标准和考核条件。</w:t>
      </w:r>
    </w:p>
    <w:p>
      <w:pPr>
        <w:keepNext w:val="0"/>
        <w:keepLines w:val="0"/>
        <w:pageBreakBefore w:val="0"/>
        <w:numPr>
          <w:ilvl w:val="0"/>
          <w:numId w:val="0"/>
        </w:numPr>
        <w:kinsoku/>
        <w:wordWrap/>
        <w:overflowPunct/>
        <w:topLinePunct/>
        <w:autoSpaceDE/>
        <w:autoSpaceDN/>
        <w:bidi w:val="0"/>
        <w:adjustRightInd/>
        <w:snapToGrid/>
        <w:spacing w:line="560" w:lineRule="exact"/>
        <w:ind w:firstLine="632" w:firstLineChars="200"/>
        <w:outlineLvl w:val="1"/>
        <w:rPr>
          <w:rFonts w:hint="eastAsia" w:ascii="Times New Roman" w:hAnsi="Times New Roman" w:eastAsia="楷体_GB2312" w:cs="楷体_GB2312"/>
          <w:color w:val="000000"/>
          <w:szCs w:val="32"/>
        </w:rPr>
      </w:pPr>
      <w:bookmarkStart w:id="26" w:name="_Toc21671"/>
      <w:bookmarkStart w:id="27" w:name="_Toc21785_WPSOffice_Level2"/>
      <w:bookmarkStart w:id="28" w:name="_Toc6390"/>
      <w:r>
        <w:rPr>
          <w:rFonts w:hint="eastAsia" w:ascii="Times New Roman" w:hAnsi="Times New Roman" w:eastAsia="楷体_GB2312" w:cs="楷体_GB2312"/>
          <w:color w:val="000000"/>
          <w:szCs w:val="32"/>
          <w:lang w:eastAsia="zh-CN"/>
        </w:rPr>
        <w:t>（三）</w:t>
      </w:r>
      <w:r>
        <w:rPr>
          <w:rFonts w:hint="eastAsia" w:ascii="Times New Roman" w:hAnsi="Times New Roman" w:eastAsia="楷体_GB2312" w:cs="楷体_GB2312"/>
          <w:color w:val="000000"/>
          <w:szCs w:val="32"/>
        </w:rPr>
        <w:t>建议和改进措施</w:t>
      </w:r>
      <w:bookmarkEnd w:id="26"/>
      <w:bookmarkEnd w:id="27"/>
      <w:bookmarkEnd w:id="28"/>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lang w:val="en-US" w:eastAsia="zh-CN"/>
        </w:rPr>
        <w:t>1.</w:t>
      </w:r>
      <w:r>
        <w:rPr>
          <w:rFonts w:hint="eastAsia" w:ascii="Times New Roman" w:hAnsi="Times New Roman" w:cs="仿宋_GB2312"/>
          <w:color w:val="000000"/>
          <w:szCs w:val="32"/>
        </w:rPr>
        <w:t>结合单位实际情况修订完善项目绩效管理实施细则、考评结果运用实施细则、考评规则办法，完备绩效管理制度办法和指标体系，使绩效考核有章可循，有据可依。结合项目情况，制定相应细化、量化的绩效目标，严格按目标实施。</w:t>
      </w:r>
    </w:p>
    <w:p>
      <w:pPr>
        <w:keepNext w:val="0"/>
        <w:keepLines w:val="0"/>
        <w:pageBreakBefore w:val="0"/>
        <w:kinsoku/>
        <w:wordWrap/>
        <w:overflowPunct/>
        <w:topLinePunct/>
        <w:autoSpaceDE/>
        <w:autoSpaceDN/>
        <w:bidi w:val="0"/>
        <w:adjustRightInd/>
        <w:snapToGrid/>
        <w:spacing w:line="560" w:lineRule="exact"/>
        <w:ind w:firstLine="632" w:firstLineChars="200"/>
        <w:rPr>
          <w:rFonts w:ascii="Times New Roman" w:hAnsi="Times New Roman" w:cs="仿宋_GB2312"/>
          <w:color w:val="000000"/>
          <w:szCs w:val="32"/>
        </w:rPr>
      </w:pPr>
      <w:r>
        <w:rPr>
          <w:rFonts w:hint="eastAsia" w:ascii="Times New Roman" w:hAnsi="Times New Roman" w:cs="仿宋_GB2312"/>
          <w:color w:val="000000"/>
          <w:szCs w:val="32"/>
          <w:lang w:val="en-US" w:eastAsia="zh-CN"/>
        </w:rPr>
        <w:t>2.</w:t>
      </w:r>
      <w:r>
        <w:rPr>
          <w:rFonts w:hint="eastAsia" w:ascii="Times New Roman" w:hAnsi="Times New Roman" w:cs="仿宋_GB2312"/>
          <w:color w:val="000000"/>
          <w:szCs w:val="32"/>
        </w:rPr>
        <w:t>中国共产党昆明市东川区委员会政法委员会应进一步重视考核总结。考核工作结束后，</w:t>
      </w:r>
      <w:r>
        <w:rPr>
          <w:rFonts w:hint="eastAsia" w:ascii="Times New Roman" w:hAnsi="Times New Roman" w:cs="仿宋_GB2312"/>
          <w:color w:val="000000"/>
          <w:szCs w:val="32"/>
          <w:lang w:eastAsia="zh-CN"/>
        </w:rPr>
        <w:t>及时</w:t>
      </w:r>
      <w:r>
        <w:rPr>
          <w:rFonts w:hint="eastAsia" w:ascii="Times New Roman" w:hAnsi="Times New Roman" w:cs="仿宋_GB2312"/>
          <w:color w:val="000000"/>
          <w:szCs w:val="32"/>
        </w:rPr>
        <w:t>向考核对象反馈考核意见，充分有效的利用和转化考核结果，使考核作用能充分发挥。</w:t>
      </w:r>
    </w:p>
    <w:p>
      <w:pPr>
        <w:keepNext w:val="0"/>
        <w:keepLines w:val="0"/>
        <w:pageBreakBefore w:val="0"/>
        <w:kinsoku/>
        <w:wordWrap/>
        <w:overflowPunct/>
        <w:autoSpaceDE/>
        <w:autoSpaceDN/>
        <w:bidi w:val="0"/>
        <w:adjustRightInd/>
        <w:snapToGrid/>
        <w:spacing w:line="560" w:lineRule="exact"/>
        <w:rPr>
          <w:rFonts w:ascii="Times New Roman" w:hAnsi="Times New Roman" w:eastAsia="黑体"/>
        </w:rPr>
      </w:pPr>
    </w:p>
    <w:p>
      <w:pPr>
        <w:keepNext w:val="0"/>
        <w:keepLines w:val="0"/>
        <w:pageBreakBefore w:val="0"/>
        <w:kinsoku/>
        <w:wordWrap/>
        <w:overflowPunct/>
        <w:topLinePunct/>
        <w:autoSpaceDE/>
        <w:autoSpaceDN/>
        <w:bidi w:val="0"/>
        <w:adjustRightInd/>
        <w:snapToGrid/>
        <w:spacing w:line="560" w:lineRule="exact"/>
        <w:ind w:left="1896" w:leftChars="200" w:hanging="1264" w:hangingChars="400"/>
        <w:rPr>
          <w:rFonts w:hint="eastAsia" w:ascii="Times New Roman" w:hAnsi="Times New Roman" w:cs="仿宋_GB2312"/>
          <w:color w:val="000000"/>
          <w:szCs w:val="32"/>
          <w:lang w:val="en-US" w:eastAsia="zh-CN"/>
        </w:rPr>
      </w:pPr>
      <w:bookmarkStart w:id="29" w:name="_GoBack"/>
      <w:bookmarkEnd w:id="29"/>
    </w:p>
    <w:sectPr>
      <w:footerReference r:id="rId3" w:type="default"/>
      <w:footerReference r:id="rId4" w:type="even"/>
      <w:pgSz w:w="11907" w:h="16840"/>
      <w:pgMar w:top="2098" w:right="1474" w:bottom="1984" w:left="1587"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17</w:t>
    </w:r>
    <w:r>
      <w:rPr>
        <w:rStyle w:val="9"/>
        <w:rFonts w:ascii="宋体" w:hAnsi="宋体" w:eastAsia="宋体"/>
        <w:sz w:val="28"/>
      </w:rPr>
      <w:fldChar w:fldCharType="end"/>
    </w:r>
    <w:r>
      <w:rPr>
        <w:rStyle w:val="9"/>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16</w:t>
    </w:r>
    <w:r>
      <w:rPr>
        <w:rStyle w:val="9"/>
        <w:rFonts w:ascii="宋体" w:hAnsi="宋体" w:eastAsia="宋体"/>
        <w:sz w:val="28"/>
      </w:rPr>
      <w:fldChar w:fldCharType="end"/>
    </w:r>
    <w:r>
      <w:rPr>
        <w:rStyle w:val="9"/>
        <w:rFonts w:ascii="宋体" w:hAnsi="宋体" w:eastAsia="宋体"/>
        <w:sz w:val="28"/>
      </w:rPr>
      <w:t>—</w:t>
    </w:r>
  </w:p>
  <w:p>
    <w:pPr>
      <w:pStyle w:val="6"/>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6F62DC"/>
    <w:rsid w:val="0070331B"/>
    <w:rsid w:val="00711838"/>
    <w:rsid w:val="00714A1E"/>
    <w:rsid w:val="007347E8"/>
    <w:rsid w:val="00752484"/>
    <w:rsid w:val="00767A70"/>
    <w:rsid w:val="007740E0"/>
    <w:rsid w:val="007E48FF"/>
    <w:rsid w:val="007F24E4"/>
    <w:rsid w:val="007F5BD0"/>
    <w:rsid w:val="0080146E"/>
    <w:rsid w:val="0080354F"/>
    <w:rsid w:val="008273F9"/>
    <w:rsid w:val="008452A9"/>
    <w:rsid w:val="0086384F"/>
    <w:rsid w:val="00885932"/>
    <w:rsid w:val="00896C1C"/>
    <w:rsid w:val="008D1004"/>
    <w:rsid w:val="008D4DFD"/>
    <w:rsid w:val="008F3154"/>
    <w:rsid w:val="009156B6"/>
    <w:rsid w:val="009511E2"/>
    <w:rsid w:val="00960202"/>
    <w:rsid w:val="00971ACC"/>
    <w:rsid w:val="00984AA9"/>
    <w:rsid w:val="00987F65"/>
    <w:rsid w:val="009B1D6B"/>
    <w:rsid w:val="009C2E24"/>
    <w:rsid w:val="009E07A7"/>
    <w:rsid w:val="00A032C7"/>
    <w:rsid w:val="00A449C0"/>
    <w:rsid w:val="00A45A91"/>
    <w:rsid w:val="00AB6099"/>
    <w:rsid w:val="00B1591B"/>
    <w:rsid w:val="00B268F0"/>
    <w:rsid w:val="00B6766E"/>
    <w:rsid w:val="00B8171D"/>
    <w:rsid w:val="00B90B24"/>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AD11099"/>
    <w:rsid w:val="15951D28"/>
    <w:rsid w:val="170967F7"/>
    <w:rsid w:val="1FCF1DEC"/>
    <w:rsid w:val="211064FB"/>
    <w:rsid w:val="21657804"/>
    <w:rsid w:val="24C14377"/>
    <w:rsid w:val="250B05B5"/>
    <w:rsid w:val="2EF35C52"/>
    <w:rsid w:val="2EFB69EF"/>
    <w:rsid w:val="3378142B"/>
    <w:rsid w:val="38031D6D"/>
    <w:rsid w:val="3BCA4F11"/>
    <w:rsid w:val="3D976FAC"/>
    <w:rsid w:val="42F17CE6"/>
    <w:rsid w:val="44B902DB"/>
    <w:rsid w:val="44F23581"/>
    <w:rsid w:val="477C14A3"/>
    <w:rsid w:val="483F3B31"/>
    <w:rsid w:val="48864B37"/>
    <w:rsid w:val="4E976636"/>
    <w:rsid w:val="4F7370ED"/>
    <w:rsid w:val="4F813184"/>
    <w:rsid w:val="4FB02522"/>
    <w:rsid w:val="52195E38"/>
    <w:rsid w:val="56C42A1B"/>
    <w:rsid w:val="5B584101"/>
    <w:rsid w:val="5CC92B07"/>
    <w:rsid w:val="5CF91C0A"/>
    <w:rsid w:val="5E914308"/>
    <w:rsid w:val="66472A5B"/>
    <w:rsid w:val="68544C31"/>
    <w:rsid w:val="6A404F52"/>
    <w:rsid w:val="701166D5"/>
    <w:rsid w:val="70BA2008"/>
    <w:rsid w:val="75877084"/>
    <w:rsid w:val="7A0E3BA5"/>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qFormat/>
    <w:uiPriority w:val="99"/>
    <w:pPr>
      <w:ind w:firstLine="632" w:firstLineChars="200"/>
    </w:pPr>
  </w:style>
  <w:style w:type="paragraph" w:styleId="4">
    <w:name w:val="Date"/>
    <w:basedOn w:val="1"/>
    <w:next w:val="1"/>
    <w:link w:val="14"/>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2">
    <w:name w:val="页眉 Char"/>
    <w:link w:val="7"/>
    <w:semiHidden/>
    <w:qFormat/>
    <w:uiPriority w:val="99"/>
    <w:rPr>
      <w:rFonts w:eastAsia="仿宋_GB2312"/>
      <w:sz w:val="18"/>
      <w:szCs w:val="18"/>
    </w:rPr>
  </w:style>
  <w:style w:type="character" w:customStyle="1" w:styleId="13">
    <w:name w:val="页脚 Char"/>
    <w:link w:val="6"/>
    <w:semiHidden/>
    <w:qFormat/>
    <w:uiPriority w:val="99"/>
    <w:rPr>
      <w:rFonts w:eastAsia="仿宋_GB2312"/>
      <w:sz w:val="18"/>
      <w:szCs w:val="18"/>
    </w:rPr>
  </w:style>
  <w:style w:type="character" w:customStyle="1" w:styleId="14">
    <w:name w:val="日期 Char"/>
    <w:link w:val="4"/>
    <w:semiHidden/>
    <w:qFormat/>
    <w:uiPriority w:val="99"/>
    <w:rPr>
      <w:rFonts w:eastAsia="仿宋_GB2312"/>
      <w:sz w:val="32"/>
      <w:szCs w:val="20"/>
    </w:rPr>
  </w:style>
  <w:style w:type="character" w:customStyle="1" w:styleId="15">
    <w:name w:val="正文文本缩进 Char"/>
    <w:link w:val="3"/>
    <w:semiHidden/>
    <w:qFormat/>
    <w:uiPriority w:val="99"/>
    <w:rPr>
      <w:rFonts w:eastAsia="仿宋_GB2312"/>
      <w:sz w:val="32"/>
      <w:szCs w:val="20"/>
    </w:rPr>
  </w:style>
  <w:style w:type="paragraph" w:customStyle="1" w:styleId="16">
    <w:name w:val="Char Char Char Char Char Char"/>
    <w:basedOn w:val="1"/>
    <w:qFormat/>
    <w:uiPriority w:val="99"/>
    <w:pPr>
      <w:adjustRightInd w:val="0"/>
    </w:pPr>
    <w:rPr>
      <w:rFonts w:ascii="Tahoma" w:hAnsi="Tahoma" w:eastAsia="宋体"/>
      <w:sz w:val="24"/>
    </w:rPr>
  </w:style>
  <w:style w:type="character" w:customStyle="1" w:styleId="17">
    <w:name w:val="标题 1 Char"/>
    <w:link w:val="2"/>
    <w:qFormat/>
    <w:uiPriority w:val="99"/>
    <w:rPr>
      <w:rFonts w:ascii="Calibri" w:hAnsi="Calibri" w:cs="Calibri"/>
      <w:b/>
      <w:bCs/>
      <w:kern w:val="44"/>
      <w:sz w:val="44"/>
      <w:szCs w:val="44"/>
    </w:rPr>
  </w:style>
  <w:style w:type="character" w:customStyle="1" w:styleId="18">
    <w:name w:val="批注框文本 Char"/>
    <w:basedOn w:val="8"/>
    <w:link w:val="5"/>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17</Pages>
  <Words>8101</Words>
  <Characters>1201</Characters>
  <Lines>10</Lines>
  <Paragraphs>18</Paragraphs>
  <TotalTime>15</TotalTime>
  <ScaleCrop>false</ScaleCrop>
  <LinksUpToDate>false</LinksUpToDate>
  <CharactersWithSpaces>9284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2021-05-31T03:55:00Z</dcterms:created>
  <dc:creator>y</dc:creator>
  <cp:lastModifiedBy>Administrator</cp:lastModifiedBy>
  <cp:lastPrinted>2021-06-01T01:14:00Z</cp:lastPrinted>
  <dcterms:modified xsi:type="dcterms:W3CDTF">2021-08-23T05:04:01Z</dcterms:modified>
  <dc:title>益财会〔2002〕4号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235295794_cloud</vt:lpwstr>
  </property>
</Properties>
</file>