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2020年残疾人扶贫培训就业基地市级专项补助项目绩效评价报告</w:t>
      </w:r>
    </w:p>
    <w:p>
      <w:pPr>
        <w:spacing w:line="540" w:lineRule="exact"/>
        <w:jc w:val="center"/>
        <w:rPr>
          <w:rFonts w:ascii="方正小标宋简体" w:eastAsia="方正小标宋简体"/>
          <w:sz w:val="44"/>
          <w:szCs w:val="44"/>
        </w:rPr>
      </w:pPr>
    </w:p>
    <w:p>
      <w:pPr>
        <w:spacing w:line="560" w:lineRule="exact"/>
        <w:ind w:firstLine="632" w:firstLineChars="200"/>
        <w:rPr>
          <w:rFonts w:ascii="黑体" w:hAnsi="黑体" w:eastAsia="黑体"/>
          <w:szCs w:val="32"/>
        </w:rPr>
      </w:pPr>
      <w:r>
        <w:rPr>
          <w:rFonts w:hint="eastAsia" w:ascii="黑体" w:hAnsi="黑体" w:eastAsia="黑体"/>
          <w:szCs w:val="32"/>
        </w:rPr>
        <w:t>一、项目基本情况</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（一）立项背景及目的</w:t>
      </w:r>
      <w:bookmarkStart w:id="0" w:name="_GoBack"/>
      <w:bookmarkEnd w:id="0"/>
    </w:p>
    <w:p>
      <w:pPr>
        <w:pStyle w:val="2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区委区政府贯彻落实守住“六保”底线要求。为认真落实养老保险、医保、教育补助等保障性政策，帮助残疾人解决最急需、最急迫的现实困难。东川区残疾人联合会结合2020年主要目标工作任务计划安排，根据昆财社〔2020〕135号--关于下达2020年残疾人扶贫就业基地市级专项补助经费的通知，开展残疾人扶贫就业基地补助工作。</w:t>
      </w:r>
    </w:p>
    <w:p>
      <w:pPr>
        <w:shd w:val="clear" w:color="auto" w:fill="FFFFFF"/>
        <w:spacing w:line="560" w:lineRule="exact"/>
        <w:ind w:firstLine="632" w:firstLineChars="200"/>
        <w:rPr>
          <w:rFonts w:ascii="仿宋_GB2312" w:hAnsi="仿宋_GB2312" w:cs="仿宋_GB2312"/>
          <w:szCs w:val="32"/>
        </w:rPr>
      </w:pPr>
      <w:r>
        <w:rPr>
          <w:color w:val="000000"/>
          <w:kern w:val="0"/>
          <w:szCs w:val="32"/>
        </w:rPr>
        <w:t>按照市残联要求，围绕东川区20</w:t>
      </w:r>
      <w:r>
        <w:rPr>
          <w:rFonts w:hint="eastAsia"/>
          <w:color w:val="000000"/>
          <w:kern w:val="0"/>
          <w:szCs w:val="32"/>
        </w:rPr>
        <w:t>20</w:t>
      </w:r>
      <w:r>
        <w:rPr>
          <w:color w:val="000000"/>
          <w:kern w:val="0"/>
          <w:szCs w:val="32"/>
        </w:rPr>
        <w:t>年度脱贫攻坚和巩固提升目标任务，</w:t>
      </w:r>
      <w:r>
        <w:rPr>
          <w:rFonts w:hint="eastAsia"/>
          <w:color w:val="000000"/>
          <w:kern w:val="0"/>
          <w:szCs w:val="32"/>
        </w:rPr>
        <w:t>重点扶持贫困残疾人产业增收</w:t>
      </w:r>
      <w:r>
        <w:rPr>
          <w:color w:val="000000"/>
          <w:kern w:val="0"/>
          <w:szCs w:val="32"/>
        </w:rPr>
        <w:t>，根据全区实际，20</w:t>
      </w:r>
      <w:r>
        <w:rPr>
          <w:rFonts w:hint="eastAsia"/>
          <w:color w:val="000000"/>
          <w:kern w:val="0"/>
          <w:szCs w:val="32"/>
        </w:rPr>
        <w:t>20</w:t>
      </w:r>
      <w:r>
        <w:rPr>
          <w:color w:val="000000"/>
          <w:kern w:val="0"/>
          <w:szCs w:val="32"/>
        </w:rPr>
        <w:t>年扶贫到户工作</w:t>
      </w:r>
      <w:r>
        <w:rPr>
          <w:rFonts w:hint="eastAsia"/>
          <w:color w:val="000000"/>
          <w:kern w:val="0"/>
          <w:szCs w:val="32"/>
        </w:rPr>
        <w:t>顺利</w:t>
      </w:r>
      <w:r>
        <w:rPr>
          <w:color w:val="000000"/>
          <w:kern w:val="0"/>
          <w:szCs w:val="32"/>
        </w:rPr>
        <w:t>开展</w:t>
      </w:r>
      <w:r>
        <w:rPr>
          <w:rFonts w:hint="eastAsia"/>
          <w:color w:val="000000"/>
          <w:kern w:val="0"/>
          <w:szCs w:val="32"/>
        </w:rPr>
        <w:t>，</w:t>
      </w:r>
      <w:r>
        <w:rPr>
          <w:bCs/>
          <w:kern w:val="0"/>
          <w:szCs w:val="32"/>
        </w:rPr>
        <w:t>引导和扶持残疾人发展生产劳动，</w:t>
      </w:r>
      <w:r>
        <w:rPr>
          <w:color w:val="000000"/>
          <w:szCs w:val="32"/>
        </w:rPr>
        <w:t>以发展养殖业、手工业、加工业和服务业等为主要形式的扶贫解困渠道，</w:t>
      </w:r>
      <w:r>
        <w:rPr>
          <w:rFonts w:hint="eastAsia"/>
          <w:color w:val="000000"/>
          <w:szCs w:val="32"/>
        </w:rPr>
        <w:t>巩固脱贫攻坚成果</w:t>
      </w:r>
      <w:r>
        <w:rPr>
          <w:szCs w:val="32"/>
        </w:rPr>
        <w:t>。</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（二）项目实施情况</w:t>
      </w:r>
    </w:p>
    <w:p>
      <w:pPr>
        <w:spacing w:line="560" w:lineRule="exact"/>
        <w:ind w:firstLine="632" w:firstLineChars="200"/>
        <w:rPr>
          <w:rFonts w:ascii="仿宋_GB2312" w:hAnsi="仿宋" w:cs="华文仿宋"/>
          <w:color w:val="000000"/>
          <w:szCs w:val="32"/>
        </w:rPr>
      </w:pPr>
      <w:r>
        <w:rPr>
          <w:rFonts w:hint="eastAsia" w:ascii="仿宋_GB2312" w:hAnsi="仿宋" w:cs="华文仿宋"/>
          <w:color w:val="000000"/>
          <w:szCs w:val="32"/>
        </w:rPr>
        <w:t>申报机构向各县（市）区残联递交申报所需相关材料，申请机构按基地建设原则、要求的有关规定，资料按顺序装订成册，一式三份，同时报送纸质材料和电子版材料，区残联公示以后将扶贫基地机构上报到市残联审批后发放资金。</w:t>
      </w:r>
    </w:p>
    <w:p>
      <w:pPr>
        <w:spacing w:line="560" w:lineRule="exact"/>
        <w:ind w:firstLine="632" w:firstLineChars="200"/>
        <w:rPr>
          <w:rFonts w:ascii="仿宋_GB2312" w:hAnsi="华文仿宋" w:cs="华文仿宋"/>
          <w:color w:val="000000"/>
          <w:szCs w:val="32"/>
        </w:rPr>
      </w:pPr>
      <w:r>
        <w:rPr>
          <w:rFonts w:hint="eastAsia" w:ascii="仿宋_GB2312" w:hAnsi="华文仿宋" w:cs="华文仿宋"/>
          <w:color w:val="000000"/>
          <w:szCs w:val="32"/>
        </w:rPr>
        <w:t>各县（市）区级残联负责本辖区扶贫基地补助资金的使用、监管和动态考核，市残联负责督导和不定期检查扶贫基地的详细建设情况，确保扶贫基地持续良性发展。对考核不合格或当年度发生严重安全事故及重大责任事故的扶贫基地，取消扶贫基地资格并摘牌，三年内不得申报昆明市残疾人扶贫基地。</w:t>
      </w:r>
    </w:p>
    <w:p>
      <w:pPr>
        <w:shd w:val="clear" w:color="auto" w:fill="FFFFFF"/>
        <w:spacing w:line="560" w:lineRule="exact"/>
        <w:ind w:firstLine="632" w:firstLineChars="200"/>
        <w:rPr>
          <w:rFonts w:ascii="黑体" w:hAnsi="黑体" w:eastAsia="黑体"/>
          <w:szCs w:val="32"/>
        </w:rPr>
      </w:pPr>
      <w:r>
        <w:rPr>
          <w:rFonts w:hint="eastAsia"/>
          <w:color w:val="000000"/>
          <w:szCs w:val="32"/>
        </w:rPr>
        <w:t>2020年根据扶贫户各自发展规模和可持续发展程度，给予</w:t>
      </w:r>
      <w:r>
        <w:rPr>
          <w:color w:val="000000"/>
          <w:szCs w:val="32"/>
        </w:rPr>
        <w:t>每户</w:t>
      </w:r>
      <w:r>
        <w:rPr>
          <w:rFonts w:hint="eastAsia"/>
          <w:color w:val="000000"/>
          <w:szCs w:val="32"/>
        </w:rPr>
        <w:t>2300—2500的补助</w:t>
      </w:r>
      <w:r>
        <w:rPr>
          <w:color w:val="000000"/>
          <w:szCs w:val="32"/>
        </w:rPr>
        <w:t>。补助资金</w:t>
      </w:r>
      <w:r>
        <w:rPr>
          <w:rFonts w:hint="eastAsia"/>
          <w:color w:val="000000"/>
          <w:szCs w:val="32"/>
        </w:rPr>
        <w:t>由</w:t>
      </w:r>
      <w:r>
        <w:rPr>
          <w:color w:val="000000"/>
          <w:szCs w:val="32"/>
        </w:rPr>
        <w:t>区残联</w:t>
      </w:r>
      <w:r>
        <w:rPr>
          <w:rFonts w:hint="eastAsia"/>
          <w:color w:val="000000"/>
          <w:szCs w:val="32"/>
        </w:rPr>
        <w:t>通过</w:t>
      </w:r>
      <w:r>
        <w:rPr>
          <w:color w:val="000000"/>
          <w:szCs w:val="32"/>
        </w:rPr>
        <w:t>银行卡支付方式直接发放。</w:t>
      </w:r>
    </w:p>
    <w:p>
      <w:pPr>
        <w:spacing w:line="560" w:lineRule="exact"/>
        <w:ind w:firstLine="632" w:firstLineChars="200"/>
        <w:rPr>
          <w:rFonts w:ascii="黑体" w:hAnsi="黑体" w:eastAsia="黑体"/>
          <w:szCs w:val="32"/>
        </w:rPr>
      </w:pPr>
      <w:r>
        <w:rPr>
          <w:rFonts w:hint="eastAsia" w:ascii="黑体" w:hAnsi="黑体" w:eastAsia="黑体"/>
          <w:szCs w:val="32"/>
        </w:rPr>
        <w:t>二、绩效评价工作</w:t>
      </w:r>
    </w:p>
    <w:p>
      <w:pPr>
        <w:spacing w:line="560" w:lineRule="exact"/>
        <w:ind w:firstLine="632" w:firstLineChars="200"/>
        <w:rPr>
          <w:rFonts w:ascii="仿宋_GB2312"/>
        </w:rPr>
      </w:pPr>
      <w:r>
        <w:rPr>
          <w:rFonts w:hint="eastAsia" w:ascii="楷体_GB2312" w:hAnsi="楷体_GB2312" w:eastAsia="楷体_GB2312" w:cs="楷体_GB2312"/>
        </w:rPr>
        <w:t>（一）绩效评价目的。</w:t>
      </w:r>
      <w:r>
        <w:rPr>
          <w:rFonts w:hint="eastAsia" w:ascii="仿宋_GB2312"/>
        </w:rPr>
        <w:t>通过绩效评价，完善制度、加强管理，保障项目资金使用规范性、安全性和有效性。为预算编制，优化财政支出，提供基础数据，提高专项资金使用效益。</w:t>
      </w:r>
    </w:p>
    <w:p>
      <w:pPr>
        <w:spacing w:line="560" w:lineRule="exact"/>
        <w:ind w:firstLine="632" w:firstLineChars="200"/>
        <w:rPr>
          <w:rFonts w:ascii="楷体_GB2312" w:hAnsi="楷体_GB2312" w:eastAsia="楷体_GB2312" w:cs="楷体_GB2312"/>
        </w:rPr>
      </w:pPr>
      <w:r>
        <w:rPr>
          <w:rFonts w:hint="eastAsia" w:ascii="楷体_GB2312" w:hAnsi="楷体_GB2312" w:eastAsia="楷体_GB2312" w:cs="楷体_GB2312"/>
        </w:rPr>
        <w:t>（二）绩效评价原则和方法</w:t>
      </w:r>
    </w:p>
    <w:p>
      <w:pPr>
        <w:spacing w:line="560" w:lineRule="exact"/>
        <w:ind w:firstLine="632" w:firstLineChars="200"/>
        <w:rPr>
          <w:rFonts w:ascii="仿宋_GB2312"/>
          <w:b/>
        </w:rPr>
      </w:pPr>
      <w:r>
        <w:rPr>
          <w:rFonts w:hint="eastAsia" w:ascii="仿宋_GB2312"/>
          <w:b/>
        </w:rPr>
        <w:t>1.评价指标体系制定遵循的原则</w:t>
      </w:r>
    </w:p>
    <w:p>
      <w:pPr>
        <w:spacing w:line="560" w:lineRule="exact"/>
        <w:ind w:firstLine="632" w:firstLineChars="200"/>
        <w:rPr>
          <w:rFonts w:ascii="仿宋_GB2312"/>
        </w:rPr>
      </w:pPr>
      <w:r>
        <w:rPr>
          <w:rFonts w:hint="eastAsia" w:ascii="仿宋_GB2312"/>
        </w:rPr>
        <w:t>根据《昆明市东川区人民政府关于印发昆明市东川区预算绩效管理暂行办法》（东政发）〔2015〕104号），本次评价指标体系制定遵循相关性原则、重要性原则、可比性原则、经济性原则和系统性原则。</w:t>
      </w:r>
    </w:p>
    <w:p>
      <w:pPr>
        <w:spacing w:line="560" w:lineRule="exact"/>
        <w:ind w:firstLine="632" w:firstLineChars="200"/>
        <w:rPr>
          <w:rFonts w:ascii="仿宋_GB2312"/>
          <w:b/>
        </w:rPr>
      </w:pPr>
      <w:r>
        <w:rPr>
          <w:rFonts w:hint="eastAsia" w:ascii="仿宋_GB2312"/>
          <w:b/>
        </w:rPr>
        <w:t>2.评价依据</w:t>
      </w:r>
    </w:p>
    <w:p>
      <w:pPr>
        <w:spacing w:line="560" w:lineRule="exact"/>
        <w:ind w:firstLine="632" w:firstLineChars="200"/>
        <w:rPr>
          <w:rFonts w:ascii="仿宋_GB2312"/>
        </w:rPr>
      </w:pPr>
      <w:r>
        <w:rPr>
          <w:rFonts w:hint="eastAsia" w:ascii="仿宋_GB2312"/>
        </w:rPr>
        <w:t>《中华人民共和国预算法》、《东川区预算绩效管理暂行办法》（东政发〔2015〕104号）、《昆明市东川区人民政府办公室关于印发东川区预算绩效管理工作考核办法（试行）》（东政办〔2017〕24号），专项资金项目及资金管理办法，部门（单位）财务会计制度，中央、省、市、区相关政策规定。</w:t>
      </w:r>
    </w:p>
    <w:p>
      <w:pPr>
        <w:spacing w:line="560" w:lineRule="exact"/>
        <w:ind w:firstLine="632" w:firstLineChars="200"/>
        <w:rPr>
          <w:rFonts w:ascii="仿宋_GB2312"/>
          <w:b/>
        </w:rPr>
      </w:pPr>
      <w:r>
        <w:rPr>
          <w:rFonts w:hint="eastAsia" w:ascii="仿宋_GB2312"/>
          <w:b/>
        </w:rPr>
        <w:t>3.评价方法</w:t>
      </w:r>
    </w:p>
    <w:p>
      <w:pPr>
        <w:spacing w:line="560" w:lineRule="exact"/>
        <w:ind w:firstLine="632" w:firstLineChars="200"/>
      </w:pPr>
      <w:r>
        <w:rPr>
          <w:rFonts w:hint="eastAsia" w:ascii="仿宋_GB2312"/>
        </w:rPr>
        <w:t>主要依据《东川区预算绩效管理暂行办法》（东政发〔2015〕104号）、《昆明市东川区人民政府办公室关于印发东川区预算绩效管理工作考核办法（试行）》（东政办〔2017〕24号）确定绩效评价方法。在实施过程中，根据项目财政支出的具体情况，主要采用成本效益分析法、比较法、因素分析法，了解本项目资金使用管理、项目实施管理、项目产出以及产生的社会效益等情况，评价本项目绩效得分。</w:t>
      </w:r>
    </w:p>
    <w:p>
      <w:pPr>
        <w:spacing w:line="560" w:lineRule="exact"/>
        <w:ind w:firstLine="632" w:firstLineChars="200"/>
        <w:rPr>
          <w:rFonts w:ascii="黑体" w:hAnsi="黑体" w:eastAsia="黑体"/>
          <w:szCs w:val="32"/>
        </w:rPr>
      </w:pPr>
      <w:r>
        <w:rPr>
          <w:rFonts w:hint="eastAsia" w:ascii="黑体" w:hAnsi="黑体" w:eastAsia="黑体"/>
          <w:szCs w:val="32"/>
        </w:rPr>
        <w:t>三、评价结论和绩效分析</w:t>
      </w:r>
    </w:p>
    <w:p>
      <w:pPr>
        <w:spacing w:line="560" w:lineRule="exact"/>
        <w:ind w:firstLine="632" w:firstLineChars="200"/>
        <w:rPr>
          <w:rFonts w:ascii="楷体_GB2312" w:hAnsi="楷体_GB2312" w:eastAsia="楷体_GB2312" w:cs="楷体_GB2312"/>
        </w:rPr>
      </w:pPr>
      <w:r>
        <w:rPr>
          <w:rFonts w:hint="eastAsia" w:ascii="楷体_GB2312" w:hAnsi="楷体_GB2312" w:eastAsia="楷体_GB2312" w:cs="楷体_GB2312"/>
        </w:rPr>
        <w:t>（一）评价结论</w:t>
      </w:r>
    </w:p>
    <w:p>
      <w:pPr>
        <w:pStyle w:val="2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1.评价结果。</w:t>
      </w:r>
      <w:r>
        <w:rPr>
          <w:rFonts w:hint="eastAsia" w:ascii="仿宋_GB2312" w:hAnsi="仿宋_GB2312" w:eastAsia="仿宋_GB2312" w:cs="仿宋_GB2312"/>
          <w:sz w:val="32"/>
          <w:szCs w:val="32"/>
        </w:rPr>
        <w:t>促进对残疾人扶持力度和提高安置就 业和辐射带动；帮扶和增加贫困残疾人收入；明显提高，进一步加大对残疾人扶持力度和提高安置就 业和辐射带动；帮扶和增加贫困残疾人收入。</w:t>
      </w:r>
    </w:p>
    <w:p>
      <w:pPr>
        <w:spacing w:line="560" w:lineRule="exact"/>
        <w:ind w:firstLine="632" w:firstLineChars="200"/>
        <w:rPr>
          <w:rFonts w:ascii="仿宋_GB2312" w:hAnsi="仿宋_GB2312" w:cs="仿宋_GB2312"/>
          <w:szCs w:val="32"/>
        </w:rPr>
      </w:pPr>
      <w:r>
        <w:rPr>
          <w:rFonts w:hint="eastAsia"/>
          <w:b/>
        </w:rPr>
        <w:t>2.主要绩效。</w:t>
      </w:r>
      <w:r>
        <w:rPr>
          <w:rFonts w:hint="eastAsia" w:ascii="仿宋_GB2312" w:hAnsi="仿宋_GB2312" w:cs="仿宋_GB2312"/>
          <w:szCs w:val="32"/>
        </w:rPr>
        <w:t>2020年，东川区落实残疾人到户扶贫户数为122户，资金28万元。到户扶贫基地2家，资金12万元，共计补助40万元，无结余情况。</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（二）具体绩效分析</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2020年，东川区落实残疾人到户扶贫户数为122户，资金28万元。到户扶贫基地2家：资金12万元，共计补助40万元，无结余。</w:t>
      </w:r>
    </w:p>
    <w:p>
      <w:pPr>
        <w:spacing w:line="560" w:lineRule="exact"/>
        <w:rPr>
          <w:rFonts w:ascii="仿宋_GB2312" w:hAnsi="黑体"/>
          <w:szCs w:val="32"/>
        </w:rPr>
      </w:pPr>
      <w:r>
        <w:rPr>
          <w:rFonts w:hint="eastAsia" w:ascii="仿宋_GB2312" w:hAnsi="黑体"/>
          <w:szCs w:val="32"/>
        </w:rPr>
        <w:t>经济效益指标：进一步加大对残疾人扶持力度和提高安置就 业和辐射带动；帮扶和增加贫困残疾人收入。</w:t>
      </w:r>
    </w:p>
    <w:p>
      <w:pPr>
        <w:spacing w:line="560" w:lineRule="exact"/>
        <w:ind w:firstLine="632" w:firstLineChars="200"/>
        <w:rPr>
          <w:rFonts w:ascii="仿宋_GB2312" w:hAnsi="黑体"/>
          <w:szCs w:val="32"/>
        </w:rPr>
      </w:pPr>
      <w:r>
        <w:rPr>
          <w:rFonts w:hint="eastAsia" w:ascii="仿宋_GB2312" w:hAnsi="黑体"/>
          <w:szCs w:val="32"/>
        </w:rPr>
        <w:t>社会效益指标：促进残疾人就业创业，营造全社会共发关心残疾人的良好氛围。</w:t>
      </w:r>
    </w:p>
    <w:p>
      <w:pPr>
        <w:spacing w:line="560" w:lineRule="exact"/>
        <w:ind w:firstLine="632" w:firstLineChars="200"/>
        <w:rPr>
          <w:rFonts w:ascii="仿宋_GB2312" w:hAnsi="黑体"/>
          <w:szCs w:val="32"/>
        </w:rPr>
      </w:pPr>
      <w:r>
        <w:rPr>
          <w:rFonts w:hint="eastAsia" w:ascii="仿宋_GB2312" w:hAnsi="黑体"/>
          <w:szCs w:val="32"/>
        </w:rPr>
        <w:t>生态效益指标：落实各项助残惠残政策，促进残疾人事业健康发展。</w:t>
      </w:r>
    </w:p>
    <w:p>
      <w:pPr>
        <w:topLinePunct/>
        <w:spacing w:line="560" w:lineRule="exact"/>
        <w:ind w:firstLine="632" w:firstLineChars="200"/>
        <w:rPr>
          <w:rFonts w:ascii="黑体" w:hAnsi="黑体" w:eastAsia="黑体"/>
          <w:szCs w:val="32"/>
        </w:rPr>
      </w:pPr>
      <w:r>
        <w:rPr>
          <w:rFonts w:hint="eastAsia" w:ascii="黑体" w:hAnsi="黑体" w:eastAsia="黑体"/>
          <w:szCs w:val="32"/>
        </w:rPr>
        <w:t>四、成本效益分析</w:t>
      </w:r>
    </w:p>
    <w:p>
      <w:pPr>
        <w:spacing w:line="560" w:lineRule="exact"/>
        <w:ind w:firstLine="632" w:firstLineChars="200"/>
        <w:rPr>
          <w:rFonts w:hint="eastAsia" w:ascii="楷体_GB2312" w:hAnsi="楷体" w:eastAsia="楷体_GB2312" w:cs="楷体"/>
          <w:szCs w:val="32"/>
        </w:rPr>
      </w:pPr>
      <w:r>
        <w:rPr>
          <w:rFonts w:hint="eastAsia" w:ascii="楷体_GB2312" w:hAnsi="楷体" w:eastAsia="楷体_GB2312" w:cs="楷体"/>
          <w:szCs w:val="32"/>
        </w:rPr>
        <w:t>（一）资金结算情况</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2020年，东川区落实残疾人到户扶贫户数为122户，资金28万元。到户扶贫基地2家：资金12万元，共计补助40万元，无结余情况。</w:t>
      </w:r>
    </w:p>
    <w:p>
      <w:pPr>
        <w:spacing w:line="560" w:lineRule="exact"/>
        <w:ind w:firstLine="632" w:firstLineChars="200"/>
        <w:rPr>
          <w:rFonts w:hint="eastAsia" w:ascii="楷体_GB2312" w:hAnsi="楷体" w:eastAsia="楷体_GB2312" w:cs="楷体"/>
          <w:szCs w:val="32"/>
        </w:rPr>
      </w:pPr>
      <w:r>
        <w:rPr>
          <w:rFonts w:hint="eastAsia" w:ascii="楷体_GB2312" w:hAnsi="楷体" w:eastAsia="楷体_GB2312" w:cs="楷体"/>
          <w:szCs w:val="32"/>
        </w:rPr>
        <w:t>（二）绩效目标</w:t>
      </w:r>
    </w:p>
    <w:p>
      <w:pPr>
        <w:spacing w:line="560" w:lineRule="exact"/>
        <w:ind w:firstLine="632" w:firstLineChars="200"/>
        <w:rPr>
          <w:rFonts w:ascii="华文仿宋" w:hAnsi="华文仿宋" w:eastAsia="华文仿宋" w:cs="华文仿宋"/>
          <w:szCs w:val="32"/>
        </w:rPr>
      </w:pPr>
      <w:r>
        <w:rPr>
          <w:rFonts w:hint="eastAsia" w:ascii="仿宋_GB2312" w:hAnsi="黑体"/>
          <w:b/>
          <w:szCs w:val="32"/>
        </w:rPr>
        <w:t>1.总目标：</w:t>
      </w:r>
      <w:r>
        <w:rPr>
          <w:rFonts w:hint="eastAsia" w:ascii="华文仿宋" w:hAnsi="华文仿宋" w:eastAsia="华文仿宋" w:cs="华文仿宋"/>
          <w:szCs w:val="32"/>
        </w:rPr>
        <w:t>促进对残疾人扶持力度和提高安置就 业和辐射带动；帮扶和增加贫困残疾人收入；明显提高，进一步加大对残疾人扶持力度和提高安置就 业和辐射带动；帮扶和增加贫困残疾人收入。</w:t>
      </w:r>
    </w:p>
    <w:p>
      <w:pPr>
        <w:spacing w:line="560" w:lineRule="exact"/>
        <w:ind w:firstLine="632" w:firstLineChars="200"/>
        <w:rPr>
          <w:rFonts w:ascii="仿宋_GB2312" w:hAnsi="黑体"/>
          <w:szCs w:val="32"/>
        </w:rPr>
      </w:pPr>
      <w:r>
        <w:rPr>
          <w:rFonts w:hint="eastAsia" w:ascii="仿宋_GB2312" w:hAnsi="黑体"/>
          <w:b/>
          <w:szCs w:val="32"/>
        </w:rPr>
        <w:t>2.年度目标：</w:t>
      </w:r>
      <w:r>
        <w:rPr>
          <w:rFonts w:hint="eastAsia" w:ascii="仿宋_GB2312" w:hAnsi="黑体"/>
          <w:szCs w:val="32"/>
        </w:rPr>
        <w:t>经济效益指标：进一步加大对残疾人扶持力度和提高安置就 业和辐射带动；帮扶和增加贫困残疾人收入。</w:t>
      </w:r>
    </w:p>
    <w:p>
      <w:pPr>
        <w:spacing w:line="560" w:lineRule="exact"/>
        <w:ind w:firstLine="632" w:firstLineChars="200"/>
        <w:rPr>
          <w:rFonts w:ascii="仿宋_GB2312" w:hAnsi="黑体"/>
          <w:szCs w:val="32"/>
        </w:rPr>
      </w:pPr>
      <w:r>
        <w:rPr>
          <w:rFonts w:hint="eastAsia" w:ascii="仿宋_GB2312" w:hAnsi="黑体"/>
          <w:b/>
          <w:szCs w:val="32"/>
        </w:rPr>
        <w:t>3.社会效益指标：</w:t>
      </w:r>
      <w:r>
        <w:rPr>
          <w:rFonts w:hint="eastAsia" w:ascii="仿宋_GB2312" w:hAnsi="黑体"/>
          <w:szCs w:val="32"/>
        </w:rPr>
        <w:t>促进残疾人就业创业，营造全社会共发关心残疾人的良好氛围。</w:t>
      </w:r>
    </w:p>
    <w:p>
      <w:pPr>
        <w:spacing w:line="560" w:lineRule="exact"/>
        <w:ind w:firstLine="632" w:firstLineChars="200"/>
        <w:rPr>
          <w:rFonts w:ascii="仿宋_GB2312" w:hAnsi="黑体"/>
          <w:szCs w:val="32"/>
        </w:rPr>
      </w:pPr>
      <w:r>
        <w:rPr>
          <w:rFonts w:hint="eastAsia" w:ascii="仿宋_GB2312" w:hAnsi="黑体"/>
          <w:b/>
          <w:szCs w:val="32"/>
        </w:rPr>
        <w:t>4.生态效益指标：</w:t>
      </w:r>
      <w:r>
        <w:rPr>
          <w:rFonts w:hint="eastAsia" w:ascii="仿宋_GB2312" w:hAnsi="黑体"/>
          <w:szCs w:val="32"/>
        </w:rPr>
        <w:t>落实各项助残惠残政策，促进残疾人事业健康发展。</w:t>
      </w:r>
    </w:p>
    <w:p>
      <w:pPr>
        <w:topLinePunct/>
        <w:spacing w:line="560" w:lineRule="exact"/>
        <w:ind w:firstLine="632" w:firstLineChars="200"/>
        <w:rPr>
          <w:rFonts w:ascii="黑体" w:hAnsi="黑体" w:eastAsia="黑体"/>
          <w:szCs w:val="32"/>
        </w:rPr>
      </w:pPr>
      <w:r>
        <w:rPr>
          <w:rFonts w:hint="eastAsia" w:ascii="黑体" w:hAnsi="黑体" w:eastAsia="黑体"/>
          <w:szCs w:val="32"/>
        </w:rPr>
        <w:t>五、主要存在的问题和建议</w:t>
      </w:r>
    </w:p>
    <w:p>
      <w:pPr>
        <w:spacing w:line="560" w:lineRule="exact"/>
        <w:ind w:firstLine="632" w:firstLineChars="200"/>
        <w:rPr>
          <w:rFonts w:ascii="仿宋_GB2312" w:hAnsi="楷体"/>
          <w:szCs w:val="32"/>
        </w:rPr>
      </w:pPr>
      <w:r>
        <w:rPr>
          <w:rFonts w:hint="eastAsia" w:ascii="楷体_GB2312" w:hAnsi="楷体_GB2312" w:eastAsia="楷体_GB2312" w:cs="楷体_GB2312"/>
          <w:szCs w:val="32"/>
        </w:rPr>
        <w:t>（一）存在的问题</w:t>
      </w:r>
      <w:r>
        <w:rPr>
          <w:rFonts w:hint="eastAsia" w:ascii="仿宋_GB2312" w:hAnsi="楷体"/>
          <w:szCs w:val="32"/>
        </w:rPr>
        <w:t>：东川区持证残疾人数多，扶贫基地少，残疾人就业困难。</w:t>
      </w:r>
    </w:p>
    <w:p>
      <w:pPr>
        <w:spacing w:line="560" w:lineRule="exact"/>
        <w:ind w:firstLine="632" w:firstLineChars="200"/>
        <w:rPr>
          <w:rFonts w:ascii="仿宋_GB2312" w:hAnsi="楷体"/>
          <w:szCs w:val="32"/>
        </w:rPr>
      </w:pPr>
      <w:r>
        <w:rPr>
          <w:rFonts w:hint="eastAsia" w:ascii="楷体_GB2312" w:hAnsi="楷体_GB2312" w:eastAsia="楷体_GB2312" w:cs="楷体_GB2312"/>
          <w:szCs w:val="32"/>
        </w:rPr>
        <w:t>（二）建议和改进措施</w:t>
      </w:r>
      <w:r>
        <w:rPr>
          <w:rFonts w:hint="eastAsia" w:ascii="仿宋_GB2312" w:hAnsi="楷体"/>
          <w:szCs w:val="32"/>
        </w:rPr>
        <w:t>：1.向企业宣传聘用残疾人的可减免缴纳残保金，利国利民。引导企业多招收残疾人；2.加大残疾人培训力度，提高残疾人自身就业技能，为就业做保障。</w:t>
      </w:r>
    </w:p>
    <w:p>
      <w:pPr>
        <w:spacing w:line="540" w:lineRule="exact"/>
        <w:ind w:left="948" w:hanging="948" w:hangingChars="300"/>
        <w:jc w:val="left"/>
        <w:rPr>
          <w:rFonts w:ascii="仿宋_GB2312"/>
          <w:szCs w:val="32"/>
        </w:rPr>
      </w:pPr>
    </w:p>
    <w:p>
      <w:pPr>
        <w:spacing w:line="540" w:lineRule="exact"/>
        <w:ind w:left="828" w:hanging="828" w:hangingChars="300"/>
        <w:jc w:val="left"/>
        <w:rPr>
          <w:rFonts w:ascii="仿宋_GB2312"/>
          <w:sz w:val="28"/>
          <w:szCs w:val="28"/>
        </w:rPr>
      </w:pPr>
      <w:r>
        <w:rPr>
          <w:rFonts w:ascii="仿宋_GB2312"/>
          <w:sz w:val="28"/>
          <w:szCs w:val="28"/>
        </w:rPr>
        <w:t xml:space="preserve"> </w:t>
      </w:r>
    </w:p>
    <w:p>
      <w:pPr>
        <w:spacing w:line="540" w:lineRule="exact"/>
        <w:ind w:left="828" w:hanging="828" w:hangingChars="300"/>
        <w:jc w:val="left"/>
        <w:rPr>
          <w:rFonts w:ascii="仿宋_GB2312"/>
          <w:sz w:val="28"/>
          <w:szCs w:val="28"/>
        </w:rPr>
      </w:pPr>
    </w:p>
    <w:sectPr>
      <w:headerReference r:id="rId3" w:type="default"/>
      <w:footerReference r:id="rId5" w:type="default"/>
      <w:headerReference r:id="rId4" w:type="even"/>
      <w:footerReference r:id="rId6" w:type="even"/>
      <w:pgSz w:w="11907" w:h="16840"/>
      <w:pgMar w:top="2098" w:right="1474" w:bottom="1984" w:left="1587"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1</w:t>
    </w:r>
    <w:r>
      <w:rPr>
        <w:rStyle w:val="11"/>
        <w:rFonts w:ascii="宋体" w:hAnsi="宋体" w:eastAsia="宋体"/>
        <w:sz w:val="28"/>
      </w:rPr>
      <w:fldChar w:fldCharType="end"/>
    </w:r>
    <w:r>
      <w:rPr>
        <w:rStyle w:val="11"/>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2</w:t>
    </w:r>
    <w:r>
      <w:rPr>
        <w:rStyle w:val="11"/>
        <w:rFonts w:ascii="宋体" w:hAnsi="宋体" w:eastAsia="宋体"/>
        <w:sz w:val="28"/>
      </w:rPr>
      <w:fldChar w:fldCharType="end"/>
    </w:r>
    <w:r>
      <w:rPr>
        <w:rStyle w:val="11"/>
        <w:rFonts w:ascii="宋体" w:hAnsi="宋体" w:eastAsia="宋体"/>
        <w:sz w:val="28"/>
      </w:rPr>
      <w:t>—</w:t>
    </w:r>
  </w:p>
  <w:p>
    <w:pPr>
      <w:pStyle w:val="6"/>
      <w:ind w:left="300"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p>
    <w:pPr>
      <w:pStyle w:val="7"/>
      <w:pBdr>
        <w:bottom w:val="none" w:color="auto" w:sz="0" w:space="1"/>
      </w:pBdr>
    </w:pPr>
  </w:p>
  <w:p>
    <w:pPr>
      <w:pStyle w:val="7"/>
      <w:pBdr>
        <w:bottom w:val="none" w:color="auto" w:sz="0" w:space="1"/>
      </w:pBdr>
    </w:pPr>
  </w:p>
  <w:p>
    <w:pPr>
      <w:pStyle w:val="7"/>
      <w:pBdr>
        <w:bottom w:val="none" w:color="auto" w:sz="0" w:space="1"/>
      </w:pBdr>
    </w:pPr>
  </w:p>
  <w:p>
    <w:pPr>
      <w:pStyle w:val="7"/>
      <w:pBdr>
        <w:bottom w:val="none" w:color="auto" w:sz="0" w:space="1"/>
      </w:pBdr>
    </w:pPr>
  </w:p>
  <w:p>
    <w:pPr>
      <w:pStyle w:val="7"/>
      <w:pBdr>
        <w:bottom w:val="none" w:color="auto" w:sz="0" w:space="1"/>
      </w:pBdr>
    </w:pPr>
  </w:p>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33929"/>
    <w:rsid w:val="000578BA"/>
    <w:rsid w:val="00061B34"/>
    <w:rsid w:val="00085C25"/>
    <w:rsid w:val="000A10AD"/>
    <w:rsid w:val="000C6A55"/>
    <w:rsid w:val="000D0079"/>
    <w:rsid w:val="000E3780"/>
    <w:rsid w:val="000E4635"/>
    <w:rsid w:val="000E57AE"/>
    <w:rsid w:val="000F0DDC"/>
    <w:rsid w:val="000F2D14"/>
    <w:rsid w:val="000F2E4E"/>
    <w:rsid w:val="00112694"/>
    <w:rsid w:val="00112C01"/>
    <w:rsid w:val="00121A8F"/>
    <w:rsid w:val="0013625A"/>
    <w:rsid w:val="0015120A"/>
    <w:rsid w:val="00155091"/>
    <w:rsid w:val="00167969"/>
    <w:rsid w:val="00171B5D"/>
    <w:rsid w:val="001776A1"/>
    <w:rsid w:val="00185A5A"/>
    <w:rsid w:val="00197124"/>
    <w:rsid w:val="00197936"/>
    <w:rsid w:val="001B5425"/>
    <w:rsid w:val="001D2295"/>
    <w:rsid w:val="001D6993"/>
    <w:rsid w:val="001F7678"/>
    <w:rsid w:val="002021EA"/>
    <w:rsid w:val="002164BD"/>
    <w:rsid w:val="00232238"/>
    <w:rsid w:val="00236F6F"/>
    <w:rsid w:val="00260330"/>
    <w:rsid w:val="002608DE"/>
    <w:rsid w:val="00266B3B"/>
    <w:rsid w:val="0027333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069ED"/>
    <w:rsid w:val="00437BBB"/>
    <w:rsid w:val="00441E1F"/>
    <w:rsid w:val="00443AFE"/>
    <w:rsid w:val="0044547C"/>
    <w:rsid w:val="00460C71"/>
    <w:rsid w:val="00463CBD"/>
    <w:rsid w:val="0048484B"/>
    <w:rsid w:val="004B7A2C"/>
    <w:rsid w:val="004E5EBC"/>
    <w:rsid w:val="00507187"/>
    <w:rsid w:val="005456D8"/>
    <w:rsid w:val="00547454"/>
    <w:rsid w:val="00547D91"/>
    <w:rsid w:val="0055335F"/>
    <w:rsid w:val="0055784C"/>
    <w:rsid w:val="005800E4"/>
    <w:rsid w:val="00587D66"/>
    <w:rsid w:val="00596EAF"/>
    <w:rsid w:val="005B05E9"/>
    <w:rsid w:val="005B63D2"/>
    <w:rsid w:val="005C1E91"/>
    <w:rsid w:val="005C3612"/>
    <w:rsid w:val="005D1F7C"/>
    <w:rsid w:val="00623770"/>
    <w:rsid w:val="00634A37"/>
    <w:rsid w:val="0067583F"/>
    <w:rsid w:val="00684F23"/>
    <w:rsid w:val="00691838"/>
    <w:rsid w:val="006A6EB6"/>
    <w:rsid w:val="006B11BB"/>
    <w:rsid w:val="006D26E3"/>
    <w:rsid w:val="006E0E51"/>
    <w:rsid w:val="0070331B"/>
    <w:rsid w:val="00705F81"/>
    <w:rsid w:val="00711838"/>
    <w:rsid w:val="007347E8"/>
    <w:rsid w:val="007415CB"/>
    <w:rsid w:val="00752484"/>
    <w:rsid w:val="00753191"/>
    <w:rsid w:val="00764129"/>
    <w:rsid w:val="00767A70"/>
    <w:rsid w:val="007740E0"/>
    <w:rsid w:val="00797BFE"/>
    <w:rsid w:val="007E48FF"/>
    <w:rsid w:val="007F24E4"/>
    <w:rsid w:val="007F5BD0"/>
    <w:rsid w:val="0080354F"/>
    <w:rsid w:val="00810628"/>
    <w:rsid w:val="008273F9"/>
    <w:rsid w:val="008452A9"/>
    <w:rsid w:val="0086384F"/>
    <w:rsid w:val="00885932"/>
    <w:rsid w:val="008863B5"/>
    <w:rsid w:val="00896C1C"/>
    <w:rsid w:val="008D4DFD"/>
    <w:rsid w:val="008F3154"/>
    <w:rsid w:val="0091413F"/>
    <w:rsid w:val="009156B6"/>
    <w:rsid w:val="00945C54"/>
    <w:rsid w:val="009511E2"/>
    <w:rsid w:val="00960202"/>
    <w:rsid w:val="00971ACC"/>
    <w:rsid w:val="00984AA9"/>
    <w:rsid w:val="009A76AB"/>
    <w:rsid w:val="009B1D6B"/>
    <w:rsid w:val="009C2E24"/>
    <w:rsid w:val="009E07A7"/>
    <w:rsid w:val="00A032C7"/>
    <w:rsid w:val="00A04D6E"/>
    <w:rsid w:val="00A336FB"/>
    <w:rsid w:val="00A449C0"/>
    <w:rsid w:val="00A45A91"/>
    <w:rsid w:val="00AB6099"/>
    <w:rsid w:val="00AE4770"/>
    <w:rsid w:val="00B00978"/>
    <w:rsid w:val="00B1591B"/>
    <w:rsid w:val="00B268F0"/>
    <w:rsid w:val="00B6766E"/>
    <w:rsid w:val="00B71C9F"/>
    <w:rsid w:val="00B8171D"/>
    <w:rsid w:val="00BA1A64"/>
    <w:rsid w:val="00BA4AB4"/>
    <w:rsid w:val="00BC60B5"/>
    <w:rsid w:val="00BC7CC4"/>
    <w:rsid w:val="00BD1B59"/>
    <w:rsid w:val="00BD7DE4"/>
    <w:rsid w:val="00BF7471"/>
    <w:rsid w:val="00C01F37"/>
    <w:rsid w:val="00C126D1"/>
    <w:rsid w:val="00C138EB"/>
    <w:rsid w:val="00C145B3"/>
    <w:rsid w:val="00C21CDB"/>
    <w:rsid w:val="00C40EC7"/>
    <w:rsid w:val="00C647AA"/>
    <w:rsid w:val="00CD2387"/>
    <w:rsid w:val="00CE7AAB"/>
    <w:rsid w:val="00D0652D"/>
    <w:rsid w:val="00D16944"/>
    <w:rsid w:val="00D20768"/>
    <w:rsid w:val="00D4313E"/>
    <w:rsid w:val="00D4728C"/>
    <w:rsid w:val="00D60CF2"/>
    <w:rsid w:val="00D611EB"/>
    <w:rsid w:val="00D77134"/>
    <w:rsid w:val="00D87244"/>
    <w:rsid w:val="00DC25E6"/>
    <w:rsid w:val="00DD46DD"/>
    <w:rsid w:val="00E0768F"/>
    <w:rsid w:val="00E124FB"/>
    <w:rsid w:val="00E219E0"/>
    <w:rsid w:val="00E44E53"/>
    <w:rsid w:val="00E60A47"/>
    <w:rsid w:val="00E61A99"/>
    <w:rsid w:val="00E627D0"/>
    <w:rsid w:val="00E75F2E"/>
    <w:rsid w:val="00EB1222"/>
    <w:rsid w:val="00EB5E95"/>
    <w:rsid w:val="00F063F0"/>
    <w:rsid w:val="00F40020"/>
    <w:rsid w:val="00F525BE"/>
    <w:rsid w:val="00F613AB"/>
    <w:rsid w:val="00F8179E"/>
    <w:rsid w:val="00FA0123"/>
    <w:rsid w:val="00FA5DA4"/>
    <w:rsid w:val="00FA6F43"/>
    <w:rsid w:val="00FB0339"/>
    <w:rsid w:val="00FC5A94"/>
    <w:rsid w:val="00FE3DCA"/>
    <w:rsid w:val="00FE5FA5"/>
    <w:rsid w:val="00FF212D"/>
    <w:rsid w:val="02E51C4B"/>
    <w:rsid w:val="033C7485"/>
    <w:rsid w:val="03D13ADE"/>
    <w:rsid w:val="07F817E1"/>
    <w:rsid w:val="0AA5070D"/>
    <w:rsid w:val="0E9055B6"/>
    <w:rsid w:val="0F4A1E03"/>
    <w:rsid w:val="0F9D5E14"/>
    <w:rsid w:val="12960F37"/>
    <w:rsid w:val="12A15DB4"/>
    <w:rsid w:val="1456045D"/>
    <w:rsid w:val="15855199"/>
    <w:rsid w:val="17253C74"/>
    <w:rsid w:val="17A074B3"/>
    <w:rsid w:val="17FB68F0"/>
    <w:rsid w:val="18191B17"/>
    <w:rsid w:val="18681B04"/>
    <w:rsid w:val="1B216501"/>
    <w:rsid w:val="1DC05121"/>
    <w:rsid w:val="1EF45FD8"/>
    <w:rsid w:val="2162702C"/>
    <w:rsid w:val="234F499D"/>
    <w:rsid w:val="238F66BE"/>
    <w:rsid w:val="254502B5"/>
    <w:rsid w:val="276B483A"/>
    <w:rsid w:val="27AA6B0A"/>
    <w:rsid w:val="288F423F"/>
    <w:rsid w:val="29121B7F"/>
    <w:rsid w:val="2A2B0276"/>
    <w:rsid w:val="2B3F257D"/>
    <w:rsid w:val="2CDE7EDA"/>
    <w:rsid w:val="2DEB0973"/>
    <w:rsid w:val="31347554"/>
    <w:rsid w:val="323D19B0"/>
    <w:rsid w:val="3704484F"/>
    <w:rsid w:val="37FF42C2"/>
    <w:rsid w:val="38265C2B"/>
    <w:rsid w:val="383523CE"/>
    <w:rsid w:val="3A505ABB"/>
    <w:rsid w:val="3DB90469"/>
    <w:rsid w:val="3DBE7648"/>
    <w:rsid w:val="43B929A7"/>
    <w:rsid w:val="43E96543"/>
    <w:rsid w:val="4589726A"/>
    <w:rsid w:val="46C575B9"/>
    <w:rsid w:val="47605014"/>
    <w:rsid w:val="4ADF6D94"/>
    <w:rsid w:val="4B6660A3"/>
    <w:rsid w:val="4E0A01BA"/>
    <w:rsid w:val="4F7370ED"/>
    <w:rsid w:val="537A2F3D"/>
    <w:rsid w:val="58565C15"/>
    <w:rsid w:val="58EA4442"/>
    <w:rsid w:val="59D7792D"/>
    <w:rsid w:val="5C8C320A"/>
    <w:rsid w:val="5CBE2156"/>
    <w:rsid w:val="5E63468D"/>
    <w:rsid w:val="5FB269AD"/>
    <w:rsid w:val="62194B7D"/>
    <w:rsid w:val="63793D94"/>
    <w:rsid w:val="641336CD"/>
    <w:rsid w:val="67E91D9D"/>
    <w:rsid w:val="681239A2"/>
    <w:rsid w:val="6A833045"/>
    <w:rsid w:val="6B7B04AD"/>
    <w:rsid w:val="6D955405"/>
    <w:rsid w:val="6EF279DB"/>
    <w:rsid w:val="702B6460"/>
    <w:rsid w:val="717417D7"/>
    <w:rsid w:val="72E86A16"/>
    <w:rsid w:val="74E136FC"/>
    <w:rsid w:val="77A36BE2"/>
    <w:rsid w:val="77B36A29"/>
    <w:rsid w:val="78880BD0"/>
    <w:rsid w:val="7B8556A9"/>
    <w:rsid w:val="7CF87097"/>
    <w:rsid w:val="7E72291A"/>
    <w:rsid w:val="7E7A71DC"/>
    <w:rsid w:val="7F393F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toa heading"/>
    <w:basedOn w:val="1"/>
    <w:next w:val="1"/>
    <w:qFormat/>
    <w:uiPriority w:val="99"/>
    <w:pPr>
      <w:spacing w:before="120"/>
    </w:pPr>
    <w:rPr>
      <w:rFonts w:ascii="Cambria" w:hAnsi="Cambria"/>
      <w:sz w:val="24"/>
    </w:rPr>
  </w:style>
  <w:style w:type="paragraph" w:styleId="4">
    <w:name w:val="Body Text Indent"/>
    <w:basedOn w:val="1"/>
    <w:link w:val="16"/>
    <w:qFormat/>
    <w:uiPriority w:val="99"/>
    <w:pPr>
      <w:ind w:firstLine="632" w:firstLineChars="200"/>
    </w:pPr>
  </w:style>
  <w:style w:type="paragraph" w:styleId="5">
    <w:name w:val="Date"/>
    <w:basedOn w:val="1"/>
    <w:next w:val="1"/>
    <w:link w:val="15"/>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locked/>
    <w:uiPriority w:val="11"/>
    <w:pPr>
      <w:spacing w:before="240" w:after="60" w:line="312" w:lineRule="auto"/>
      <w:jc w:val="center"/>
      <w:outlineLvl w:val="1"/>
    </w:pPr>
    <w:rPr>
      <w:rFonts w:eastAsia="宋体" w:asciiTheme="majorHAnsi" w:hAnsiTheme="majorHAnsi" w:cstheme="majorBidi"/>
      <w:b/>
      <w:bCs/>
      <w:kern w:val="28"/>
      <w:szCs w:val="32"/>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页眉 Char"/>
    <w:link w:val="7"/>
    <w:semiHidden/>
    <w:qFormat/>
    <w:uiPriority w:val="99"/>
    <w:rPr>
      <w:rFonts w:eastAsia="仿宋_GB2312"/>
      <w:sz w:val="18"/>
      <w:szCs w:val="18"/>
    </w:rPr>
  </w:style>
  <w:style w:type="character" w:customStyle="1" w:styleId="14">
    <w:name w:val="页脚 Char"/>
    <w:link w:val="6"/>
    <w:semiHidden/>
    <w:qFormat/>
    <w:uiPriority w:val="99"/>
    <w:rPr>
      <w:rFonts w:eastAsia="仿宋_GB2312"/>
      <w:sz w:val="18"/>
      <w:szCs w:val="18"/>
    </w:rPr>
  </w:style>
  <w:style w:type="character" w:customStyle="1" w:styleId="15">
    <w:name w:val="日期 Char"/>
    <w:link w:val="5"/>
    <w:semiHidden/>
    <w:qFormat/>
    <w:uiPriority w:val="99"/>
    <w:rPr>
      <w:rFonts w:eastAsia="仿宋_GB2312"/>
      <w:sz w:val="32"/>
      <w:szCs w:val="20"/>
    </w:rPr>
  </w:style>
  <w:style w:type="character" w:customStyle="1" w:styleId="16">
    <w:name w:val="正文文本缩进 Char"/>
    <w:link w:val="4"/>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2"/>
    <w:qFormat/>
    <w:uiPriority w:val="99"/>
    <w:rPr>
      <w:rFonts w:ascii="Calibri" w:hAnsi="Calibri" w:cs="Calibri"/>
      <w:b/>
      <w:bCs/>
      <w:kern w:val="44"/>
      <w:sz w:val="44"/>
      <w:szCs w:val="44"/>
    </w:rPr>
  </w:style>
  <w:style w:type="paragraph" w:styleId="19">
    <w:name w:val="List Paragraph"/>
    <w:basedOn w:val="1"/>
    <w:qFormat/>
    <w:uiPriority w:val="34"/>
    <w:pPr>
      <w:ind w:firstLine="420" w:firstLineChars="200"/>
    </w:pPr>
  </w:style>
  <w:style w:type="paragraph" w:customStyle="1" w:styleId="20">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5</Pages>
  <Words>1873</Words>
  <Characters>138</Characters>
  <Lines>1</Lines>
  <Paragraphs>4</Paragraphs>
  <TotalTime>32</TotalTime>
  <ScaleCrop>false</ScaleCrop>
  <LinksUpToDate>false</LinksUpToDate>
  <CharactersWithSpaces>2007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2019-07-20T04:05:00Z</dcterms:created>
  <dc:creator>y</dc:creator>
  <cp:lastModifiedBy>清晨</cp:lastModifiedBy>
  <cp:lastPrinted>2015-07-03T03:13:00Z</cp:lastPrinted>
  <dcterms:modified xsi:type="dcterms:W3CDTF">2021-05-26T03:29:21Z</dcterms:modified>
  <dc:title>益财会〔2002〕4号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