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 w:leftChars="0" w:firstLine="0" w:firstLineChars="0"/>
        <w:jc w:val="left"/>
        <w:rPr>
          <w:rFonts w:ascii="黑体" w:eastAsia="黑体"/>
          <w:b/>
          <w:sz w:val="28"/>
          <w:szCs w:val="28"/>
        </w:rPr>
      </w:pPr>
      <w:r>
        <w:rPr>
          <w:rFonts w:hint="eastAsia" w:ascii="仿宋_GB2312" w:hAnsi="宋体" w:cs="宋体"/>
          <w:b/>
          <w:kern w:val="0"/>
          <w:sz w:val="28"/>
          <w:szCs w:val="28"/>
        </w:rPr>
        <w:t>附件</w:t>
      </w:r>
      <w:r>
        <w:rPr>
          <w:rFonts w:hint="eastAsia" w:ascii="仿宋_GB2312" w:hAnsi="宋体" w:cs="宋体"/>
          <w:b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宋体" w:cs="宋体"/>
          <w:b/>
          <w:kern w:val="0"/>
          <w:sz w:val="28"/>
          <w:szCs w:val="28"/>
        </w:rPr>
        <w:t>：</w:t>
      </w:r>
      <w:r>
        <w:rPr>
          <w:rFonts w:ascii="仿宋_GB2312" w:hAnsi="宋体" w:cs="宋体"/>
          <w:b/>
          <w:kern w:val="0"/>
          <w:sz w:val="28"/>
          <w:szCs w:val="28"/>
        </w:rPr>
        <w:t>项目支出绩效评价报告（参考提纲）</w:t>
      </w:r>
      <w:r>
        <w:rPr>
          <w:rFonts w:hint="eastAsia" w:ascii="仿宋_GB2312" w:hAnsi="宋体" w:cs="宋体"/>
          <w:b/>
          <w:kern w:val="0"/>
          <w:sz w:val="28"/>
          <w:szCs w:val="28"/>
        </w:rPr>
        <w:t>及所需提供的佐证材料</w:t>
      </w:r>
    </w:p>
    <w:p>
      <w:pPr>
        <w:spacing w:line="600" w:lineRule="exact"/>
        <w:rPr>
          <w:rFonts w:ascii="黑体" w:eastAsia="黑体"/>
          <w:szCs w:val="32"/>
        </w:rPr>
      </w:pPr>
    </w:p>
    <w:p>
      <w:pPr>
        <w:spacing w:line="600" w:lineRule="exact"/>
        <w:jc w:val="center"/>
        <w:outlineLvl w:val="0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2020年度"三区"移民搬迁生活补助费及医疗保险</w:t>
      </w:r>
      <w:r>
        <w:rPr>
          <w:rFonts w:hint="eastAsia" w:ascii="方正小标宋_GBK" w:eastAsia="方正小标宋_GBK"/>
          <w:sz w:val="36"/>
          <w:szCs w:val="36"/>
        </w:rPr>
        <w:t>项目</w:t>
      </w:r>
    </w:p>
    <w:p>
      <w:pPr>
        <w:spacing w:line="600" w:lineRule="exact"/>
        <w:jc w:val="center"/>
        <w:outlineLvl w:val="0"/>
        <w:rPr>
          <w:rFonts w:hint="eastAsia" w:ascii="仿宋_GB2312" w:hAnsi="仿宋"/>
        </w:rPr>
      </w:pPr>
      <w:r>
        <w:rPr>
          <w:rFonts w:hint="eastAsia" w:ascii="方正小标宋_GBK" w:eastAsia="方正小标宋_GBK"/>
          <w:sz w:val="36"/>
          <w:szCs w:val="36"/>
        </w:rPr>
        <w:t>支出绩效自评报告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ind w:right="0" w:rightChars="0" w:firstLine="632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项目基本情况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ind w:leftChars="200" w:right="0" w:rightChars="0"/>
        <w:textAlignment w:val="auto"/>
        <w:outlineLvl w:val="1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项目概况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1.立项背景及目的。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东川采空区塌陷区地质灾害隐患区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（以下简称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“三区”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居民生活环境问题一直深受市委市政府领导的高度重视，从2009年初，市委、市政府就成立了“昆明市东川区经济转型和可持续发展工作领导小组”及其办公室，指导协调东川转型发展工作，东川区领导非常重视，一直在探索“人下山、树上山”修复生态环境，持续开展泥石流和水土流失治理工作，坚持以移民搬迁和生态建设“两条腿”走路，切实保障和改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“三区”群众的生命财产安全、生产生活条件。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2.项目实施情况。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从2009年开始，东川区实施“三区”移民搬迁，共搬迁1378户4566人。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一期情况：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“三区”移民搬迁（一期）项目搬迁538户1734人，总投资11323.043万元，采取采购主城区新建商品房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鑫隆源</w:t>
      </w:r>
      <w:r>
        <w:rPr>
          <w:rFonts w:hint="eastAsia" w:ascii="仿宋_GB2312" w:hAnsi="仿宋_GB2312" w:eastAsia="仿宋_GB2312" w:cs="仿宋_GB2312"/>
          <w:sz w:val="32"/>
          <w:szCs w:val="32"/>
        </w:rPr>
        <w:t>小区43350平方米进行安置，2010年底移民已入住新居。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一期群众享受政策为人均25平方米住房，每月350生活补贴费，群众未出自筹资金。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二期情况：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“三区”移民搬迁（二期）项目搬迁383户1162人，总投资10634.379万元，采取采购石文化步行街新建商品房23240㎡、商铺2000㎡进行安置。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二期群众享受政策为20平方米住房，每月350生活补贴费，群众未出自筹资金。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20" w:lineRule="exact"/>
        <w:ind w:firstLine="632" w:firstLineChars="200"/>
        <w:rPr>
          <w:rFonts w:hint="eastAsia" w:ascii="仿宋_GB2312" w:hAnsi="仿宋"/>
          <w:snapToGrid w:val="0"/>
          <w:kern w:val="0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3.资金来源及使用情况。根据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中共昆明市东川区委办公室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昆明市东川区人民政府办公室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关于印发《昆明市东川区矿山采空区塌陷区地质灾害隐患区移民搬迁（一期）实施办法（试行）》的通知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》（东办通[2010]3号）和《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关于印发《东川区矿山采空区塌陷区地质灾害隐患区移民搬迁（二期）实施细则》的通知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》（东办通〔2014〕28号）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"/>
          <w:snapToGrid w:val="0"/>
          <w:kern w:val="0"/>
          <w:sz w:val="32"/>
          <w:szCs w:val="32"/>
        </w:rPr>
        <w:t>移</w:t>
      </w:r>
      <w:r>
        <w:rPr>
          <w:rFonts w:hint="eastAsia" w:ascii="仿宋_GB2312" w:hAnsi="仿宋"/>
          <w:snapToGrid w:val="0"/>
          <w:kern w:val="0"/>
          <w:szCs w:val="32"/>
        </w:rPr>
        <w:t>民搬迁</w:t>
      </w:r>
      <w:r>
        <w:rPr>
          <w:rFonts w:hint="eastAsia" w:ascii="仿宋_GB2312"/>
          <w:szCs w:val="32"/>
        </w:rPr>
        <w:t>人员搬迁</w:t>
      </w:r>
      <w:r>
        <w:rPr>
          <w:rFonts w:hint="eastAsia" w:ascii="仿宋_GB2312" w:hAnsi="仿宋"/>
          <w:snapToGrid w:val="0"/>
          <w:kern w:val="0"/>
          <w:szCs w:val="32"/>
        </w:rPr>
        <w:t>后，符合城市低保条件和要求的纳入城市低保，享受城市低保生活、医疗保险和居住小区物业费用补助政策；不符合城市低保条件和要求的不纳入城市低保，享受区财政承担的每人每月</w:t>
      </w:r>
      <w:r>
        <w:rPr>
          <w:rFonts w:hint="eastAsia" w:ascii="宋体" w:hAnsi="宋体" w:eastAsia="宋体"/>
          <w:snapToGrid w:val="0"/>
          <w:kern w:val="0"/>
          <w:szCs w:val="32"/>
        </w:rPr>
        <w:t>350</w:t>
      </w:r>
      <w:r>
        <w:rPr>
          <w:rFonts w:hint="eastAsia" w:ascii="仿宋_GB2312" w:hAnsi="仿宋"/>
          <w:snapToGrid w:val="0"/>
          <w:kern w:val="0"/>
          <w:szCs w:val="32"/>
        </w:rPr>
        <w:t>元生活及医疗保险和居住小区物业费用补助政策。移民搬迁后，新增人口（含新出生及嫁娶入赘迁入人口）不享受生活和医疗保险补助政策；死亡及嫁娶等原因迁出东川人口从迁出、死亡下月起，终止生活和医疗保险补助政策；移民搬迁</w:t>
      </w:r>
      <w:r>
        <w:rPr>
          <w:rFonts w:hint="eastAsia" w:ascii="仿宋_GB2312"/>
          <w:szCs w:val="32"/>
        </w:rPr>
        <w:t>人员搬迁</w:t>
      </w:r>
      <w:r>
        <w:rPr>
          <w:rFonts w:hint="eastAsia" w:ascii="仿宋_GB2312" w:hAnsi="仿宋"/>
          <w:snapToGrid w:val="0"/>
          <w:kern w:val="0"/>
          <w:szCs w:val="32"/>
        </w:rPr>
        <w:t>后，</w:t>
      </w:r>
      <w:r>
        <w:rPr>
          <w:rFonts w:hint="eastAsia" w:ascii="仿宋_GB2312" w:hAnsi="仿宋"/>
          <w:szCs w:val="32"/>
        </w:rPr>
        <w:t>如成为国家财政供养人员及</w:t>
      </w:r>
      <w:r>
        <w:rPr>
          <w:rFonts w:hint="eastAsia" w:ascii="仿宋_GB2312" w:hAnsi="仿宋"/>
          <w:snapToGrid w:val="0"/>
          <w:kern w:val="0"/>
          <w:szCs w:val="32"/>
        </w:rPr>
        <w:t>国有企业（含国有股份制企业）正式员工，</w:t>
      </w:r>
      <w:r>
        <w:rPr>
          <w:rFonts w:hint="eastAsia" w:ascii="仿宋_GB2312" w:hAnsi="仿宋"/>
          <w:szCs w:val="32"/>
        </w:rPr>
        <w:t>自领取工资当月起，终止移民搬迁生活</w:t>
      </w:r>
      <w:r>
        <w:rPr>
          <w:rFonts w:hint="eastAsia" w:ascii="仿宋_GB2312" w:hAnsi="仿宋"/>
          <w:snapToGrid w:val="0"/>
          <w:kern w:val="0"/>
          <w:szCs w:val="32"/>
        </w:rPr>
        <w:t>及医疗保险</w:t>
      </w:r>
      <w:r>
        <w:rPr>
          <w:rFonts w:hint="eastAsia" w:ascii="仿宋_GB2312" w:hAnsi="仿宋"/>
          <w:szCs w:val="32"/>
        </w:rPr>
        <w:t>补助；</w:t>
      </w:r>
      <w:r>
        <w:rPr>
          <w:rFonts w:hint="eastAsia" w:ascii="仿宋_GB2312" w:hAnsi="仿宋"/>
          <w:snapToGrid w:val="0"/>
          <w:kern w:val="0"/>
          <w:szCs w:val="32"/>
        </w:rPr>
        <w:t>违法犯罪人员在服刑期间不享受生活和医疗保险补助政策；移民搬迁后，如出现搬迁房买卖，自搬迁房卖出之日起终止居住小区物业费用补助。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ind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组织实施情况。东川“三区”移民搬迁一期二期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生活费补助及医疗补助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676.58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，用于支付“三区”移民搬迁一期二期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生活费补助及医疗补助。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东财预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[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号文下达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资源枯</w:t>
      </w:r>
      <w:bookmarkStart w:id="57" w:name="_GoBack"/>
      <w:bookmarkEnd w:id="57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竭型城市可持续发展资金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676.58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万元。项目已使用资金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676.58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，用于支付“三区”移民搬迁一期二期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人员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生活费补助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350元/月/人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按月发放，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以一卡通方式直接拨到移民户卡上。医疗补助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至区医保局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540" w:lineRule="exact"/>
        <w:ind w:left="0" w:right="0" w:firstLine="790" w:firstLineChars="250"/>
        <w:jc w:val="both"/>
        <w:rPr>
          <w:rFonts w:hint="eastAsia" w:ascii="楷体" w:hAnsi="楷体" w:eastAsia="楷体" w:cs="楷体"/>
          <w:szCs w:val="32"/>
          <w:lang w:val="en-US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（二）绩效目标。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540" w:lineRule="exact"/>
        <w:ind w:left="0" w:right="0" w:firstLine="790" w:firstLineChars="250"/>
        <w:jc w:val="both"/>
        <w:rPr>
          <w:rFonts w:hint="eastAsia" w:ascii="仿宋_GB2312" w:hAnsi="楷体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楷体" w:eastAsia="仿宋_GB2312" w:cs="仿宋_GB2312"/>
          <w:kern w:val="2"/>
          <w:sz w:val="32"/>
          <w:szCs w:val="32"/>
          <w:lang w:val="en-US" w:eastAsia="zh-CN" w:bidi="ar"/>
        </w:rPr>
        <w:t>1.总目标。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540" w:lineRule="exact"/>
        <w:ind w:left="0" w:right="0" w:firstLine="790" w:firstLineChars="250"/>
        <w:jc w:val="both"/>
        <w:rPr>
          <w:rFonts w:hint="eastAsia" w:ascii="仿宋_GB2312" w:hAnsi="楷体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楷体" w:eastAsia="仿宋_GB2312" w:cs="仿宋_GB2312"/>
          <w:kern w:val="2"/>
          <w:sz w:val="32"/>
          <w:szCs w:val="32"/>
          <w:lang w:val="en-US" w:eastAsia="zh-CN" w:bidi="ar"/>
        </w:rPr>
        <w:t>巩固和稳定东川区矿山采空区塌陷区地质灾害隐患区移民搬迁工作，对搬迁点移民1576人实施生活补助1985.76万元，医疗补助85.104万元，2018至2020年三年合计补助资金2070.864万元。通过该项目的逐年实施，矿区生态大有改观，移民生活逐步提高，社会经济发展速度大幅提升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topLinePunct/>
        <w:spacing w:before="0" w:beforeAutospacing="0" w:after="0" w:afterAutospacing="0" w:line="540" w:lineRule="exact"/>
        <w:ind w:left="0" w:right="0" w:firstLine="790" w:firstLineChars="250"/>
        <w:jc w:val="both"/>
        <w:rPr>
          <w:rFonts w:hint="eastAsia" w:ascii="仿宋_GB2312" w:hAnsi="楷体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楷体" w:eastAsia="仿宋_GB2312" w:cs="仿宋_GB2312"/>
          <w:kern w:val="2"/>
          <w:sz w:val="32"/>
          <w:szCs w:val="32"/>
          <w:lang w:val="en-US" w:eastAsia="zh-CN" w:bidi="ar"/>
        </w:rPr>
        <w:t>年度目标。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opLinePunct/>
        <w:spacing w:before="0" w:beforeAutospacing="0" w:after="0" w:afterAutospacing="0" w:line="540" w:lineRule="exact"/>
        <w:ind w:right="0" w:rightChars="0" w:firstLine="948" w:firstLineChars="300"/>
        <w:jc w:val="both"/>
        <w:rPr>
          <w:rFonts w:hint="eastAsia" w:ascii="仿宋_GB2312" w:hAnsi="楷体" w:eastAsia="仿宋_GB2312" w:cs="仿宋_GB2312"/>
          <w:szCs w:val="32"/>
          <w:lang w:val="en-US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完成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“三区”移民搬迁一期二期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1576人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生活费补助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350元/月/人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及医疗补助，通过该项目的实施，提高移民生活水平，稳定社会经济发展，促进矿区生态建设。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ind w:right="0" w:rightChars="0" w:firstLine="632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绩效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评价工作情况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pacing w:beforeAutospacing="0" w:afterAutospacing="0" w:line="240" w:lineRule="auto"/>
        <w:ind w:left="91" w:leftChars="29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（一）绩效评价目的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全面了解项目管理过程是否规范，产出目标是否完成以及效果目标是否实现等方面的内容，总结经验，查找不足，为项目在以后年度的开展提供可行性参考建议，在此基础上，重点分析项目预算编制的合理性、成本支出的真实性和控制有效性，评价财政资金的使用效率和效果，为以后年度编制项目预算、选择项目实施主体等提供参考依据。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620" w:lineRule="exact"/>
        <w:ind w:left="0" w:right="0" w:firstLine="790" w:firstLineChars="250"/>
        <w:jc w:val="both"/>
        <w:outlineLvl w:val="1"/>
        <w:rPr>
          <w:rFonts w:hint="eastAsia" w:ascii="楷体" w:hAnsi="楷体" w:eastAsia="楷体" w:cs="楷体"/>
          <w:color w:val="000000"/>
          <w:szCs w:val="32"/>
          <w:lang w:val="en-US"/>
        </w:rPr>
      </w:pPr>
      <w:bookmarkStart w:id="0" w:name="_Toc11471_WPSOffice_Level2"/>
      <w:bookmarkStart w:id="1" w:name="_Toc6074"/>
      <w:bookmarkStart w:id="2" w:name="_Toc31776"/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"/>
        </w:rPr>
        <w:t>（二）绩效评价工作方案制定过程</w:t>
      </w:r>
      <w:bookmarkEnd w:id="0"/>
      <w:bookmarkEnd w:id="1"/>
      <w:bookmarkEnd w:id="2"/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620" w:lineRule="exact"/>
        <w:ind w:left="0" w:right="0" w:firstLine="790" w:firstLineChars="250"/>
        <w:jc w:val="both"/>
        <w:outlineLvl w:val="2"/>
        <w:rPr>
          <w:rFonts w:hint="eastAsia" w:ascii="仿宋_GB2312" w:hAnsi="楷体" w:eastAsia="仿宋_GB2312" w:cs="仿宋_GB2312"/>
          <w:color w:val="000000"/>
          <w:szCs w:val="32"/>
          <w:lang w:val="en-US"/>
        </w:rPr>
      </w:pPr>
      <w:bookmarkStart w:id="3" w:name="_Toc4052"/>
      <w:bookmarkStart w:id="4" w:name="_Toc4376_WPSOffice_Level3"/>
      <w:bookmarkStart w:id="5" w:name="_Toc14587"/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lang w:val="en-US" w:eastAsia="zh-CN" w:bidi="ar"/>
        </w:rPr>
        <w:t>1.前期调研</w:t>
      </w:r>
      <w:bookmarkEnd w:id="3"/>
      <w:bookmarkEnd w:id="4"/>
      <w:bookmarkEnd w:id="5"/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580" w:lineRule="exact"/>
        <w:ind w:left="0" w:right="0" w:firstLine="790" w:firstLineChars="250"/>
        <w:jc w:val="both"/>
        <w:rPr>
          <w:rFonts w:hint="eastAsia" w:ascii="仿宋_GB2312" w:hAnsi="楷体" w:eastAsia="仿宋_GB2312" w:cs="仿宋_GB2312"/>
          <w:color w:val="000000"/>
          <w:szCs w:val="32"/>
          <w:lang w:val="en-US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"/>
        </w:rPr>
        <w:t>东川区发展和改革局</w:t>
      </w: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lang w:val="en-US" w:eastAsia="zh-CN" w:bidi="ar"/>
        </w:rPr>
        <w:t>成立绩效评价工作小组，对本单位的项目报送情况进行整理，结合掌握情况，对报送的项目实施情况进行调研分析、核查落实，在核查无误的情况下进行汇总，为绩效评价工作奠定基础。</w:t>
      </w:r>
    </w:p>
    <w:p>
      <w:pPr>
        <w:keepNext w:val="0"/>
        <w:keepLines w:val="0"/>
        <w:widowControl w:val="0"/>
        <w:numPr>
          <w:ilvl w:val="0"/>
          <w:numId w:val="4"/>
        </w:numPr>
        <w:suppressLineNumbers w:val="0"/>
        <w:topLinePunct/>
        <w:spacing w:before="0" w:beforeAutospacing="0" w:after="0" w:afterAutospacing="0" w:line="580" w:lineRule="exact"/>
        <w:ind w:left="0" w:right="0" w:firstLine="790" w:firstLineChars="250"/>
        <w:jc w:val="both"/>
        <w:outlineLvl w:val="2"/>
        <w:rPr>
          <w:rFonts w:hint="eastAsia" w:ascii="仿宋_GB2312" w:hAnsi="楷体" w:eastAsia="仿宋_GB2312" w:cs="仿宋_GB2312"/>
          <w:color w:val="000000"/>
          <w:szCs w:val="32"/>
          <w:lang w:val="en-US"/>
        </w:rPr>
      </w:pPr>
      <w:bookmarkStart w:id="6" w:name="_Toc3799"/>
      <w:bookmarkStart w:id="7" w:name="_Toc2850_WPSOffice_Level3"/>
      <w:bookmarkStart w:id="8" w:name="_Toc14727"/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lang w:val="en-US" w:eastAsia="zh-CN" w:bidi="ar"/>
        </w:rPr>
        <w:t>研究文件</w:t>
      </w:r>
      <w:bookmarkEnd w:id="6"/>
      <w:bookmarkEnd w:id="7"/>
      <w:bookmarkEnd w:id="8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32" w:firstLineChars="200"/>
        <w:jc w:val="left"/>
        <w:rPr>
          <w:rFonts w:hint="eastAsia" w:ascii="仿宋_GB2312" w:hAnsi="楷体" w:eastAsia="仿宋_GB2312" w:cs="仿宋_GB2312"/>
          <w:color w:val="000000"/>
          <w:szCs w:val="32"/>
          <w:highlight w:val="yellow"/>
          <w:lang w:val="en-US"/>
        </w:rPr>
      </w:pPr>
      <w:r>
        <w:rPr>
          <w:rFonts w:hint="eastAsia" w:ascii="仿宋_GB2312" w:hAnsi="楷体" w:cs="仿宋_GB2312"/>
          <w:color w:val="000000"/>
          <w:kern w:val="2"/>
          <w:sz w:val="32"/>
          <w:szCs w:val="32"/>
          <w:lang w:val="en-US" w:eastAsia="zh-CN" w:bidi="ar"/>
        </w:rPr>
        <w:t>东川区发展和改革局</w:t>
      </w: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lang w:val="en-US" w:eastAsia="zh-CN" w:bidi="ar"/>
        </w:rPr>
        <w:t>根据《中华人民共和国预算法》，按照《昆明市人民政府关于全面推进预算绩效管理改革的实施意见》（昆政发﹝2016﹞21号）和《东川区财政局关于开展东川区</w:t>
      </w:r>
      <w:r>
        <w:rPr>
          <w:rFonts w:hint="eastAsia" w:ascii="仿宋_GB2312" w:hAnsi="楷体" w:cs="仿宋_GB2312"/>
          <w:color w:val="000000"/>
          <w:kern w:val="2"/>
          <w:sz w:val="32"/>
          <w:szCs w:val="32"/>
          <w:lang w:val="en-US" w:eastAsia="zh-CN" w:bidi="ar"/>
        </w:rPr>
        <w:t>2020</w:t>
      </w: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lang w:val="en-US" w:eastAsia="zh-CN" w:bidi="ar"/>
        </w:rPr>
        <w:t>年度预算支出绩效自评工作的通知》（东财绩〔20</w:t>
      </w:r>
      <w:r>
        <w:rPr>
          <w:rFonts w:hint="eastAsia" w:ascii="仿宋_GB2312" w:hAnsi="楷体" w:cs="仿宋_GB2312"/>
          <w:color w:val="000000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lang w:val="en-US" w:eastAsia="zh-CN" w:bidi="ar"/>
        </w:rPr>
        <w:t>〕3号）文件要求，并查看单位年度工作任务目标，专项资金项目，绩效目标申报表，为开展绩效评价工作奠定基础。</w:t>
      </w:r>
    </w:p>
    <w:p>
      <w:pPr>
        <w:keepNext w:val="0"/>
        <w:keepLines w:val="0"/>
        <w:widowControl w:val="0"/>
        <w:numPr>
          <w:ilvl w:val="0"/>
          <w:numId w:val="4"/>
        </w:numPr>
        <w:suppressLineNumbers w:val="0"/>
        <w:topLinePunct/>
        <w:spacing w:before="0" w:beforeAutospacing="0" w:after="0" w:afterAutospacing="0" w:line="580" w:lineRule="exact"/>
        <w:ind w:left="0" w:right="0" w:firstLine="790" w:firstLineChars="250"/>
        <w:jc w:val="both"/>
        <w:outlineLvl w:val="2"/>
        <w:rPr>
          <w:rFonts w:hint="eastAsia" w:ascii="仿宋_GB2312" w:hAnsi="楷体" w:eastAsia="仿宋_GB2312" w:cs="仿宋_GB2312"/>
          <w:color w:val="000000"/>
          <w:szCs w:val="32"/>
          <w:lang w:val="en-US"/>
        </w:rPr>
      </w:pPr>
      <w:bookmarkStart w:id="9" w:name="_Toc18102"/>
      <w:bookmarkStart w:id="10" w:name="_Toc29899"/>
      <w:bookmarkStart w:id="11" w:name="_Toc7088_WPSOffice_Level3"/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lang w:val="en-US" w:eastAsia="zh-CN" w:bidi="ar"/>
        </w:rPr>
        <w:t>绩效评价指标体系及工作方案的设计</w:t>
      </w:r>
      <w:bookmarkEnd w:id="9"/>
      <w:bookmarkEnd w:id="10"/>
      <w:bookmarkEnd w:id="11"/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580" w:lineRule="exact"/>
        <w:ind w:left="0" w:right="0" w:firstLine="790" w:firstLineChars="250"/>
        <w:jc w:val="both"/>
        <w:rPr>
          <w:rFonts w:hint="eastAsia" w:ascii="仿宋_GB2312" w:hAnsi="楷体" w:eastAsia="仿宋_GB2312" w:cs="仿宋_GB2312"/>
          <w:color w:val="000000"/>
          <w:szCs w:val="32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lang w:val="en-US" w:eastAsia="zh-CN" w:bidi="ar"/>
        </w:rPr>
        <w:t>（1）绩效评价指标体系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580" w:lineRule="exact"/>
        <w:ind w:left="0" w:right="0" w:firstLine="790" w:firstLineChars="250"/>
        <w:jc w:val="both"/>
        <w:rPr>
          <w:rFonts w:hint="eastAsia" w:ascii="仿宋_GB2312" w:hAnsi="楷体" w:eastAsia="仿宋_GB2312" w:cs="仿宋_GB2312"/>
          <w:color w:val="000000"/>
          <w:szCs w:val="32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lang w:val="en-US" w:eastAsia="zh-CN" w:bidi="ar"/>
        </w:rPr>
        <w:t>绩效评价指标体系共设一级指标三个，分别为项目决策（20%）、项目管理（20%）、项目绩效（60%）；二级指标七个，分别为项目立项、项目目标、投入管理、财务管理、项目实施、项目产出、项目效益；再根据项目具体情况细化为三级指标及四级指标。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580" w:lineRule="exact"/>
        <w:ind w:left="0" w:right="0" w:firstLine="790" w:firstLineChars="250"/>
        <w:jc w:val="both"/>
        <w:rPr>
          <w:rFonts w:hint="eastAsia" w:ascii="仿宋_GB2312" w:hAnsi="楷体" w:eastAsia="仿宋_GB2312" w:cs="仿宋_GB2312"/>
          <w:color w:val="000000"/>
          <w:szCs w:val="32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lang w:val="en-US" w:eastAsia="zh-CN" w:bidi="ar"/>
        </w:rPr>
        <w:t>（2）工作方案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580" w:lineRule="exact"/>
        <w:ind w:left="0" w:right="0" w:firstLine="790" w:firstLineChars="250"/>
        <w:jc w:val="both"/>
        <w:rPr>
          <w:rFonts w:hint="eastAsia" w:ascii="仿宋_GB2312" w:hAnsi="楷体" w:eastAsia="仿宋_GB2312" w:cs="仿宋_GB2312"/>
          <w:color w:val="000000"/>
          <w:szCs w:val="32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lang w:val="en-US" w:eastAsia="zh-CN" w:bidi="ar"/>
        </w:rPr>
        <w:t>绩效评价工作小组组织召开绩效评价会议，确定绩效评价重点，选取适合的绩效评价方式，制定绩效评价指标体系，明确绩效评价标准和评分标准，对相关单位的绩效资料报送情况进行现场核查、搜集证据材料，并形成评价结论，得出绩效评分。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580" w:lineRule="exact"/>
        <w:ind w:left="0" w:right="0" w:firstLine="790" w:firstLineChars="250"/>
        <w:jc w:val="both"/>
        <w:outlineLvl w:val="1"/>
        <w:rPr>
          <w:rFonts w:hint="eastAsia" w:ascii="楷体" w:hAnsi="楷体" w:eastAsia="楷体" w:cs="楷体"/>
          <w:color w:val="000000"/>
          <w:szCs w:val="32"/>
          <w:lang w:val="en-US"/>
        </w:rPr>
      </w:pPr>
      <w:bookmarkStart w:id="12" w:name="_Toc5669"/>
      <w:bookmarkStart w:id="13" w:name="_Toc31331_WPSOffice_Level2"/>
      <w:bookmarkStart w:id="14" w:name="_Toc3884"/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"/>
        </w:rPr>
        <w:t>（三）绩效评价原则、评价方法</w:t>
      </w:r>
      <w:bookmarkEnd w:id="12"/>
      <w:bookmarkEnd w:id="13"/>
      <w:bookmarkEnd w:id="14"/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580" w:lineRule="exact"/>
        <w:ind w:left="0" w:right="0" w:firstLine="790" w:firstLineChars="250"/>
        <w:jc w:val="both"/>
        <w:outlineLvl w:val="2"/>
        <w:rPr>
          <w:rFonts w:hint="eastAsia" w:ascii="仿宋_GB2312" w:hAnsi="楷体" w:eastAsia="仿宋_GB2312" w:cs="仿宋_GB2312"/>
          <w:color w:val="000000"/>
          <w:szCs w:val="32"/>
          <w:lang w:val="en-US"/>
        </w:rPr>
      </w:pPr>
      <w:bookmarkStart w:id="15" w:name="_Toc6299"/>
      <w:bookmarkStart w:id="16" w:name="_Toc15295"/>
      <w:bookmarkStart w:id="17" w:name="_Toc13043_WPSOffice_Level3"/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lang w:val="en-US" w:eastAsia="zh-CN" w:bidi="ar"/>
        </w:rPr>
        <w:t>1.绩效评价原则</w:t>
      </w:r>
      <w:bookmarkEnd w:id="15"/>
      <w:bookmarkEnd w:id="16"/>
      <w:bookmarkEnd w:id="17"/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580" w:lineRule="exact"/>
        <w:ind w:left="0" w:right="0" w:firstLine="790" w:firstLineChars="250"/>
        <w:jc w:val="both"/>
        <w:rPr>
          <w:rFonts w:hint="eastAsia" w:ascii="仿宋_GB2312" w:hAnsi="楷体" w:eastAsia="仿宋_GB2312" w:cs="仿宋_GB2312"/>
          <w:color w:val="000000"/>
          <w:szCs w:val="32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lang w:val="en-US" w:eastAsia="zh-CN" w:bidi="ar"/>
        </w:rPr>
        <w:t>（1）经济性、效率性和有效性原则；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580" w:lineRule="exact"/>
        <w:ind w:left="0" w:right="0" w:firstLine="790" w:firstLineChars="250"/>
        <w:jc w:val="both"/>
        <w:rPr>
          <w:rFonts w:hint="eastAsia" w:ascii="仿宋_GB2312" w:hAnsi="楷体" w:eastAsia="仿宋_GB2312" w:cs="仿宋_GB2312"/>
          <w:color w:val="000000"/>
          <w:szCs w:val="32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lang w:val="en-US" w:eastAsia="zh-CN" w:bidi="ar"/>
        </w:rPr>
        <w:t>（2）经济效益、社会效益和生态环境效益原则；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580" w:lineRule="exact"/>
        <w:ind w:left="0" w:right="0" w:firstLine="790" w:firstLineChars="250"/>
        <w:jc w:val="both"/>
        <w:rPr>
          <w:rFonts w:hint="eastAsia" w:ascii="仿宋_GB2312" w:hAnsi="楷体" w:eastAsia="仿宋_GB2312" w:cs="仿宋_GB2312"/>
          <w:color w:val="000000"/>
          <w:szCs w:val="32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lang w:val="en-US" w:eastAsia="zh-CN" w:bidi="ar"/>
        </w:rPr>
        <w:t>（3）财政支出和产出绩效对应原则；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580" w:lineRule="exact"/>
        <w:ind w:left="0" w:right="0" w:firstLine="790" w:firstLineChars="250"/>
        <w:jc w:val="both"/>
        <w:rPr>
          <w:rFonts w:hint="eastAsia" w:ascii="仿宋_GB2312" w:hAnsi="楷体" w:eastAsia="仿宋_GB2312" w:cs="仿宋_GB2312"/>
          <w:color w:val="000000"/>
          <w:szCs w:val="32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lang w:val="en-US" w:eastAsia="zh-CN" w:bidi="ar"/>
        </w:rPr>
        <w:t>（4）定量分析与定性分析相结合原则。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580" w:lineRule="exact"/>
        <w:ind w:left="0" w:right="0" w:firstLine="790" w:firstLineChars="250"/>
        <w:jc w:val="both"/>
        <w:outlineLvl w:val="2"/>
        <w:rPr>
          <w:rFonts w:hint="eastAsia" w:ascii="仿宋_GB2312" w:hAnsi="楷体" w:eastAsia="仿宋_GB2312" w:cs="仿宋_GB2312"/>
          <w:color w:val="000000"/>
          <w:szCs w:val="32"/>
          <w:lang w:val="en-US"/>
        </w:rPr>
      </w:pPr>
      <w:bookmarkStart w:id="18" w:name="_Toc923_WPSOffice_Level3"/>
      <w:bookmarkStart w:id="19" w:name="_Toc32224"/>
      <w:bookmarkStart w:id="20" w:name="_Toc24976"/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lang w:val="en-US" w:eastAsia="zh-CN" w:bidi="ar"/>
        </w:rPr>
        <w:t>2.绩效评价方法</w:t>
      </w:r>
      <w:bookmarkEnd w:id="18"/>
      <w:bookmarkEnd w:id="19"/>
      <w:bookmarkEnd w:id="20"/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580" w:lineRule="exact"/>
        <w:ind w:left="0" w:right="0" w:firstLine="790" w:firstLineChars="250"/>
        <w:jc w:val="both"/>
        <w:rPr>
          <w:rFonts w:hint="eastAsia" w:ascii="仿宋_GB2312" w:hAnsi="楷体" w:eastAsia="仿宋_GB2312" w:cs="仿宋_GB2312"/>
          <w:color w:val="000000"/>
          <w:szCs w:val="32"/>
          <w:lang w:val="en-US"/>
        </w:rPr>
      </w:pPr>
      <w:r>
        <w:rPr>
          <w:rFonts w:hint="eastAsia" w:ascii="仿宋_GB2312" w:hAnsi="楷体" w:cs="仿宋_GB2312"/>
          <w:color w:val="000000"/>
          <w:kern w:val="2"/>
          <w:sz w:val="32"/>
          <w:szCs w:val="32"/>
          <w:lang w:val="en-US" w:eastAsia="zh-CN" w:bidi="ar"/>
        </w:rPr>
        <w:t>东川区发展和改革局</w:t>
      </w: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lang w:val="en-US" w:eastAsia="zh-CN" w:bidi="ar"/>
        </w:rPr>
        <w:t>根据《中华人民共和国预算法》，按照《昆明市人民政府关于全面推进预算绩效管理改革的实施意见》（昆政发﹝2016﹞21号）和《东川区财政局关于开展东川区</w:t>
      </w:r>
      <w:r>
        <w:rPr>
          <w:rFonts w:hint="eastAsia" w:ascii="仿宋_GB2312" w:hAnsi="楷体" w:cs="仿宋_GB2312"/>
          <w:color w:val="000000"/>
          <w:kern w:val="2"/>
          <w:sz w:val="32"/>
          <w:szCs w:val="32"/>
          <w:lang w:val="en-US" w:eastAsia="zh-CN" w:bidi="ar"/>
        </w:rPr>
        <w:t>2020</w:t>
      </w: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lang w:val="en-US" w:eastAsia="zh-CN" w:bidi="ar"/>
        </w:rPr>
        <w:t>年度预算支出绩效自评工作的通知》（东财绩〔20</w:t>
      </w:r>
      <w:r>
        <w:rPr>
          <w:rFonts w:hint="eastAsia" w:ascii="仿宋_GB2312" w:hAnsi="楷体" w:cs="仿宋_GB2312"/>
          <w:color w:val="000000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lang w:val="en-US" w:eastAsia="zh-CN" w:bidi="ar"/>
        </w:rPr>
        <w:t>〕3号）文件要求，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采用定量分析与定性分析相结合、运用比较分析的办法，对部门规划、项目立项、管理制度、绩效指标、预算执行、资金使用、项目监管、绩效目标的完成情况及产生效果进行评价。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580" w:lineRule="exact"/>
        <w:ind w:left="0" w:right="0" w:firstLine="790" w:firstLineChars="250"/>
        <w:jc w:val="both"/>
        <w:outlineLvl w:val="1"/>
        <w:rPr>
          <w:rFonts w:hint="eastAsia" w:ascii="楷体" w:hAnsi="楷体" w:eastAsia="楷体" w:cs="楷体"/>
          <w:color w:val="000000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bookmarkStart w:id="21" w:name="_Toc20852"/>
      <w:bookmarkStart w:id="22" w:name="_Toc2891"/>
      <w:bookmarkStart w:id="23" w:name="_Toc30576_WPSOffice_Level2"/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"/>
        </w:rPr>
        <w:t>（四）绩效评价实施过程</w:t>
      </w:r>
      <w:bookmarkEnd w:id="21"/>
      <w:bookmarkEnd w:id="22"/>
      <w:bookmarkEnd w:id="23"/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580" w:lineRule="exact"/>
        <w:ind w:left="0" w:right="0" w:firstLine="790" w:firstLineChars="250"/>
        <w:jc w:val="both"/>
        <w:outlineLvl w:val="2"/>
        <w:rPr>
          <w:rFonts w:hint="eastAsia" w:ascii="仿宋_GB2312" w:hAnsi="楷体" w:eastAsia="仿宋_GB2312" w:cs="仿宋_GB2312"/>
          <w:color w:val="000000"/>
          <w:szCs w:val="32"/>
          <w:lang w:val="en-US"/>
        </w:rPr>
      </w:pPr>
      <w:bookmarkStart w:id="24" w:name="_Toc15041_WPSOffice_Level3"/>
      <w:bookmarkStart w:id="25" w:name="_Toc25031"/>
      <w:bookmarkStart w:id="26" w:name="_Toc29169"/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lang w:val="en-US" w:eastAsia="zh-CN" w:bidi="ar"/>
        </w:rPr>
        <w:t>1.数据填报和采集</w:t>
      </w:r>
      <w:bookmarkEnd w:id="24"/>
      <w:bookmarkEnd w:id="25"/>
      <w:bookmarkEnd w:id="26"/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580" w:lineRule="exact"/>
        <w:ind w:left="0" w:right="0" w:firstLine="790" w:firstLineChars="250"/>
        <w:jc w:val="both"/>
        <w:rPr>
          <w:rFonts w:hint="eastAsia" w:ascii="仿宋_GB2312" w:hAnsi="楷体" w:eastAsia="仿宋_GB2312" w:cs="仿宋_GB2312"/>
          <w:color w:val="000000"/>
          <w:szCs w:val="32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lang w:val="en-US" w:eastAsia="zh-CN" w:bidi="ar"/>
        </w:rPr>
        <w:t>本次绩效评价数据来源于预算批复及明细、部门决算报表、绩效目标申报表、绩效目标完成情况、部门年度工作总结，基础数据台账，根据以上资料进行分析汇总，形成绩效自评报告的基础数据。</w:t>
      </w:r>
    </w:p>
    <w:p>
      <w:pPr>
        <w:keepNext w:val="0"/>
        <w:keepLines w:val="0"/>
        <w:widowControl w:val="0"/>
        <w:numPr>
          <w:ilvl w:val="0"/>
          <w:numId w:val="5"/>
        </w:numPr>
        <w:suppressLineNumbers w:val="0"/>
        <w:topLinePunct/>
        <w:spacing w:before="0" w:beforeAutospacing="0" w:after="0" w:afterAutospacing="0" w:line="580" w:lineRule="exact"/>
        <w:ind w:left="0" w:right="0" w:firstLine="790" w:firstLineChars="250"/>
        <w:jc w:val="both"/>
        <w:outlineLvl w:val="2"/>
        <w:rPr>
          <w:rFonts w:hint="eastAsia" w:ascii="仿宋_GB2312" w:hAnsi="楷体" w:eastAsia="仿宋_GB2312" w:cs="仿宋_GB2312"/>
          <w:color w:val="000000"/>
          <w:szCs w:val="32"/>
          <w:lang w:val="en-US"/>
        </w:rPr>
      </w:pPr>
      <w:bookmarkStart w:id="27" w:name="_Toc32454"/>
      <w:bookmarkStart w:id="28" w:name="_Toc17260"/>
      <w:bookmarkStart w:id="29" w:name="_Toc5280_WPSOffice_Level3"/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lang w:val="en-US" w:eastAsia="zh-CN" w:bidi="ar"/>
        </w:rPr>
        <w:t>社会调查</w:t>
      </w:r>
      <w:bookmarkEnd w:id="27"/>
      <w:bookmarkEnd w:id="28"/>
      <w:bookmarkEnd w:id="29"/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580" w:lineRule="exact"/>
        <w:ind w:left="0" w:right="0" w:firstLine="790" w:firstLineChars="250"/>
        <w:jc w:val="both"/>
        <w:rPr>
          <w:rFonts w:hint="eastAsia" w:ascii="仿宋_GB2312" w:hAnsi="楷体" w:eastAsia="仿宋_GB2312" w:cs="仿宋_GB2312"/>
          <w:color w:val="000000"/>
          <w:szCs w:val="32"/>
          <w:lang w:val="en-US"/>
        </w:rPr>
      </w:pPr>
      <w:r>
        <w:rPr>
          <w:rFonts w:hint="eastAsia" w:ascii="仿宋_GB2312" w:hAnsi="楷体" w:cs="仿宋_GB2312"/>
          <w:color w:val="000000"/>
          <w:kern w:val="2"/>
          <w:sz w:val="32"/>
          <w:szCs w:val="32"/>
          <w:lang w:val="en-US" w:eastAsia="zh-CN" w:bidi="ar"/>
        </w:rPr>
        <w:t>我局</w:t>
      </w: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lang w:val="en-US" w:eastAsia="zh-CN" w:bidi="ar"/>
        </w:rPr>
        <w:t>绩效评价工作小组根据项目的开展情况，设计相关的调查问卷，对社会公众对象进行满意度调查，并对调查结果进行统计分析，形成社会调查问卷分析报告。</w:t>
      </w:r>
    </w:p>
    <w:p>
      <w:pPr>
        <w:keepNext w:val="0"/>
        <w:keepLines w:val="0"/>
        <w:widowControl w:val="0"/>
        <w:numPr>
          <w:ilvl w:val="0"/>
          <w:numId w:val="5"/>
        </w:numPr>
        <w:suppressLineNumbers w:val="0"/>
        <w:topLinePunct/>
        <w:spacing w:before="0" w:beforeAutospacing="0" w:after="0" w:afterAutospacing="0" w:line="580" w:lineRule="exact"/>
        <w:ind w:left="0" w:right="0" w:firstLine="790" w:firstLineChars="250"/>
        <w:jc w:val="both"/>
        <w:outlineLvl w:val="2"/>
        <w:rPr>
          <w:rFonts w:hint="eastAsia" w:ascii="仿宋_GB2312" w:hAnsi="楷体" w:eastAsia="仿宋_GB2312" w:cs="仿宋_GB2312"/>
          <w:color w:val="000000"/>
          <w:szCs w:val="32"/>
          <w:lang w:val="en-US"/>
        </w:rPr>
      </w:pPr>
      <w:bookmarkStart w:id="30" w:name="_Toc22779_WPSOffice_Level3"/>
      <w:bookmarkStart w:id="31" w:name="_Toc12388"/>
      <w:bookmarkStart w:id="32" w:name="_Toc27606"/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lang w:val="en-US" w:eastAsia="zh-CN" w:bidi="ar"/>
        </w:rPr>
        <w:t>数据分析和撰写报告</w:t>
      </w:r>
      <w:bookmarkEnd w:id="30"/>
      <w:bookmarkEnd w:id="31"/>
      <w:bookmarkEnd w:id="32"/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580" w:lineRule="exact"/>
        <w:ind w:left="0" w:right="0" w:firstLine="632" w:firstLineChars="200"/>
        <w:jc w:val="both"/>
        <w:rPr>
          <w:rFonts w:hint="eastAsia" w:ascii="仿宋_GB2312" w:hAnsi="楷体" w:eastAsia="仿宋_GB2312" w:cs="仿宋_GB2312"/>
          <w:color w:val="000000"/>
          <w:szCs w:val="32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lang w:val="en-US" w:eastAsia="zh-CN" w:bidi="ar"/>
        </w:rPr>
        <w:t>根据要求，</w:t>
      </w:r>
      <w:r>
        <w:rPr>
          <w:rFonts w:hint="eastAsia" w:ascii="仿宋_GB2312" w:hAnsi="楷体" w:cs="仿宋_GB2312"/>
          <w:color w:val="000000"/>
          <w:kern w:val="2"/>
          <w:sz w:val="32"/>
          <w:szCs w:val="32"/>
          <w:lang w:val="en-US" w:eastAsia="zh-CN" w:bidi="ar"/>
        </w:rPr>
        <w:t>我局</w:t>
      </w: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lang w:val="en-US" w:eastAsia="zh-CN" w:bidi="ar"/>
        </w:rPr>
        <w:t>对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区级</w:t>
      </w:r>
      <w:r>
        <w:rPr>
          <w:rFonts w:hint="eastAsia" w:ascii="仿宋_GB2312" w:cs="仿宋_GB2312"/>
          <w:color w:val="000000"/>
          <w:kern w:val="2"/>
          <w:sz w:val="32"/>
          <w:szCs w:val="32"/>
          <w:lang w:val="en-US" w:eastAsia="zh-CN" w:bidi="ar"/>
        </w:rPr>
        <w:t>2020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年度年初预算批复（含年度预算调整）</w:t>
      </w: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lang w:val="en-US" w:eastAsia="zh-CN" w:bidi="ar"/>
        </w:rPr>
        <w:t>从项目决策、项目管理、项目绩效（包括产出和效益）三个方面进行评价，得出评价结论及得分，撰写绩效自评报告。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580" w:lineRule="exact"/>
        <w:ind w:left="0" w:right="0" w:firstLine="790" w:firstLineChars="250"/>
        <w:jc w:val="both"/>
        <w:rPr>
          <w:rFonts w:hint="eastAsia" w:ascii="仿宋_GB2312" w:hAnsi="楷体" w:eastAsia="仿宋_GB2312" w:cs="仿宋_GB2312"/>
          <w:color w:val="000000"/>
          <w:szCs w:val="32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lang w:val="en-US" w:eastAsia="zh-CN" w:bidi="ar"/>
        </w:rPr>
        <w:t>项目决策方面，主要是评价绩效目标的设定情况，包括绩效目标设立的充分性、明确性、合理性以及细化程度，看绩效目标的设立是否符合客观实际，是否与部门履职相一致，绩效指标是否清晰、细化、可衡量。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580" w:lineRule="exact"/>
        <w:ind w:left="0" w:right="0" w:firstLine="790" w:firstLineChars="250"/>
        <w:jc w:val="both"/>
        <w:rPr>
          <w:rFonts w:hint="eastAsia" w:ascii="仿宋_GB2312" w:hAnsi="楷体" w:eastAsia="仿宋_GB2312" w:cs="仿宋_GB2312"/>
          <w:color w:val="000000"/>
          <w:szCs w:val="32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lang w:val="en-US" w:eastAsia="zh-CN" w:bidi="ar"/>
        </w:rPr>
        <w:t>项目管理方面，主要是资金投入和使用情况、未实现绩效目标制定的制度、采取的措施等，包括评价资金分配过程、投入方式、资金到位、预算执行和结果；看资金分配过程是否科学规范，资金投入方式是否合理，资金是否及时到位，预算执行进度是否按预期进行，资金使用是否经济有效；项目制度包括项目管理制度、财务管理制度、资产管理制度和绩效跟踪管理措施以及制度措施的落实情况。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580" w:lineRule="exact"/>
        <w:ind w:left="0" w:right="0" w:firstLine="790" w:firstLineChars="250"/>
        <w:jc w:val="both"/>
        <w:rPr>
          <w:rFonts w:hint="eastAsia" w:ascii="仿宋_GB2312" w:hAnsi="楷体" w:eastAsia="仿宋_GB2312" w:cs="仿宋_GB2312"/>
          <w:color w:val="000000"/>
          <w:szCs w:val="32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lang w:val="en-US" w:eastAsia="zh-CN" w:bidi="ar"/>
        </w:rPr>
        <w:t>项目绩效方面，主要是绩效目标的实现程度和效果，绩效目标的实现程度包括产出数量、产出质量、产出时效和产出成本；效果包括经济效益、社会效益、生态效益、可持续影响以及服务对象满意度等。</w:t>
      </w:r>
    </w:p>
    <w:p>
      <w:pPr>
        <w:keepNext w:val="0"/>
        <w:keepLines w:val="0"/>
        <w:widowControl w:val="0"/>
        <w:numPr>
          <w:ilvl w:val="0"/>
          <w:numId w:val="6"/>
        </w:numPr>
        <w:suppressLineNumbers w:val="0"/>
        <w:topLinePunct/>
        <w:spacing w:before="0" w:beforeAutospacing="0" w:after="0" w:afterAutospacing="0" w:line="580" w:lineRule="exact"/>
        <w:ind w:left="0" w:right="0" w:firstLine="790" w:firstLineChars="250"/>
        <w:jc w:val="both"/>
        <w:outlineLvl w:val="1"/>
        <w:rPr>
          <w:rFonts w:hint="eastAsia" w:ascii="楷体" w:hAnsi="楷体" w:eastAsia="楷体" w:cs="楷体"/>
          <w:color w:val="000000"/>
          <w:szCs w:val="32"/>
          <w:lang w:val="en-US"/>
        </w:rPr>
      </w:pPr>
      <w:bookmarkStart w:id="33" w:name="_Toc1002"/>
      <w:bookmarkStart w:id="34" w:name="_Toc15096"/>
      <w:bookmarkStart w:id="35" w:name="_Toc4376_WPSOffice_Level2"/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"/>
        </w:rPr>
        <w:t>本次绩效评价的局限性</w:t>
      </w:r>
      <w:bookmarkEnd w:id="33"/>
      <w:bookmarkEnd w:id="34"/>
      <w:bookmarkEnd w:id="35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32" w:firstLineChars="20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由于本次绩效评价为自评，时间及获取资料有限，往往带有一定的主观性。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ind w:right="0" w:rightChars="0" w:firstLine="0" w:firstLineChars="0"/>
        <w:textAlignment w:val="auto"/>
        <w:outlineLvl w:val="0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评价结论和绩效分析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580" w:lineRule="exact"/>
        <w:ind w:left="0" w:right="0" w:firstLine="790" w:firstLineChars="250"/>
        <w:jc w:val="both"/>
        <w:outlineLvl w:val="1"/>
        <w:rPr>
          <w:rFonts w:hint="eastAsia" w:ascii="楷体" w:hAnsi="楷体" w:eastAsia="楷体" w:cs="楷体"/>
          <w:color w:val="000000"/>
          <w:szCs w:val="32"/>
          <w:lang w:val="en-US"/>
        </w:rPr>
      </w:pPr>
      <w:bookmarkStart w:id="36" w:name="_Toc2854"/>
      <w:bookmarkStart w:id="37" w:name="_Toc31192"/>
      <w:bookmarkStart w:id="38" w:name="_Toc2850_WPSOffice_Level2"/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"/>
        </w:rPr>
        <w:t>（一）评价结论</w:t>
      </w:r>
      <w:bookmarkEnd w:id="36"/>
      <w:bookmarkEnd w:id="37"/>
      <w:bookmarkEnd w:id="38"/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580" w:lineRule="exact"/>
        <w:ind w:left="0" w:right="0" w:firstLine="790" w:firstLineChars="250"/>
        <w:jc w:val="both"/>
        <w:outlineLvl w:val="2"/>
        <w:rPr>
          <w:rFonts w:hint="eastAsia" w:ascii="仿宋_GB2312" w:hAnsi="仿宋_GB2312" w:eastAsia="仿宋_GB2312" w:cs="仿宋_GB2312"/>
          <w:color w:val="000000"/>
          <w:szCs w:val="32"/>
          <w:lang w:val="en-US"/>
        </w:rPr>
      </w:pPr>
      <w:bookmarkStart w:id="39" w:name="_Toc21356"/>
      <w:bookmarkStart w:id="40" w:name="_Toc10054"/>
      <w:bookmarkStart w:id="41" w:name="_Toc26168_WPSOffice_Level3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1.评价结果</w:t>
      </w:r>
      <w:bookmarkEnd w:id="39"/>
      <w:bookmarkEnd w:id="40"/>
      <w:bookmarkEnd w:id="41"/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通过现场评价，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东川区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发展和改革局2020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“三区”移民搬迁生活费补助及医疗补助管理规范、运作较得当，经审定项目决策指标得分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分；项目管理指标得分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分；项目绩效特性指标得分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58.5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分，总体评价得分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98.5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>
      <w:pPr>
        <w:keepNext w:val="0"/>
        <w:keepLines w:val="0"/>
        <w:widowControl w:val="0"/>
        <w:numPr>
          <w:ilvl w:val="0"/>
          <w:numId w:val="7"/>
        </w:numPr>
        <w:suppressLineNumbers w:val="0"/>
        <w:topLinePunct/>
        <w:spacing w:before="0" w:beforeAutospacing="0" w:after="0" w:afterAutospacing="0" w:line="580" w:lineRule="exact"/>
        <w:ind w:left="0" w:right="0" w:firstLine="790" w:firstLineChars="250"/>
        <w:jc w:val="both"/>
        <w:outlineLvl w:val="2"/>
        <w:rPr>
          <w:rFonts w:hint="eastAsia" w:ascii="仿宋_GB2312" w:hAnsi="仿宋" w:eastAsia="仿宋_GB2312" w:cs="仿宋_GB2312"/>
          <w:color w:val="000000"/>
          <w:szCs w:val="32"/>
          <w:lang w:val="en-US"/>
        </w:rPr>
      </w:pPr>
      <w:bookmarkStart w:id="42" w:name="_Toc17817"/>
      <w:bookmarkStart w:id="43" w:name="_Toc11469"/>
      <w:bookmarkStart w:id="44" w:name="_Toc32521_WPSOffice_Level3"/>
      <w:r>
        <w:rPr>
          <w:rFonts w:hint="eastAsia" w:ascii="仿宋_GB2312" w:hAnsi="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主要绩效</w:t>
      </w:r>
      <w:bookmarkEnd w:id="42"/>
      <w:bookmarkEnd w:id="43"/>
      <w:bookmarkEnd w:id="44"/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ind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东川“三区”移民搬迁一期二期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生活费补助及医疗补助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，项目申报符合相关要求、批复内容科学合理，项目目标明确，决策依据充分，资金到位及时、分配合理，财务管理制度和项目管理制度健全，并严格按照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组织实施，各项工作有序开展，基本达到项目预期效果。项目实施后切实改善了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移民搬迁人员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的生产生活条件，增加移民户收入，改变了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移民搬迁人员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贫困落后的现状，促进社会经济的可持续发展。广大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移民搬迁人员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对该项目很满意。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ind w:left="632" w:leftChars="200" w:right="0" w:rightChars="0" w:firstLine="0" w:firstLineChars="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具体绩效分析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ind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8"/>
        <w:tblpPr w:leftFromText="180" w:rightFromText="180" w:vertAnchor="text" w:horzAnchor="page" w:tblpX="1050" w:tblpY="1"/>
        <w:tblOverlap w:val="never"/>
        <w:tblW w:w="103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40"/>
        <w:gridCol w:w="975"/>
        <w:gridCol w:w="464"/>
        <w:gridCol w:w="1741"/>
        <w:gridCol w:w="1065"/>
        <w:gridCol w:w="885"/>
        <w:gridCol w:w="900"/>
        <w:gridCol w:w="705"/>
        <w:gridCol w:w="1889"/>
        <w:gridCol w:w="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2020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91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“三区”移民搬迁项目生活补助费及医疗保险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东川区发展和改革局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    （万元）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676.58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676.58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6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和稳定东川区矿山采空区塌陷区地质灾害隐患区移民搬迁工作，对搬迁点移民1576人实施生活补助5595520元，医疗补助394000元，合计补助资金5989520元。因上年结余-943920元，实际需要区级补助资金7563120元。（2017年三区移民生活费使用情况：2017年初结余3126464.51元，2017年收6855600元，2017年支付生活费5221350元，支付医保1060人190800元，2017年末结余4569914元。2018年支付生活费4932200元，支付医保1160人255200元，2018年末结余1794500元，2019年支付生活费5595520，支付医保1478人369500元，2019年与预算差额为-943920元，2020年支付生活费5818930元，医疗保险补助572230元，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通过该项目的实施，提高移民生活水平，稳定社会经济发展，促进矿区生态建设。</w:t>
            </w:r>
          </w:p>
        </w:tc>
        <w:tc>
          <w:tcPr>
            <w:tcW w:w="46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2020年度实际发放生活补助581.8930万元，医疗保险补助57.2230万元。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    指标值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     完成值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        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移民人数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1474人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因不符合城市低保政策人员停发低保金后领取移民搬迁生活补助费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生活费补助标准350元/月/人（上年结余-94.392万元，预计756.312万元）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7563120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5818930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因不符合城市低保政策人员停发低保金后领取移民搬迁生活补助费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医疗保险补助250元/年/人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249920元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572230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年度按上年度医疗保险缴费250元/人预算，实际2020年度为290元/人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足额发放补助金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2020年1月至12月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移民生活水平、健康水平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逐步改善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恢复矿山生态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成效明显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移民收入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 指标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移民群众对医疗保险补助满意度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移民群众对移民生活补助满意度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5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ind w:leftChars="200" w:right="0" w:rightChars="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ind w:right="0" w:rightChars="0" w:firstLine="0" w:firstLineChars="0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　　四、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成本效益分析。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ind w:right="0" w:rightChars="0" w:firstLine="0" w:firstLineChars="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（一）项目完成情况。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ind w:right="0" w:rightChars="0" w:firstLine="0" w:firstLineChars="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1、完成数量。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截止评价日，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年“三区”移民搬迁一期二期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生活费补助已足额发放到移民户卡上，完成率100%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pacing w:beforeAutospacing="0" w:afterAutospacing="0" w:line="240" w:lineRule="auto"/>
        <w:ind w:left="72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1.1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完成质量。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项目均达到质量目标，按质、按量实施。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pacing w:beforeAutospacing="0" w:afterAutospacing="0" w:line="240" w:lineRule="auto"/>
        <w:ind w:left="72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完成时效。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每月足额按时发放。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pacing w:beforeAutospacing="0" w:afterAutospacing="0" w:line="240" w:lineRule="auto"/>
        <w:ind w:left="72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完成成本。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计划投入资金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676.58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万元，实际支付资金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676.58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%。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ind w:right="0" w:rightChars="0" w:firstLine="0" w:firstLineChars="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（二）项目效益情况。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ind w:right="0" w:rightChars="0" w:firstLine="0" w:firstLineChars="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1、经济效益。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通过对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移民群众发放生活费</w:t>
      </w:r>
      <w:r>
        <w:rPr>
          <w:rFonts w:hint="eastAsia" w:ascii="仿宋_GB2312" w:hAnsi="仿宋_GB2312" w:eastAsia="仿宋_GB2312" w:cs="仿宋_GB2312"/>
          <w:sz w:val="32"/>
          <w:szCs w:val="32"/>
        </w:rPr>
        <w:t>，解决了移民户过渡期的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生活</w:t>
      </w:r>
      <w:r>
        <w:rPr>
          <w:rFonts w:hint="eastAsia" w:ascii="仿宋_GB2312" w:hAnsi="仿宋_GB2312" w:eastAsia="仿宋_GB2312" w:cs="仿宋_GB2312"/>
          <w:sz w:val="32"/>
          <w:szCs w:val="32"/>
        </w:rPr>
        <w:t>困难，提高移民户收入，帮助移民户逐步解贫，促进地方经济的发展。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ind w:right="0" w:rightChars="0" w:firstLine="0" w:firstLineChars="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2、社会效益。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向移民户发放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生活</w:t>
      </w:r>
      <w:r>
        <w:rPr>
          <w:rFonts w:hint="eastAsia" w:ascii="仿宋_GB2312" w:hAnsi="仿宋_GB2312" w:eastAsia="仿宋_GB2312" w:cs="仿宋_GB2312"/>
          <w:sz w:val="32"/>
          <w:szCs w:val="32"/>
        </w:rPr>
        <w:t>，解决和保障了移民户基本生活的问题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随着生活环境改变，搬迁群众落后的生活习惯和思想观念也会有明显的转变，科技意识增强，精神面貌焕然一新，自觉接受科学文化教育，积极掌握科技知识，寻求致富门路，盼富思富、勤劳致富的愿望日益强烈，讲文明、讲科学、重教育的良好风尚在搬迁群众中可逐步形成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有利于维护社会和谐稳定。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ind w:right="0" w:rightChars="0" w:firstLine="0" w:firstLineChars="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3、可持续效益。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着生活环境改变，搬迁群众落后的生活习惯和思想观念也会有明显的转变，科技意识增强，精神面貌焕然一新，自觉接受科学文化教育，积极掌握科技知识，寻求致富门路，盼富思富、勤劳致富的愿望日益强烈，讲文明、讲科学、重教育的良好风尚在搬迁群众中可逐步形成</w:t>
      </w:r>
      <w:r>
        <w:rPr>
          <w:rFonts w:hint="eastAsia" w:ascii="仿宋_GB2312" w:hAnsi="仿宋_GB2312" w:eastAsia="仿宋_GB2312" w:cs="仿宋_GB2312"/>
          <w:sz w:val="32"/>
          <w:szCs w:val="32"/>
        </w:rPr>
        <w:t>，促进社会经济的可持续发展。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ind w:right="0" w:rightChars="0" w:firstLine="0" w:firstLineChars="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4、服务对象满意度。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绩效评价工作组通过现场走访，发放问卷调查表调查移民户对该项目的满意度，移民户对该项目很满意。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580" w:lineRule="exact"/>
        <w:ind w:left="0" w:right="0" w:firstLine="790" w:firstLineChars="250"/>
        <w:jc w:val="both"/>
        <w:outlineLvl w:val="0"/>
        <w:rPr>
          <w:rFonts w:hint="eastAsia" w:ascii="黑体" w:hAnsi="宋体" w:eastAsia="黑体" w:cs="黑体"/>
          <w:color w:val="000000"/>
          <w:szCs w:val="32"/>
          <w:lang w:val="en-US"/>
        </w:rPr>
      </w:pPr>
      <w:bookmarkStart w:id="45" w:name="_Toc3346"/>
      <w:bookmarkStart w:id="46" w:name="_Toc27896_WPSOffice_Level1"/>
      <w:bookmarkStart w:id="47" w:name="_Toc19966"/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五、主要经验及做法、存在的问题和建议</w:t>
      </w:r>
      <w:bookmarkEnd w:id="45"/>
      <w:bookmarkEnd w:id="46"/>
      <w:bookmarkEnd w:id="47"/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620" w:lineRule="exact"/>
        <w:ind w:left="0" w:right="0" w:firstLine="790" w:firstLineChars="250"/>
        <w:jc w:val="both"/>
        <w:outlineLvl w:val="1"/>
        <w:rPr>
          <w:rFonts w:hint="eastAsia" w:ascii="楷体" w:hAnsi="楷体" w:eastAsia="楷体" w:cs="楷体"/>
          <w:color w:val="000000"/>
          <w:szCs w:val="32"/>
          <w:lang w:val="en-US"/>
        </w:rPr>
      </w:pPr>
      <w:bookmarkStart w:id="48" w:name="_Toc31834"/>
      <w:bookmarkStart w:id="49" w:name="_Toc11048_WPSOffice_Level2"/>
      <w:bookmarkStart w:id="50" w:name="_Toc15538"/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"/>
        </w:rPr>
        <w:t>（一）主要经验及做法</w:t>
      </w:r>
      <w:bookmarkEnd w:id="48"/>
      <w:bookmarkEnd w:id="49"/>
      <w:bookmarkEnd w:id="50"/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620" w:lineRule="exact"/>
        <w:ind w:left="0" w:right="0" w:firstLine="632" w:firstLineChars="200"/>
        <w:jc w:val="both"/>
        <w:rPr>
          <w:rFonts w:hint="eastAsia" w:ascii="仿宋_GB2312" w:hAnsi="仿宋_GB2312" w:eastAsia="仿宋_GB2312" w:cs="仿宋_GB2312"/>
          <w:color w:val="000000"/>
          <w:szCs w:val="32"/>
          <w:lang w:val="en-US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"/>
        </w:rPr>
        <w:t>东川区发展和改革局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东川“三区”移民搬迁一期二期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生活费补助及医疗补助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绩效目标开展了动态监控，对本单位项目完成情况、项目完成进度、项目效益与预期目标偏差等情况进行分析总结。</w:t>
      </w:r>
    </w:p>
    <w:p>
      <w:pPr>
        <w:keepNext w:val="0"/>
        <w:keepLines w:val="0"/>
        <w:widowControl w:val="0"/>
        <w:numPr>
          <w:ilvl w:val="0"/>
          <w:numId w:val="8"/>
        </w:numPr>
        <w:suppressLineNumbers w:val="0"/>
        <w:topLinePunct/>
        <w:spacing w:before="0" w:beforeAutospacing="0" w:after="0" w:afterAutospacing="0" w:line="620" w:lineRule="exact"/>
        <w:ind w:left="0" w:right="0" w:firstLine="790" w:firstLineChars="250"/>
        <w:jc w:val="both"/>
        <w:outlineLvl w:val="1"/>
        <w:rPr>
          <w:rFonts w:hint="eastAsia" w:ascii="楷体" w:hAnsi="楷体" w:eastAsia="楷体" w:cs="楷体"/>
          <w:color w:val="000000"/>
          <w:szCs w:val="32"/>
          <w:lang w:val="en-US"/>
        </w:rPr>
      </w:pPr>
      <w:bookmarkStart w:id="51" w:name="_Toc3807_WPSOffice_Level2"/>
      <w:bookmarkStart w:id="52" w:name="_Toc25771"/>
      <w:bookmarkStart w:id="53" w:name="_Toc3359"/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"/>
        </w:rPr>
        <w:t>存在的问题</w:t>
      </w:r>
      <w:bookmarkEnd w:id="51"/>
      <w:bookmarkEnd w:id="52"/>
      <w:bookmarkEnd w:id="53"/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620" w:lineRule="exact"/>
        <w:ind w:left="0" w:right="0" w:firstLine="632" w:firstLineChars="200"/>
        <w:jc w:val="both"/>
        <w:rPr>
          <w:rFonts w:hint="eastAsia" w:ascii="仿宋_GB2312" w:hAnsi="仿宋_GB2312" w:eastAsia="仿宋_GB2312" w:cs="仿宋_GB2312"/>
          <w:color w:val="000000"/>
          <w:szCs w:val="32"/>
          <w:lang w:val="en-US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"/>
        </w:rPr>
        <w:t>东川区发展和改革局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在部分绩效内容的设定上量化不够具体，考核标准、考核条件过于简单和笼统。需进一步考核指标，加强考核标准和考核条件。</w:t>
      </w:r>
    </w:p>
    <w:p>
      <w:pPr>
        <w:keepNext w:val="0"/>
        <w:keepLines w:val="0"/>
        <w:widowControl w:val="0"/>
        <w:numPr>
          <w:ilvl w:val="0"/>
          <w:numId w:val="8"/>
        </w:numPr>
        <w:suppressLineNumbers w:val="0"/>
        <w:topLinePunct/>
        <w:spacing w:before="0" w:beforeAutospacing="0" w:after="0" w:afterAutospacing="0" w:line="620" w:lineRule="exact"/>
        <w:ind w:left="0" w:right="0" w:firstLine="790" w:firstLineChars="250"/>
        <w:jc w:val="both"/>
        <w:outlineLvl w:val="1"/>
        <w:rPr>
          <w:rFonts w:hint="eastAsia" w:ascii="仿宋_GB2312" w:hAnsi="仿宋_GB2312" w:eastAsia="仿宋_GB2312" w:cs="仿宋_GB2312"/>
          <w:color w:val="000000"/>
          <w:szCs w:val="32"/>
          <w:lang w:val="en-US"/>
        </w:rPr>
      </w:pPr>
      <w:bookmarkStart w:id="54" w:name="_Toc21671"/>
      <w:bookmarkStart w:id="55" w:name="_Toc21785_WPSOffice_Level2"/>
      <w:bookmarkStart w:id="56" w:name="_Toc6390"/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"/>
        </w:rPr>
        <w:t>建议和改进措施</w:t>
      </w:r>
      <w:bookmarkEnd w:id="54"/>
      <w:bookmarkEnd w:id="55"/>
      <w:bookmarkEnd w:id="56"/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620" w:lineRule="exact"/>
        <w:ind w:left="0" w:right="0" w:firstLine="632" w:firstLineChars="200"/>
        <w:jc w:val="both"/>
        <w:rPr>
          <w:rFonts w:hint="eastAsia" w:ascii="仿宋_GB2312" w:hAnsi="仿宋_GB2312" w:eastAsia="仿宋_GB2312" w:cs="仿宋_GB2312"/>
          <w:color w:val="000000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（1）结合单位实际情况修订完善项目绩效管理实施细则、考评结果运用实施细则、考评规则办法，完备绩效管理制度办法和指标体系，使绩效考核有章可循，有据可依。结合项目情况，制定相应细化、量化的绩效目标，严格按目标实施。</w:t>
      </w:r>
    </w:p>
    <w:p>
      <w:pPr>
        <w:keepNext w:val="0"/>
        <w:keepLines w:val="0"/>
        <w:widowControl w:val="0"/>
        <w:suppressLineNumbers w:val="0"/>
        <w:tabs>
          <w:tab w:val="left" w:pos="748"/>
        </w:tabs>
        <w:topLinePunct/>
        <w:spacing w:before="0" w:beforeAutospacing="0" w:after="0" w:afterAutospacing="0" w:line="620" w:lineRule="exact"/>
        <w:ind w:left="0" w:right="0" w:firstLine="632" w:firstLineChars="200"/>
        <w:jc w:val="both"/>
        <w:rPr>
          <w:rFonts w:hint="eastAsia" w:ascii="仿宋_GB2312" w:hAnsi="仿宋_GB2312" w:eastAsia="仿宋_GB2312" w:cs="仿宋_GB2312"/>
          <w:color w:val="000000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（2）加强项目收支计划执行情况分析，加快资金执行进度。</w:t>
      </w:r>
    </w:p>
    <w:sectPr>
      <w:footerReference r:id="rId3" w:type="default"/>
      <w:footerReference r:id="rId4" w:type="even"/>
      <w:pgSz w:w="11907" w:h="16840"/>
      <w:pgMar w:top="2041" w:right="1531" w:bottom="1871" w:left="1531" w:header="851" w:footer="1304" w:gutter="0"/>
      <w:cols w:space="720" w:num="1"/>
      <w:docGrid w:type="linesAndChars" w:linePitch="58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335"/>
      <w:rPr>
        <w:rStyle w:val="10"/>
        <w:rFonts w:ascii="宋体" w:hAnsi="宋体" w:eastAsia="宋体"/>
        <w:sz w:val="28"/>
      </w:rPr>
    </w:pPr>
    <w:r>
      <w:rPr>
        <w:rStyle w:val="10"/>
        <w:rFonts w:ascii="宋体" w:hAnsi="宋体" w:eastAsia="宋体"/>
        <w:sz w:val="28"/>
      </w:rPr>
      <w:t>—</w:t>
    </w:r>
    <w:r>
      <w:rPr>
        <w:rStyle w:val="10"/>
        <w:rFonts w:ascii="宋体" w:hAnsi="宋体" w:eastAsia="宋体"/>
        <w:sz w:val="28"/>
      </w:rPr>
      <w:fldChar w:fldCharType="begin"/>
    </w:r>
    <w:r>
      <w:rPr>
        <w:rStyle w:val="10"/>
        <w:rFonts w:ascii="宋体" w:hAnsi="宋体" w:eastAsia="宋体"/>
        <w:sz w:val="28"/>
      </w:rPr>
      <w:instrText xml:space="preserve">PAGE  </w:instrText>
    </w:r>
    <w:r>
      <w:rPr>
        <w:rStyle w:val="10"/>
        <w:rFonts w:ascii="宋体" w:hAnsi="宋体" w:eastAsia="宋体"/>
        <w:sz w:val="28"/>
      </w:rPr>
      <w:fldChar w:fldCharType="separate"/>
    </w:r>
    <w:r>
      <w:rPr>
        <w:rStyle w:val="10"/>
        <w:rFonts w:ascii="宋体" w:hAnsi="宋体" w:eastAsia="宋体"/>
        <w:sz w:val="28"/>
      </w:rPr>
      <w:t>3</w:t>
    </w:r>
    <w:r>
      <w:rPr>
        <w:rStyle w:val="10"/>
        <w:rFonts w:ascii="宋体" w:hAnsi="宋体" w:eastAsia="宋体"/>
        <w:sz w:val="28"/>
      </w:rPr>
      <w:fldChar w:fldCharType="end"/>
    </w:r>
    <w:r>
      <w:rPr>
        <w:rStyle w:val="10"/>
        <w:rFonts w:ascii="宋体" w:hAnsi="宋体" w:eastAsia="宋体"/>
        <w:sz w:val="28"/>
      </w:rPr>
      <w:t>—</w:t>
    </w:r>
  </w:p>
  <w:p>
    <w:pPr>
      <w:pStyle w:val="5"/>
      <w:ind w:right="360" w:firstLine="360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35"/>
      <w:rPr>
        <w:rStyle w:val="10"/>
        <w:rFonts w:ascii="宋体" w:hAnsi="宋体" w:eastAsia="宋体"/>
        <w:sz w:val="28"/>
      </w:rPr>
    </w:pPr>
    <w:r>
      <w:rPr>
        <w:rStyle w:val="10"/>
        <w:rFonts w:ascii="宋体" w:hAnsi="宋体" w:eastAsia="宋体"/>
        <w:sz w:val="28"/>
      </w:rPr>
      <w:t>—</w:t>
    </w:r>
    <w:r>
      <w:rPr>
        <w:rStyle w:val="10"/>
        <w:rFonts w:ascii="宋体" w:hAnsi="宋体" w:eastAsia="宋体"/>
        <w:sz w:val="28"/>
      </w:rPr>
      <w:fldChar w:fldCharType="begin"/>
    </w:r>
    <w:r>
      <w:rPr>
        <w:rStyle w:val="10"/>
        <w:rFonts w:ascii="宋体" w:hAnsi="宋体" w:eastAsia="宋体"/>
        <w:sz w:val="28"/>
      </w:rPr>
      <w:instrText xml:space="preserve">PAGE  </w:instrText>
    </w:r>
    <w:r>
      <w:rPr>
        <w:rStyle w:val="10"/>
        <w:rFonts w:ascii="宋体" w:hAnsi="宋体" w:eastAsia="宋体"/>
        <w:sz w:val="28"/>
      </w:rPr>
      <w:fldChar w:fldCharType="separate"/>
    </w:r>
    <w:r>
      <w:rPr>
        <w:rStyle w:val="10"/>
        <w:rFonts w:ascii="宋体" w:hAnsi="宋体" w:eastAsia="宋体"/>
        <w:sz w:val="28"/>
      </w:rPr>
      <w:t>4</w:t>
    </w:r>
    <w:r>
      <w:rPr>
        <w:rStyle w:val="10"/>
        <w:rFonts w:ascii="宋体" w:hAnsi="宋体" w:eastAsia="宋体"/>
        <w:sz w:val="28"/>
      </w:rPr>
      <w:fldChar w:fldCharType="end"/>
    </w:r>
    <w:r>
      <w:rPr>
        <w:rStyle w:val="10"/>
        <w:rFonts w:ascii="宋体" w:hAnsi="宋体" w:eastAsia="宋体"/>
        <w:sz w:val="28"/>
      </w:rPr>
      <w:t>—</w:t>
    </w:r>
  </w:p>
  <w:p>
    <w:pPr>
      <w:pStyle w:val="5"/>
      <w:ind w:left="300" w:right="360" w:firstLine="360"/>
      <w:rPr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D6E901"/>
    <w:multiLevelType w:val="multilevel"/>
    <w:tmpl w:val="AFD6E901"/>
    <w:lvl w:ilvl="0" w:tentative="0">
      <w:start w:val="2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D99FA1ED"/>
    <w:multiLevelType w:val="singleLevel"/>
    <w:tmpl w:val="D99FA1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ABF91F0"/>
    <w:multiLevelType w:val="multilevel"/>
    <w:tmpl w:val="DABF91F0"/>
    <w:lvl w:ilvl="0" w:tentative="0">
      <w:start w:val="2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DD631BB5"/>
    <w:multiLevelType w:val="multilevel"/>
    <w:tmpl w:val="DD631BB5"/>
    <w:lvl w:ilvl="0" w:tentative="0">
      <w:start w:val="2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E64E590D"/>
    <w:multiLevelType w:val="singleLevel"/>
    <w:tmpl w:val="E64E590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8EAC293"/>
    <w:multiLevelType w:val="multilevel"/>
    <w:tmpl w:val="18EAC293"/>
    <w:lvl w:ilvl="0" w:tentative="0">
      <w:start w:val="5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24E6299E"/>
    <w:multiLevelType w:val="multilevel"/>
    <w:tmpl w:val="24E6299E"/>
    <w:lvl w:ilvl="0" w:tentative="0">
      <w:start w:val="2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49189474"/>
    <w:multiLevelType w:val="singleLevel"/>
    <w:tmpl w:val="4918947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5"/>
  <w:evenAndOddHeaders w:val="1"/>
  <w:drawingGridHorizontalSpacing w:val="158"/>
  <w:drawingGridVerticalSpacing w:val="587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5F"/>
    <w:rsid w:val="00002E28"/>
    <w:rsid w:val="0001706E"/>
    <w:rsid w:val="00031386"/>
    <w:rsid w:val="00061B34"/>
    <w:rsid w:val="00085C25"/>
    <w:rsid w:val="000C6A55"/>
    <w:rsid w:val="000D0079"/>
    <w:rsid w:val="000E4635"/>
    <w:rsid w:val="000E57AE"/>
    <w:rsid w:val="000F0DDC"/>
    <w:rsid w:val="000F2D14"/>
    <w:rsid w:val="000F2E4E"/>
    <w:rsid w:val="00112694"/>
    <w:rsid w:val="0013625A"/>
    <w:rsid w:val="00155091"/>
    <w:rsid w:val="00167969"/>
    <w:rsid w:val="00171B5D"/>
    <w:rsid w:val="001776A1"/>
    <w:rsid w:val="00185A5A"/>
    <w:rsid w:val="00197124"/>
    <w:rsid w:val="001B5425"/>
    <w:rsid w:val="001D2295"/>
    <w:rsid w:val="002021EA"/>
    <w:rsid w:val="002164BD"/>
    <w:rsid w:val="00232238"/>
    <w:rsid w:val="00236F6F"/>
    <w:rsid w:val="00260330"/>
    <w:rsid w:val="0027333E"/>
    <w:rsid w:val="00280BDE"/>
    <w:rsid w:val="0028678C"/>
    <w:rsid w:val="00294EE5"/>
    <w:rsid w:val="00301902"/>
    <w:rsid w:val="00304EEE"/>
    <w:rsid w:val="003209BE"/>
    <w:rsid w:val="00320A77"/>
    <w:rsid w:val="003721CE"/>
    <w:rsid w:val="00386252"/>
    <w:rsid w:val="0039440A"/>
    <w:rsid w:val="003B609C"/>
    <w:rsid w:val="003B651F"/>
    <w:rsid w:val="003D3F92"/>
    <w:rsid w:val="003F15F1"/>
    <w:rsid w:val="003F7768"/>
    <w:rsid w:val="00441E1F"/>
    <w:rsid w:val="00443AFE"/>
    <w:rsid w:val="0044547C"/>
    <w:rsid w:val="00463CBD"/>
    <w:rsid w:val="0048484B"/>
    <w:rsid w:val="004B7A2C"/>
    <w:rsid w:val="004E5EBC"/>
    <w:rsid w:val="005456D8"/>
    <w:rsid w:val="00547454"/>
    <w:rsid w:val="00547D91"/>
    <w:rsid w:val="0055335F"/>
    <w:rsid w:val="0055784C"/>
    <w:rsid w:val="00587D66"/>
    <w:rsid w:val="00596EAF"/>
    <w:rsid w:val="005B05E9"/>
    <w:rsid w:val="005C1E91"/>
    <w:rsid w:val="005C3612"/>
    <w:rsid w:val="005D1F7C"/>
    <w:rsid w:val="00623770"/>
    <w:rsid w:val="00634A37"/>
    <w:rsid w:val="0067583F"/>
    <w:rsid w:val="00684F23"/>
    <w:rsid w:val="00691838"/>
    <w:rsid w:val="006A6EB6"/>
    <w:rsid w:val="006B11BB"/>
    <w:rsid w:val="0070331B"/>
    <w:rsid w:val="00711838"/>
    <w:rsid w:val="007347E8"/>
    <w:rsid w:val="00752484"/>
    <w:rsid w:val="00767A70"/>
    <w:rsid w:val="007740E0"/>
    <w:rsid w:val="007E48FF"/>
    <w:rsid w:val="007F24E4"/>
    <w:rsid w:val="007F5BD0"/>
    <w:rsid w:val="0080354F"/>
    <w:rsid w:val="008273F9"/>
    <w:rsid w:val="008452A9"/>
    <w:rsid w:val="0086384F"/>
    <w:rsid w:val="00885932"/>
    <w:rsid w:val="00896C1C"/>
    <w:rsid w:val="008D4DFD"/>
    <w:rsid w:val="008F3154"/>
    <w:rsid w:val="009156B6"/>
    <w:rsid w:val="009511E2"/>
    <w:rsid w:val="00960202"/>
    <w:rsid w:val="00971ACC"/>
    <w:rsid w:val="00984AA9"/>
    <w:rsid w:val="009B1D6B"/>
    <w:rsid w:val="009C2E24"/>
    <w:rsid w:val="009E07A7"/>
    <w:rsid w:val="00A032C7"/>
    <w:rsid w:val="00A449C0"/>
    <w:rsid w:val="00A45A91"/>
    <w:rsid w:val="00AB6099"/>
    <w:rsid w:val="00B1591B"/>
    <w:rsid w:val="00B268F0"/>
    <w:rsid w:val="00B6766E"/>
    <w:rsid w:val="00B8171D"/>
    <w:rsid w:val="00BA1A64"/>
    <w:rsid w:val="00BC60B5"/>
    <w:rsid w:val="00BC7CC4"/>
    <w:rsid w:val="00BD1B59"/>
    <w:rsid w:val="00BD7DE4"/>
    <w:rsid w:val="00BF7471"/>
    <w:rsid w:val="00C01F37"/>
    <w:rsid w:val="00C126D1"/>
    <w:rsid w:val="00C145B3"/>
    <w:rsid w:val="00C21CDB"/>
    <w:rsid w:val="00C40EC7"/>
    <w:rsid w:val="00C647AA"/>
    <w:rsid w:val="00CD2387"/>
    <w:rsid w:val="00D16944"/>
    <w:rsid w:val="00D20768"/>
    <w:rsid w:val="00D4728C"/>
    <w:rsid w:val="00D60CF2"/>
    <w:rsid w:val="00D611EB"/>
    <w:rsid w:val="00D77134"/>
    <w:rsid w:val="00D87244"/>
    <w:rsid w:val="00DA3649"/>
    <w:rsid w:val="00DD46DD"/>
    <w:rsid w:val="00E0768F"/>
    <w:rsid w:val="00E124FB"/>
    <w:rsid w:val="00E219E0"/>
    <w:rsid w:val="00E355E2"/>
    <w:rsid w:val="00E44E53"/>
    <w:rsid w:val="00E60A47"/>
    <w:rsid w:val="00E627D0"/>
    <w:rsid w:val="00E75F2E"/>
    <w:rsid w:val="00EB1222"/>
    <w:rsid w:val="00EB5E95"/>
    <w:rsid w:val="00F40020"/>
    <w:rsid w:val="00F525BE"/>
    <w:rsid w:val="00F613AB"/>
    <w:rsid w:val="00F8179E"/>
    <w:rsid w:val="00FB0339"/>
    <w:rsid w:val="24C14377"/>
    <w:rsid w:val="29980BD4"/>
    <w:rsid w:val="2EFB69EF"/>
    <w:rsid w:val="38031D6D"/>
    <w:rsid w:val="3BCA4F11"/>
    <w:rsid w:val="477C14A3"/>
    <w:rsid w:val="4F7370ED"/>
    <w:rsid w:val="4FB02522"/>
    <w:rsid w:val="56C42A1B"/>
    <w:rsid w:val="5E914308"/>
    <w:rsid w:val="68544C31"/>
    <w:rsid w:val="70537D92"/>
    <w:rsid w:val="70BA2008"/>
    <w:rsid w:val="7B2753CB"/>
    <w:rsid w:val="7E62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7"/>
    <w:qFormat/>
    <w:locked/>
    <w:uiPriority w:val="99"/>
    <w:pPr>
      <w:keepNext/>
      <w:keepLines/>
      <w:spacing w:before="340" w:after="330" w:line="578" w:lineRule="auto"/>
      <w:outlineLvl w:val="0"/>
    </w:pPr>
    <w:rPr>
      <w:rFonts w:ascii="Calibri" w:hAnsi="Calibri" w:eastAsia="宋体" w:cs="Calibr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5"/>
    <w:qFormat/>
    <w:uiPriority w:val="99"/>
    <w:pPr>
      <w:ind w:firstLine="632" w:firstLineChars="200"/>
    </w:pPr>
  </w:style>
  <w:style w:type="paragraph" w:styleId="4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页眉 Char"/>
    <w:link w:val="6"/>
    <w:semiHidden/>
    <w:uiPriority w:val="99"/>
    <w:rPr>
      <w:rFonts w:eastAsia="仿宋_GB2312"/>
      <w:sz w:val="18"/>
      <w:szCs w:val="18"/>
    </w:rPr>
  </w:style>
  <w:style w:type="character" w:customStyle="1" w:styleId="13">
    <w:name w:val="页脚 Char"/>
    <w:link w:val="5"/>
    <w:semiHidden/>
    <w:qFormat/>
    <w:uiPriority w:val="99"/>
    <w:rPr>
      <w:rFonts w:eastAsia="仿宋_GB2312"/>
      <w:sz w:val="18"/>
      <w:szCs w:val="18"/>
    </w:rPr>
  </w:style>
  <w:style w:type="character" w:customStyle="1" w:styleId="14">
    <w:name w:val="日期 Char"/>
    <w:link w:val="4"/>
    <w:semiHidden/>
    <w:uiPriority w:val="99"/>
    <w:rPr>
      <w:rFonts w:eastAsia="仿宋_GB2312"/>
      <w:sz w:val="32"/>
      <w:szCs w:val="20"/>
    </w:rPr>
  </w:style>
  <w:style w:type="character" w:customStyle="1" w:styleId="15">
    <w:name w:val="正文文本缩进 Char"/>
    <w:link w:val="3"/>
    <w:semiHidden/>
    <w:qFormat/>
    <w:uiPriority w:val="99"/>
    <w:rPr>
      <w:rFonts w:eastAsia="仿宋_GB2312"/>
      <w:sz w:val="32"/>
      <w:szCs w:val="20"/>
    </w:rPr>
  </w:style>
  <w:style w:type="paragraph" w:customStyle="1" w:styleId="16">
    <w:name w:val="Char Char Char Char Char Char"/>
    <w:basedOn w:val="1"/>
    <w:uiPriority w:val="99"/>
    <w:pPr>
      <w:adjustRightInd w:val="0"/>
    </w:pPr>
    <w:rPr>
      <w:rFonts w:ascii="Tahoma" w:hAnsi="Tahoma" w:eastAsia="宋体"/>
      <w:sz w:val="24"/>
    </w:rPr>
  </w:style>
  <w:style w:type="character" w:customStyle="1" w:styleId="17">
    <w:name w:val="标题 1 Char"/>
    <w:link w:val="2"/>
    <w:uiPriority w:val="99"/>
    <w:rPr>
      <w:rFonts w:ascii="Calibri" w:hAnsi="Calibri" w:cs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19968;&#20010;&#21333;&#20301;&#25991;&#20214;&#65288;201412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一个单位文件（201412）</Template>
  <Company>家用电脑</Company>
  <Pages>10</Pages>
  <Words>355</Words>
  <Characters>2026</Characters>
  <Lines>16</Lines>
  <Paragraphs>4</Paragraphs>
  <TotalTime>2</TotalTime>
  <ScaleCrop>false</ScaleCrop>
  <LinksUpToDate>false</LinksUpToDate>
  <CharactersWithSpaces>2377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2016-02-18T07:51:00Z</dcterms:created>
  <dc:creator>y</dc:creator>
  <cp:lastModifiedBy>Administrator</cp:lastModifiedBy>
  <cp:lastPrinted>2015-07-03T03:13:00Z</cp:lastPrinted>
  <dcterms:modified xsi:type="dcterms:W3CDTF">2021-08-25T03:52:20Z</dcterms:modified>
  <dc:title>益财会〔2002〕4号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235295794_cloud</vt:lpwstr>
  </property>
</Properties>
</file>