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rPr>
        <w:t>昆明市东川区医疗保障局</w:t>
      </w:r>
      <w:r>
        <w:rPr>
          <w:rFonts w:hint="eastAsia" w:ascii="方正小标宋_GBK" w:hAnsi="方正小标宋_GBK" w:eastAsia="方正小标宋_GBK" w:cs="方正小标宋_GBK"/>
          <w:color w:val="auto"/>
          <w:sz w:val="44"/>
          <w:szCs w:val="44"/>
          <w:lang w:val="en-US" w:eastAsia="zh-CN"/>
        </w:rPr>
        <w:t>2020年度</w:t>
      </w:r>
    </w:p>
    <w:p>
      <w:pPr>
        <w:keepNext w:val="0"/>
        <w:keepLines w:val="0"/>
        <w:pageBreakBefore w:val="0"/>
        <w:kinsoku/>
        <w:wordWrap/>
        <w:overflowPunct/>
        <w:autoSpaceDE/>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离休干部医疗统筹保障财政配套</w:t>
      </w:r>
    </w:p>
    <w:p>
      <w:pPr>
        <w:keepNext w:val="0"/>
        <w:keepLines w:val="0"/>
        <w:pageBreakBefore w:val="0"/>
        <w:kinsoku/>
        <w:wordWrap/>
        <w:overflowPunct/>
        <w:autoSpaceDE/>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项目支出预算绩效自评报告</w:t>
      </w:r>
    </w:p>
    <w:p>
      <w:pPr>
        <w:keepNext w:val="0"/>
        <w:keepLines w:val="0"/>
        <w:pageBreakBefore w:val="0"/>
        <w:kinsoku/>
        <w:wordWrap/>
        <w:overflowPunct/>
        <w:autoSpaceDE/>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autoSpaceDE/>
        <w:bidi w:val="0"/>
        <w:adjustRightInd/>
        <w:snapToGrid/>
        <w:spacing w:line="560" w:lineRule="exact"/>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摘要</w:t>
      </w:r>
    </w:p>
    <w:p>
      <w:pPr>
        <w:keepNext w:val="0"/>
        <w:keepLines w:val="0"/>
        <w:pageBreakBefore w:val="0"/>
        <w:numPr>
          <w:ilvl w:val="0"/>
          <w:numId w:val="0"/>
        </w:numPr>
        <w:kinsoku/>
        <w:wordWrap/>
        <w:overflowPunct/>
        <w:autoSpaceDE/>
        <w:bidi w:val="0"/>
        <w:adjustRightInd/>
        <w:snapToGrid/>
        <w:spacing w:line="560" w:lineRule="exact"/>
        <w:ind w:firstLine="632"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项目概况</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为切实做好离休干部医疗保障工作，制定了《东川区离休干部医疗保障实施细则》（东政办发[2002]111号）。根据实施细则，区属机关、事业、企业单位离休干部医疗费自2002年10月1日起实行统筹管理</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离休干部医疗费按规定实行实报实销</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统筹标准按收支平衡的原则，由区</w:t>
      </w:r>
      <w:r>
        <w:rPr>
          <w:rFonts w:hint="eastAsia" w:ascii="仿宋_GB2312" w:hAnsi="仿宋_GB2312" w:cs="仿宋_GB2312"/>
          <w:color w:val="auto"/>
          <w:sz w:val="32"/>
          <w:szCs w:val="32"/>
          <w:lang w:eastAsia="zh-CN"/>
        </w:rPr>
        <w:t>医疗</w:t>
      </w:r>
      <w:r>
        <w:rPr>
          <w:rFonts w:hint="eastAsia" w:ascii="仿宋_GB2312" w:hAnsi="仿宋_GB2312" w:eastAsia="仿宋_GB2312" w:cs="仿宋_GB2312"/>
          <w:color w:val="auto"/>
          <w:sz w:val="32"/>
          <w:szCs w:val="32"/>
        </w:rPr>
        <w:t>保障部门会同财政部门提出意见报区政府批准执行，一年一定。通过对</w:t>
      </w:r>
      <w:r>
        <w:rPr>
          <w:rFonts w:hint="eastAsia" w:ascii="仿宋_GB2312" w:hAnsi="仿宋_GB2312" w:eastAsia="仿宋_GB2312" w:cs="仿宋_GB2312"/>
          <w:color w:val="auto"/>
          <w:sz w:val="32"/>
          <w:szCs w:val="32"/>
          <w:lang w:eastAsia="zh-CN"/>
        </w:rPr>
        <w:t>20</w:t>
      </w:r>
      <w:r>
        <w:rPr>
          <w:rFonts w:hint="eastAsia" w:ascii="仿宋_GB2312" w:hAnsi="仿宋_GB2312" w:cs="仿宋_GB2312"/>
          <w:color w:val="auto"/>
          <w:sz w:val="32"/>
          <w:szCs w:val="32"/>
          <w:lang w:val="en-US" w:eastAsia="zh-CN"/>
        </w:rPr>
        <w:t>20</w:t>
      </w:r>
      <w:r>
        <w:rPr>
          <w:rFonts w:hint="eastAsia" w:ascii="仿宋_GB2312" w:hAnsi="仿宋_GB2312" w:eastAsia="仿宋_GB2312" w:cs="仿宋_GB2312"/>
          <w:color w:val="auto"/>
          <w:sz w:val="32"/>
          <w:szCs w:val="32"/>
        </w:rPr>
        <w:t>年离休干部医疗统筹保障财政配套项目支出的实施情况进行绩效评价，考核项目资金的产出与绩效，了解、分析、检验项目是否达到预期目标，资金使用是否规范有效，为今后安排离休干部医疗费提供依据，总结经验、采取措施进一步完善财政支出项目管理，提高财政资金使用效益。</w:t>
      </w:r>
    </w:p>
    <w:p>
      <w:pPr>
        <w:keepNext w:val="0"/>
        <w:keepLines w:val="0"/>
        <w:pageBreakBefore w:val="0"/>
        <w:numPr>
          <w:ilvl w:val="0"/>
          <w:numId w:val="0"/>
        </w:numPr>
        <w:kinsoku/>
        <w:wordWrap/>
        <w:overflowPunct/>
        <w:autoSpaceDE/>
        <w:bidi w:val="0"/>
        <w:adjustRightInd/>
        <w:snapToGrid/>
        <w:spacing w:line="560" w:lineRule="exact"/>
        <w:ind w:firstLine="632"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评价结论</w:t>
      </w:r>
    </w:p>
    <w:p>
      <w:pPr>
        <w:keepNext w:val="0"/>
        <w:keepLines w:val="0"/>
        <w:pageBreakBefore w:val="0"/>
        <w:numPr>
          <w:ilvl w:val="0"/>
          <w:numId w:val="0"/>
        </w:numPr>
        <w:kinsoku/>
        <w:wordWrap/>
        <w:overflowPunct/>
        <w:autoSpaceDE/>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根据自评材料，按照既定的绩效指标评价体系和评分标准，</w:t>
      </w:r>
      <w:r>
        <w:rPr>
          <w:rFonts w:hint="eastAsia" w:ascii="仿宋_GB2312" w:hAnsi="仿宋_GB2312" w:eastAsia="仿宋_GB2312" w:cs="仿宋_GB2312"/>
          <w:b w:val="0"/>
          <w:bCs w:val="0"/>
          <w:color w:val="auto"/>
          <w:sz w:val="32"/>
          <w:szCs w:val="32"/>
          <w:lang w:eastAsia="zh-CN"/>
        </w:rPr>
        <w:t>20</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年度</w:t>
      </w:r>
      <w:r>
        <w:rPr>
          <w:rFonts w:hint="eastAsia" w:ascii="仿宋_GB2312" w:hAnsi="仿宋_GB2312" w:eastAsia="仿宋_GB2312" w:cs="仿宋_GB2312"/>
          <w:b w:val="0"/>
          <w:bCs w:val="0"/>
          <w:color w:val="auto"/>
          <w:sz w:val="32"/>
          <w:szCs w:val="32"/>
          <w:lang w:eastAsia="zh-CN"/>
        </w:rPr>
        <w:t>离休干部医疗统筹保障财政配套项目</w:t>
      </w:r>
      <w:r>
        <w:rPr>
          <w:rFonts w:hint="eastAsia" w:ascii="仿宋_GB2312" w:hAnsi="仿宋_GB2312" w:eastAsia="仿宋_GB2312" w:cs="仿宋_GB2312"/>
          <w:b w:val="0"/>
          <w:bCs w:val="0"/>
          <w:color w:val="auto"/>
          <w:sz w:val="32"/>
          <w:szCs w:val="32"/>
        </w:rPr>
        <w:t>绩效评价得分为</w:t>
      </w:r>
      <w:r>
        <w:rPr>
          <w:rFonts w:hint="eastAsia" w:ascii="仿宋_GB2312" w:hAnsi="仿宋_GB2312" w:cs="仿宋_GB2312"/>
          <w:b w:val="0"/>
          <w:bCs w:val="0"/>
          <w:color w:val="auto"/>
          <w:sz w:val="32"/>
          <w:szCs w:val="32"/>
          <w:lang w:val="en-US" w:eastAsia="zh-CN"/>
        </w:rPr>
        <w:t>99</w:t>
      </w:r>
      <w:r>
        <w:rPr>
          <w:rFonts w:hint="eastAsia" w:ascii="仿宋_GB2312" w:hAnsi="仿宋_GB2312" w:eastAsia="仿宋_GB2312" w:cs="仿宋_GB2312"/>
          <w:b w:val="0"/>
          <w:bCs w:val="0"/>
          <w:color w:val="auto"/>
          <w:sz w:val="32"/>
          <w:szCs w:val="32"/>
        </w:rPr>
        <w:t>分，评价结果为优。从整体看绩效目标明确，各项工作开展完成情况良好。</w:t>
      </w:r>
    </w:p>
    <w:p>
      <w:pPr>
        <w:keepNext w:val="0"/>
        <w:keepLines w:val="0"/>
        <w:pageBreakBefore w:val="0"/>
        <w:numPr>
          <w:ilvl w:val="0"/>
          <w:numId w:val="0"/>
        </w:numPr>
        <w:kinsoku/>
        <w:wordWrap/>
        <w:overflowPunct/>
        <w:autoSpaceDE/>
        <w:bidi w:val="0"/>
        <w:adjustRightInd/>
        <w:snapToGrid/>
        <w:spacing w:line="560" w:lineRule="exact"/>
        <w:ind w:left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经验、问题和建议</w:t>
      </w:r>
    </w:p>
    <w:p>
      <w:pPr>
        <w:keepNext w:val="0"/>
        <w:keepLines w:val="0"/>
        <w:pageBreakBefore w:val="0"/>
        <w:kinsoku/>
        <w:wordWrap/>
        <w:overflowPunct/>
        <w:autoSpaceDE/>
        <w:bidi w:val="0"/>
        <w:adjustRightInd/>
        <w:snapToGrid/>
        <w:spacing w:line="560" w:lineRule="exact"/>
        <w:ind w:firstLine="632"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主要经验及做法</w:t>
      </w:r>
    </w:p>
    <w:p>
      <w:pPr>
        <w:keepNext w:val="0"/>
        <w:keepLines w:val="0"/>
        <w:pageBreakBefore w:val="0"/>
        <w:kinsoku/>
        <w:wordWrap/>
        <w:overflowPunct/>
        <w:autoSpaceDE/>
        <w:bidi w:val="0"/>
        <w:adjustRightInd/>
        <w:snapToGrid/>
        <w:spacing w:line="560" w:lineRule="exact"/>
        <w:ind w:firstLine="632" w:firstLineChars="200"/>
        <w:jc w:val="both"/>
        <w:textAlignment w:val="auto"/>
        <w:rPr>
          <w:rFonts w:hint="eastAsia" w:ascii="仿宋_GB2312" w:hAnsi="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继续加强宣传力度，</w:t>
      </w:r>
      <w:r>
        <w:rPr>
          <w:rFonts w:hint="eastAsia" w:ascii="仿宋_GB2312" w:hAnsi="仿宋_GB2312" w:eastAsia="仿宋_GB2312" w:cs="仿宋_GB2312"/>
          <w:b w:val="0"/>
          <w:bCs w:val="0"/>
          <w:color w:val="auto"/>
          <w:sz w:val="32"/>
          <w:szCs w:val="32"/>
        </w:rPr>
        <w:t>积极推进工作</w:t>
      </w:r>
      <w:r>
        <w:rPr>
          <w:rFonts w:hint="eastAsia" w:ascii="仿宋_GB2312" w:hAnsi="仿宋_GB2312" w:eastAsia="仿宋_GB2312" w:cs="仿宋_GB2312"/>
          <w:b w:val="0"/>
          <w:bCs w:val="0"/>
          <w:color w:val="auto"/>
          <w:sz w:val="32"/>
          <w:szCs w:val="32"/>
          <w:lang w:eastAsia="zh-CN"/>
        </w:rPr>
        <w:t>，让</w:t>
      </w:r>
      <w:r>
        <w:rPr>
          <w:rFonts w:hint="eastAsia" w:ascii="仿宋_GB2312" w:hAnsi="仿宋_GB2312" w:cs="仿宋_GB2312"/>
          <w:color w:val="auto"/>
          <w:szCs w:val="32"/>
          <w:lang w:eastAsia="zh-CN"/>
        </w:rPr>
        <w:t>离休干部医疗统筹保障项目</w:t>
      </w:r>
      <w:r>
        <w:rPr>
          <w:rFonts w:hint="eastAsia" w:ascii="仿宋_GB2312" w:hAnsi="仿宋_GB2312" w:eastAsia="仿宋_GB2312" w:cs="仿宋_GB2312"/>
          <w:b w:val="0"/>
          <w:bCs w:val="0"/>
          <w:color w:val="auto"/>
          <w:sz w:val="32"/>
          <w:szCs w:val="32"/>
          <w:lang w:eastAsia="zh-CN"/>
        </w:rPr>
        <w:t>政策家喻户晓，</w:t>
      </w:r>
      <w:r>
        <w:rPr>
          <w:rFonts w:hint="eastAsia" w:ascii="仿宋_GB2312" w:hAnsi="仿宋_GB2312" w:eastAsia="仿宋_GB2312" w:cs="仿宋_GB2312"/>
          <w:b w:val="0"/>
          <w:bCs w:val="0"/>
          <w:color w:val="auto"/>
          <w:sz w:val="32"/>
          <w:szCs w:val="32"/>
        </w:rPr>
        <w:t>做到应保尽保</w:t>
      </w:r>
      <w:r>
        <w:rPr>
          <w:rFonts w:hint="eastAsia" w:ascii="仿宋_GB2312" w:hAnsi="仿宋_GB2312" w:cs="仿宋_GB2312"/>
          <w:b w:val="0"/>
          <w:bCs w:val="0"/>
          <w:color w:val="auto"/>
          <w:sz w:val="32"/>
          <w:szCs w:val="32"/>
          <w:lang w:eastAsia="zh-CN"/>
        </w:rPr>
        <w:t>。</w:t>
      </w:r>
    </w:p>
    <w:p>
      <w:pPr>
        <w:keepNext w:val="0"/>
        <w:keepLines w:val="0"/>
        <w:pageBreakBefore w:val="0"/>
        <w:kinsoku/>
        <w:wordWrap/>
        <w:overflowPunct/>
        <w:autoSpaceDE/>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抓好业务培训，完善经办流程，提高工作效率</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切实加强</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安全管理</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结合工作要求，加强</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支付预算管理，提高</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使用绩效，维护</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安全</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保障</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安全运行</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严格审核待遇支付。</w:t>
      </w:r>
    </w:p>
    <w:p>
      <w:pPr>
        <w:keepNext w:val="0"/>
        <w:keepLines w:val="0"/>
        <w:pageBreakBefore w:val="0"/>
        <w:numPr>
          <w:ilvl w:val="0"/>
          <w:numId w:val="0"/>
        </w:numPr>
        <w:kinsoku/>
        <w:wordWrap/>
        <w:overflowPunct/>
        <w:autoSpaceDE/>
        <w:bidi w:val="0"/>
        <w:adjustRightInd/>
        <w:snapToGrid/>
        <w:spacing w:line="560" w:lineRule="exact"/>
        <w:ind w:firstLine="632"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rPr>
        <w:t>存在的问题</w:t>
      </w:r>
    </w:p>
    <w:p>
      <w:pPr>
        <w:keepNext w:val="0"/>
        <w:keepLines w:val="0"/>
        <w:pageBreakBefore w:val="0"/>
        <w:numPr>
          <w:ilvl w:val="0"/>
          <w:numId w:val="0"/>
        </w:numPr>
        <w:kinsoku/>
        <w:wordWrap/>
        <w:overflowPunct/>
        <w:autoSpaceDE/>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自评分析，因物价上涨快，医院特殊治疗和检查多，如ICU重病监护室，核磁共振、CT、彩超等特殊检查治疗耗用了大量的医疗资金，各种癌症、肾病综合症等大病、重病时有发生，只要发生一例就要耗资百万元以上，加之这一群体年龄大，身体状况愈下，人员虽逐年减少，但所需医疗费确没有逐年减少，甚至会不降反增。大大增加了项目资金的预算难度及带来了极大的不确定性。</w:t>
      </w:r>
    </w:p>
    <w:p>
      <w:pPr>
        <w:keepNext w:val="0"/>
        <w:keepLines w:val="0"/>
        <w:pageBreakBefore w:val="0"/>
        <w:numPr>
          <w:ilvl w:val="0"/>
          <w:numId w:val="0"/>
        </w:numPr>
        <w:kinsoku/>
        <w:wordWrap/>
        <w:overflowPunct/>
        <w:autoSpaceDE/>
        <w:bidi w:val="0"/>
        <w:adjustRightInd/>
        <w:snapToGrid/>
        <w:spacing w:line="560" w:lineRule="exact"/>
        <w:ind w:left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改进措施及建议</w:t>
      </w:r>
    </w:p>
    <w:p>
      <w:pPr>
        <w:keepNext w:val="0"/>
        <w:keepLines w:val="0"/>
        <w:pageBreakBefore w:val="0"/>
        <w:kinsoku/>
        <w:wordWrap/>
        <w:overflowPunct/>
        <w:autoSpaceDE/>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kern w:val="0"/>
          <w:sz w:val="32"/>
          <w:szCs w:val="32"/>
          <w:lang w:eastAsia="zh-CN"/>
        </w:rPr>
        <w:t>进一步做好资金的使用跟踪，完善制度的建设，规范管理专项资金，确保资金的安全及有效运行。</w:t>
      </w:r>
    </w:p>
    <w:p>
      <w:pPr>
        <w:keepNext w:val="0"/>
        <w:keepLines w:val="0"/>
        <w:pageBreakBefore w:val="0"/>
        <w:kinsoku/>
        <w:wordWrap/>
        <w:overflowPunct/>
        <w:autoSpaceDE/>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autoSpaceDE/>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autoSpaceDE/>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autoSpaceDE/>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autoSpaceDE/>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rPr>
        <w:t>昆明市东川区医疗保障局</w:t>
      </w:r>
      <w:r>
        <w:rPr>
          <w:rFonts w:hint="eastAsia" w:ascii="方正小标宋_GBK" w:hAnsi="方正小标宋_GBK" w:eastAsia="方正小标宋_GBK" w:cs="方正小标宋_GBK"/>
          <w:color w:val="auto"/>
          <w:sz w:val="44"/>
          <w:szCs w:val="44"/>
          <w:lang w:val="en-US" w:eastAsia="zh-CN"/>
        </w:rPr>
        <w:t>2020年度</w:t>
      </w:r>
    </w:p>
    <w:p>
      <w:pPr>
        <w:keepNext w:val="0"/>
        <w:keepLines w:val="0"/>
        <w:pageBreakBefore w:val="0"/>
        <w:kinsoku/>
        <w:wordWrap/>
        <w:overflowPunct/>
        <w:autoSpaceDE/>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离休干部医疗统筹保障财政配套</w:t>
      </w:r>
    </w:p>
    <w:p>
      <w:pPr>
        <w:keepNext w:val="0"/>
        <w:keepLines w:val="0"/>
        <w:pageBreakBefore w:val="0"/>
        <w:kinsoku/>
        <w:wordWrap/>
        <w:overflowPunct/>
        <w:autoSpaceDE/>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lang w:eastAsia="zh-CN"/>
        </w:rPr>
      </w:pPr>
      <w:r>
        <w:rPr>
          <w:rFonts w:hint="eastAsia" w:ascii="方正小标宋_GBK" w:hAnsi="方正小标宋_GBK" w:eastAsia="方正小标宋_GBK" w:cs="方正小标宋_GBK"/>
          <w:color w:val="auto"/>
          <w:sz w:val="44"/>
          <w:szCs w:val="44"/>
        </w:rPr>
        <w:t>项目支出预算绩效自评报告</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黑体" w:hAnsi="黑体" w:eastAsia="黑体" w:cs="黑体"/>
          <w:b w:val="0"/>
          <w:bCs w:val="0"/>
          <w:color w:val="auto"/>
          <w:sz w:val="32"/>
          <w:szCs w:val="32"/>
          <w:lang w:eastAsia="zh-CN"/>
        </w:rPr>
      </w:pP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一、项目基本情况</w:t>
      </w:r>
    </w:p>
    <w:p>
      <w:pPr>
        <w:keepNext w:val="0"/>
        <w:keepLines w:val="0"/>
        <w:pageBreakBefore w:val="0"/>
        <w:kinsoku/>
        <w:wordWrap/>
        <w:overflowPunct/>
        <w:autoSpaceDE/>
        <w:bidi w:val="0"/>
        <w:adjustRightInd/>
        <w:snapToGrid/>
        <w:spacing w:line="560" w:lineRule="exact"/>
        <w:ind w:firstLine="632" w:firstLineChars="20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（一）项目概况</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为切实做好离休干部医疗保障工作，制定了《东川区离休干部医疗保障实施细则》（东政办发[2002]111号）。根据实施细则，区属机关、事业、企业单位离休干部医疗费自2002年10月1日起实行统筹管理</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离休干部医疗费按规定实行实报实销</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统筹标准按收支平衡的原则，由区</w:t>
      </w:r>
      <w:r>
        <w:rPr>
          <w:rFonts w:hint="eastAsia" w:ascii="仿宋_GB2312" w:hAnsi="仿宋_GB2312" w:cs="仿宋_GB2312"/>
          <w:color w:val="auto"/>
          <w:sz w:val="32"/>
          <w:szCs w:val="32"/>
          <w:lang w:eastAsia="zh-CN"/>
        </w:rPr>
        <w:t>医疗</w:t>
      </w:r>
      <w:r>
        <w:rPr>
          <w:rFonts w:hint="eastAsia" w:ascii="仿宋_GB2312" w:hAnsi="仿宋_GB2312" w:eastAsia="仿宋_GB2312" w:cs="仿宋_GB2312"/>
          <w:color w:val="auto"/>
          <w:sz w:val="32"/>
          <w:szCs w:val="32"/>
        </w:rPr>
        <w:t>保障部门会同财政部门提出意见报区政府批准执行，一年一定。通过对</w:t>
      </w:r>
      <w:r>
        <w:rPr>
          <w:rFonts w:hint="eastAsia" w:ascii="仿宋_GB2312" w:hAnsi="仿宋_GB2312" w:eastAsia="仿宋_GB2312" w:cs="仿宋_GB2312"/>
          <w:color w:val="auto"/>
          <w:sz w:val="32"/>
          <w:szCs w:val="32"/>
          <w:lang w:eastAsia="zh-CN"/>
        </w:rPr>
        <w:t>20</w:t>
      </w:r>
      <w:r>
        <w:rPr>
          <w:rFonts w:hint="eastAsia" w:ascii="仿宋_GB2312" w:hAnsi="仿宋_GB2312" w:cs="仿宋_GB2312"/>
          <w:color w:val="auto"/>
          <w:sz w:val="32"/>
          <w:szCs w:val="32"/>
          <w:lang w:val="en-US" w:eastAsia="zh-CN"/>
        </w:rPr>
        <w:t>20</w:t>
      </w:r>
      <w:r>
        <w:rPr>
          <w:rFonts w:hint="eastAsia" w:ascii="仿宋_GB2312" w:hAnsi="仿宋_GB2312" w:eastAsia="仿宋_GB2312" w:cs="仿宋_GB2312"/>
          <w:color w:val="auto"/>
          <w:sz w:val="32"/>
          <w:szCs w:val="32"/>
        </w:rPr>
        <w:t>年离休干部医疗统筹保障财政配套项目支出的实施情况进行绩效评价，考核项目资金的产出与绩效，了解、分析、检验项目是否达到预期目标，资金使用是否规范有效，为今后安排离休干部医疗费提供依据，总结经验、采取措施进一步完善财政支出项目管理，提高财政资金使用效益。</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部门工作完成情况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1.离休干部参保工作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根据中央、省、市、区相关文件，对符合离休干部待遇享受的人员保障覆盖面达到100%。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离休干部</w:t>
      </w:r>
      <w:r>
        <w:rPr>
          <w:rFonts w:hint="eastAsia" w:ascii="仿宋_GB2312" w:hAnsi="仿宋_GB2312" w:eastAsia="仿宋_GB2312" w:cs="仿宋_GB2312"/>
          <w:b w:val="0"/>
          <w:bCs w:val="0"/>
          <w:color w:val="auto"/>
          <w:sz w:val="32"/>
          <w:szCs w:val="32"/>
          <w:lang w:val="en-US" w:eastAsia="zh-CN"/>
        </w:rPr>
        <w:t>医疗费用待遇审核工作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根据中央、省、市、区相关文件，对符合离休干部待遇享受的人员，按文件相关要求进行待遇审核，无错审漏审。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离休干部资金收支管理工作</w:t>
      </w:r>
    </w:p>
    <w:p>
      <w:pPr>
        <w:keepNext w:val="0"/>
        <w:keepLines w:val="0"/>
        <w:pageBreakBefore w:val="0"/>
        <w:kinsoku/>
        <w:wordWrap/>
        <w:overflow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严格执行</w:t>
      </w:r>
      <w:r>
        <w:rPr>
          <w:rFonts w:hint="eastAsia" w:ascii="仿宋_GB2312" w:hAnsi="仿宋_GB2312" w:cs="仿宋_GB2312"/>
          <w:b w:val="0"/>
          <w:bCs w:val="0"/>
          <w:color w:val="auto"/>
          <w:sz w:val="32"/>
          <w:szCs w:val="32"/>
          <w:lang w:eastAsia="zh-CN"/>
        </w:rPr>
        <w:t>相关</w:t>
      </w:r>
      <w:r>
        <w:rPr>
          <w:rFonts w:hint="eastAsia" w:ascii="仿宋_GB2312" w:hAnsi="仿宋_GB2312" w:eastAsia="仿宋_GB2312" w:cs="仿宋_GB2312"/>
          <w:b w:val="0"/>
          <w:bCs w:val="0"/>
          <w:color w:val="auto"/>
          <w:sz w:val="32"/>
          <w:szCs w:val="32"/>
        </w:rPr>
        <w:t>制度及内部控制制度，较好地完成了</w:t>
      </w:r>
      <w:r>
        <w:rPr>
          <w:rFonts w:hint="eastAsia" w:ascii="仿宋_GB2312" w:hAnsi="仿宋_GB2312" w:eastAsia="仿宋_GB2312" w:cs="仿宋_GB2312"/>
          <w:b w:val="0"/>
          <w:bCs w:val="0"/>
          <w:color w:val="auto"/>
          <w:sz w:val="32"/>
          <w:szCs w:val="32"/>
          <w:lang w:eastAsia="zh-CN"/>
        </w:rPr>
        <w:t>离休干部专项资金的</w:t>
      </w:r>
      <w:r>
        <w:rPr>
          <w:rFonts w:hint="eastAsia" w:ascii="仿宋_GB2312" w:hAnsi="仿宋_GB2312" w:eastAsia="仿宋_GB2312" w:cs="仿宋_GB2312"/>
          <w:b w:val="0"/>
          <w:bCs w:val="0"/>
          <w:color w:val="auto"/>
          <w:sz w:val="32"/>
          <w:szCs w:val="32"/>
        </w:rPr>
        <w:t>安全运行。</w:t>
      </w:r>
      <w:r>
        <w:rPr>
          <w:rFonts w:hint="eastAsia" w:ascii="仿宋_GB2312" w:hAnsi="仿宋_GB2312" w:eastAsia="仿宋_GB2312" w:cs="仿宋_GB2312"/>
          <w:b w:val="0"/>
          <w:bCs w:val="0"/>
          <w:color w:val="auto"/>
          <w:sz w:val="32"/>
          <w:szCs w:val="32"/>
          <w:lang w:val="en-US" w:eastAsia="zh-CN"/>
        </w:rPr>
        <w:t>截止20</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lang w:val="en-US" w:eastAsia="zh-CN"/>
        </w:rPr>
        <w:t>年12月31日，离休干部医疗保障统筹金收到专款</w:t>
      </w:r>
      <w:r>
        <w:rPr>
          <w:rFonts w:hint="eastAsia" w:ascii="仿宋_GB2312" w:hAnsi="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lang w:val="en-US" w:eastAsia="zh-CN"/>
        </w:rPr>
        <w:t>万元，</w:t>
      </w:r>
      <w:r>
        <w:rPr>
          <w:rFonts w:hint="eastAsia" w:ascii="仿宋_GB2312" w:hAnsi="仿宋_GB2312" w:cs="仿宋_GB2312"/>
          <w:b w:val="0"/>
          <w:bCs w:val="0"/>
          <w:color w:val="auto"/>
          <w:sz w:val="32"/>
          <w:szCs w:val="32"/>
          <w:lang w:val="en-US" w:eastAsia="zh-CN"/>
        </w:rPr>
        <w:t>利息收入5.83万元，上年结转结余591.04万元，</w:t>
      </w:r>
      <w:r>
        <w:rPr>
          <w:rFonts w:hint="eastAsia" w:ascii="仿宋_GB2312" w:hAnsi="仿宋_GB2312" w:eastAsia="仿宋_GB2312" w:cs="仿宋_GB2312"/>
          <w:b w:val="0"/>
          <w:bCs w:val="0"/>
          <w:color w:val="auto"/>
          <w:sz w:val="32"/>
          <w:szCs w:val="32"/>
          <w:lang w:val="en-US" w:eastAsia="zh-CN"/>
        </w:rPr>
        <w:t>支出</w:t>
      </w:r>
      <w:r>
        <w:rPr>
          <w:rFonts w:hint="eastAsia" w:ascii="仿宋_GB2312" w:hAnsi="仿宋_GB2312" w:cs="仿宋_GB2312"/>
          <w:b w:val="0"/>
          <w:bCs w:val="0"/>
          <w:color w:val="auto"/>
          <w:sz w:val="32"/>
          <w:szCs w:val="32"/>
          <w:lang w:val="en-US" w:eastAsia="zh-CN"/>
        </w:rPr>
        <w:t>360.73</w:t>
      </w:r>
      <w:r>
        <w:rPr>
          <w:rFonts w:hint="eastAsia" w:ascii="仿宋_GB2312" w:hAnsi="仿宋_GB2312" w:eastAsia="仿宋_GB2312" w:cs="仿宋_GB2312"/>
          <w:b w:val="0"/>
          <w:bCs w:val="0"/>
          <w:color w:val="auto"/>
          <w:sz w:val="32"/>
          <w:szCs w:val="32"/>
          <w:lang w:val="en-US" w:eastAsia="zh-CN"/>
        </w:rPr>
        <w:t>万元。</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部门资金来源及使用情况</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20</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年收入</w:t>
      </w:r>
      <w:r>
        <w:rPr>
          <w:rFonts w:hint="eastAsia" w:ascii="仿宋_GB2312" w:hAnsi="仿宋_GB2312" w:cs="仿宋_GB2312"/>
          <w:b w:val="0"/>
          <w:bCs w:val="0"/>
          <w:color w:val="auto"/>
          <w:sz w:val="32"/>
          <w:szCs w:val="32"/>
          <w:lang w:val="en-US" w:eastAsia="zh-CN"/>
        </w:rPr>
        <w:t>5.83</w:t>
      </w:r>
      <w:r>
        <w:rPr>
          <w:rFonts w:hint="eastAsia" w:ascii="仿宋_GB2312" w:hAnsi="仿宋_GB2312" w:eastAsia="仿宋_GB2312" w:cs="仿宋_GB2312"/>
          <w:b w:val="0"/>
          <w:bCs w:val="0"/>
          <w:color w:val="auto"/>
          <w:sz w:val="32"/>
          <w:szCs w:val="32"/>
        </w:rPr>
        <w:t>万元，其中，财政拨款收入</w:t>
      </w:r>
      <w:r>
        <w:rPr>
          <w:rFonts w:hint="eastAsia" w:ascii="仿宋_GB2312" w:hAnsi="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rPr>
        <w:t>万元，</w:t>
      </w:r>
      <w:r>
        <w:rPr>
          <w:rFonts w:hint="eastAsia" w:ascii="仿宋_GB2312" w:hAnsi="仿宋_GB2312" w:cs="仿宋_GB2312"/>
          <w:b w:val="0"/>
          <w:bCs w:val="0"/>
          <w:color w:val="auto"/>
          <w:sz w:val="32"/>
          <w:szCs w:val="32"/>
          <w:lang w:eastAsia="zh-CN"/>
        </w:rPr>
        <w:t>利息收入</w:t>
      </w:r>
      <w:r>
        <w:rPr>
          <w:rFonts w:hint="eastAsia" w:ascii="仿宋_GB2312" w:hAnsi="仿宋_GB2312" w:cs="仿宋_GB2312"/>
          <w:b w:val="0"/>
          <w:bCs w:val="0"/>
          <w:color w:val="auto"/>
          <w:sz w:val="32"/>
          <w:szCs w:val="32"/>
          <w:lang w:val="en-US" w:eastAsia="zh-CN"/>
        </w:rPr>
        <w:t>5.83万元，</w:t>
      </w:r>
      <w:r>
        <w:rPr>
          <w:rFonts w:hint="eastAsia" w:ascii="仿宋_GB2312" w:hAnsi="仿宋_GB2312" w:eastAsia="仿宋_GB2312" w:cs="仿宋_GB2312"/>
          <w:b w:val="0"/>
          <w:bCs w:val="0"/>
          <w:color w:val="auto"/>
          <w:sz w:val="32"/>
          <w:szCs w:val="32"/>
        </w:rPr>
        <w:t>无上级补助收入、事业收入、经营收入和附属单位上缴收入。</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仿宋_GB2312" w:hAnsi="仿宋_GB2312" w:eastAsia="仿宋_GB2312" w:cs="仿宋_GB2312"/>
          <w:b w:val="0"/>
          <w:bCs w:val="0"/>
          <w:color w:val="auto"/>
          <w:sz w:val="32"/>
          <w:szCs w:val="32"/>
          <w:highlight w:val="cya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20</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年支出</w:t>
      </w:r>
      <w:r>
        <w:rPr>
          <w:rFonts w:hint="eastAsia" w:ascii="仿宋_GB2312" w:hAnsi="仿宋_GB2312" w:cs="仿宋_GB2312"/>
          <w:b w:val="0"/>
          <w:bCs w:val="0"/>
          <w:color w:val="auto"/>
          <w:sz w:val="32"/>
          <w:szCs w:val="32"/>
          <w:lang w:val="en-US" w:eastAsia="zh-CN"/>
        </w:rPr>
        <w:t>360.73</w:t>
      </w:r>
      <w:r>
        <w:rPr>
          <w:rFonts w:hint="eastAsia" w:ascii="仿宋_GB2312" w:hAnsi="仿宋_GB2312" w:eastAsia="仿宋_GB2312" w:cs="仿宋_GB2312"/>
          <w:b w:val="0"/>
          <w:bCs w:val="0"/>
          <w:color w:val="auto"/>
          <w:sz w:val="32"/>
          <w:szCs w:val="32"/>
        </w:rPr>
        <w:t>万元。</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3.上年结转结余591.04万元</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20</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eastAsia="zh-CN"/>
        </w:rPr>
        <w:t>末累计</w:t>
      </w:r>
      <w:r>
        <w:rPr>
          <w:rFonts w:hint="eastAsia" w:ascii="仿宋_GB2312" w:hAnsi="仿宋_GB2312" w:eastAsia="仿宋_GB2312" w:cs="仿宋_GB2312"/>
          <w:b w:val="0"/>
          <w:bCs w:val="0"/>
          <w:color w:val="auto"/>
          <w:sz w:val="32"/>
          <w:szCs w:val="32"/>
        </w:rPr>
        <w:t>结转结余</w:t>
      </w:r>
      <w:r>
        <w:rPr>
          <w:rFonts w:hint="eastAsia" w:ascii="仿宋_GB2312" w:hAnsi="仿宋_GB2312" w:cs="仿宋_GB2312"/>
          <w:b w:val="0"/>
          <w:bCs w:val="0"/>
          <w:color w:val="auto"/>
          <w:sz w:val="32"/>
          <w:szCs w:val="32"/>
          <w:lang w:eastAsia="zh-CN"/>
        </w:rPr>
        <w:t>资金</w:t>
      </w:r>
      <w:r>
        <w:rPr>
          <w:rFonts w:hint="eastAsia" w:ascii="仿宋_GB2312" w:hAnsi="仿宋_GB2312" w:cs="仿宋_GB2312"/>
          <w:b w:val="0"/>
          <w:bCs w:val="0"/>
          <w:color w:val="auto"/>
          <w:sz w:val="32"/>
          <w:szCs w:val="32"/>
          <w:lang w:val="en-US" w:eastAsia="zh-CN"/>
        </w:rPr>
        <w:t>236.14</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val="en-US" w:eastAsia="zh-CN"/>
        </w:rPr>
        <w:t>因离休干部项目属于连年持续性保障项目，结转结余部分下年继续使用。</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组织及管理情况</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为切实做好离休干部医疗保障工作，制定了《东川区离休干部医疗保障实施细则》</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昆明市东川区医疗保障局（医险局）内控制度</w:t>
      </w:r>
      <w:r>
        <w:rPr>
          <w:rFonts w:hint="eastAsia" w:ascii="仿宋_GB2312" w:hAnsi="仿宋_GB2312" w:cs="仿宋_GB2312"/>
          <w:b w:val="0"/>
          <w:bCs w:val="0"/>
          <w:color w:val="auto"/>
          <w:sz w:val="32"/>
          <w:szCs w:val="32"/>
          <w:lang w:val="en-US" w:eastAsia="zh-CN"/>
        </w:rPr>
        <w:t>》《昆明市东川区医疗保障局（医险局）医疗保障基金拨付业务经办流程》等规章制度</w:t>
      </w:r>
      <w:r>
        <w:rPr>
          <w:rFonts w:hint="eastAsia" w:ascii="仿宋_GB2312" w:hAnsi="仿宋_GB2312" w:eastAsia="仿宋_GB2312" w:cs="仿宋_GB2312"/>
          <w:b w:val="0"/>
          <w:bCs w:val="0"/>
          <w:color w:val="auto"/>
          <w:sz w:val="32"/>
          <w:szCs w:val="32"/>
          <w:lang w:val="en-US" w:eastAsia="zh-CN"/>
        </w:rPr>
        <w:t>。工作中，一方面切实保障离休干部的医疗需求，最大限度的方便离休干部就医；另一方面</w:t>
      </w:r>
      <w:r>
        <w:rPr>
          <w:rFonts w:hint="eastAsia" w:ascii="仿宋_GB2312" w:hAnsi="仿宋_GB2312" w:cs="仿宋_GB2312"/>
          <w:b w:val="0"/>
          <w:bCs w:val="0"/>
          <w:color w:val="auto"/>
          <w:sz w:val="32"/>
          <w:szCs w:val="32"/>
          <w:lang w:val="en-US" w:eastAsia="zh-CN"/>
        </w:rPr>
        <w:t>对就医待遇</w:t>
      </w:r>
      <w:r>
        <w:rPr>
          <w:rFonts w:hint="eastAsia" w:ascii="仿宋_GB2312" w:hAnsi="仿宋_GB2312" w:eastAsia="仿宋_GB2312" w:cs="仿宋_GB2312"/>
          <w:b w:val="0"/>
          <w:bCs w:val="0"/>
          <w:color w:val="auto"/>
          <w:sz w:val="32"/>
          <w:szCs w:val="32"/>
          <w:lang w:val="en-US" w:eastAsia="zh-CN"/>
        </w:rPr>
        <w:t>加强审核工作，将离休干部医疗费控制在合理费用范围内，坚决杜绝浪费。</w:t>
      </w:r>
    </w:p>
    <w:p>
      <w:pPr>
        <w:keepNext w:val="0"/>
        <w:keepLines w:val="0"/>
        <w:pageBreakBefore w:val="0"/>
        <w:kinsoku/>
        <w:wordWrap/>
        <w:overflowPunct/>
        <w:autoSpaceDE/>
        <w:bidi w:val="0"/>
        <w:adjustRightInd/>
        <w:snapToGrid/>
        <w:spacing w:line="560" w:lineRule="exact"/>
        <w:ind w:firstLine="632"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（二）</w:t>
      </w:r>
      <w:r>
        <w:rPr>
          <w:rFonts w:hint="eastAsia" w:ascii="楷体_GB2312" w:hAnsi="楷体_GB2312" w:eastAsia="楷体_GB2312" w:cs="楷体_GB2312"/>
          <w:b w:val="0"/>
          <w:bCs w:val="0"/>
          <w:color w:val="auto"/>
          <w:sz w:val="32"/>
          <w:szCs w:val="32"/>
        </w:rPr>
        <w:t>绩效目标</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让保障对象（离休干部、8.13人员、退休医疗照顾人员）的权益得到充分有效的实施，覆盖面达到100%</w:t>
      </w:r>
      <w:r>
        <w:rPr>
          <w:rFonts w:hint="eastAsia" w:ascii="仿宋_GB2312" w:hAnsi="仿宋_GB2312" w:cs="仿宋_GB2312"/>
          <w:b w:val="0"/>
          <w:bCs w:val="0"/>
          <w:color w:val="auto"/>
          <w:sz w:val="32"/>
          <w:szCs w:val="32"/>
          <w:lang w:eastAsia="zh-CN"/>
        </w:rPr>
        <w:t>。</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二、绩效评价工作情况</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（一）</w:t>
      </w:r>
      <w:r>
        <w:rPr>
          <w:rFonts w:hint="eastAsia" w:ascii="楷体_GB2312" w:hAnsi="楷体_GB2312" w:eastAsia="楷体_GB2312" w:cs="楷体_GB2312"/>
          <w:color w:val="auto"/>
          <w:sz w:val="32"/>
          <w:szCs w:val="32"/>
          <w:highlight w:val="none"/>
        </w:rPr>
        <w:t>绩效评价目的</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对2020年离休干部医疗统筹保障财政配套项目支出的实施情况进行绩效评价，考核项目资金的产出与绩效，了解、分析、检验项目是否达到预期目标，资金使用是否规范有效，为今后安排离休干部医疗费提供依据，总结经验、采取措施进一步完善财政支出项目管理，提高财政资金使用效益。</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color w:val="auto"/>
          <w:sz w:val="32"/>
          <w:szCs w:val="32"/>
        </w:rPr>
        <w:t>（二）绩效评价工作方案制定过程</w:t>
      </w:r>
    </w:p>
    <w:p>
      <w:pPr>
        <w:keepNext w:val="0"/>
        <w:keepLines w:val="0"/>
        <w:pageBreakBefore w:val="0"/>
        <w:kinsoku/>
        <w:wordWrap/>
        <w:overflowPunct/>
        <w:autoSpaceDE/>
        <w:autoSpaceDN w:val="0"/>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lang w:eastAsia="zh-CN"/>
        </w:rPr>
        <w:t>在第一时间由局领导主持召开绩效评价工作部署会议，会上依据《东川区离休干部医疗保障实施细则》（东政办发[2002]111号）文件研究制定了绩效评价工作方案及成立了绩效评价工作领导小组，会后依据实际制定了符合离休干部项目支出的评价体系框架。</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（三）绩效评价原则、评价方法</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color w:val="auto"/>
          <w:sz w:val="32"/>
          <w:szCs w:val="32"/>
        </w:rPr>
        <w:t>绩效评价原则</w:t>
      </w:r>
      <w:r>
        <w:rPr>
          <w:rFonts w:hint="eastAsia" w:ascii="仿宋_GB2312" w:hAnsi="仿宋_GB2312" w:eastAsia="仿宋_GB2312" w:cs="仿宋_GB2312"/>
          <w:color w:val="auto"/>
          <w:sz w:val="32"/>
          <w:szCs w:val="32"/>
          <w:lang w:eastAsia="zh-CN"/>
        </w:rPr>
        <w:t>及方法：依据《昆明市东川区医疗保障局预算绩效管理暂行办法》（东医保〔2020〕9号）文件进行科学规范</w:t>
      </w:r>
      <w:r>
        <w:rPr>
          <w:rFonts w:hint="eastAsia" w:ascii="仿宋_GB2312" w:hAnsi="仿宋_GB2312" w:eastAsia="仿宋_GB2312" w:cs="仿宋_GB2312"/>
          <w:color w:val="auto"/>
          <w:sz w:val="32"/>
          <w:szCs w:val="32"/>
        </w:rPr>
        <w:t>、公开公正、绩效相关等原则</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依托</w:t>
      </w:r>
      <w:r>
        <w:rPr>
          <w:rFonts w:hint="eastAsia" w:ascii="仿宋_GB2312" w:hAnsi="仿宋_GB2312" w:eastAsia="仿宋_GB2312" w:cs="仿宋_GB2312"/>
          <w:color w:val="auto"/>
          <w:sz w:val="32"/>
          <w:szCs w:val="32"/>
        </w:rPr>
        <w:t>指标评价</w:t>
      </w:r>
      <w:r>
        <w:rPr>
          <w:rFonts w:hint="eastAsia" w:ascii="仿宋_GB2312" w:hAnsi="仿宋_GB2312" w:eastAsia="仿宋_GB2312" w:cs="仿宋_GB2312"/>
          <w:color w:val="auto"/>
          <w:sz w:val="32"/>
          <w:szCs w:val="32"/>
          <w:lang w:eastAsia="zh-CN"/>
        </w:rPr>
        <w:t>体系框架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进行相关</w:t>
      </w:r>
      <w:r>
        <w:rPr>
          <w:rFonts w:hint="eastAsia" w:ascii="仿宋_GB2312" w:hAnsi="仿宋_GB2312" w:eastAsia="仿宋_GB2312" w:cs="仿宋_GB2312"/>
          <w:color w:val="auto"/>
          <w:sz w:val="32"/>
          <w:szCs w:val="32"/>
        </w:rPr>
        <w:t>数据采集和社会</w:t>
      </w:r>
      <w:r>
        <w:rPr>
          <w:rFonts w:hint="eastAsia" w:ascii="仿宋_GB2312" w:hAnsi="仿宋_GB2312" w:eastAsia="仿宋_GB2312" w:cs="仿宋_GB2312"/>
          <w:color w:val="auto"/>
          <w:sz w:val="32"/>
          <w:szCs w:val="32"/>
          <w:lang w:eastAsia="zh-CN"/>
        </w:rPr>
        <w:t>问卷</w:t>
      </w:r>
      <w:r>
        <w:rPr>
          <w:rFonts w:hint="eastAsia" w:ascii="仿宋_GB2312" w:hAnsi="仿宋_GB2312" w:eastAsia="仿宋_GB2312" w:cs="仿宋_GB2312"/>
          <w:color w:val="auto"/>
          <w:sz w:val="32"/>
          <w:szCs w:val="32"/>
        </w:rPr>
        <w:t>调查</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方法。</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（四）绩效评价实施过程</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1.数据填报和采集</w:t>
      </w:r>
      <w:r>
        <w:rPr>
          <w:rFonts w:hint="eastAsia" w:ascii="仿宋_GB2312" w:hAnsi="仿宋_GB2312" w:cs="仿宋_GB2312"/>
          <w:color w:val="auto"/>
          <w:sz w:val="32"/>
          <w:szCs w:val="32"/>
          <w:lang w:eastAsia="zh-CN"/>
        </w:rPr>
        <w:t>；</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2.社会调查</w:t>
      </w:r>
      <w:r>
        <w:rPr>
          <w:rFonts w:hint="eastAsia" w:ascii="仿宋_GB2312" w:hAnsi="仿宋_GB2312" w:cs="仿宋_GB2312"/>
          <w:color w:val="auto"/>
          <w:sz w:val="32"/>
          <w:szCs w:val="32"/>
          <w:lang w:eastAsia="zh-CN"/>
        </w:rPr>
        <w:t>；</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3.数据分析和撰写报告。</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（五）本次绩效评价的局限性</w:t>
      </w:r>
    </w:p>
    <w:p>
      <w:pPr>
        <w:keepNext w:val="0"/>
        <w:keepLines w:val="0"/>
        <w:pageBreakBefore w:val="0"/>
        <w:kinsoku/>
        <w:wordWrap/>
        <w:overflowPunct/>
        <w:topLinePunct/>
        <w:autoSpaceDE/>
        <w:bidi w:val="0"/>
        <w:adjustRightInd/>
        <w:snapToGrid/>
        <w:spacing w:line="560" w:lineRule="exact"/>
        <w:ind w:firstLine="790" w:firstLineChars="25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本次项目绩效评价时间紧任务重。</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、评价结论和绩效分析</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（一）评价结论</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1.评价结果</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根据自评材料，按照既定的绩效指标评价体系和评分标准，2020年度离休干部医疗统筹保障财政配套项目绩效评价得分为99分，评价结果为优。从整体看绩效目标明确，各项工作开展完成情况良好。但存在预算编制不充分等问题。</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2.主要绩效</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在学习成长中，狠抓谋划部署、强化执行落实，各项年度目标稳步推进，离休干部人员医疗待遇全面落实，公共服务能力稳步提升。</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（二）具体绩效分析</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cs="仿宋_GB2312"/>
          <w:b w:val="0"/>
          <w:bCs w:val="0"/>
          <w:color w:val="auto"/>
          <w:sz w:val="32"/>
          <w:szCs w:val="32"/>
          <w:lang w:eastAsia="zh-CN"/>
        </w:rPr>
        <w:t>20</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年部门整体支出绩效自评指标体系设置</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个一级指标、</w:t>
      </w:r>
      <w:r>
        <w:rPr>
          <w:rFonts w:hint="eastAsia" w:ascii="仿宋_GB2312" w:hAnsi="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个二级指标、</w:t>
      </w:r>
      <w:r>
        <w:rPr>
          <w:rFonts w:hint="eastAsia" w:ascii="仿宋_GB2312" w:hAnsi="仿宋_GB2312" w:cs="仿宋_GB2312"/>
          <w:b w:val="0"/>
          <w:bCs w:val="0"/>
          <w:color w:val="auto"/>
          <w:sz w:val="32"/>
          <w:szCs w:val="32"/>
          <w:lang w:val="en-US" w:eastAsia="zh-CN"/>
        </w:rPr>
        <w:t>29</w:t>
      </w:r>
      <w:r>
        <w:rPr>
          <w:rFonts w:hint="eastAsia" w:ascii="仿宋_GB2312" w:hAnsi="仿宋_GB2312" w:eastAsia="仿宋_GB2312" w:cs="仿宋_GB2312"/>
          <w:b w:val="0"/>
          <w:bCs w:val="0"/>
          <w:color w:val="auto"/>
          <w:sz w:val="32"/>
          <w:szCs w:val="32"/>
          <w:lang w:val="en-US" w:eastAsia="zh-CN"/>
        </w:rPr>
        <w:t>个</w:t>
      </w:r>
      <w:r>
        <w:rPr>
          <w:rFonts w:hint="eastAsia" w:ascii="仿宋_GB2312" w:hAnsi="仿宋_GB2312" w:eastAsia="仿宋_GB2312" w:cs="仿宋_GB2312"/>
          <w:b w:val="0"/>
          <w:bCs w:val="0"/>
          <w:color w:val="auto"/>
          <w:sz w:val="32"/>
          <w:szCs w:val="32"/>
        </w:rPr>
        <w:t>三级</w:t>
      </w:r>
      <w:r>
        <w:rPr>
          <w:rFonts w:hint="eastAsia" w:ascii="仿宋_GB2312" w:hAnsi="仿宋_GB2312" w:cs="仿宋_GB2312"/>
          <w:b w:val="0"/>
          <w:bCs w:val="0"/>
          <w:color w:val="auto"/>
          <w:sz w:val="32"/>
          <w:szCs w:val="32"/>
          <w:lang w:eastAsia="zh-CN"/>
        </w:rPr>
        <w:t>（含小四级指标）</w:t>
      </w:r>
      <w:r>
        <w:rPr>
          <w:rFonts w:hint="eastAsia" w:ascii="仿宋_GB2312" w:hAnsi="仿宋_GB2312" w:eastAsia="仿宋_GB2312" w:cs="仿宋_GB2312"/>
          <w:b w:val="0"/>
          <w:bCs w:val="0"/>
          <w:color w:val="auto"/>
          <w:sz w:val="32"/>
          <w:szCs w:val="32"/>
        </w:rPr>
        <w:t>指标。其中：</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1.一级指标</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决策包含</w:t>
      </w:r>
      <w:r>
        <w:rPr>
          <w:rFonts w:hint="eastAsia" w:ascii="仿宋_GB2312" w:hAnsi="仿宋_GB2312" w:cs="仿宋_GB2312"/>
          <w:b w:val="0"/>
          <w:bCs w:val="0"/>
          <w:color w:val="auto"/>
          <w:sz w:val="32"/>
          <w:szCs w:val="32"/>
          <w:lang w:eastAsia="zh-CN"/>
        </w:rPr>
        <w:t>项目立项、项目</w:t>
      </w:r>
      <w:r>
        <w:rPr>
          <w:rFonts w:hint="eastAsia" w:ascii="仿宋_GB2312" w:hAnsi="仿宋_GB2312" w:eastAsia="仿宋_GB2312" w:cs="仿宋_GB2312"/>
          <w:b w:val="0"/>
          <w:bCs w:val="0"/>
          <w:color w:val="auto"/>
          <w:sz w:val="32"/>
          <w:szCs w:val="32"/>
        </w:rPr>
        <w:t>目标</w:t>
      </w:r>
      <w:r>
        <w:rPr>
          <w:rFonts w:hint="eastAsia" w:ascii="仿宋_GB2312" w:hAnsi="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个二级指标，</w:t>
      </w:r>
      <w:r>
        <w:rPr>
          <w:rFonts w:hint="eastAsia" w:ascii="仿宋_GB2312" w:hAnsi="仿宋_GB2312" w:cs="仿宋_GB2312"/>
          <w:b w:val="0"/>
          <w:bCs w:val="0"/>
          <w:color w:val="auto"/>
          <w:sz w:val="32"/>
          <w:szCs w:val="32"/>
          <w:lang w:val="en-US" w:eastAsia="zh-CN"/>
        </w:rPr>
        <w:t>10个</w:t>
      </w:r>
      <w:r>
        <w:rPr>
          <w:rFonts w:hint="eastAsia" w:ascii="仿宋_GB2312" w:hAnsi="仿宋_GB2312" w:eastAsia="仿宋_GB2312" w:cs="仿宋_GB2312"/>
          <w:b w:val="0"/>
          <w:bCs w:val="0"/>
          <w:color w:val="auto"/>
          <w:sz w:val="32"/>
          <w:szCs w:val="32"/>
        </w:rPr>
        <w:t>三级</w:t>
      </w:r>
      <w:r>
        <w:rPr>
          <w:rFonts w:hint="eastAsia" w:ascii="仿宋_GB2312" w:hAnsi="仿宋_GB2312" w:cs="仿宋_GB2312"/>
          <w:b w:val="0"/>
          <w:bCs w:val="0"/>
          <w:color w:val="auto"/>
          <w:sz w:val="32"/>
          <w:szCs w:val="32"/>
          <w:lang w:eastAsia="zh-CN"/>
        </w:rPr>
        <w:t>（含小四级指标）</w:t>
      </w:r>
      <w:r>
        <w:rPr>
          <w:rFonts w:hint="eastAsia" w:ascii="仿宋_GB2312" w:hAnsi="仿宋_GB2312" w:eastAsia="仿宋_GB2312" w:cs="仿宋_GB2312"/>
          <w:b w:val="0"/>
          <w:bCs w:val="0"/>
          <w:color w:val="auto"/>
          <w:sz w:val="32"/>
          <w:szCs w:val="32"/>
        </w:rPr>
        <w:t>指标</w:t>
      </w:r>
      <w:r>
        <w:rPr>
          <w:rFonts w:hint="eastAsia" w:ascii="仿宋_GB2312" w:hAnsi="仿宋_GB2312" w:cs="仿宋_GB2312"/>
          <w:b w:val="0"/>
          <w:bCs w:val="0"/>
          <w:color w:val="auto"/>
          <w:sz w:val="32"/>
          <w:szCs w:val="32"/>
          <w:lang w:val="en-US" w:eastAsia="zh-CN"/>
        </w:rPr>
        <w:t>，</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决策满分</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分，经评分本项得分</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（1）二级指标“</w:t>
      </w:r>
      <w:r>
        <w:rPr>
          <w:rFonts w:hint="eastAsia" w:ascii="仿宋_GB2312" w:hAnsi="仿宋_GB2312" w:cs="仿宋_GB2312"/>
          <w:b w:val="0"/>
          <w:bCs w:val="0"/>
          <w:color w:val="auto"/>
          <w:sz w:val="32"/>
          <w:szCs w:val="32"/>
          <w:lang w:eastAsia="zh-CN"/>
        </w:rPr>
        <w:t>项目立项</w:t>
      </w:r>
      <w:r>
        <w:rPr>
          <w:rFonts w:hint="eastAsia" w:ascii="仿宋_GB2312" w:hAnsi="仿宋_GB2312" w:eastAsia="仿宋_GB2312" w:cs="仿宋_GB2312"/>
          <w:b w:val="0"/>
          <w:bCs w:val="0"/>
          <w:color w:val="auto"/>
          <w:sz w:val="32"/>
          <w:szCs w:val="32"/>
        </w:rPr>
        <w:t>”满分</w:t>
      </w:r>
      <w:r>
        <w:rPr>
          <w:rFonts w:hint="eastAsia" w:ascii="仿宋_GB2312" w:hAnsi="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分，评价得分</w:t>
      </w:r>
      <w:r>
        <w:rPr>
          <w:rFonts w:hint="eastAsia" w:ascii="仿宋_GB2312" w:hAnsi="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（2）二级指标“</w:t>
      </w:r>
      <w:r>
        <w:rPr>
          <w:rFonts w:hint="eastAsia" w:ascii="仿宋_GB2312" w:hAnsi="仿宋_GB2312" w:cs="仿宋_GB2312"/>
          <w:b w:val="0"/>
          <w:bCs w:val="0"/>
          <w:color w:val="auto"/>
          <w:sz w:val="32"/>
          <w:szCs w:val="32"/>
          <w:lang w:eastAsia="zh-CN"/>
        </w:rPr>
        <w:t>项目目标</w:t>
      </w:r>
      <w:r>
        <w:rPr>
          <w:rFonts w:hint="eastAsia" w:ascii="仿宋_GB2312" w:hAnsi="仿宋_GB2312" w:eastAsia="仿宋_GB2312" w:cs="仿宋_GB2312"/>
          <w:b w:val="0"/>
          <w:bCs w:val="0"/>
          <w:color w:val="auto"/>
          <w:sz w:val="32"/>
          <w:szCs w:val="32"/>
        </w:rPr>
        <w:t>”满分</w:t>
      </w:r>
      <w:r>
        <w:rPr>
          <w:rFonts w:hint="eastAsia" w:ascii="仿宋_GB2312" w:hAnsi="仿宋_GB2312" w:cs="仿宋_GB2312"/>
          <w:b w:val="0"/>
          <w:bCs w:val="0"/>
          <w:color w:val="auto"/>
          <w:sz w:val="32"/>
          <w:szCs w:val="32"/>
          <w:lang w:val="en-US" w:eastAsia="zh-CN"/>
        </w:rPr>
        <w:t>12</w:t>
      </w:r>
      <w:r>
        <w:rPr>
          <w:rFonts w:hint="eastAsia" w:ascii="仿宋_GB2312" w:hAnsi="仿宋_GB2312" w:eastAsia="仿宋_GB2312" w:cs="仿宋_GB2312"/>
          <w:b w:val="0"/>
          <w:bCs w:val="0"/>
          <w:color w:val="auto"/>
          <w:sz w:val="32"/>
          <w:szCs w:val="32"/>
        </w:rPr>
        <w:t>分，评价得分</w:t>
      </w:r>
      <w:r>
        <w:rPr>
          <w:rFonts w:hint="eastAsia" w:ascii="仿宋_GB2312" w:hAnsi="仿宋_GB2312" w:cs="仿宋_GB2312"/>
          <w:b w:val="0"/>
          <w:bCs w:val="0"/>
          <w:color w:val="auto"/>
          <w:sz w:val="32"/>
          <w:szCs w:val="32"/>
          <w:lang w:val="en-US" w:eastAsia="zh-CN"/>
        </w:rPr>
        <w:t>12</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2.一级指标</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管理包含</w:t>
      </w:r>
      <w:r>
        <w:rPr>
          <w:rFonts w:hint="eastAsia" w:ascii="仿宋_GB2312" w:hAnsi="仿宋_GB2312" w:cs="仿宋_GB2312"/>
          <w:b w:val="0"/>
          <w:bCs w:val="0"/>
          <w:color w:val="auto"/>
          <w:sz w:val="32"/>
          <w:szCs w:val="32"/>
          <w:lang w:eastAsia="zh-CN"/>
        </w:rPr>
        <w:t>投入管理、财务管理、项目实施</w:t>
      </w:r>
      <w:r>
        <w:rPr>
          <w:rFonts w:hint="eastAsia" w:ascii="仿宋_GB2312" w:hAnsi="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个二级指标</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lang w:val="en-US" w:eastAsia="zh-CN"/>
        </w:rPr>
        <w:t>个</w:t>
      </w:r>
      <w:r>
        <w:rPr>
          <w:rFonts w:hint="eastAsia" w:ascii="仿宋_GB2312" w:hAnsi="仿宋_GB2312" w:eastAsia="仿宋_GB2312" w:cs="仿宋_GB2312"/>
          <w:b w:val="0"/>
          <w:bCs w:val="0"/>
          <w:color w:val="auto"/>
          <w:sz w:val="32"/>
          <w:szCs w:val="32"/>
        </w:rPr>
        <w:t>三级</w:t>
      </w:r>
      <w:r>
        <w:rPr>
          <w:rFonts w:hint="eastAsia" w:ascii="仿宋_GB2312" w:hAnsi="仿宋_GB2312" w:cs="仿宋_GB2312"/>
          <w:b w:val="0"/>
          <w:bCs w:val="0"/>
          <w:color w:val="auto"/>
          <w:sz w:val="32"/>
          <w:szCs w:val="32"/>
          <w:lang w:eastAsia="zh-CN"/>
        </w:rPr>
        <w:t>（含小四级指标）</w:t>
      </w:r>
      <w:r>
        <w:rPr>
          <w:rFonts w:hint="eastAsia" w:ascii="仿宋_GB2312" w:hAnsi="仿宋_GB2312" w:eastAsia="仿宋_GB2312" w:cs="仿宋_GB2312"/>
          <w:b w:val="0"/>
          <w:bCs w:val="0"/>
          <w:color w:val="auto"/>
          <w:sz w:val="32"/>
          <w:szCs w:val="32"/>
        </w:rPr>
        <w:t>指标。</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管理满分20分，经评分本项得分</w:t>
      </w:r>
      <w:r>
        <w:rPr>
          <w:rFonts w:hint="eastAsia" w:ascii="仿宋_GB2312" w:hAnsi="仿宋_GB2312" w:cs="仿宋_GB2312"/>
          <w:b w:val="0"/>
          <w:bCs w:val="0"/>
          <w:color w:val="auto"/>
          <w:sz w:val="32"/>
          <w:szCs w:val="32"/>
          <w:lang w:val="en-US" w:eastAsia="zh-CN"/>
        </w:rPr>
        <w:t>19</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（1）二级指标“</w:t>
      </w:r>
      <w:r>
        <w:rPr>
          <w:rFonts w:hint="eastAsia" w:ascii="仿宋_GB2312" w:hAnsi="仿宋_GB2312" w:cs="仿宋_GB2312"/>
          <w:b w:val="0"/>
          <w:bCs w:val="0"/>
          <w:color w:val="auto"/>
          <w:sz w:val="32"/>
          <w:szCs w:val="32"/>
          <w:lang w:eastAsia="zh-CN"/>
        </w:rPr>
        <w:t>投入管理</w:t>
      </w:r>
      <w:r>
        <w:rPr>
          <w:rFonts w:hint="eastAsia" w:ascii="仿宋_GB2312" w:hAnsi="仿宋_GB2312" w:eastAsia="仿宋_GB2312" w:cs="仿宋_GB2312"/>
          <w:b w:val="0"/>
          <w:bCs w:val="0"/>
          <w:color w:val="auto"/>
          <w:sz w:val="32"/>
          <w:szCs w:val="32"/>
        </w:rPr>
        <w:t>”满分</w:t>
      </w:r>
      <w:r>
        <w:rPr>
          <w:rFonts w:hint="eastAsia" w:ascii="仿宋_GB2312" w:hAnsi="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分，评价得分为</w:t>
      </w:r>
      <w:r>
        <w:rPr>
          <w:rFonts w:hint="eastAsia" w:ascii="仿宋_GB2312" w:hAnsi="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eastAsia="zh-CN"/>
        </w:rPr>
        <w:t>预算编制合理性不够充分，预算编制不准确。</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（2）二级指标“财务管理”满分6分，评价得分为</w:t>
      </w:r>
      <w:r>
        <w:rPr>
          <w:rFonts w:hint="eastAsia" w:ascii="仿宋_GB2312" w:hAnsi="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eastAsia="zh-CN"/>
        </w:rPr>
        <w:t>（</w:t>
      </w:r>
      <w:r>
        <w:rPr>
          <w:rFonts w:hint="eastAsia" w:ascii="仿宋_GB2312" w:hAnsi="仿宋_GB2312" w:cs="仿宋_GB2312"/>
          <w:b w:val="0"/>
          <w:bCs w:val="0"/>
          <w:color w:val="auto"/>
          <w:sz w:val="32"/>
          <w:szCs w:val="32"/>
          <w:lang w:val="en-US" w:eastAsia="zh-CN"/>
        </w:rPr>
        <w:t>3</w:t>
      </w:r>
      <w:r>
        <w:rPr>
          <w:rFonts w:hint="eastAsia" w:ascii="仿宋_GB2312" w:hAnsi="仿宋_GB2312" w:cs="仿宋_GB2312"/>
          <w:b w:val="0"/>
          <w:bCs w:val="0"/>
          <w:color w:val="auto"/>
          <w:sz w:val="32"/>
          <w:szCs w:val="32"/>
          <w:lang w:eastAsia="zh-CN"/>
        </w:rPr>
        <w:t>）二级指标“项目实施”满分</w:t>
      </w:r>
      <w:r>
        <w:rPr>
          <w:rFonts w:hint="eastAsia" w:ascii="仿宋_GB2312" w:hAnsi="仿宋_GB2312" w:cs="仿宋_GB2312"/>
          <w:b w:val="0"/>
          <w:bCs w:val="0"/>
          <w:color w:val="auto"/>
          <w:sz w:val="32"/>
          <w:szCs w:val="32"/>
          <w:lang w:val="en-US" w:eastAsia="zh-CN"/>
        </w:rPr>
        <w:t>10分，评价得分为10分。</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3.一级指标</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绩效包含</w:t>
      </w:r>
      <w:r>
        <w:rPr>
          <w:rFonts w:hint="eastAsia" w:ascii="仿宋_GB2312" w:hAnsi="仿宋_GB2312" w:cs="仿宋_GB2312"/>
          <w:b w:val="0"/>
          <w:bCs w:val="0"/>
          <w:color w:val="auto"/>
          <w:sz w:val="32"/>
          <w:szCs w:val="32"/>
          <w:lang w:eastAsia="zh-CN"/>
        </w:rPr>
        <w:t>项目产出、项目效益</w:t>
      </w:r>
      <w:r>
        <w:rPr>
          <w:rFonts w:hint="eastAsia" w:ascii="仿宋_GB2312" w:hAnsi="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个二级指标</w:t>
      </w:r>
      <w:r>
        <w:rPr>
          <w:rFonts w:hint="eastAsia" w:ascii="仿宋_GB2312" w:hAnsi="仿宋_GB2312" w:cs="仿宋_GB2312"/>
          <w:b w:val="0"/>
          <w:bCs w:val="0"/>
          <w:color w:val="auto"/>
          <w:sz w:val="32"/>
          <w:szCs w:val="32"/>
          <w:lang w:eastAsia="zh-CN"/>
        </w:rPr>
        <w:t>，</w:t>
      </w:r>
      <w:r>
        <w:rPr>
          <w:rFonts w:hint="eastAsia" w:ascii="仿宋_GB2312" w:hAnsi="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lang w:val="en-US" w:eastAsia="zh-CN"/>
        </w:rPr>
        <w:t>个</w:t>
      </w:r>
      <w:r>
        <w:rPr>
          <w:rFonts w:hint="eastAsia" w:ascii="仿宋_GB2312" w:hAnsi="仿宋_GB2312" w:eastAsia="仿宋_GB2312" w:cs="仿宋_GB2312"/>
          <w:b w:val="0"/>
          <w:bCs w:val="0"/>
          <w:color w:val="auto"/>
          <w:sz w:val="32"/>
          <w:szCs w:val="32"/>
        </w:rPr>
        <w:t>三级</w:t>
      </w:r>
      <w:r>
        <w:rPr>
          <w:rFonts w:hint="eastAsia" w:ascii="仿宋_GB2312" w:hAnsi="仿宋_GB2312" w:cs="仿宋_GB2312"/>
          <w:b w:val="0"/>
          <w:bCs w:val="0"/>
          <w:color w:val="auto"/>
          <w:sz w:val="32"/>
          <w:szCs w:val="32"/>
          <w:lang w:eastAsia="zh-CN"/>
        </w:rPr>
        <w:t>（含小四级指标）</w:t>
      </w:r>
      <w:r>
        <w:rPr>
          <w:rFonts w:hint="eastAsia" w:ascii="仿宋_GB2312" w:hAnsi="仿宋_GB2312" w:eastAsia="仿宋_GB2312" w:cs="仿宋_GB2312"/>
          <w:b w:val="0"/>
          <w:bCs w:val="0"/>
          <w:color w:val="auto"/>
          <w:sz w:val="32"/>
          <w:szCs w:val="32"/>
        </w:rPr>
        <w:t>指标。部门绩效满分</w:t>
      </w:r>
      <w:r>
        <w:rPr>
          <w:rFonts w:hint="eastAsia" w:ascii="仿宋_GB2312" w:hAnsi="仿宋_GB2312" w:cs="仿宋_GB2312"/>
          <w:b w:val="0"/>
          <w:bCs w:val="0"/>
          <w:color w:val="auto"/>
          <w:sz w:val="32"/>
          <w:szCs w:val="32"/>
          <w:lang w:val="en-US" w:eastAsia="zh-CN"/>
        </w:rPr>
        <w:t>60</w:t>
      </w:r>
      <w:r>
        <w:rPr>
          <w:rFonts w:hint="eastAsia" w:ascii="仿宋_GB2312" w:hAnsi="仿宋_GB2312" w:eastAsia="仿宋_GB2312" w:cs="仿宋_GB2312"/>
          <w:b w:val="0"/>
          <w:bCs w:val="0"/>
          <w:color w:val="auto"/>
          <w:sz w:val="32"/>
          <w:szCs w:val="32"/>
        </w:rPr>
        <w:t>分，经评分本项得分</w:t>
      </w:r>
      <w:r>
        <w:rPr>
          <w:rFonts w:hint="eastAsia" w:ascii="仿宋_GB2312" w:hAnsi="仿宋_GB2312" w:cs="仿宋_GB2312"/>
          <w:b w:val="0"/>
          <w:bCs w:val="0"/>
          <w:color w:val="auto"/>
          <w:sz w:val="32"/>
          <w:szCs w:val="32"/>
          <w:lang w:val="en-US" w:eastAsia="zh-CN"/>
        </w:rPr>
        <w:t>60</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（1）二级指标“</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产出”满分</w:t>
      </w:r>
      <w:r>
        <w:rPr>
          <w:rFonts w:hint="eastAsia" w:ascii="仿宋_GB2312" w:hAnsi="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分，自评得分为</w:t>
      </w:r>
      <w:r>
        <w:rPr>
          <w:rFonts w:hint="eastAsia" w:ascii="仿宋_GB2312" w:hAnsi="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分</w:t>
      </w:r>
      <w:r>
        <w:rPr>
          <w:rFonts w:hint="eastAsia" w:ascii="仿宋_GB2312" w:hAnsi="仿宋_GB2312" w:cs="仿宋_GB2312"/>
          <w:b w:val="0"/>
          <w:bCs w:val="0"/>
          <w:color w:val="auto"/>
          <w:sz w:val="32"/>
          <w:szCs w:val="32"/>
          <w:lang w:eastAsia="zh-CN"/>
        </w:rPr>
        <w:t>。</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0000FF"/>
          <w:sz w:val="32"/>
          <w:szCs w:val="32"/>
          <w:lang w:eastAsia="zh-CN"/>
        </w:rPr>
      </w:pPr>
      <w:r>
        <w:rPr>
          <w:rFonts w:hint="eastAsia" w:ascii="仿宋_GB2312" w:hAnsi="仿宋_GB2312" w:eastAsia="仿宋_GB2312" w:cs="仿宋_GB2312"/>
          <w:b w:val="0"/>
          <w:bCs w:val="0"/>
          <w:color w:val="auto"/>
          <w:sz w:val="32"/>
          <w:szCs w:val="32"/>
        </w:rPr>
        <w:t>（2）二级指标“</w:t>
      </w:r>
      <w:r>
        <w:rPr>
          <w:rFonts w:hint="eastAsia" w:ascii="仿宋_GB2312" w:hAnsi="仿宋_GB2312" w:cs="仿宋_GB2312"/>
          <w:b w:val="0"/>
          <w:bCs w:val="0"/>
          <w:color w:val="auto"/>
          <w:sz w:val="32"/>
          <w:szCs w:val="32"/>
          <w:lang w:eastAsia="zh-CN"/>
        </w:rPr>
        <w:t>项目效益</w:t>
      </w:r>
      <w:r>
        <w:rPr>
          <w:rFonts w:hint="eastAsia" w:ascii="仿宋_GB2312" w:hAnsi="仿宋_GB2312" w:eastAsia="仿宋_GB2312" w:cs="仿宋_GB2312"/>
          <w:b w:val="0"/>
          <w:bCs w:val="0"/>
          <w:color w:val="auto"/>
          <w:sz w:val="32"/>
          <w:szCs w:val="32"/>
        </w:rPr>
        <w:t>”满分</w:t>
      </w:r>
      <w:r>
        <w:rPr>
          <w:rFonts w:hint="eastAsia" w:ascii="仿宋_GB2312" w:hAnsi="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分，自评得分为</w:t>
      </w:r>
      <w:r>
        <w:rPr>
          <w:rFonts w:hint="eastAsia" w:ascii="仿宋_GB2312" w:hAnsi="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分</w:t>
      </w:r>
      <w:r>
        <w:rPr>
          <w:rFonts w:hint="eastAsia" w:ascii="仿宋_GB2312" w:hAnsi="仿宋_GB2312" w:cs="仿宋_GB2312"/>
          <w:b w:val="0"/>
          <w:bCs w:val="0"/>
          <w:color w:val="auto"/>
          <w:sz w:val="32"/>
          <w:szCs w:val="32"/>
          <w:lang w:eastAsia="zh-CN"/>
        </w:rPr>
        <w:t>。</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成本效益分析</w:t>
      </w:r>
    </w:p>
    <w:p>
      <w:pPr>
        <w:keepNext w:val="0"/>
        <w:keepLines w:val="0"/>
        <w:pageBreakBefore w:val="0"/>
        <w:kinsoku/>
        <w:wordWrap/>
        <w:overflowPunct/>
        <w:autoSpaceDE/>
        <w:bidi w:val="0"/>
        <w:adjustRightInd/>
        <w:snapToGrid/>
        <w:spacing w:line="560" w:lineRule="exact"/>
        <w:ind w:firstLine="645"/>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color w:val="auto"/>
          <w:sz w:val="32"/>
          <w:szCs w:val="32"/>
          <w:lang w:eastAsia="zh-CN"/>
        </w:rPr>
        <w:t>20</w:t>
      </w:r>
      <w:r>
        <w:rPr>
          <w:rFonts w:hint="eastAsia" w:ascii="仿宋_GB2312" w:hAnsi="仿宋_GB2312" w:cs="仿宋_GB2312"/>
          <w:color w:val="auto"/>
          <w:sz w:val="32"/>
          <w:szCs w:val="32"/>
          <w:lang w:val="en-US" w:eastAsia="zh-CN"/>
        </w:rPr>
        <w:t>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收入</w:t>
      </w:r>
      <w:r>
        <w:rPr>
          <w:rFonts w:hint="eastAsia" w:ascii="仿宋_GB2312" w:hAnsi="仿宋_GB2312" w:cs="仿宋_GB2312"/>
          <w:color w:val="auto"/>
          <w:sz w:val="32"/>
          <w:szCs w:val="32"/>
          <w:lang w:val="en-US" w:eastAsia="zh-CN"/>
        </w:rPr>
        <w:t>5.83</w:t>
      </w:r>
      <w:r>
        <w:rPr>
          <w:rFonts w:hint="eastAsia" w:ascii="仿宋_GB2312" w:hAnsi="仿宋_GB2312" w:eastAsia="仿宋_GB2312" w:cs="仿宋_GB2312"/>
          <w:color w:val="auto"/>
          <w:sz w:val="32"/>
          <w:szCs w:val="32"/>
          <w:lang w:val="en-US" w:eastAsia="zh-CN"/>
        </w:rPr>
        <w:t>万元（其中：</w:t>
      </w:r>
      <w:r>
        <w:rPr>
          <w:rFonts w:hint="eastAsia" w:ascii="仿宋_GB2312" w:hAnsi="仿宋_GB2312" w:cs="仿宋_GB2312"/>
          <w:color w:val="auto"/>
          <w:sz w:val="32"/>
          <w:szCs w:val="32"/>
          <w:lang w:eastAsia="zh-CN"/>
        </w:rPr>
        <w:t>财政拨款收入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万元，利息收入</w:t>
      </w:r>
      <w:r>
        <w:rPr>
          <w:rFonts w:hint="eastAsia" w:ascii="仿宋_GB2312" w:hAnsi="仿宋_GB2312" w:eastAsia="仿宋_GB2312" w:cs="仿宋_GB2312"/>
          <w:color w:val="auto"/>
          <w:sz w:val="32"/>
          <w:szCs w:val="32"/>
          <w:lang w:val="en-US" w:eastAsia="zh-CN"/>
        </w:rPr>
        <w:t>5.</w:t>
      </w:r>
      <w:r>
        <w:rPr>
          <w:rFonts w:hint="eastAsia" w:ascii="仿宋_GB2312" w:hAnsi="仿宋_GB2312" w:cs="仿宋_GB2312"/>
          <w:color w:val="auto"/>
          <w:sz w:val="32"/>
          <w:szCs w:val="32"/>
          <w:lang w:val="en-US" w:eastAsia="zh-CN"/>
        </w:rPr>
        <w:t>83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本年</w:t>
      </w:r>
      <w:r>
        <w:rPr>
          <w:rFonts w:hint="eastAsia" w:ascii="仿宋_GB2312" w:hAnsi="仿宋_GB2312" w:eastAsia="仿宋_GB2312" w:cs="仿宋_GB2312"/>
          <w:color w:val="auto"/>
          <w:sz w:val="32"/>
          <w:szCs w:val="32"/>
          <w:lang w:eastAsia="zh-CN"/>
        </w:rPr>
        <w:t>待遇</w:t>
      </w:r>
      <w:r>
        <w:rPr>
          <w:rFonts w:hint="eastAsia" w:ascii="仿宋_GB2312" w:hAnsi="仿宋_GB2312" w:eastAsia="仿宋_GB2312" w:cs="仿宋_GB2312"/>
          <w:color w:val="auto"/>
          <w:sz w:val="32"/>
          <w:szCs w:val="32"/>
        </w:rPr>
        <w:t>支出</w:t>
      </w:r>
      <w:r>
        <w:rPr>
          <w:rFonts w:hint="eastAsia" w:ascii="仿宋_GB2312" w:hAnsi="仿宋_GB2312" w:cs="仿宋_GB2312"/>
          <w:color w:val="auto"/>
          <w:sz w:val="32"/>
          <w:szCs w:val="32"/>
          <w:lang w:val="en-US" w:eastAsia="zh-CN"/>
        </w:rPr>
        <w:t>360.73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上年结转结余</w:t>
      </w:r>
      <w:r>
        <w:rPr>
          <w:rFonts w:hint="eastAsia" w:ascii="仿宋_GB2312" w:hAnsi="仿宋_GB2312" w:cs="仿宋_GB2312"/>
          <w:color w:val="auto"/>
          <w:sz w:val="32"/>
          <w:szCs w:val="32"/>
          <w:lang w:val="en-US" w:eastAsia="zh-CN"/>
        </w:rPr>
        <w:t>591.04</w:t>
      </w:r>
      <w:r>
        <w:rPr>
          <w:rFonts w:hint="eastAsia" w:ascii="仿宋_GB2312" w:hAnsi="仿宋_GB2312" w:eastAsia="仿宋_GB2312" w:cs="仿宋_GB2312"/>
          <w:color w:val="auto"/>
          <w:sz w:val="32"/>
          <w:szCs w:val="32"/>
        </w:rPr>
        <w:t>万元，本年末收支累计结余为</w:t>
      </w:r>
      <w:r>
        <w:rPr>
          <w:rFonts w:hint="eastAsia" w:ascii="仿宋_GB2312" w:hAnsi="仿宋_GB2312" w:cs="仿宋_GB2312"/>
          <w:color w:val="auto"/>
          <w:sz w:val="32"/>
          <w:szCs w:val="32"/>
          <w:lang w:val="en-US" w:eastAsia="zh-CN"/>
        </w:rPr>
        <w:t>236.14</w:t>
      </w:r>
      <w:r>
        <w:rPr>
          <w:rFonts w:hint="eastAsia" w:ascii="仿宋_GB2312" w:hAnsi="仿宋_GB2312" w:eastAsia="仿宋_GB2312" w:cs="仿宋_GB2312"/>
          <w:color w:val="auto"/>
          <w:sz w:val="32"/>
          <w:szCs w:val="32"/>
        </w:rPr>
        <w:t>万元，下年继续使用。</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五、主要经验及做法、存在的问题和建议</w:t>
      </w:r>
    </w:p>
    <w:p>
      <w:pPr>
        <w:keepNext w:val="0"/>
        <w:keepLines w:val="0"/>
        <w:pageBreakBefore w:val="0"/>
        <w:kinsoku/>
        <w:wordWrap/>
        <w:overflowPunct/>
        <w:autoSpaceDE/>
        <w:bidi w:val="0"/>
        <w:adjustRightInd/>
        <w:snapToGrid/>
        <w:spacing w:line="560" w:lineRule="exact"/>
        <w:ind w:firstLine="632"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主要经验及做法</w:t>
      </w:r>
    </w:p>
    <w:p>
      <w:pPr>
        <w:keepNext w:val="0"/>
        <w:keepLines w:val="0"/>
        <w:pageBreakBefore w:val="0"/>
        <w:kinsoku/>
        <w:wordWrap/>
        <w:overflowPunct/>
        <w:autoSpaceDE/>
        <w:bidi w:val="0"/>
        <w:adjustRightInd/>
        <w:snapToGrid/>
        <w:spacing w:line="560" w:lineRule="exact"/>
        <w:ind w:firstLine="632" w:firstLineChars="200"/>
        <w:jc w:val="both"/>
        <w:textAlignment w:val="auto"/>
        <w:rPr>
          <w:rFonts w:hint="eastAsia" w:ascii="仿宋_GB2312" w:hAnsi="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继续加强宣传力度，</w:t>
      </w:r>
      <w:r>
        <w:rPr>
          <w:rFonts w:hint="eastAsia" w:ascii="仿宋_GB2312" w:hAnsi="仿宋_GB2312" w:eastAsia="仿宋_GB2312" w:cs="仿宋_GB2312"/>
          <w:b w:val="0"/>
          <w:bCs w:val="0"/>
          <w:color w:val="auto"/>
          <w:sz w:val="32"/>
          <w:szCs w:val="32"/>
        </w:rPr>
        <w:t>积极推进工作</w:t>
      </w:r>
      <w:r>
        <w:rPr>
          <w:rFonts w:hint="eastAsia" w:ascii="仿宋_GB2312" w:hAnsi="仿宋_GB2312" w:eastAsia="仿宋_GB2312" w:cs="仿宋_GB2312"/>
          <w:b w:val="0"/>
          <w:bCs w:val="0"/>
          <w:color w:val="auto"/>
          <w:sz w:val="32"/>
          <w:szCs w:val="32"/>
          <w:lang w:eastAsia="zh-CN"/>
        </w:rPr>
        <w:t>，让</w:t>
      </w:r>
      <w:r>
        <w:rPr>
          <w:rFonts w:hint="eastAsia" w:ascii="仿宋_GB2312" w:hAnsi="仿宋_GB2312" w:cs="仿宋_GB2312"/>
          <w:color w:val="auto"/>
          <w:szCs w:val="32"/>
          <w:lang w:eastAsia="zh-CN"/>
        </w:rPr>
        <w:t>离休干部医疗统筹保障项目</w:t>
      </w:r>
      <w:r>
        <w:rPr>
          <w:rFonts w:hint="eastAsia" w:ascii="仿宋_GB2312" w:hAnsi="仿宋_GB2312" w:eastAsia="仿宋_GB2312" w:cs="仿宋_GB2312"/>
          <w:b w:val="0"/>
          <w:bCs w:val="0"/>
          <w:color w:val="auto"/>
          <w:sz w:val="32"/>
          <w:szCs w:val="32"/>
          <w:lang w:eastAsia="zh-CN"/>
        </w:rPr>
        <w:t>政策家喻户晓，</w:t>
      </w:r>
      <w:r>
        <w:rPr>
          <w:rFonts w:hint="eastAsia" w:ascii="仿宋_GB2312" w:hAnsi="仿宋_GB2312" w:eastAsia="仿宋_GB2312" w:cs="仿宋_GB2312"/>
          <w:b w:val="0"/>
          <w:bCs w:val="0"/>
          <w:color w:val="auto"/>
          <w:sz w:val="32"/>
          <w:szCs w:val="32"/>
        </w:rPr>
        <w:t>做到应保尽保</w:t>
      </w:r>
      <w:r>
        <w:rPr>
          <w:rFonts w:hint="eastAsia" w:ascii="仿宋_GB2312" w:hAnsi="仿宋_GB2312" w:cs="仿宋_GB2312"/>
          <w:b w:val="0"/>
          <w:bCs w:val="0"/>
          <w:color w:val="auto"/>
          <w:sz w:val="32"/>
          <w:szCs w:val="32"/>
          <w:lang w:eastAsia="zh-CN"/>
        </w:rPr>
        <w:t>。</w:t>
      </w:r>
    </w:p>
    <w:p>
      <w:pPr>
        <w:keepNext w:val="0"/>
        <w:keepLines w:val="0"/>
        <w:pageBreakBefore w:val="0"/>
        <w:kinsoku/>
        <w:wordWrap/>
        <w:overflowPunct/>
        <w:autoSpaceDE/>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抓好业务培训，完善经办流程，提高工作效率</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切实加强</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安全管理</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结合工作要求，加强</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支付预算管理，提高</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使用绩效，维护</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安全</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保障</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安全运行</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严格审核待遇支付。</w:t>
      </w:r>
    </w:p>
    <w:p>
      <w:pPr>
        <w:keepNext w:val="0"/>
        <w:keepLines w:val="0"/>
        <w:pageBreakBefore w:val="0"/>
        <w:numPr>
          <w:ilvl w:val="0"/>
          <w:numId w:val="0"/>
        </w:numPr>
        <w:kinsoku/>
        <w:wordWrap/>
        <w:overflowPunct/>
        <w:autoSpaceDE/>
        <w:bidi w:val="0"/>
        <w:adjustRightInd/>
        <w:snapToGrid/>
        <w:spacing w:line="560" w:lineRule="exact"/>
        <w:ind w:firstLine="632"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rPr>
        <w:t>存在的问题</w:t>
      </w:r>
    </w:p>
    <w:p>
      <w:pPr>
        <w:keepNext w:val="0"/>
        <w:keepLines w:val="0"/>
        <w:pageBreakBefore w:val="0"/>
        <w:numPr>
          <w:ilvl w:val="0"/>
          <w:numId w:val="0"/>
        </w:numPr>
        <w:kinsoku/>
        <w:wordWrap/>
        <w:overflowPunct/>
        <w:autoSpaceDE/>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自评分析，因物价上涨快，医院特殊治疗和检查多，如ICU重病监护室，核磁共振、CT、彩超等特殊检查治疗耗用了大量的医疗资金，各种癌症、肾病综合症等大病、重病时有发生，只要发生一例就要耗资百万元以上，加之这一群体年龄大，身体状况愈下，人员虽逐年减少，但所需医疗费确没有逐年减少，甚至会不降反增。大大增加了项目资金的预算难度及带来了极大的不确定性。</w:t>
      </w:r>
    </w:p>
    <w:p>
      <w:pPr>
        <w:keepNext w:val="0"/>
        <w:keepLines w:val="0"/>
        <w:pageBreakBefore w:val="0"/>
        <w:numPr>
          <w:ilvl w:val="0"/>
          <w:numId w:val="0"/>
        </w:numPr>
        <w:kinsoku/>
        <w:wordWrap/>
        <w:overflowPunct/>
        <w:autoSpaceDE/>
        <w:bidi w:val="0"/>
        <w:adjustRightInd/>
        <w:snapToGrid/>
        <w:spacing w:line="560" w:lineRule="exact"/>
        <w:ind w:left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改进措施及建议</w:t>
      </w:r>
    </w:p>
    <w:p>
      <w:pPr>
        <w:keepNext w:val="0"/>
        <w:keepLines w:val="0"/>
        <w:pageBreakBefore w:val="0"/>
        <w:kinsoku/>
        <w:wordWrap/>
        <w:overflowPunct/>
        <w:autoSpaceDE/>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bookmarkStart w:id="0" w:name="_GoBack"/>
      <w:r>
        <w:rPr>
          <w:rFonts w:hint="eastAsia" w:ascii="仿宋_GB2312" w:hAnsi="仿宋_GB2312" w:cs="仿宋_GB2312"/>
          <w:color w:val="auto"/>
          <w:kern w:val="0"/>
          <w:sz w:val="32"/>
          <w:szCs w:val="32"/>
          <w:lang w:eastAsia="zh-CN"/>
        </w:rPr>
        <w:t>进一步做好资金的使用跟踪，完善制度的建设，规范管理专项资金，确保资金的安全及有效运行。</w:t>
      </w:r>
    </w:p>
    <w:bookmarkEnd w:id="0"/>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仿宋_GB2312" w:hAnsi="仿宋_GB2312" w:eastAsia="仿宋_GB2312" w:cs="仿宋_GB2312"/>
          <w:b w:val="0"/>
          <w:bCs w:val="0"/>
          <w:color w:val="auto"/>
          <w:sz w:val="32"/>
          <w:szCs w:val="32"/>
        </w:rPr>
      </w:pPr>
    </w:p>
    <w:p>
      <w:pPr>
        <w:keepNext w:val="0"/>
        <w:keepLines w:val="0"/>
        <w:pageBreakBefore w:val="0"/>
        <w:kinsoku/>
        <w:wordWrap/>
        <w:overflowPunct/>
        <w:autoSpaceDE/>
        <w:bidi w:val="0"/>
        <w:adjustRightInd/>
        <w:snapToGrid/>
        <w:spacing w:line="560" w:lineRule="exact"/>
        <w:jc w:val="right"/>
        <w:textAlignment w:val="auto"/>
        <w:rPr>
          <w:rFonts w:hint="eastAsia" w:ascii="仿宋_GB2312" w:hAnsi="仿宋_GB2312" w:eastAsia="仿宋_GB2312" w:cs="仿宋_GB2312"/>
          <w:b w:val="0"/>
          <w:bCs w:val="0"/>
          <w:color w:val="auto"/>
          <w:sz w:val="32"/>
          <w:szCs w:val="32"/>
        </w:rPr>
      </w:pPr>
    </w:p>
    <w:p>
      <w:pPr>
        <w:keepNext w:val="0"/>
        <w:keepLines w:val="0"/>
        <w:pageBreakBefore w:val="0"/>
        <w:kinsoku/>
        <w:wordWrap/>
        <w:overflowPunct/>
        <w:autoSpaceDE/>
        <w:bidi w:val="0"/>
        <w:adjustRightInd/>
        <w:snapToGrid/>
        <w:spacing w:line="560" w:lineRule="exact"/>
        <w:jc w:val="righ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昆明市东川区</w:t>
      </w:r>
      <w:r>
        <w:rPr>
          <w:rFonts w:hint="eastAsia" w:ascii="仿宋_GB2312" w:hAnsi="仿宋_GB2312" w:eastAsia="仿宋_GB2312" w:cs="仿宋_GB2312"/>
          <w:b w:val="0"/>
          <w:bCs w:val="0"/>
          <w:color w:val="auto"/>
          <w:sz w:val="32"/>
          <w:szCs w:val="32"/>
          <w:lang w:eastAsia="zh-CN"/>
        </w:rPr>
        <w:t>医疗保障局</w:t>
      </w:r>
    </w:p>
    <w:p>
      <w:pPr>
        <w:keepNext w:val="0"/>
        <w:keepLines w:val="0"/>
        <w:pageBreakBefore w:val="0"/>
        <w:kinsoku/>
        <w:wordWrap/>
        <w:overflowPunct/>
        <w:autoSpaceDE/>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月</w:t>
      </w:r>
      <w:r>
        <w:rPr>
          <w:rFonts w:hint="eastAsia" w:ascii="仿宋_GB2312" w:hAnsi="仿宋_GB2312" w:cs="仿宋_GB2312"/>
          <w:b w:val="0"/>
          <w:bCs w:val="0"/>
          <w:color w:val="auto"/>
          <w:sz w:val="32"/>
          <w:szCs w:val="32"/>
          <w:lang w:val="en-US" w:eastAsia="zh-CN"/>
        </w:rPr>
        <w:t>25</w:t>
      </w:r>
      <w:r>
        <w:rPr>
          <w:rFonts w:hint="eastAsia" w:ascii="仿宋_GB2312" w:hAnsi="仿宋_GB2312" w:eastAsia="仿宋_GB2312" w:cs="仿宋_GB2312"/>
          <w:b w:val="0"/>
          <w:bCs w:val="0"/>
          <w:color w:val="auto"/>
          <w:sz w:val="32"/>
          <w:szCs w:val="32"/>
        </w:rPr>
        <w:t>日</w:t>
      </w:r>
    </w:p>
    <w:sectPr>
      <w:footerReference r:id="rId3" w:type="default"/>
      <w:footerReference r:id="rId4" w:type="even"/>
      <w:pgSz w:w="11907" w:h="16840"/>
      <w:pgMar w:top="2098" w:right="1474" w:bottom="1984" w:left="1587" w:header="1020" w:footer="1644" w:gutter="0"/>
      <w:cols w:space="0" w:num="1"/>
      <w:rtlGutter w:val="0"/>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right="335"/>
      <w:rPr>
        <w:rStyle w:val="12"/>
        <w:rFonts w:ascii="宋体" w:hAnsi="宋体" w:eastAsia="宋体"/>
        <w:sz w:val="28"/>
      </w:rPr>
    </w:pPr>
    <w:r>
      <w:rPr>
        <w:rStyle w:val="12"/>
        <w:rFonts w:ascii="宋体" w:hAnsi="宋体" w:eastAsia="宋体"/>
        <w:sz w:val="28"/>
      </w:rPr>
      <w:t>—</w:t>
    </w:r>
    <w:r>
      <w:rPr>
        <w:rStyle w:val="12"/>
        <w:rFonts w:ascii="宋体" w:hAnsi="宋体" w:eastAsia="宋体"/>
        <w:sz w:val="28"/>
      </w:rPr>
      <w:fldChar w:fldCharType="begin"/>
    </w:r>
    <w:r>
      <w:rPr>
        <w:rStyle w:val="12"/>
        <w:rFonts w:ascii="宋体" w:hAnsi="宋体" w:eastAsia="宋体"/>
        <w:sz w:val="28"/>
      </w:rPr>
      <w:instrText xml:space="preserve">PAGE  </w:instrText>
    </w:r>
    <w:r>
      <w:rPr>
        <w:rStyle w:val="12"/>
        <w:rFonts w:ascii="宋体" w:hAnsi="宋体" w:eastAsia="宋体"/>
        <w:sz w:val="28"/>
      </w:rPr>
      <w:fldChar w:fldCharType="separate"/>
    </w:r>
    <w:r>
      <w:rPr>
        <w:rStyle w:val="12"/>
        <w:rFonts w:ascii="宋体" w:hAnsi="宋体" w:eastAsia="宋体"/>
        <w:sz w:val="28"/>
      </w:rPr>
      <w:t>15</w:t>
    </w:r>
    <w:r>
      <w:rPr>
        <w:rStyle w:val="12"/>
        <w:rFonts w:ascii="宋体" w:hAnsi="宋体" w:eastAsia="宋体"/>
        <w:sz w:val="28"/>
      </w:rPr>
      <w:fldChar w:fldCharType="end"/>
    </w:r>
    <w:r>
      <w:rPr>
        <w:rStyle w:val="12"/>
        <w:rFonts w:ascii="宋体" w:hAnsi="宋体" w:eastAsia="宋体"/>
        <w:sz w:val="28"/>
      </w:rPr>
      <w:t>—</w:t>
    </w:r>
  </w:p>
  <w:p>
    <w:pPr>
      <w:pStyle w:val="6"/>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335"/>
      <w:rPr>
        <w:rStyle w:val="12"/>
        <w:rFonts w:ascii="宋体" w:hAnsi="宋体" w:eastAsia="宋体"/>
        <w:sz w:val="28"/>
      </w:rPr>
    </w:pPr>
    <w:r>
      <w:rPr>
        <w:rStyle w:val="12"/>
        <w:rFonts w:ascii="宋体" w:hAnsi="宋体" w:eastAsia="宋体"/>
        <w:sz w:val="28"/>
      </w:rPr>
      <w:t>—</w:t>
    </w:r>
    <w:r>
      <w:rPr>
        <w:rStyle w:val="12"/>
        <w:rFonts w:ascii="宋体" w:hAnsi="宋体" w:eastAsia="宋体"/>
        <w:sz w:val="28"/>
      </w:rPr>
      <w:fldChar w:fldCharType="begin"/>
    </w:r>
    <w:r>
      <w:rPr>
        <w:rStyle w:val="12"/>
        <w:rFonts w:ascii="宋体" w:hAnsi="宋体" w:eastAsia="宋体"/>
        <w:sz w:val="28"/>
      </w:rPr>
      <w:instrText xml:space="preserve">PAGE  </w:instrText>
    </w:r>
    <w:r>
      <w:rPr>
        <w:rStyle w:val="12"/>
        <w:rFonts w:ascii="宋体" w:hAnsi="宋体" w:eastAsia="宋体"/>
        <w:sz w:val="28"/>
      </w:rPr>
      <w:fldChar w:fldCharType="separate"/>
    </w:r>
    <w:r>
      <w:rPr>
        <w:rStyle w:val="12"/>
        <w:rFonts w:ascii="宋体" w:hAnsi="宋体" w:eastAsia="宋体"/>
        <w:sz w:val="28"/>
      </w:rPr>
      <w:t>16</w:t>
    </w:r>
    <w:r>
      <w:rPr>
        <w:rStyle w:val="12"/>
        <w:rFonts w:ascii="宋体" w:hAnsi="宋体" w:eastAsia="宋体"/>
        <w:sz w:val="28"/>
      </w:rPr>
      <w:fldChar w:fldCharType="end"/>
    </w:r>
    <w:r>
      <w:rPr>
        <w:rStyle w:val="12"/>
        <w:rFonts w:ascii="宋体" w:hAnsi="宋体" w:eastAsia="宋体"/>
        <w:sz w:val="28"/>
      </w:rPr>
      <w:t>—</w:t>
    </w:r>
  </w:p>
  <w:p>
    <w:pPr>
      <w:pStyle w:val="6"/>
      <w:ind w:left="300" w:right="360" w:firstLine="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5"/>
  <w:evenAndOddHeaders w:val="1"/>
  <w:drawingGridHorizontalSpacing w:val="158"/>
  <w:drawingGridVerticalSpacing w:val="587"/>
  <w:displayHorizontalDrawingGridEvery w:val="2"/>
  <w:characterSpacingControl w:val="compressPunctuation"/>
  <w:noLineBreaksAfter w:lang="zh-CN" w:val="$([{£¥·‘“〈《「『【〔〖〝﹙﹛﹝＄（．［｛￡￥"/>
  <w:noLineBreaksBefore w:lang="zh-CN" w:val="!%),.:;&gt;?]}¢¨°·ˇˉ―‖’”…‰′″›℃∶、。〃〉》」』】〕〗〞︶︺︾﹀﹄﹚﹜﹞！＂％＇），．：；？］｀｜｝～￠"/>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35F"/>
    <w:rsid w:val="00000E6D"/>
    <w:rsid w:val="00002E28"/>
    <w:rsid w:val="00006A98"/>
    <w:rsid w:val="0001706E"/>
    <w:rsid w:val="00022680"/>
    <w:rsid w:val="000233B4"/>
    <w:rsid w:val="00026E7A"/>
    <w:rsid w:val="00031386"/>
    <w:rsid w:val="0004183B"/>
    <w:rsid w:val="00043944"/>
    <w:rsid w:val="00053CDD"/>
    <w:rsid w:val="00055E22"/>
    <w:rsid w:val="0005706F"/>
    <w:rsid w:val="00061B34"/>
    <w:rsid w:val="000667E3"/>
    <w:rsid w:val="000709CA"/>
    <w:rsid w:val="00073C11"/>
    <w:rsid w:val="00074AB3"/>
    <w:rsid w:val="00081929"/>
    <w:rsid w:val="00083B97"/>
    <w:rsid w:val="0008500E"/>
    <w:rsid w:val="00085C25"/>
    <w:rsid w:val="000874D7"/>
    <w:rsid w:val="000968BF"/>
    <w:rsid w:val="000A0A5F"/>
    <w:rsid w:val="000A6CE9"/>
    <w:rsid w:val="000B10C3"/>
    <w:rsid w:val="000B40EF"/>
    <w:rsid w:val="000C02B3"/>
    <w:rsid w:val="000C0F63"/>
    <w:rsid w:val="000C2A01"/>
    <w:rsid w:val="000C6A55"/>
    <w:rsid w:val="000D0079"/>
    <w:rsid w:val="000D1ABA"/>
    <w:rsid w:val="000E2175"/>
    <w:rsid w:val="000E327D"/>
    <w:rsid w:val="000E4635"/>
    <w:rsid w:val="000E4DEC"/>
    <w:rsid w:val="000E57AE"/>
    <w:rsid w:val="000F0DDC"/>
    <w:rsid w:val="000F20FF"/>
    <w:rsid w:val="000F2D14"/>
    <w:rsid w:val="000F2E4E"/>
    <w:rsid w:val="000F536B"/>
    <w:rsid w:val="000F7D42"/>
    <w:rsid w:val="001001D1"/>
    <w:rsid w:val="0010785A"/>
    <w:rsid w:val="00112694"/>
    <w:rsid w:val="00112882"/>
    <w:rsid w:val="00115F4D"/>
    <w:rsid w:val="00126F12"/>
    <w:rsid w:val="001342B0"/>
    <w:rsid w:val="00135572"/>
    <w:rsid w:val="00135F6A"/>
    <w:rsid w:val="0013625A"/>
    <w:rsid w:val="00146AB5"/>
    <w:rsid w:val="001534B8"/>
    <w:rsid w:val="00155091"/>
    <w:rsid w:val="00167969"/>
    <w:rsid w:val="00171B5D"/>
    <w:rsid w:val="00176B24"/>
    <w:rsid w:val="001776A1"/>
    <w:rsid w:val="00180E74"/>
    <w:rsid w:val="00181416"/>
    <w:rsid w:val="00185A5A"/>
    <w:rsid w:val="00197124"/>
    <w:rsid w:val="001A0D06"/>
    <w:rsid w:val="001A4BBC"/>
    <w:rsid w:val="001B1731"/>
    <w:rsid w:val="001B5425"/>
    <w:rsid w:val="001B78BB"/>
    <w:rsid w:val="001C242D"/>
    <w:rsid w:val="001D2295"/>
    <w:rsid w:val="001F49B2"/>
    <w:rsid w:val="001F5E8A"/>
    <w:rsid w:val="002021EA"/>
    <w:rsid w:val="00207B52"/>
    <w:rsid w:val="00215037"/>
    <w:rsid w:val="002164BD"/>
    <w:rsid w:val="002309FB"/>
    <w:rsid w:val="00231FEF"/>
    <w:rsid w:val="00232238"/>
    <w:rsid w:val="00236F6F"/>
    <w:rsid w:val="00240741"/>
    <w:rsid w:val="002447F1"/>
    <w:rsid w:val="00256325"/>
    <w:rsid w:val="0025740A"/>
    <w:rsid w:val="00260330"/>
    <w:rsid w:val="00260A38"/>
    <w:rsid w:val="00262DE3"/>
    <w:rsid w:val="0027333E"/>
    <w:rsid w:val="002738DD"/>
    <w:rsid w:val="002850E1"/>
    <w:rsid w:val="0028678C"/>
    <w:rsid w:val="00294E22"/>
    <w:rsid w:val="00294EE5"/>
    <w:rsid w:val="002A2DBC"/>
    <w:rsid w:val="002A3E2F"/>
    <w:rsid w:val="002C00B8"/>
    <w:rsid w:val="002C04C9"/>
    <w:rsid w:val="002C47A7"/>
    <w:rsid w:val="002C7B95"/>
    <w:rsid w:val="002D0675"/>
    <w:rsid w:val="002D3574"/>
    <w:rsid w:val="002E16E3"/>
    <w:rsid w:val="002E1817"/>
    <w:rsid w:val="002F701A"/>
    <w:rsid w:val="00301902"/>
    <w:rsid w:val="003020C6"/>
    <w:rsid w:val="00304EEE"/>
    <w:rsid w:val="00310BA0"/>
    <w:rsid w:val="00315DF3"/>
    <w:rsid w:val="00316E83"/>
    <w:rsid w:val="00317D49"/>
    <w:rsid w:val="003209BE"/>
    <w:rsid w:val="00320A77"/>
    <w:rsid w:val="00321744"/>
    <w:rsid w:val="00326530"/>
    <w:rsid w:val="00332A8E"/>
    <w:rsid w:val="0034543D"/>
    <w:rsid w:val="00352C3A"/>
    <w:rsid w:val="00355F9D"/>
    <w:rsid w:val="0035680E"/>
    <w:rsid w:val="0036040D"/>
    <w:rsid w:val="00365BFD"/>
    <w:rsid w:val="00366F22"/>
    <w:rsid w:val="003721CE"/>
    <w:rsid w:val="0037326A"/>
    <w:rsid w:val="00374C7B"/>
    <w:rsid w:val="00386252"/>
    <w:rsid w:val="00393AB7"/>
    <w:rsid w:val="0039440A"/>
    <w:rsid w:val="003A0C60"/>
    <w:rsid w:val="003A51ED"/>
    <w:rsid w:val="003B186F"/>
    <w:rsid w:val="003B19F6"/>
    <w:rsid w:val="003B20E7"/>
    <w:rsid w:val="003B44D0"/>
    <w:rsid w:val="003B609C"/>
    <w:rsid w:val="003B651F"/>
    <w:rsid w:val="003C1927"/>
    <w:rsid w:val="003D2002"/>
    <w:rsid w:val="003D2214"/>
    <w:rsid w:val="003D3F92"/>
    <w:rsid w:val="003D54EA"/>
    <w:rsid w:val="003F15F1"/>
    <w:rsid w:val="003F5D7D"/>
    <w:rsid w:val="003F7768"/>
    <w:rsid w:val="00414B0C"/>
    <w:rsid w:val="004158FE"/>
    <w:rsid w:val="00416A73"/>
    <w:rsid w:val="00416DB0"/>
    <w:rsid w:val="00441E1F"/>
    <w:rsid w:val="00443AFE"/>
    <w:rsid w:val="0044547C"/>
    <w:rsid w:val="00445E6D"/>
    <w:rsid w:val="00450C81"/>
    <w:rsid w:val="00451C23"/>
    <w:rsid w:val="004540BA"/>
    <w:rsid w:val="00454D22"/>
    <w:rsid w:val="0045599E"/>
    <w:rsid w:val="00463CBD"/>
    <w:rsid w:val="00466181"/>
    <w:rsid w:val="00470EA5"/>
    <w:rsid w:val="00476BB6"/>
    <w:rsid w:val="0048484B"/>
    <w:rsid w:val="004A1429"/>
    <w:rsid w:val="004A4350"/>
    <w:rsid w:val="004A75E5"/>
    <w:rsid w:val="004B2E49"/>
    <w:rsid w:val="004B7A2C"/>
    <w:rsid w:val="004C18E9"/>
    <w:rsid w:val="004C50EA"/>
    <w:rsid w:val="004C62CD"/>
    <w:rsid w:val="004D70DB"/>
    <w:rsid w:val="004E1416"/>
    <w:rsid w:val="004E5EBC"/>
    <w:rsid w:val="004F11EF"/>
    <w:rsid w:val="00501021"/>
    <w:rsid w:val="00503FA2"/>
    <w:rsid w:val="00504218"/>
    <w:rsid w:val="00511BD5"/>
    <w:rsid w:val="0051417D"/>
    <w:rsid w:val="00517539"/>
    <w:rsid w:val="005272AD"/>
    <w:rsid w:val="00532B05"/>
    <w:rsid w:val="0053301E"/>
    <w:rsid w:val="00533ACB"/>
    <w:rsid w:val="00535CA3"/>
    <w:rsid w:val="005436F4"/>
    <w:rsid w:val="005456D8"/>
    <w:rsid w:val="00547454"/>
    <w:rsid w:val="00547813"/>
    <w:rsid w:val="00547D91"/>
    <w:rsid w:val="00551AEB"/>
    <w:rsid w:val="00552B3A"/>
    <w:rsid w:val="005530A0"/>
    <w:rsid w:val="0055335F"/>
    <w:rsid w:val="00554C20"/>
    <w:rsid w:val="00556F57"/>
    <w:rsid w:val="0055784C"/>
    <w:rsid w:val="00560C6A"/>
    <w:rsid w:val="0056560F"/>
    <w:rsid w:val="005712B9"/>
    <w:rsid w:val="00573DAF"/>
    <w:rsid w:val="00583AA4"/>
    <w:rsid w:val="00583CA8"/>
    <w:rsid w:val="00585731"/>
    <w:rsid w:val="00587D66"/>
    <w:rsid w:val="0059061E"/>
    <w:rsid w:val="005969F0"/>
    <w:rsid w:val="00596EAF"/>
    <w:rsid w:val="005A1730"/>
    <w:rsid w:val="005B05E9"/>
    <w:rsid w:val="005B6ED8"/>
    <w:rsid w:val="005C0D4A"/>
    <w:rsid w:val="005C1E91"/>
    <w:rsid w:val="005C3612"/>
    <w:rsid w:val="005C5722"/>
    <w:rsid w:val="005C72EA"/>
    <w:rsid w:val="005D0EA8"/>
    <w:rsid w:val="005D1F7C"/>
    <w:rsid w:val="005E1439"/>
    <w:rsid w:val="005E4D4E"/>
    <w:rsid w:val="005F29A1"/>
    <w:rsid w:val="006011AF"/>
    <w:rsid w:val="0060381D"/>
    <w:rsid w:val="0060440F"/>
    <w:rsid w:val="0060590E"/>
    <w:rsid w:val="00610452"/>
    <w:rsid w:val="00615B3B"/>
    <w:rsid w:val="00620BDF"/>
    <w:rsid w:val="00623770"/>
    <w:rsid w:val="006301B9"/>
    <w:rsid w:val="006305BA"/>
    <w:rsid w:val="00634A37"/>
    <w:rsid w:val="0064758B"/>
    <w:rsid w:val="00654008"/>
    <w:rsid w:val="00657BF5"/>
    <w:rsid w:val="00660F21"/>
    <w:rsid w:val="00662BAF"/>
    <w:rsid w:val="0066328D"/>
    <w:rsid w:val="00663C57"/>
    <w:rsid w:val="0067583F"/>
    <w:rsid w:val="00684F23"/>
    <w:rsid w:val="00684FB2"/>
    <w:rsid w:val="00691838"/>
    <w:rsid w:val="006932B0"/>
    <w:rsid w:val="006A0D1C"/>
    <w:rsid w:val="006A1F81"/>
    <w:rsid w:val="006A2BFB"/>
    <w:rsid w:val="006A4479"/>
    <w:rsid w:val="006A6EB6"/>
    <w:rsid w:val="006B11BB"/>
    <w:rsid w:val="006C210B"/>
    <w:rsid w:val="006C3272"/>
    <w:rsid w:val="006C4437"/>
    <w:rsid w:val="006E5519"/>
    <w:rsid w:val="006F0D51"/>
    <w:rsid w:val="006F1CBE"/>
    <w:rsid w:val="006F3483"/>
    <w:rsid w:val="006F37CA"/>
    <w:rsid w:val="0070331B"/>
    <w:rsid w:val="00704826"/>
    <w:rsid w:val="00704DF1"/>
    <w:rsid w:val="00710B71"/>
    <w:rsid w:val="00711838"/>
    <w:rsid w:val="00713FA6"/>
    <w:rsid w:val="007154ED"/>
    <w:rsid w:val="0071564C"/>
    <w:rsid w:val="00724F2A"/>
    <w:rsid w:val="00731523"/>
    <w:rsid w:val="007347E8"/>
    <w:rsid w:val="00736FAB"/>
    <w:rsid w:val="00752484"/>
    <w:rsid w:val="00767A70"/>
    <w:rsid w:val="007740E0"/>
    <w:rsid w:val="00775808"/>
    <w:rsid w:val="007800E4"/>
    <w:rsid w:val="00780202"/>
    <w:rsid w:val="00793A2D"/>
    <w:rsid w:val="007A3BA1"/>
    <w:rsid w:val="007B37E0"/>
    <w:rsid w:val="007C0276"/>
    <w:rsid w:val="007D3CA3"/>
    <w:rsid w:val="007D7B29"/>
    <w:rsid w:val="007E48FF"/>
    <w:rsid w:val="007F24E4"/>
    <w:rsid w:val="007F5BD0"/>
    <w:rsid w:val="007F6AAF"/>
    <w:rsid w:val="00801F63"/>
    <w:rsid w:val="008030B0"/>
    <w:rsid w:val="0080354F"/>
    <w:rsid w:val="00805C8C"/>
    <w:rsid w:val="00810A2A"/>
    <w:rsid w:val="008123C9"/>
    <w:rsid w:val="008147E7"/>
    <w:rsid w:val="00826FB5"/>
    <w:rsid w:val="008273F9"/>
    <w:rsid w:val="008309FB"/>
    <w:rsid w:val="0083595C"/>
    <w:rsid w:val="008452A9"/>
    <w:rsid w:val="00850BF7"/>
    <w:rsid w:val="008525A4"/>
    <w:rsid w:val="0086384F"/>
    <w:rsid w:val="00864A2E"/>
    <w:rsid w:val="00865719"/>
    <w:rsid w:val="008671CF"/>
    <w:rsid w:val="00867D1B"/>
    <w:rsid w:val="0087128F"/>
    <w:rsid w:val="00872C26"/>
    <w:rsid w:val="008740CE"/>
    <w:rsid w:val="00880D51"/>
    <w:rsid w:val="00882234"/>
    <w:rsid w:val="00885932"/>
    <w:rsid w:val="00894054"/>
    <w:rsid w:val="00894BC7"/>
    <w:rsid w:val="00896C1C"/>
    <w:rsid w:val="008A0728"/>
    <w:rsid w:val="008A0FF1"/>
    <w:rsid w:val="008B0CFF"/>
    <w:rsid w:val="008B72D4"/>
    <w:rsid w:val="008C0B46"/>
    <w:rsid w:val="008C3230"/>
    <w:rsid w:val="008C56FC"/>
    <w:rsid w:val="008D4DFD"/>
    <w:rsid w:val="008E6F9E"/>
    <w:rsid w:val="008F0971"/>
    <w:rsid w:val="008F1FAB"/>
    <w:rsid w:val="008F3154"/>
    <w:rsid w:val="008F4A06"/>
    <w:rsid w:val="009007D9"/>
    <w:rsid w:val="009049D1"/>
    <w:rsid w:val="00905FD7"/>
    <w:rsid w:val="009141BF"/>
    <w:rsid w:val="009156B6"/>
    <w:rsid w:val="00927B11"/>
    <w:rsid w:val="0093272B"/>
    <w:rsid w:val="009416C0"/>
    <w:rsid w:val="0094751B"/>
    <w:rsid w:val="009511E2"/>
    <w:rsid w:val="00956F1A"/>
    <w:rsid w:val="00960202"/>
    <w:rsid w:val="00965B47"/>
    <w:rsid w:val="00970FC9"/>
    <w:rsid w:val="00971ACC"/>
    <w:rsid w:val="00971E3B"/>
    <w:rsid w:val="0097588C"/>
    <w:rsid w:val="00981092"/>
    <w:rsid w:val="00984AA9"/>
    <w:rsid w:val="009850D6"/>
    <w:rsid w:val="00990653"/>
    <w:rsid w:val="009A3F73"/>
    <w:rsid w:val="009A7BD2"/>
    <w:rsid w:val="009B1D6B"/>
    <w:rsid w:val="009B3504"/>
    <w:rsid w:val="009B39E9"/>
    <w:rsid w:val="009B709C"/>
    <w:rsid w:val="009C2E24"/>
    <w:rsid w:val="009C3064"/>
    <w:rsid w:val="009C3142"/>
    <w:rsid w:val="009C3197"/>
    <w:rsid w:val="009D17A6"/>
    <w:rsid w:val="009D5919"/>
    <w:rsid w:val="009D5993"/>
    <w:rsid w:val="009D5C6F"/>
    <w:rsid w:val="009E07A7"/>
    <w:rsid w:val="009E43A8"/>
    <w:rsid w:val="009E48D8"/>
    <w:rsid w:val="009E4F0E"/>
    <w:rsid w:val="00A01571"/>
    <w:rsid w:val="00A032C7"/>
    <w:rsid w:val="00A11CBD"/>
    <w:rsid w:val="00A120F7"/>
    <w:rsid w:val="00A15270"/>
    <w:rsid w:val="00A24155"/>
    <w:rsid w:val="00A2619A"/>
    <w:rsid w:val="00A262D5"/>
    <w:rsid w:val="00A27DBA"/>
    <w:rsid w:val="00A42F87"/>
    <w:rsid w:val="00A449C0"/>
    <w:rsid w:val="00A45A91"/>
    <w:rsid w:val="00A51BA5"/>
    <w:rsid w:val="00A52155"/>
    <w:rsid w:val="00A5366A"/>
    <w:rsid w:val="00A56402"/>
    <w:rsid w:val="00A566DF"/>
    <w:rsid w:val="00A57692"/>
    <w:rsid w:val="00A64654"/>
    <w:rsid w:val="00A6785C"/>
    <w:rsid w:val="00A8457E"/>
    <w:rsid w:val="00A86C6B"/>
    <w:rsid w:val="00AA149B"/>
    <w:rsid w:val="00AA52D6"/>
    <w:rsid w:val="00AA5D6F"/>
    <w:rsid w:val="00AB23C9"/>
    <w:rsid w:val="00AB4CF2"/>
    <w:rsid w:val="00AB6099"/>
    <w:rsid w:val="00AC15AA"/>
    <w:rsid w:val="00AC2E72"/>
    <w:rsid w:val="00AC443F"/>
    <w:rsid w:val="00AD65FF"/>
    <w:rsid w:val="00AE53FC"/>
    <w:rsid w:val="00B008D9"/>
    <w:rsid w:val="00B02043"/>
    <w:rsid w:val="00B0220F"/>
    <w:rsid w:val="00B03898"/>
    <w:rsid w:val="00B04909"/>
    <w:rsid w:val="00B05A2A"/>
    <w:rsid w:val="00B076B3"/>
    <w:rsid w:val="00B1591B"/>
    <w:rsid w:val="00B163B6"/>
    <w:rsid w:val="00B21FEA"/>
    <w:rsid w:val="00B268F0"/>
    <w:rsid w:val="00B2738C"/>
    <w:rsid w:val="00B36735"/>
    <w:rsid w:val="00B4331A"/>
    <w:rsid w:val="00B54619"/>
    <w:rsid w:val="00B634FD"/>
    <w:rsid w:val="00B6766E"/>
    <w:rsid w:val="00B73295"/>
    <w:rsid w:val="00B8171D"/>
    <w:rsid w:val="00B84F41"/>
    <w:rsid w:val="00BA1A64"/>
    <w:rsid w:val="00BB3B3E"/>
    <w:rsid w:val="00BC4B0B"/>
    <w:rsid w:val="00BC60B5"/>
    <w:rsid w:val="00BC7CC4"/>
    <w:rsid w:val="00BD1B59"/>
    <w:rsid w:val="00BD6019"/>
    <w:rsid w:val="00BD705D"/>
    <w:rsid w:val="00BD7DE4"/>
    <w:rsid w:val="00BE64FF"/>
    <w:rsid w:val="00BF0916"/>
    <w:rsid w:val="00BF7471"/>
    <w:rsid w:val="00C008B5"/>
    <w:rsid w:val="00C01F37"/>
    <w:rsid w:val="00C11A8D"/>
    <w:rsid w:val="00C126D1"/>
    <w:rsid w:val="00C145B3"/>
    <w:rsid w:val="00C20AD0"/>
    <w:rsid w:val="00C21CDB"/>
    <w:rsid w:val="00C231C4"/>
    <w:rsid w:val="00C37EAF"/>
    <w:rsid w:val="00C40EC7"/>
    <w:rsid w:val="00C42B76"/>
    <w:rsid w:val="00C467A2"/>
    <w:rsid w:val="00C53EF7"/>
    <w:rsid w:val="00C57A85"/>
    <w:rsid w:val="00C647AA"/>
    <w:rsid w:val="00C65AA2"/>
    <w:rsid w:val="00C739B0"/>
    <w:rsid w:val="00C9033E"/>
    <w:rsid w:val="00C97FB8"/>
    <w:rsid w:val="00CA2E44"/>
    <w:rsid w:val="00CA444B"/>
    <w:rsid w:val="00CB449A"/>
    <w:rsid w:val="00CB4DE5"/>
    <w:rsid w:val="00CB6B18"/>
    <w:rsid w:val="00CC05C3"/>
    <w:rsid w:val="00CC0D5B"/>
    <w:rsid w:val="00CC37DE"/>
    <w:rsid w:val="00CD2387"/>
    <w:rsid w:val="00CD4BEE"/>
    <w:rsid w:val="00CE0AEF"/>
    <w:rsid w:val="00CE310F"/>
    <w:rsid w:val="00CE46BF"/>
    <w:rsid w:val="00CF6CF0"/>
    <w:rsid w:val="00D02DC6"/>
    <w:rsid w:val="00D0466E"/>
    <w:rsid w:val="00D05E7A"/>
    <w:rsid w:val="00D061E6"/>
    <w:rsid w:val="00D12548"/>
    <w:rsid w:val="00D16944"/>
    <w:rsid w:val="00D20768"/>
    <w:rsid w:val="00D20D0A"/>
    <w:rsid w:val="00D342D5"/>
    <w:rsid w:val="00D3518E"/>
    <w:rsid w:val="00D42FD7"/>
    <w:rsid w:val="00D4728C"/>
    <w:rsid w:val="00D56F02"/>
    <w:rsid w:val="00D60CF2"/>
    <w:rsid w:val="00D60F2D"/>
    <w:rsid w:val="00D611EB"/>
    <w:rsid w:val="00D660D1"/>
    <w:rsid w:val="00D70844"/>
    <w:rsid w:val="00D77134"/>
    <w:rsid w:val="00D813C4"/>
    <w:rsid w:val="00D8141D"/>
    <w:rsid w:val="00D84199"/>
    <w:rsid w:val="00D87244"/>
    <w:rsid w:val="00D95998"/>
    <w:rsid w:val="00D97F7D"/>
    <w:rsid w:val="00DB44E9"/>
    <w:rsid w:val="00DC2631"/>
    <w:rsid w:val="00DC4A87"/>
    <w:rsid w:val="00DD46DD"/>
    <w:rsid w:val="00DF0E82"/>
    <w:rsid w:val="00DF5044"/>
    <w:rsid w:val="00E01910"/>
    <w:rsid w:val="00E066E7"/>
    <w:rsid w:val="00E0768F"/>
    <w:rsid w:val="00E124FB"/>
    <w:rsid w:val="00E219E0"/>
    <w:rsid w:val="00E235C9"/>
    <w:rsid w:val="00E25150"/>
    <w:rsid w:val="00E34A9E"/>
    <w:rsid w:val="00E44E53"/>
    <w:rsid w:val="00E4785D"/>
    <w:rsid w:val="00E54591"/>
    <w:rsid w:val="00E554C0"/>
    <w:rsid w:val="00E60A47"/>
    <w:rsid w:val="00E627D0"/>
    <w:rsid w:val="00E6372A"/>
    <w:rsid w:val="00E63FBB"/>
    <w:rsid w:val="00E75F2E"/>
    <w:rsid w:val="00E8471F"/>
    <w:rsid w:val="00E86972"/>
    <w:rsid w:val="00EA6877"/>
    <w:rsid w:val="00EB1222"/>
    <w:rsid w:val="00EB546F"/>
    <w:rsid w:val="00EB5E95"/>
    <w:rsid w:val="00EC756F"/>
    <w:rsid w:val="00ED4E2D"/>
    <w:rsid w:val="00ED6C37"/>
    <w:rsid w:val="00EE5BA9"/>
    <w:rsid w:val="00EE6832"/>
    <w:rsid w:val="00EE7BAE"/>
    <w:rsid w:val="00EF2828"/>
    <w:rsid w:val="00F021E1"/>
    <w:rsid w:val="00F02593"/>
    <w:rsid w:val="00F04486"/>
    <w:rsid w:val="00F06C38"/>
    <w:rsid w:val="00F17CAB"/>
    <w:rsid w:val="00F2210C"/>
    <w:rsid w:val="00F24665"/>
    <w:rsid w:val="00F25248"/>
    <w:rsid w:val="00F302EF"/>
    <w:rsid w:val="00F40020"/>
    <w:rsid w:val="00F424AA"/>
    <w:rsid w:val="00F52240"/>
    <w:rsid w:val="00F525BE"/>
    <w:rsid w:val="00F57C08"/>
    <w:rsid w:val="00F606B3"/>
    <w:rsid w:val="00F613AB"/>
    <w:rsid w:val="00F62808"/>
    <w:rsid w:val="00F73C06"/>
    <w:rsid w:val="00F8142A"/>
    <w:rsid w:val="00F8179E"/>
    <w:rsid w:val="00F97A16"/>
    <w:rsid w:val="00FA1056"/>
    <w:rsid w:val="00FA44EA"/>
    <w:rsid w:val="00FA691B"/>
    <w:rsid w:val="00FB0339"/>
    <w:rsid w:val="00FB036F"/>
    <w:rsid w:val="00FB26F1"/>
    <w:rsid w:val="00FB3310"/>
    <w:rsid w:val="00FC2270"/>
    <w:rsid w:val="00FD22FA"/>
    <w:rsid w:val="00FD248E"/>
    <w:rsid w:val="00FD422F"/>
    <w:rsid w:val="00FE4B81"/>
    <w:rsid w:val="00FF368B"/>
    <w:rsid w:val="029600AF"/>
    <w:rsid w:val="075730B2"/>
    <w:rsid w:val="079B2F21"/>
    <w:rsid w:val="09C115E3"/>
    <w:rsid w:val="0A1B7E59"/>
    <w:rsid w:val="0A346E57"/>
    <w:rsid w:val="0E9E0539"/>
    <w:rsid w:val="0F916464"/>
    <w:rsid w:val="10BB07D4"/>
    <w:rsid w:val="139B620C"/>
    <w:rsid w:val="14500A59"/>
    <w:rsid w:val="15D0044B"/>
    <w:rsid w:val="1CA81D0B"/>
    <w:rsid w:val="234B0A4E"/>
    <w:rsid w:val="24C95675"/>
    <w:rsid w:val="262C3DF3"/>
    <w:rsid w:val="2DDB4434"/>
    <w:rsid w:val="2E2325F8"/>
    <w:rsid w:val="308C4AC3"/>
    <w:rsid w:val="32780617"/>
    <w:rsid w:val="330F3B0A"/>
    <w:rsid w:val="33BE1C27"/>
    <w:rsid w:val="369C15EF"/>
    <w:rsid w:val="375D209E"/>
    <w:rsid w:val="38C1437D"/>
    <w:rsid w:val="3F62595E"/>
    <w:rsid w:val="402B7C64"/>
    <w:rsid w:val="4109475E"/>
    <w:rsid w:val="4176348D"/>
    <w:rsid w:val="42A53AC2"/>
    <w:rsid w:val="4663783D"/>
    <w:rsid w:val="46982D4B"/>
    <w:rsid w:val="48F22EEF"/>
    <w:rsid w:val="4A7F60A4"/>
    <w:rsid w:val="4D862EB7"/>
    <w:rsid w:val="4E556730"/>
    <w:rsid w:val="4F7370ED"/>
    <w:rsid w:val="504E7E66"/>
    <w:rsid w:val="52110942"/>
    <w:rsid w:val="57E068B3"/>
    <w:rsid w:val="580C5987"/>
    <w:rsid w:val="5CE0009C"/>
    <w:rsid w:val="5D7774BF"/>
    <w:rsid w:val="5DD23A08"/>
    <w:rsid w:val="600671BE"/>
    <w:rsid w:val="607A2744"/>
    <w:rsid w:val="65690042"/>
    <w:rsid w:val="656F4043"/>
    <w:rsid w:val="659B5E74"/>
    <w:rsid w:val="661C62FC"/>
    <w:rsid w:val="6A2E5E1F"/>
    <w:rsid w:val="6B905BE1"/>
    <w:rsid w:val="6ED54555"/>
    <w:rsid w:val="754A345D"/>
    <w:rsid w:val="768E1385"/>
    <w:rsid w:val="773C1BAB"/>
    <w:rsid w:val="78843C42"/>
    <w:rsid w:val="7DE10AFA"/>
    <w:rsid w:val="7FD1147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9"/>
    <w:qFormat/>
    <w:locked/>
    <w:uiPriority w:val="99"/>
    <w:pPr>
      <w:keepNext/>
      <w:keepLines/>
      <w:spacing w:before="340" w:after="330" w:line="578" w:lineRule="auto"/>
      <w:outlineLvl w:val="0"/>
    </w:pPr>
    <w:rPr>
      <w:rFonts w:ascii="Calibri" w:hAnsi="Calibri" w:eastAsia="宋体"/>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7"/>
    <w:qFormat/>
    <w:uiPriority w:val="99"/>
    <w:pPr>
      <w:ind w:firstLine="632" w:firstLineChars="200"/>
    </w:pPr>
    <w:rPr>
      <w:kern w:val="0"/>
    </w:rPr>
  </w:style>
  <w:style w:type="paragraph" w:styleId="4">
    <w:name w:val="Plain Text"/>
    <w:basedOn w:val="1"/>
    <w:qFormat/>
    <w:uiPriority w:val="0"/>
    <w:rPr>
      <w:rFonts w:ascii="宋体" w:hAnsi="Courier New" w:cs="Courier New"/>
      <w:szCs w:val="21"/>
    </w:rPr>
  </w:style>
  <w:style w:type="paragraph" w:styleId="5">
    <w:name w:val="Date"/>
    <w:basedOn w:val="1"/>
    <w:next w:val="1"/>
    <w:link w:val="16"/>
    <w:qFormat/>
    <w:uiPriority w:val="99"/>
    <w:pPr>
      <w:ind w:left="100" w:leftChars="2500"/>
    </w:pPr>
    <w:rPr>
      <w:kern w:val="0"/>
    </w:rPr>
  </w:style>
  <w:style w:type="paragraph" w:styleId="6">
    <w:name w:val="footer"/>
    <w:basedOn w:val="1"/>
    <w:link w:val="15"/>
    <w:qFormat/>
    <w:uiPriority w:val="99"/>
    <w:pPr>
      <w:tabs>
        <w:tab w:val="center" w:pos="4153"/>
        <w:tab w:val="right" w:pos="8306"/>
      </w:tabs>
      <w:snapToGrid w:val="0"/>
      <w:jc w:val="left"/>
    </w:pPr>
    <w:rPr>
      <w:kern w:val="0"/>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qFormat/>
    <w:uiPriority w:val="99"/>
    <w:pPr>
      <w:spacing w:beforeAutospacing="1" w:afterAutospacing="1"/>
      <w:jc w:val="left"/>
    </w:pPr>
    <w:rPr>
      <w:rFonts w:ascii="Calibri" w:hAnsi="Calibri" w:eastAsia="宋体"/>
      <w:kern w:val="0"/>
      <w:sz w:val="24"/>
      <w:szCs w:val="24"/>
    </w:rPr>
  </w:style>
  <w:style w:type="character" w:styleId="11">
    <w:name w:val="Strong"/>
    <w:qFormat/>
    <w:locked/>
    <w:uiPriority w:val="99"/>
    <w:rPr>
      <w:rFonts w:cs="Times New Roman"/>
      <w:b/>
    </w:rPr>
  </w:style>
  <w:style w:type="character" w:styleId="12">
    <w:name w:val="page number"/>
    <w:qFormat/>
    <w:uiPriority w:val="99"/>
    <w:rPr>
      <w:rFonts w:cs="Times New Roman"/>
    </w:rPr>
  </w:style>
  <w:style w:type="character" w:styleId="13">
    <w:name w:val="Hyperlink"/>
    <w:qFormat/>
    <w:uiPriority w:val="99"/>
    <w:rPr>
      <w:rFonts w:cs="Times New Roman"/>
      <w:color w:val="0000FF"/>
      <w:u w:val="single"/>
    </w:rPr>
  </w:style>
  <w:style w:type="character" w:customStyle="1" w:styleId="14">
    <w:name w:val="页眉 Char"/>
    <w:link w:val="7"/>
    <w:semiHidden/>
    <w:qFormat/>
    <w:uiPriority w:val="99"/>
    <w:rPr>
      <w:rFonts w:eastAsia="仿宋_GB2312"/>
      <w:sz w:val="18"/>
      <w:szCs w:val="18"/>
    </w:rPr>
  </w:style>
  <w:style w:type="character" w:customStyle="1" w:styleId="15">
    <w:name w:val="页脚 Char"/>
    <w:link w:val="6"/>
    <w:semiHidden/>
    <w:qFormat/>
    <w:uiPriority w:val="99"/>
    <w:rPr>
      <w:rFonts w:eastAsia="仿宋_GB2312"/>
      <w:sz w:val="18"/>
      <w:szCs w:val="18"/>
    </w:rPr>
  </w:style>
  <w:style w:type="character" w:customStyle="1" w:styleId="16">
    <w:name w:val="日期 Char"/>
    <w:link w:val="5"/>
    <w:semiHidden/>
    <w:qFormat/>
    <w:uiPriority w:val="99"/>
    <w:rPr>
      <w:rFonts w:eastAsia="仿宋_GB2312"/>
      <w:sz w:val="32"/>
      <w:szCs w:val="20"/>
    </w:rPr>
  </w:style>
  <w:style w:type="character" w:customStyle="1" w:styleId="17">
    <w:name w:val="正文文本缩进 Char"/>
    <w:link w:val="3"/>
    <w:semiHidden/>
    <w:qFormat/>
    <w:uiPriority w:val="99"/>
    <w:rPr>
      <w:rFonts w:eastAsia="仿宋_GB2312"/>
      <w:sz w:val="32"/>
      <w:szCs w:val="20"/>
    </w:rPr>
  </w:style>
  <w:style w:type="paragraph" w:customStyle="1" w:styleId="18">
    <w:name w:val="Char Char Char Char Char Char"/>
    <w:basedOn w:val="1"/>
    <w:qFormat/>
    <w:uiPriority w:val="99"/>
    <w:pPr>
      <w:adjustRightInd w:val="0"/>
    </w:pPr>
    <w:rPr>
      <w:rFonts w:ascii="Tahoma" w:hAnsi="Tahoma" w:eastAsia="宋体"/>
      <w:sz w:val="24"/>
    </w:rPr>
  </w:style>
  <w:style w:type="character" w:customStyle="1" w:styleId="19">
    <w:name w:val="标题 1 Char"/>
    <w:link w:val="2"/>
    <w:qFormat/>
    <w:uiPriority w:val="99"/>
    <w:rPr>
      <w:rFonts w:ascii="Calibri" w:hAnsi="Calibri" w:cs="Calibri"/>
      <w:b/>
      <w:bCs/>
      <w:kern w:val="44"/>
      <w:sz w:val="44"/>
      <w:szCs w:val="44"/>
    </w:rPr>
  </w:style>
  <w:style w:type="paragraph" w:customStyle="1" w:styleId="20">
    <w:name w:val="实施方案正文"/>
    <w:basedOn w:val="1"/>
    <w:qFormat/>
    <w:uiPriority w:val="99"/>
    <w:pPr>
      <w:ind w:firstLine="566" w:firstLineChars="202"/>
    </w:pPr>
    <w:rPr>
      <w:rFonts w:ascii="Calibri" w:hAnsi="Calibri" w:eastAsia="宋体"/>
      <w:sz w:val="21"/>
      <w:szCs w:val="28"/>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ind w:firstLine="623"/>
      <w:jc w:val="left"/>
      <w:textAlignment w:val="baseline"/>
    </w:pPr>
    <w:rPr>
      <w:color w:val="000000"/>
      <w:kern w:val="0"/>
      <w:sz w:val="31"/>
      <w:u w:color="000000"/>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Company>家用电脑</Company>
  <Pages>18</Pages>
  <Words>1489</Words>
  <Characters>8488</Characters>
  <Lines>70</Lines>
  <Paragraphs>19</Paragraphs>
  <TotalTime>1</TotalTime>
  <ScaleCrop>false</ScaleCrop>
  <LinksUpToDate>false</LinksUpToDate>
  <CharactersWithSpaces>9958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2016-02-18T07:51:00Z</dcterms:created>
  <dc:creator>y</dc:creator>
  <cp:lastModifiedBy>USER</cp:lastModifiedBy>
  <cp:lastPrinted>2019-07-09T02:31:00Z</cp:lastPrinted>
  <dcterms:modified xsi:type="dcterms:W3CDTF">2021-05-27T08:22:37Z</dcterms:modified>
  <dc:title>益财会〔2002〕4号</dc:title>
  <cp:revision>366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