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方正小标宋_GBK" w:hAnsi="方正小标宋_GBK" w:eastAsia="方正小标宋_GBK" w:cs="方正小标宋_GBK"/>
          <w:color w:val="auto"/>
          <w:sz w:val="44"/>
          <w:szCs w:val="44"/>
        </w:rPr>
        <w:t>昆明市东川区医疗保障局2020年度城乡医疗救助专项资金项目支出预算绩效自评报告</w:t>
      </w: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摘要</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lang w:eastAsia="zh-CN"/>
        </w:rPr>
      </w:pP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一、</w:t>
      </w:r>
      <w:r>
        <w:rPr>
          <w:rFonts w:hint="eastAsia" w:ascii="黑体" w:hAnsi="黑体" w:eastAsia="黑体" w:cs="黑体"/>
          <w:color w:val="auto"/>
          <w:szCs w:val="32"/>
        </w:rPr>
        <w:t>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根据《昆明市社会救助实施办法》《昆明市人民政府办公厅关于进一步完善城乡医疗救助制度的实施意见》《昆明市重特大疾病医疗救助基金管理暂行办法的通知》《东川区困难群众“一站式”医疗救助实施细则的通知》等文件规定</w:t>
      </w: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度城乡医疗救助专项资金项目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r>
        <w:rPr>
          <w:rFonts w:hint="eastAsia" w:ascii="仿宋_GB2312" w:hAnsi="仿宋_GB2312" w:cs="仿宋_GB2312"/>
          <w:color w:val="auto"/>
          <w:szCs w:val="32"/>
          <w:lang w:eastAsia="zh-CN"/>
        </w:rPr>
        <w:t>为进一步完善城乡医疗救助制度，健全社会救助体系，保障困难群体基本医疗权益提供有力的支撑。</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二、</w:t>
      </w:r>
      <w:r>
        <w:rPr>
          <w:rFonts w:hint="eastAsia" w:ascii="黑体" w:hAnsi="黑体" w:eastAsia="黑体" w:cs="黑体"/>
          <w:color w:val="auto"/>
          <w:szCs w:val="32"/>
        </w:rPr>
        <w:t>评价结论</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楷体_GB2312" w:hAnsi="楷体_GB2312" w:eastAsia="楷体_GB2312" w:cs="楷体_GB2312"/>
          <w:color w:val="auto"/>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三、</w:t>
      </w:r>
      <w:r>
        <w:rPr>
          <w:rFonts w:hint="eastAsia" w:ascii="黑体" w:hAnsi="黑体" w:eastAsia="黑体" w:cs="黑体"/>
          <w:color w:val="auto"/>
          <w:szCs w:val="32"/>
        </w:rPr>
        <w:t>经验、问题和建议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主要经验及做法</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继续加强宣传力度，积极推进工作，让城乡医疗救助项目政策家喻户晓，做到应保尽保。</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抓好业务培训，完善经办流程，提高工作效率，切实加强项目资金安全管理，结合工作要求，加强项目资金支付预算管理，提高项目资金使用绩效，维护项目资金安全，保障项目资金安全运行，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因</w:t>
      </w:r>
      <w:r>
        <w:rPr>
          <w:rFonts w:hint="eastAsia" w:ascii="仿宋_GB2312" w:hAnsi="仿宋_GB2312" w:eastAsia="仿宋_GB2312" w:cs="仿宋_GB2312"/>
          <w:color w:val="auto"/>
          <w:szCs w:val="32"/>
        </w:rPr>
        <w:t>未能实现统一联网，民政、残联等信息数据不能实时共享，</w:t>
      </w:r>
      <w:r>
        <w:rPr>
          <w:rFonts w:hint="eastAsia" w:ascii="仿宋_GB2312" w:hAnsi="仿宋_GB2312" w:cs="仿宋_GB2312"/>
          <w:color w:val="auto"/>
          <w:szCs w:val="32"/>
          <w:lang w:eastAsia="zh-CN"/>
        </w:rPr>
        <w:t>救助对象动态调整频繁，就医情况不可预测，就医开支波动大，故预算难度大、预算不准确</w:t>
      </w:r>
      <w:r>
        <w:rPr>
          <w:rFonts w:hint="eastAsia" w:ascii="仿宋_GB2312" w:hAnsi="仿宋_GB2312" w:eastAsia="仿宋_GB2312" w:cs="仿宋_GB2312"/>
          <w:color w:val="auto"/>
          <w:szCs w:val="32"/>
        </w:rPr>
        <w:t>。</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（三）</w:t>
      </w:r>
      <w:r>
        <w:rPr>
          <w:rFonts w:hint="eastAsia" w:ascii="楷体_GB2312" w:hAnsi="楷体_GB2312" w:eastAsia="楷体_GB2312" w:cs="楷体_GB2312"/>
          <w:color w:val="auto"/>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跨部门数据实时共享，</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专项资金，确保资金的安全及有效运行。</w:t>
      </w: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lang w:eastAsia="zh-CN"/>
        </w:rPr>
        <w:t>昆明市东川区医疗保障局</w:t>
      </w:r>
      <w:r>
        <w:rPr>
          <w:rFonts w:hint="eastAsia" w:ascii="方正小标宋_GBK" w:eastAsia="方正小标宋_GBK"/>
          <w:color w:val="auto"/>
          <w:sz w:val="44"/>
          <w:szCs w:val="44"/>
          <w:lang w:val="en-US" w:eastAsia="zh-CN"/>
        </w:rPr>
        <w:t>2020年度城乡医疗救助专项资金项目支出预算绩效自评报告</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根据《昆明市社会救助实施办法》《昆明市人民政府办公厅关于进一步完善城乡医疗救助制度的实施意见》《昆明市重特大疾病医疗救助基金管理暂行办法的通知》《东川区困难群众“一站式”医疗救助实施细则的通知》等文件规定。通过对2020年度城乡医疗救助专项资金项目的实施情况进行绩效评价，考核项目资金的产出与绩效，了解、分析、检验项目是否达到预期目标，资金使用是否规范有效，为今后安排城乡医疗救助项目资金提供依据，总结经验、采取措施进一步完善财政支出项目管理，提高财政资金使用效益。为进一步完善城乡医疗救助制度，健全社会救助体系，保障困难群体基本医疗权益提供有力的支撑。</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资助困难居民参加城乡居民基本医疗保险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门诊救助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对因重特大疾病需要长期门诊治疗的救助对象进行救助（符合实施细则规定病种和规定条件的对象）</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普通疾病住院医疗救助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重特大疾病住院医疗救助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临时医疗救助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5,544.27</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5,406.28</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利息收入</w:t>
      </w:r>
      <w:r>
        <w:rPr>
          <w:rFonts w:hint="eastAsia" w:ascii="仿宋_GB2312" w:hAnsi="仿宋_GB2312" w:cs="仿宋_GB2312"/>
          <w:b w:val="0"/>
          <w:bCs w:val="0"/>
          <w:color w:val="auto"/>
          <w:sz w:val="32"/>
          <w:szCs w:val="32"/>
          <w:lang w:val="en-US" w:eastAsia="zh-CN"/>
        </w:rPr>
        <w:t>5.91万元，追回退回款2.08万元，其他收入130万元，</w:t>
      </w:r>
      <w:r>
        <w:rPr>
          <w:rFonts w:hint="eastAsia" w:ascii="仿宋_GB2312" w:hAnsi="仿宋_GB2312" w:eastAsia="仿宋_GB2312" w:cs="仿宋_GB2312"/>
          <w:b w:val="0"/>
          <w:bCs w:val="0"/>
          <w:color w:val="auto"/>
          <w:sz w:val="32"/>
          <w:szCs w:val="32"/>
        </w:rPr>
        <w:t>无上级补助收入、事业收入、经营收入和附属单位上缴收入。</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eastAsia="zh-CN"/>
        </w:rPr>
        <w:t>医疗救助</w:t>
      </w:r>
      <w:r>
        <w:rPr>
          <w:rFonts w:hint="eastAsia" w:ascii="仿宋_GB2312" w:hAnsi="仿宋_GB2312" w:eastAsia="仿宋_GB2312" w:cs="仿宋_GB2312"/>
          <w:b w:val="0"/>
          <w:bCs w:val="0"/>
          <w:color w:val="auto"/>
          <w:sz w:val="32"/>
          <w:szCs w:val="32"/>
        </w:rPr>
        <w:t>支出</w:t>
      </w:r>
      <w:r>
        <w:rPr>
          <w:rFonts w:hint="eastAsia" w:ascii="仿宋_GB2312" w:hAnsi="仿宋_GB2312" w:cs="仿宋_GB2312"/>
          <w:b w:val="0"/>
          <w:bCs w:val="0"/>
          <w:color w:val="auto"/>
          <w:sz w:val="32"/>
          <w:szCs w:val="32"/>
          <w:lang w:val="en-US" w:eastAsia="zh-CN"/>
        </w:rPr>
        <w:t>3,125.14</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（其中：</w:t>
      </w:r>
      <w:r>
        <w:rPr>
          <w:rFonts w:hint="eastAsia" w:ascii="仿宋_GB2312" w:hAnsi="仿宋_GB2312" w:cs="仿宋_GB2312"/>
          <w:b w:val="0"/>
          <w:bCs w:val="0"/>
          <w:color w:val="auto"/>
          <w:sz w:val="32"/>
          <w:szCs w:val="32"/>
          <w:lang w:val="en-US" w:eastAsia="zh-CN"/>
        </w:rPr>
        <w:t>资助参保支出1,197.97万元</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上年结转结余</w:t>
      </w:r>
      <w:r>
        <w:rPr>
          <w:rFonts w:hint="eastAsia" w:ascii="仿宋_GB2312" w:hAnsi="仿宋_GB2312" w:cs="仿宋_GB2312"/>
          <w:b w:val="0"/>
          <w:bCs w:val="0"/>
          <w:color w:val="auto"/>
          <w:sz w:val="32"/>
          <w:szCs w:val="32"/>
          <w:lang w:val="en-US" w:eastAsia="zh-CN"/>
        </w:rPr>
        <w:t>120.21</w:t>
      </w:r>
      <w:r>
        <w:rPr>
          <w:rFonts w:hint="eastAsia" w:ascii="仿宋_GB2312" w:hAnsi="仿宋_GB2312" w:cs="仿宋_GB2312"/>
          <w:b w:val="0"/>
          <w:bCs w:val="0"/>
          <w:color w:val="auto"/>
          <w:sz w:val="32"/>
          <w:szCs w:val="32"/>
          <w:lang w:eastAsia="zh-CN"/>
        </w:rPr>
        <w:t>万元，</w:t>
      </w:r>
      <w:r>
        <w:rPr>
          <w:rFonts w:hint="eastAsia" w:ascii="仿宋_GB2312" w:hAnsi="仿宋_GB2312" w:cs="仿宋_GB2312"/>
          <w:b w:val="0"/>
          <w:bCs w:val="0"/>
          <w:color w:val="auto"/>
          <w:sz w:val="32"/>
          <w:szCs w:val="32"/>
          <w:lang w:val="en-US" w:eastAsia="zh-CN"/>
        </w:rPr>
        <w:t>2020年末结转结余2,539.34万元，因城乡医疗救助项目属于连年持续性保障项目，结转结余部分下年继续使用。</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1.东川区医疗救助金由上级补助、区级配套补助及社会捐赠组成。每年根据保障对象人数、上级补助等情况提出预算，经区财政部门审核后，将区级承担部分列入</w:t>
      </w:r>
      <w:r>
        <w:rPr>
          <w:rFonts w:hint="eastAsia" w:ascii="仿宋_GB2312" w:hAnsi="仿宋_GB2312" w:cs="仿宋_GB2312"/>
          <w:b w:val="0"/>
          <w:bCs w:val="0"/>
          <w:color w:val="auto"/>
          <w:sz w:val="32"/>
          <w:szCs w:val="32"/>
          <w:lang w:val="en-US" w:eastAsia="zh-CN"/>
        </w:rPr>
        <w:t>本级</w:t>
      </w:r>
      <w:r>
        <w:rPr>
          <w:rFonts w:hint="eastAsia" w:ascii="仿宋_GB2312" w:hAnsi="仿宋_GB2312" w:eastAsia="仿宋_GB2312" w:cs="仿宋_GB2312"/>
          <w:b w:val="0"/>
          <w:bCs w:val="0"/>
          <w:color w:val="auto"/>
          <w:sz w:val="32"/>
          <w:szCs w:val="32"/>
          <w:lang w:val="en-US" w:eastAsia="zh-CN"/>
        </w:rPr>
        <w:t>财政预算。</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2.定时与财政局、银行做好医疗救助资金的对账工作。</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3.严格按照相关要求进行医疗救助资金的安排、拨付、使用和管理。</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绩效目标</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在资助城乡困难居民参加城乡居民基本医疗保险的基础上，以住院医疗救助为主，门诊医疗救助为辅，合理提高重特大疾病的救助力度</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科学确定救助比例，简化救助程序，借助昆明市医保平台，建立健全管理科学、操作规范、方便快捷、及时有效，覆盖全区困难群众的“一站式”医疗救助制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color w:val="auto"/>
          <w:szCs w:val="32"/>
        </w:rPr>
        <w:t>绩效评价目的</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度城乡医疗救助项目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color w:val="auto"/>
          <w:szCs w:val="32"/>
        </w:rPr>
        <w:t>（二）绩效评价工作方案制定过程</w:t>
      </w:r>
    </w:p>
    <w:p>
      <w:pPr>
        <w:keepNext w:val="0"/>
        <w:keepLines w:val="0"/>
        <w:pageBreakBefore w:val="0"/>
        <w:kinsoku/>
        <w:wordWrap/>
        <w:overflowPunct/>
        <w:autoSpaceDE/>
        <w:autoSpaceDN w:val="0"/>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在第一时间由局领导主持召开绩效评价工作部署会议，会上研究制定了绩效评价工作方案及成立了绩效评价工作领导小组，会后制定了符合</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kern w:val="0"/>
          <w:sz w:val="32"/>
          <w:szCs w:val="32"/>
          <w:lang w:eastAsia="zh-CN"/>
        </w:rPr>
        <w:t>支出的评价体系框架。</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（三）绩效评价原则、评价方法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Cs w:val="32"/>
        </w:rPr>
        <w:t>绩效评价原则</w:t>
      </w:r>
      <w:r>
        <w:rPr>
          <w:rFonts w:hint="eastAsia" w:ascii="仿宋_GB2312" w:hAnsi="仿宋_GB2312" w:eastAsia="仿宋_GB2312" w:cs="仿宋_GB2312"/>
          <w:color w:val="auto"/>
          <w:szCs w:val="32"/>
          <w:lang w:eastAsia="zh-CN"/>
        </w:rPr>
        <w:t>及方法：依据</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昆明市东川区医疗保障局预算绩效管理暂行办法</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东医保〔2020〕9号</w:t>
      </w:r>
      <w:r>
        <w:rPr>
          <w:rFonts w:hint="eastAsia" w:ascii="仿宋_GB2312" w:hAnsi="仿宋_GB2312" w:cs="仿宋_GB2312"/>
          <w:color w:val="auto"/>
          <w:szCs w:val="32"/>
          <w:lang w:eastAsia="zh-CN"/>
        </w:rPr>
        <w:t>）文件</w:t>
      </w:r>
      <w:r>
        <w:rPr>
          <w:rFonts w:hint="eastAsia" w:ascii="仿宋_GB2312" w:hAnsi="仿宋_GB2312" w:eastAsia="仿宋_GB2312" w:cs="仿宋_GB2312"/>
          <w:color w:val="auto"/>
          <w:szCs w:val="32"/>
          <w:lang w:eastAsia="zh-CN"/>
        </w:rPr>
        <w:t>进行</w:t>
      </w:r>
      <w:r>
        <w:rPr>
          <w:rFonts w:hint="eastAsia" w:ascii="仿宋_GB2312" w:hAnsi="仿宋_GB2312" w:eastAsia="仿宋_GB2312" w:cs="仿宋_GB2312"/>
          <w:color w:val="auto"/>
          <w:szCs w:val="32"/>
        </w:rPr>
        <w:t>科学规范、公开公正、绩效相关等原则。</w:t>
      </w:r>
      <w:r>
        <w:rPr>
          <w:rFonts w:hint="eastAsia" w:ascii="仿宋_GB2312" w:hAnsi="仿宋_GB2312" w:eastAsia="仿宋_GB2312" w:cs="仿宋_GB2312"/>
          <w:color w:val="auto"/>
          <w:szCs w:val="32"/>
          <w:lang w:eastAsia="zh-CN"/>
        </w:rPr>
        <w:t>依托</w:t>
      </w:r>
      <w:r>
        <w:rPr>
          <w:rFonts w:hint="eastAsia" w:ascii="仿宋_GB2312" w:hAnsi="仿宋_GB2312" w:eastAsia="仿宋_GB2312" w:cs="仿宋_GB2312"/>
          <w:color w:val="auto"/>
          <w:szCs w:val="32"/>
        </w:rPr>
        <w:t>指标评价</w:t>
      </w:r>
      <w:r>
        <w:rPr>
          <w:rFonts w:hint="eastAsia" w:ascii="仿宋_GB2312" w:hAnsi="仿宋_GB2312" w:eastAsia="仿宋_GB2312" w:cs="仿宋_GB2312"/>
          <w:color w:val="auto"/>
          <w:szCs w:val="32"/>
          <w:lang w:eastAsia="zh-CN"/>
        </w:rPr>
        <w:t>体系框架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进行相关</w:t>
      </w:r>
      <w:r>
        <w:rPr>
          <w:rFonts w:hint="eastAsia" w:ascii="仿宋_GB2312" w:hAnsi="仿宋_GB2312" w:eastAsia="仿宋_GB2312" w:cs="仿宋_GB2312"/>
          <w:color w:val="auto"/>
          <w:szCs w:val="32"/>
        </w:rPr>
        <w:t>数据采集和社会</w:t>
      </w:r>
      <w:r>
        <w:rPr>
          <w:rFonts w:hint="eastAsia" w:ascii="仿宋_GB2312" w:hAnsi="仿宋_GB2312" w:eastAsia="仿宋_GB2312" w:cs="仿宋_GB2312"/>
          <w:color w:val="auto"/>
          <w:szCs w:val="32"/>
          <w:lang w:eastAsia="zh-CN"/>
        </w:rPr>
        <w:t>问卷</w:t>
      </w:r>
      <w:r>
        <w:rPr>
          <w:rFonts w:hint="eastAsia" w:ascii="仿宋_GB2312" w:hAnsi="仿宋_GB2312" w:eastAsia="仿宋_GB2312" w:cs="仿宋_GB2312"/>
          <w:color w:val="auto"/>
          <w:szCs w:val="32"/>
        </w:rPr>
        <w:t>调查</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（四）绩效评价实施过程</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1.数据填报和采集。</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2.社会调查。</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3.数据分析和撰写报告。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（五）本次绩效评价的局限性</w:t>
      </w:r>
    </w:p>
    <w:p>
      <w:pPr>
        <w:keepNext w:val="0"/>
        <w:keepLines w:val="0"/>
        <w:pageBreakBefore w:val="0"/>
        <w:kinsoku/>
        <w:wordWrap/>
        <w:overflowPunct/>
        <w:topLinePunct/>
        <w:autoSpaceDE/>
        <w:bidi w:val="0"/>
        <w:adjustRightInd/>
        <w:snapToGrid/>
        <w:spacing w:line="560" w:lineRule="exact"/>
        <w:ind w:firstLine="790" w:firstLineChars="25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本次项目绩效评价时间紧任务重。</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（一）评价结论</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分，评价结果为优。从整体看绩效目标明确，各项工作开展完成情况良好。但存在</w:t>
      </w:r>
      <w:r>
        <w:rPr>
          <w:rFonts w:hint="eastAsia" w:ascii="仿宋_GB2312" w:hAnsi="仿宋_GB2312" w:cs="仿宋_GB2312"/>
          <w:b w:val="0"/>
          <w:bCs w:val="0"/>
          <w:color w:val="auto"/>
          <w:sz w:val="32"/>
          <w:szCs w:val="32"/>
          <w:lang w:eastAsia="zh-CN"/>
        </w:rPr>
        <w:t>预算编制不充分</w:t>
      </w:r>
      <w:r>
        <w:rPr>
          <w:rFonts w:hint="eastAsia" w:ascii="仿宋_GB2312" w:hAnsi="仿宋_GB2312" w:eastAsia="仿宋_GB2312" w:cs="仿宋_GB2312"/>
          <w:b w:val="0"/>
          <w:bCs w:val="0"/>
          <w:color w:val="auto"/>
          <w:sz w:val="32"/>
          <w:szCs w:val="32"/>
        </w:rPr>
        <w:t>等问题。</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在学习成长中，狠抓谋划部署、强化执行落实，各项年度目标稳步推进，城乡医疗救助人员医疗待遇全面落实，公共服务能力稳步提升。</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bookmarkStart w:id="0" w:name="_GoBack"/>
      <w:bookmarkEnd w:id="0"/>
      <w:r>
        <w:rPr>
          <w:rFonts w:hint="eastAsia" w:ascii="楷体_GB2312" w:hAnsi="楷体_GB2312" w:eastAsia="楷体_GB2312" w:cs="楷体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预算编制合理性不够充分，预算编制不准确。</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10分，评价得分为10分。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收入</w:t>
      </w:r>
      <w:r>
        <w:rPr>
          <w:rFonts w:hint="eastAsia" w:ascii="仿宋_GB2312" w:hAnsi="仿宋_GB2312" w:cs="仿宋_GB2312"/>
          <w:color w:val="auto"/>
          <w:szCs w:val="32"/>
          <w:lang w:val="en-US" w:eastAsia="zh-CN"/>
        </w:rPr>
        <w:t>5,544.27万元（其中：</w:t>
      </w:r>
      <w:r>
        <w:rPr>
          <w:rFonts w:hint="eastAsia" w:ascii="仿宋_GB2312" w:hAnsi="仿宋_GB2312" w:eastAsia="仿宋_GB2312" w:cs="仿宋_GB2312"/>
          <w:color w:val="auto"/>
          <w:szCs w:val="32"/>
        </w:rPr>
        <w:t>财政拨款收入5,406.28万元，利息收入5.91万元，追回退回款2.08万元，其他收入130万元</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本年</w:t>
      </w:r>
      <w:r>
        <w:rPr>
          <w:rFonts w:hint="eastAsia" w:ascii="仿宋_GB2312" w:hAnsi="仿宋_GB2312" w:cs="仿宋_GB2312"/>
          <w:color w:val="auto"/>
          <w:szCs w:val="32"/>
          <w:lang w:eastAsia="zh-CN"/>
        </w:rPr>
        <w:t>医疗救助支出3,125.14万元（其中：资助参保支出1,197.97万元）</w:t>
      </w:r>
      <w:r>
        <w:rPr>
          <w:rFonts w:hint="eastAsia" w:ascii="仿宋_GB2312" w:hAnsi="仿宋_GB2312" w:cs="仿宋_GB2312"/>
          <w:color w:val="auto"/>
          <w:szCs w:val="32"/>
          <w:lang w:val="en-US" w:eastAsia="zh-CN"/>
        </w:rPr>
        <w:t>；上年结转结余120.21万元，</w:t>
      </w:r>
      <w:r>
        <w:rPr>
          <w:rFonts w:hint="eastAsia" w:ascii="仿宋_GB2312" w:hAnsi="仿宋_GB2312" w:eastAsia="仿宋_GB2312" w:cs="仿宋_GB2312"/>
          <w:color w:val="auto"/>
          <w:szCs w:val="32"/>
        </w:rPr>
        <w:t>本年末收支累计结余为</w:t>
      </w:r>
      <w:r>
        <w:rPr>
          <w:rFonts w:hint="eastAsia" w:ascii="仿宋_GB2312" w:hAnsi="仿宋_GB2312" w:cs="仿宋_GB2312"/>
          <w:color w:val="auto"/>
          <w:szCs w:val="32"/>
          <w:lang w:val="en-US" w:eastAsia="zh-CN"/>
        </w:rPr>
        <w:t>2,539.34</w:t>
      </w:r>
      <w:r>
        <w:rPr>
          <w:rFonts w:hint="eastAsia" w:ascii="仿宋_GB2312" w:hAnsi="仿宋_GB2312" w:eastAsia="仿宋_GB2312" w:cs="仿宋_GB2312"/>
          <w:color w:val="auto"/>
          <w:szCs w:val="32"/>
        </w:rPr>
        <w:t>万元，下年继续使用。</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五、主要经验及做法、存在的问题和建议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主要经验及做法</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因</w:t>
      </w:r>
      <w:r>
        <w:rPr>
          <w:rFonts w:hint="eastAsia" w:ascii="仿宋_GB2312" w:hAnsi="仿宋_GB2312" w:eastAsia="仿宋_GB2312" w:cs="仿宋_GB2312"/>
          <w:color w:val="auto"/>
          <w:szCs w:val="32"/>
        </w:rPr>
        <w:t>未能实现统一联网，民政、残联等信息数据不能实时共享，</w:t>
      </w:r>
      <w:r>
        <w:rPr>
          <w:rFonts w:hint="eastAsia" w:ascii="仿宋_GB2312" w:hAnsi="仿宋_GB2312" w:cs="仿宋_GB2312"/>
          <w:color w:val="auto"/>
          <w:szCs w:val="32"/>
          <w:lang w:eastAsia="zh-CN"/>
        </w:rPr>
        <w:t>救助对象动态调整频繁，就医情况不可预测，就医开支波动大，故预算难度大、预算不准确</w:t>
      </w:r>
      <w:r>
        <w:rPr>
          <w:rFonts w:hint="eastAsia" w:ascii="仿宋_GB2312" w:hAnsi="仿宋_GB2312" w:eastAsia="仿宋_GB2312" w:cs="仿宋_GB2312"/>
          <w:color w:val="auto"/>
          <w:szCs w:val="32"/>
        </w:rPr>
        <w:t>。</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（三）</w:t>
      </w:r>
      <w:r>
        <w:rPr>
          <w:rFonts w:hint="eastAsia" w:ascii="楷体_GB2312" w:hAnsi="楷体_GB2312" w:eastAsia="楷体_GB2312" w:cs="楷体_GB2312"/>
          <w:color w:val="auto"/>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跨部门数据实时共享，</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专项资金，确保资金的安全及有效运行。</w:t>
      </w: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w:t>
      </w:r>
      <w:r>
        <w:rPr>
          <w:rFonts w:hint="eastAsia" w:ascii="仿宋_GB2312" w:hAnsi="仿宋_GB2312" w:cs="仿宋_GB2312"/>
          <w:b w:val="0"/>
          <w:bCs w:val="0"/>
          <w:color w:val="auto"/>
          <w:sz w:val="32"/>
          <w:szCs w:val="32"/>
          <w:lang w:eastAsia="zh-CN"/>
        </w:rPr>
        <w:t>保障局</w:t>
      </w:r>
    </w:p>
    <w:p>
      <w:pPr>
        <w:keepNext w:val="0"/>
        <w:keepLines w:val="0"/>
        <w:pageBreakBefore w:val="0"/>
        <w:kinsoku/>
        <w:wordWrap/>
        <w:overflowPunct/>
        <w:autoSpaceDE/>
        <w:bidi w:val="0"/>
        <w:adjustRightInd/>
        <w:snapToGrid/>
        <w:spacing w:line="560" w:lineRule="exact"/>
        <w:jc w:val="center"/>
        <w:textAlignment w:val="auto"/>
        <w:rPr>
          <w:rFonts w:ascii="仿宋_GB2312"/>
          <w:b w:val="0"/>
          <w:bCs w:val="0"/>
          <w:color w:val="auto"/>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4FC7AAF"/>
    <w:rsid w:val="075730B2"/>
    <w:rsid w:val="082E48FD"/>
    <w:rsid w:val="0A1B7E59"/>
    <w:rsid w:val="0A346E57"/>
    <w:rsid w:val="0AAD27BC"/>
    <w:rsid w:val="0F141521"/>
    <w:rsid w:val="10BB07D4"/>
    <w:rsid w:val="10BF620A"/>
    <w:rsid w:val="139B620C"/>
    <w:rsid w:val="14E1753C"/>
    <w:rsid w:val="15D0044B"/>
    <w:rsid w:val="18ED6A14"/>
    <w:rsid w:val="1AA12594"/>
    <w:rsid w:val="216171BA"/>
    <w:rsid w:val="234B0A4E"/>
    <w:rsid w:val="24C95675"/>
    <w:rsid w:val="262C3DF3"/>
    <w:rsid w:val="277D4D97"/>
    <w:rsid w:val="2DDB4434"/>
    <w:rsid w:val="2E2325F8"/>
    <w:rsid w:val="308C4AC3"/>
    <w:rsid w:val="311D2067"/>
    <w:rsid w:val="32780617"/>
    <w:rsid w:val="330F3B0A"/>
    <w:rsid w:val="33BE1C27"/>
    <w:rsid w:val="348B26E1"/>
    <w:rsid w:val="369C15EF"/>
    <w:rsid w:val="38C1437D"/>
    <w:rsid w:val="3AEA6C7B"/>
    <w:rsid w:val="402B7C64"/>
    <w:rsid w:val="4109475E"/>
    <w:rsid w:val="4176348D"/>
    <w:rsid w:val="46982D4B"/>
    <w:rsid w:val="48F22EEF"/>
    <w:rsid w:val="4C2E6387"/>
    <w:rsid w:val="4E556730"/>
    <w:rsid w:val="4EB12046"/>
    <w:rsid w:val="4F7370ED"/>
    <w:rsid w:val="4FBC462D"/>
    <w:rsid w:val="504E7E66"/>
    <w:rsid w:val="52110942"/>
    <w:rsid w:val="52EA3C9D"/>
    <w:rsid w:val="56405B83"/>
    <w:rsid w:val="57E068B3"/>
    <w:rsid w:val="58AD5E2D"/>
    <w:rsid w:val="5C7F08E5"/>
    <w:rsid w:val="5C7F2B14"/>
    <w:rsid w:val="5CD21ED5"/>
    <w:rsid w:val="5CE0009C"/>
    <w:rsid w:val="600671BE"/>
    <w:rsid w:val="607A2744"/>
    <w:rsid w:val="618A3A54"/>
    <w:rsid w:val="65690042"/>
    <w:rsid w:val="656F4043"/>
    <w:rsid w:val="661C62FC"/>
    <w:rsid w:val="6B905BE1"/>
    <w:rsid w:val="6C7D71A8"/>
    <w:rsid w:val="6ED54555"/>
    <w:rsid w:val="717043A8"/>
    <w:rsid w:val="73373279"/>
    <w:rsid w:val="74AA434F"/>
    <w:rsid w:val="750A60E9"/>
    <w:rsid w:val="754A345D"/>
    <w:rsid w:val="768E1385"/>
    <w:rsid w:val="773C1BAB"/>
    <w:rsid w:val="78843C42"/>
    <w:rsid w:val="793A284C"/>
    <w:rsid w:val="79B61B09"/>
    <w:rsid w:val="7E6564B8"/>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3</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USER</cp:lastModifiedBy>
  <cp:lastPrinted>2019-07-09T02:31:00Z</cp:lastPrinted>
  <dcterms:modified xsi:type="dcterms:W3CDTF">2021-05-27T08:44:27Z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