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6" w:lineRule="exact"/>
        <w:jc w:val="center"/>
        <w:rPr>
          <w:sz w:val="24"/>
          <w:szCs w:val="24"/>
        </w:rPr>
      </w:pPr>
    </w:p>
    <w:p>
      <w:pPr>
        <w:spacing w:line="632" w:lineRule="exact"/>
        <w:ind w:right="626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昆明市东川区住房和城乡建设局20</w:t>
      </w:r>
      <w:r>
        <w:rPr>
          <w:rFonts w:ascii="方正小标宋简体" w:hAnsi="微软雅黑" w:eastAsia="方正小标宋简体" w:cs="微软雅黑"/>
          <w:sz w:val="44"/>
          <w:szCs w:val="44"/>
        </w:rPr>
        <w:t>20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年度保障性安居工程老旧小区改造项目</w:t>
      </w:r>
    </w:p>
    <w:p>
      <w:pPr>
        <w:spacing w:line="632" w:lineRule="exact"/>
        <w:ind w:right="626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支出绩效评价报告</w:t>
      </w:r>
    </w:p>
    <w:p>
      <w:pPr>
        <w:spacing w:line="200" w:lineRule="exact"/>
        <w:jc w:val="center"/>
        <w:rPr>
          <w:sz w:val="24"/>
          <w:szCs w:val="24"/>
        </w:rPr>
      </w:pPr>
    </w:p>
    <w:p>
      <w:pPr>
        <w:spacing w:line="200" w:lineRule="exact"/>
        <w:jc w:val="center"/>
        <w:rPr>
          <w:sz w:val="24"/>
          <w:szCs w:val="24"/>
        </w:rPr>
      </w:pPr>
    </w:p>
    <w:p>
      <w:pPr>
        <w:spacing w:line="200" w:lineRule="exact"/>
        <w:jc w:val="center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56" w:lineRule="exact"/>
        <w:rPr>
          <w:sz w:val="24"/>
          <w:szCs w:val="24"/>
        </w:rPr>
      </w:pPr>
    </w:p>
    <w:p>
      <w:pPr>
        <w:tabs>
          <w:tab w:val="left" w:pos="340"/>
        </w:tabs>
        <w:spacing w:line="366" w:lineRule="exact"/>
        <w:ind w:left="2900" w:leftChars="300" w:right="506" w:hanging="2240" w:hangingChars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项  目 名 称：东川区2020年</w:t>
      </w:r>
      <w:r>
        <w:rPr>
          <w:rFonts w:hint="eastAsia" w:ascii="仿宋" w:hAnsi="仿宋" w:eastAsia="仿宋" w:cs="仿宋"/>
          <w:sz w:val="32"/>
          <w:szCs w:val="32"/>
        </w:rPr>
        <w:t>保障性安居工程老旧</w:t>
      </w:r>
    </w:p>
    <w:p>
      <w:pPr>
        <w:tabs>
          <w:tab w:val="left" w:pos="340"/>
        </w:tabs>
        <w:spacing w:line="366" w:lineRule="exact"/>
        <w:ind w:left="2900" w:leftChars="300" w:right="506" w:hanging="2240" w:hangingChars="700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340"/>
        </w:tabs>
        <w:spacing w:line="366" w:lineRule="exact"/>
        <w:ind w:left="2200" w:leftChars="1000" w:right="50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小区改造</w:t>
      </w:r>
      <w:r>
        <w:rPr>
          <w:rFonts w:ascii="仿宋" w:hAnsi="仿宋" w:eastAsia="仿宋" w:cs="仿宋"/>
          <w:sz w:val="32"/>
          <w:szCs w:val="32"/>
        </w:rPr>
        <w:t>项目支出绩效</w:t>
      </w:r>
    </w:p>
    <w:p>
      <w:pPr>
        <w:spacing w:line="257" w:lineRule="exact"/>
        <w:rPr>
          <w:sz w:val="24"/>
          <w:szCs w:val="24"/>
        </w:rPr>
      </w:pPr>
    </w:p>
    <w:p>
      <w:pPr>
        <w:spacing w:line="366" w:lineRule="exact"/>
        <w:ind w:right="-753" w:firstLine="640" w:firstLineChars="200"/>
        <w:rPr>
          <w:sz w:val="20"/>
          <w:szCs w:val="20"/>
        </w:rPr>
      </w:pPr>
      <w:r>
        <w:rPr>
          <w:rFonts w:ascii="仿宋" w:hAnsi="仿宋" w:eastAsia="仿宋" w:cs="仿宋"/>
          <w:sz w:val="32"/>
          <w:szCs w:val="32"/>
        </w:rPr>
        <w:t>项目实施单位：昆明市东川区住房和城乡建设局</w:t>
      </w:r>
    </w:p>
    <w:p>
      <w:pPr>
        <w:spacing w:line="257" w:lineRule="exact"/>
        <w:rPr>
          <w:sz w:val="24"/>
          <w:szCs w:val="24"/>
        </w:rPr>
      </w:pPr>
    </w:p>
    <w:p>
      <w:pPr>
        <w:spacing w:line="366" w:lineRule="exact"/>
        <w:ind w:right="-753" w:firstLine="640" w:firstLineChars="200"/>
        <w:rPr>
          <w:sz w:val="20"/>
          <w:szCs w:val="20"/>
        </w:rPr>
      </w:pPr>
      <w:r>
        <w:rPr>
          <w:rFonts w:ascii="仿宋" w:hAnsi="仿宋" w:eastAsia="仿宋" w:cs="仿宋"/>
          <w:sz w:val="32"/>
          <w:szCs w:val="32"/>
        </w:rPr>
        <w:t>项目主管部门：昆明市东川区住房和城乡建设局</w:t>
      </w:r>
    </w:p>
    <w:p>
      <w:pPr>
        <w:spacing w:line="259" w:lineRule="exact"/>
        <w:rPr>
          <w:sz w:val="24"/>
          <w:szCs w:val="24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/>
    <w:p>
      <w:pPr>
        <w:spacing w:line="366" w:lineRule="exact"/>
        <w:ind w:right="6"/>
        <w:jc w:val="center"/>
        <w:rPr>
          <w:sz w:val="20"/>
          <w:szCs w:val="20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r>
        <w:rPr>
          <w:rFonts w:ascii="仿宋" w:hAnsi="仿宋" w:eastAsia="仿宋" w:cs="仿宋"/>
          <w:sz w:val="32"/>
          <w:szCs w:val="32"/>
        </w:rPr>
        <w:t>报告日期：</w:t>
      </w:r>
      <w:r>
        <w:rPr>
          <w:rFonts w:ascii="宋体" w:hAnsi="宋体" w:eastAsia="宋体" w:cs="宋体"/>
          <w:sz w:val="32"/>
          <w:szCs w:val="32"/>
        </w:rPr>
        <w:t>2021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ascii="宋体" w:hAnsi="宋体" w:eastAsia="宋体" w:cs="宋体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ascii="宋体" w:hAnsi="宋体" w:eastAsia="宋体" w:cs="宋体"/>
          <w:sz w:val="32"/>
          <w:szCs w:val="32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spacing w:line="113" w:lineRule="exact"/>
        <w:rPr>
          <w:sz w:val="20"/>
          <w:szCs w:val="20"/>
        </w:rPr>
      </w:pPr>
    </w:p>
    <w:p>
      <w:pPr>
        <w:tabs>
          <w:tab w:val="left" w:pos="4720"/>
        </w:tabs>
        <w:spacing w:line="581" w:lineRule="exact"/>
        <w:ind w:left="3860"/>
        <w:rPr>
          <w:sz w:val="20"/>
          <w:szCs w:val="20"/>
        </w:rPr>
      </w:pPr>
      <w:r>
        <w:rPr>
          <w:rFonts w:ascii="微软雅黑" w:hAnsi="微软雅黑" w:eastAsia="微软雅黑" w:cs="微软雅黑"/>
          <w:sz w:val="44"/>
          <w:szCs w:val="44"/>
        </w:rPr>
        <w:t>目</w:t>
      </w:r>
      <w:r>
        <w:rPr>
          <w:rFonts w:ascii="微软雅黑" w:hAnsi="微软雅黑" w:eastAsia="微软雅黑" w:cs="微软雅黑"/>
          <w:sz w:val="44"/>
          <w:szCs w:val="44"/>
        </w:rPr>
        <w:tab/>
      </w:r>
      <w:r>
        <w:rPr>
          <w:rFonts w:ascii="微软雅黑" w:hAnsi="微软雅黑" w:eastAsia="微软雅黑" w:cs="微软雅黑"/>
          <w:sz w:val="44"/>
          <w:szCs w:val="44"/>
        </w:rPr>
        <w:t>录</w:t>
      </w:r>
    </w:p>
    <w:p>
      <w:pPr>
        <w:spacing w:line="216" w:lineRule="exact"/>
        <w:rPr>
          <w:sz w:val="20"/>
          <w:szCs w:val="20"/>
        </w:rPr>
      </w:pPr>
    </w:p>
    <w:p>
      <w:pPr>
        <w:tabs>
          <w:tab w:val="left" w:leader="dot" w:pos="8680"/>
        </w:tabs>
        <w:spacing w:line="365" w:lineRule="exact"/>
        <w:ind w:left="220"/>
        <w:rPr>
          <w:rFonts w:ascii="黑体" w:hAnsi="黑体" w:eastAsia="黑体" w:cs="黑体"/>
          <w:sz w:val="30"/>
          <w:szCs w:val="30"/>
        </w:rPr>
      </w:pPr>
      <w:r>
        <w:fldChar w:fldCharType="begin"/>
      </w:r>
      <w:r>
        <w:instrText xml:space="preserve"> HYPERLINK \l "page3" \h </w:instrText>
      </w:r>
      <w:r>
        <w:fldChar w:fldCharType="separate"/>
      </w:r>
      <w:r>
        <w:rPr>
          <w:rFonts w:ascii="黑体" w:hAnsi="黑体" w:eastAsia="黑体" w:cs="黑体"/>
          <w:sz w:val="30"/>
          <w:szCs w:val="30"/>
        </w:rPr>
        <w:t>一、项目基本情况</w:t>
      </w:r>
      <w:r>
        <w:rPr>
          <w:rFonts w:ascii="黑体" w:hAnsi="黑体" w:eastAsia="黑体" w:cs="黑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2</w:t>
      </w:r>
    </w:p>
    <w:p>
      <w:pPr>
        <w:spacing w:line="243" w:lineRule="exact"/>
        <w:rPr>
          <w:sz w:val="20"/>
          <w:szCs w:val="20"/>
        </w:rPr>
      </w:pP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  <w:r>
        <w:fldChar w:fldCharType="begin"/>
      </w:r>
      <w:r>
        <w:instrText xml:space="preserve"> HYPERLINK \l "page3"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（一）项目基本概况</w:t>
      </w:r>
      <w:r>
        <w:rPr>
          <w:rFonts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2</w:t>
      </w:r>
    </w:p>
    <w:p>
      <w:pPr>
        <w:spacing w:line="336" w:lineRule="exact"/>
        <w:rPr>
          <w:sz w:val="20"/>
          <w:szCs w:val="20"/>
        </w:rPr>
      </w:pPr>
    </w:p>
    <w:p>
      <w:pPr>
        <w:tabs>
          <w:tab w:val="left" w:leader="dot" w:pos="8700"/>
        </w:tabs>
        <w:spacing w:line="365" w:lineRule="exact"/>
        <w:ind w:left="360"/>
        <w:rPr>
          <w:sz w:val="20"/>
          <w:szCs w:val="20"/>
        </w:rPr>
      </w:pPr>
      <w:r>
        <w:rPr>
          <w:rFonts w:ascii="楷体" w:hAnsi="楷体" w:eastAsia="楷体" w:cs="楷体"/>
          <w:sz w:val="30"/>
          <w:szCs w:val="30"/>
        </w:rPr>
        <w:t>（二）</w:t>
      </w:r>
      <w:r>
        <w:rPr>
          <w:rFonts w:hint="eastAsia" w:ascii="楷体" w:hAnsi="楷体" w:eastAsia="楷体" w:cs="楷体"/>
          <w:sz w:val="30"/>
          <w:szCs w:val="30"/>
        </w:rPr>
        <w:t>绩效</w:t>
      </w:r>
      <w:r>
        <w:rPr>
          <w:rFonts w:ascii="楷体" w:hAnsi="楷体" w:eastAsia="楷体" w:cs="楷体"/>
          <w:sz w:val="30"/>
          <w:szCs w:val="30"/>
        </w:rPr>
        <w:t>目标</w:t>
      </w:r>
      <w:r>
        <w:rPr>
          <w:sz w:val="20"/>
          <w:szCs w:val="20"/>
        </w:rPr>
        <w:tab/>
      </w:r>
      <w:r>
        <w:rPr>
          <w:rFonts w:eastAsia="Times New Roman"/>
          <w:sz w:val="30"/>
          <w:szCs w:val="30"/>
        </w:rPr>
        <w:t>3</w:t>
      </w:r>
    </w:p>
    <w:p>
      <w:pPr>
        <w:spacing w:line="325" w:lineRule="exact"/>
        <w:rPr>
          <w:sz w:val="20"/>
          <w:szCs w:val="20"/>
        </w:rPr>
      </w:pPr>
    </w:p>
    <w:p>
      <w:pPr>
        <w:tabs>
          <w:tab w:val="left" w:leader="dot" w:pos="8680"/>
        </w:tabs>
        <w:spacing w:line="365" w:lineRule="exact"/>
        <w:ind w:left="220"/>
        <w:rPr>
          <w:sz w:val="20"/>
          <w:szCs w:val="20"/>
        </w:rPr>
      </w:pPr>
      <w:r>
        <w:rPr>
          <w:rFonts w:ascii="黑体" w:hAnsi="黑体" w:eastAsia="黑体" w:cs="黑体"/>
          <w:sz w:val="30"/>
          <w:szCs w:val="30"/>
        </w:rPr>
        <w:t>二、绩效评价</w:t>
      </w:r>
      <w:r>
        <w:rPr>
          <w:rFonts w:hint="eastAsia" w:ascii="黑体" w:hAnsi="黑体" w:eastAsia="黑体" w:cs="黑体"/>
          <w:sz w:val="30"/>
          <w:szCs w:val="30"/>
        </w:rPr>
        <w:t>工作</w:t>
      </w:r>
      <w:r>
        <w:rPr>
          <w:rFonts w:ascii="黑体" w:hAnsi="黑体" w:eastAsia="黑体" w:cs="黑体"/>
          <w:sz w:val="30"/>
          <w:szCs w:val="30"/>
        </w:rPr>
        <w:t>情况</w:t>
      </w:r>
      <w:r>
        <w:rPr>
          <w:sz w:val="20"/>
          <w:szCs w:val="20"/>
        </w:rPr>
        <w:tab/>
      </w:r>
      <w:r>
        <w:rPr>
          <w:rFonts w:eastAsia="Times New Roman"/>
          <w:sz w:val="30"/>
          <w:szCs w:val="30"/>
        </w:rPr>
        <w:t>3</w:t>
      </w:r>
    </w:p>
    <w:p>
      <w:pPr>
        <w:spacing w:line="243" w:lineRule="exact"/>
        <w:rPr>
          <w:sz w:val="20"/>
          <w:szCs w:val="20"/>
        </w:rPr>
      </w:pPr>
    </w:p>
    <w:p>
      <w:pPr>
        <w:tabs>
          <w:tab w:val="left" w:leader="dot" w:pos="8700"/>
        </w:tabs>
        <w:spacing w:line="365" w:lineRule="exact"/>
        <w:ind w:left="360"/>
        <w:rPr>
          <w:sz w:val="20"/>
          <w:szCs w:val="20"/>
        </w:rPr>
      </w:pPr>
      <w:r>
        <w:rPr>
          <w:rFonts w:ascii="楷体" w:hAnsi="楷体" w:eastAsia="楷体" w:cs="楷体"/>
          <w:sz w:val="30"/>
          <w:szCs w:val="30"/>
        </w:rPr>
        <w:t>（一）</w:t>
      </w:r>
      <w:r>
        <w:rPr>
          <w:rFonts w:hint="eastAsia" w:ascii="楷体" w:hAnsi="楷体" w:eastAsia="楷体" w:cs="楷体"/>
          <w:sz w:val="30"/>
          <w:szCs w:val="30"/>
        </w:rPr>
        <w:t>绩效评价目的</w:t>
      </w:r>
      <w:r>
        <w:rPr>
          <w:sz w:val="20"/>
          <w:szCs w:val="20"/>
        </w:rPr>
        <w:tab/>
      </w:r>
      <w:r>
        <w:rPr>
          <w:rFonts w:eastAsia="Times New Roman"/>
          <w:sz w:val="30"/>
          <w:szCs w:val="30"/>
        </w:rPr>
        <w:t>3</w:t>
      </w:r>
    </w:p>
    <w:p>
      <w:pPr>
        <w:spacing w:line="336" w:lineRule="exact"/>
        <w:rPr>
          <w:sz w:val="20"/>
          <w:szCs w:val="20"/>
        </w:rPr>
      </w:pP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  <w:r>
        <w:fldChar w:fldCharType="begin"/>
      </w:r>
      <w:r>
        <w:instrText xml:space="preserve"> HYPERLINK \l "page9"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（二）</w:t>
      </w:r>
      <w:r>
        <w:rPr>
          <w:rFonts w:hint="eastAsia" w:ascii="楷体" w:hAnsi="楷体" w:eastAsia="楷体" w:cs="楷体"/>
          <w:sz w:val="30"/>
          <w:szCs w:val="30"/>
        </w:rPr>
        <w:t>绩效评价工作方案制定过程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3</w:t>
      </w: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  <w:r>
        <w:fldChar w:fldCharType="begin"/>
      </w:r>
      <w:r>
        <w:instrText xml:space="preserve"> HYPERLINK \l "page9"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三</w:t>
      </w:r>
      <w:r>
        <w:rPr>
          <w:rFonts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绩效评价原则、评价方法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4</w:t>
      </w: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  <w:r>
        <w:fldChar w:fldCharType="begin"/>
      </w:r>
      <w:r>
        <w:instrText xml:space="preserve"> HYPERLINK \l "page9"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四</w:t>
      </w:r>
      <w:r>
        <w:rPr>
          <w:rFonts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绩效评价实施过程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4</w:t>
      </w: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  <w:r>
        <w:fldChar w:fldCharType="begin"/>
      </w:r>
      <w:r>
        <w:instrText xml:space="preserve"> HYPERLINK \l "page9"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五</w:t>
      </w:r>
      <w:r>
        <w:rPr>
          <w:rFonts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本次绩效评价的局限性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4</w:t>
      </w:r>
    </w:p>
    <w:p>
      <w:pPr>
        <w:tabs>
          <w:tab w:val="left" w:leader="dot" w:pos="8700"/>
        </w:tabs>
        <w:spacing w:line="365" w:lineRule="exact"/>
        <w:ind w:left="360"/>
        <w:rPr>
          <w:rFonts w:ascii="楷体" w:hAnsi="楷体" w:eastAsia="楷体" w:cs="楷体"/>
          <w:sz w:val="27"/>
          <w:szCs w:val="27"/>
        </w:rPr>
      </w:pPr>
    </w:p>
    <w:p>
      <w:pPr>
        <w:tabs>
          <w:tab w:val="left" w:leader="dot" w:pos="8540"/>
        </w:tabs>
        <w:spacing w:line="365" w:lineRule="exact"/>
        <w:ind w:left="220"/>
        <w:rPr>
          <w:rFonts w:ascii="宋体" w:hAnsi="宋体" w:eastAsia="宋体" w:cs="宋体"/>
          <w:sz w:val="29"/>
          <w:szCs w:val="29"/>
        </w:rPr>
      </w:pPr>
      <w:r>
        <w:fldChar w:fldCharType="begin"/>
      </w:r>
      <w:r>
        <w:instrText xml:space="preserve"> HYPERLINK \l "page13" \h </w:instrText>
      </w:r>
      <w:r>
        <w:fldChar w:fldCharType="separate"/>
      </w:r>
      <w:r>
        <w:rPr>
          <w:rFonts w:ascii="黑体" w:hAnsi="黑体" w:eastAsia="黑体" w:cs="黑体"/>
          <w:sz w:val="30"/>
          <w:szCs w:val="30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评价结论和绩效分析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..4</w:t>
      </w:r>
    </w:p>
    <w:p>
      <w:pPr>
        <w:spacing w:line="243" w:lineRule="exact"/>
        <w:rPr>
          <w:sz w:val="20"/>
          <w:szCs w:val="20"/>
        </w:rPr>
      </w:pPr>
    </w:p>
    <w:p>
      <w:pPr>
        <w:tabs>
          <w:tab w:val="left" w:leader="dot" w:pos="8540"/>
        </w:tabs>
        <w:spacing w:line="365" w:lineRule="exact"/>
        <w:ind w:left="360"/>
        <w:rPr>
          <w:rFonts w:ascii="楷体" w:hAnsi="楷体" w:eastAsia="楷体" w:cs="楷体"/>
          <w:sz w:val="29"/>
          <w:szCs w:val="29"/>
        </w:rPr>
      </w:pPr>
      <w:r>
        <w:fldChar w:fldCharType="begin"/>
      </w:r>
      <w:r>
        <w:instrText xml:space="preserve"> HYPERLINK \l "page13"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（一）</w:t>
      </w:r>
      <w:r>
        <w:rPr>
          <w:rFonts w:hint="eastAsia" w:ascii="楷体" w:hAnsi="楷体" w:eastAsia="楷体" w:cs="楷体"/>
          <w:sz w:val="30"/>
          <w:szCs w:val="30"/>
        </w:rPr>
        <w:t>评价结论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..4</w:t>
      </w:r>
    </w:p>
    <w:p>
      <w:pPr>
        <w:spacing w:line="333" w:lineRule="exact"/>
        <w:rPr>
          <w:sz w:val="20"/>
          <w:szCs w:val="20"/>
        </w:rPr>
      </w:pPr>
    </w:p>
    <w:p>
      <w:pPr>
        <w:tabs>
          <w:tab w:val="left" w:leader="dot" w:pos="8540"/>
        </w:tabs>
        <w:spacing w:line="365" w:lineRule="exact"/>
        <w:ind w:left="360"/>
        <w:rPr>
          <w:sz w:val="20"/>
          <w:szCs w:val="20"/>
        </w:rPr>
      </w:pPr>
      <w:r>
        <w:rPr>
          <w:rFonts w:ascii="楷体" w:hAnsi="楷体" w:eastAsia="楷体" w:cs="楷体"/>
          <w:sz w:val="30"/>
          <w:szCs w:val="30"/>
        </w:rPr>
        <w:t>（二）</w:t>
      </w:r>
      <w:r>
        <w:rPr>
          <w:rFonts w:hint="eastAsia" w:ascii="楷体" w:hAnsi="楷体" w:eastAsia="楷体" w:cs="楷体"/>
          <w:sz w:val="30"/>
          <w:szCs w:val="30"/>
        </w:rPr>
        <w:t>具体绩效分析</w:t>
      </w:r>
      <w:r>
        <w:rPr>
          <w:sz w:val="20"/>
          <w:szCs w:val="20"/>
        </w:rPr>
        <w:tab/>
      </w:r>
      <w:r>
        <w:rPr>
          <w:sz w:val="20"/>
          <w:szCs w:val="20"/>
        </w:rPr>
        <w:t>…</w:t>
      </w:r>
      <w:r>
        <w:rPr>
          <w:rFonts w:eastAsia="Times New Roman"/>
          <w:sz w:val="30"/>
          <w:szCs w:val="30"/>
        </w:rPr>
        <w:t>5</w:t>
      </w:r>
    </w:p>
    <w:p>
      <w:pPr>
        <w:spacing w:line="328" w:lineRule="exact"/>
        <w:rPr>
          <w:sz w:val="20"/>
          <w:szCs w:val="20"/>
        </w:rPr>
      </w:pPr>
    </w:p>
    <w:p>
      <w:pPr>
        <w:tabs>
          <w:tab w:val="left" w:leader="dot" w:pos="8540"/>
        </w:tabs>
        <w:spacing w:line="365" w:lineRule="exact"/>
        <w:ind w:left="220"/>
        <w:rPr>
          <w:rFonts w:ascii="黑体" w:hAnsi="黑体" w:eastAsia="黑体" w:cs="黑体"/>
          <w:sz w:val="29"/>
          <w:szCs w:val="29"/>
        </w:rPr>
      </w:pPr>
      <w:r>
        <w:fldChar w:fldCharType="begin"/>
      </w:r>
      <w:r>
        <w:instrText xml:space="preserve"> HYPERLINK \l "page14" \h </w:instrText>
      </w:r>
      <w:r>
        <w:fldChar w:fldCharType="separate"/>
      </w:r>
      <w:r>
        <w:rPr>
          <w:rFonts w:ascii="黑体" w:hAnsi="黑体" w:eastAsia="黑体" w:cs="黑体"/>
          <w:sz w:val="30"/>
          <w:szCs w:val="30"/>
        </w:rPr>
        <w:t>四、</w:t>
      </w:r>
      <w:r>
        <w:rPr>
          <w:rFonts w:hint="eastAsia" w:ascii="黑体" w:hAnsi="黑体" w:eastAsia="黑体" w:cs="黑体"/>
          <w:sz w:val="30"/>
          <w:szCs w:val="30"/>
        </w:rPr>
        <w:t>成本效益分析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..5</w:t>
      </w:r>
    </w:p>
    <w:p>
      <w:pPr>
        <w:tabs>
          <w:tab w:val="left" w:leader="dot" w:pos="8540"/>
        </w:tabs>
        <w:spacing w:line="365" w:lineRule="exact"/>
        <w:rPr>
          <w:rFonts w:ascii="楷体" w:hAnsi="楷体" w:eastAsia="楷体" w:cs="楷体"/>
          <w:sz w:val="30"/>
          <w:szCs w:val="30"/>
        </w:rPr>
      </w:pPr>
    </w:p>
    <w:p>
      <w:pPr>
        <w:tabs>
          <w:tab w:val="left" w:leader="dot" w:pos="8540"/>
        </w:tabs>
        <w:spacing w:line="365" w:lineRule="exact"/>
        <w:ind w:left="220"/>
        <w:rPr>
          <w:rFonts w:ascii="黑体" w:hAnsi="黑体" w:eastAsia="黑体" w:cs="黑体"/>
          <w:sz w:val="29"/>
          <w:szCs w:val="29"/>
        </w:rPr>
      </w:pPr>
      <w:r>
        <w:fldChar w:fldCharType="begin"/>
      </w:r>
      <w:r>
        <w:instrText xml:space="preserve"> HYPERLINK \l "page14" \h </w:instrText>
      </w:r>
      <w:r>
        <w:fldChar w:fldCharType="separate"/>
      </w:r>
      <w:r>
        <w:rPr>
          <w:rFonts w:hint="eastAsia" w:ascii="黑体" w:hAnsi="黑体" w:eastAsia="黑体" w:cs="黑体"/>
          <w:sz w:val="30"/>
          <w:szCs w:val="30"/>
        </w:rPr>
        <w:t>五</w:t>
      </w:r>
      <w:r>
        <w:rPr>
          <w:rFonts w:ascii="黑体" w:hAnsi="黑体" w:eastAsia="黑体" w:cs="黑体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主要经验及做法、存在问题和建议</w:t>
      </w:r>
      <w:r>
        <w:rPr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.5</w:t>
      </w:r>
    </w:p>
    <w:p>
      <w:pPr>
        <w:tabs>
          <w:tab w:val="left" w:leader="dot" w:pos="8540"/>
        </w:tabs>
        <w:spacing w:line="365" w:lineRule="exact"/>
        <w:ind w:left="220"/>
        <w:rPr>
          <w:rFonts w:ascii="黑体" w:hAnsi="黑体" w:eastAsia="黑体" w:cs="黑体"/>
          <w:sz w:val="29"/>
          <w:szCs w:val="29"/>
        </w:rPr>
      </w:pPr>
    </w:p>
    <w:p>
      <w:pPr>
        <w:tabs>
          <w:tab w:val="left" w:leader="dot" w:pos="8540"/>
        </w:tabs>
        <w:spacing w:line="365" w:lineRule="exact"/>
        <w:ind w:left="360"/>
        <w:rPr>
          <w:rFonts w:ascii="楷体" w:hAnsi="楷体" w:eastAsia="楷体" w:cs="楷体"/>
          <w:sz w:val="29"/>
          <w:szCs w:val="29"/>
        </w:rPr>
      </w:pPr>
      <w:r>
        <w:fldChar w:fldCharType="begin"/>
      </w:r>
      <w:r>
        <w:instrText xml:space="preserve"> HYPERLINK \l "page13"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（一）</w:t>
      </w:r>
      <w:r>
        <w:rPr>
          <w:rFonts w:hint="eastAsia" w:ascii="楷体" w:hAnsi="楷体" w:eastAsia="楷体" w:cs="楷体"/>
          <w:sz w:val="30"/>
          <w:szCs w:val="30"/>
        </w:rPr>
        <w:t>主要经验及做法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.5</w:t>
      </w:r>
    </w:p>
    <w:p>
      <w:pPr>
        <w:tabs>
          <w:tab w:val="left" w:leader="dot" w:pos="8540"/>
        </w:tabs>
        <w:spacing w:line="365" w:lineRule="exact"/>
        <w:ind w:left="360"/>
      </w:pPr>
    </w:p>
    <w:p>
      <w:pPr>
        <w:tabs>
          <w:tab w:val="left" w:leader="dot" w:pos="8540"/>
        </w:tabs>
        <w:spacing w:line="365" w:lineRule="exact"/>
        <w:ind w:left="360"/>
        <w:rPr>
          <w:rFonts w:ascii="楷体" w:hAnsi="楷体" w:eastAsia="楷体" w:cs="楷体"/>
          <w:sz w:val="29"/>
          <w:szCs w:val="29"/>
        </w:rPr>
      </w:pPr>
      <w:r>
        <w:fldChar w:fldCharType="begin"/>
      </w:r>
      <w:r>
        <w:instrText xml:space="preserve"> HYPERLINK \l "page13"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二</w:t>
      </w:r>
      <w:r>
        <w:rPr>
          <w:rFonts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存在问题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6</w:t>
      </w:r>
    </w:p>
    <w:p>
      <w:pPr>
        <w:tabs>
          <w:tab w:val="left" w:leader="dot" w:pos="8540"/>
        </w:tabs>
        <w:spacing w:line="365" w:lineRule="exact"/>
        <w:ind w:left="360"/>
      </w:pPr>
    </w:p>
    <w:p>
      <w:pPr>
        <w:tabs>
          <w:tab w:val="left" w:leader="dot" w:pos="8540"/>
        </w:tabs>
        <w:spacing w:line="365" w:lineRule="exact"/>
        <w:ind w:left="360"/>
        <w:rPr>
          <w:rFonts w:ascii="楷体" w:hAnsi="楷体" w:eastAsia="楷体" w:cs="楷体"/>
          <w:sz w:val="29"/>
          <w:szCs w:val="29"/>
        </w:rPr>
      </w:pPr>
      <w:r>
        <w:fldChar w:fldCharType="begin"/>
      </w:r>
      <w:r>
        <w:instrText xml:space="preserve"> HYPERLINK \l "page13" \h </w:instrText>
      </w:r>
      <w:r>
        <w:fldChar w:fldCharType="separate"/>
      </w:r>
      <w:r>
        <w:rPr>
          <w:rFonts w:ascii="楷体" w:hAnsi="楷体" w:eastAsia="楷体" w:cs="楷体"/>
          <w:sz w:val="30"/>
          <w:szCs w:val="30"/>
        </w:rPr>
        <w:t>（</w:t>
      </w:r>
      <w:r>
        <w:rPr>
          <w:rFonts w:hint="eastAsia" w:ascii="楷体" w:hAnsi="楷体" w:eastAsia="楷体" w:cs="楷体"/>
          <w:sz w:val="30"/>
          <w:szCs w:val="30"/>
        </w:rPr>
        <w:t>三</w:t>
      </w:r>
      <w:r>
        <w:rPr>
          <w:rFonts w:ascii="楷体" w:hAnsi="楷体" w:eastAsia="楷体" w:cs="楷体"/>
          <w:sz w:val="30"/>
          <w:szCs w:val="30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建议和改进措施</w:t>
      </w:r>
      <w:r>
        <w:rPr>
          <w:rFonts w:hint="eastAsia" w:ascii="楷体" w:hAnsi="楷体" w:eastAsia="楷体" w:cs="楷体"/>
          <w:sz w:val="30"/>
          <w:szCs w:val="30"/>
        </w:rPr>
        <w:fldChar w:fldCharType="end"/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7</w:t>
      </w:r>
    </w:p>
    <w:p>
      <w:pPr>
        <w:spacing w:line="325" w:lineRule="exact"/>
        <w:rPr>
          <w:sz w:val="20"/>
          <w:szCs w:val="20"/>
        </w:rPr>
      </w:pPr>
    </w:p>
    <w:p>
      <w:pPr>
        <w:tabs>
          <w:tab w:val="left" w:leader="dot" w:pos="8540"/>
        </w:tabs>
        <w:ind w:left="357"/>
        <w:jc w:val="center"/>
        <w:rPr>
          <w:rFonts w:ascii="黑体" w:hAnsi="黑体" w:eastAsia="黑体" w:cs="黑体"/>
          <w:sz w:val="30"/>
          <w:szCs w:val="30"/>
        </w:rPr>
      </w:pPr>
    </w:p>
    <w:p>
      <w:pPr>
        <w:tabs>
          <w:tab w:val="left" w:leader="dot" w:pos="8540"/>
        </w:tabs>
        <w:ind w:left="357"/>
        <w:jc w:val="center"/>
        <w:rPr>
          <w:rFonts w:ascii="楷体" w:hAnsi="楷体" w:eastAsia="楷体" w:cs="楷体"/>
          <w:sz w:val="30"/>
          <w:szCs w:val="30"/>
        </w:rPr>
      </w:pPr>
    </w:p>
    <w:p>
      <w:pPr>
        <w:tabs>
          <w:tab w:val="left" w:leader="dot" w:pos="8540"/>
        </w:tabs>
        <w:ind w:left="357"/>
        <w:jc w:val="center"/>
        <w:rPr>
          <w:rFonts w:ascii="楷体" w:hAnsi="楷体" w:eastAsia="楷体" w:cs="楷体"/>
          <w:sz w:val="30"/>
          <w:szCs w:val="30"/>
        </w:rPr>
      </w:pPr>
    </w:p>
    <w:p>
      <w:pPr>
        <w:tabs>
          <w:tab w:val="left" w:leader="dot" w:pos="8540"/>
        </w:tabs>
        <w:ind w:left="357"/>
        <w:jc w:val="center"/>
        <w:rPr>
          <w:rFonts w:ascii="楷体" w:hAnsi="楷体" w:eastAsia="楷体" w:cs="楷体"/>
          <w:sz w:val="30"/>
          <w:szCs w:val="30"/>
        </w:rPr>
      </w:pPr>
    </w:p>
    <w:p>
      <w:pPr>
        <w:tabs>
          <w:tab w:val="left" w:leader="dot" w:pos="8540"/>
        </w:tabs>
        <w:ind w:left="357"/>
        <w:jc w:val="center"/>
        <w:rPr>
          <w:rFonts w:ascii="楷体" w:hAnsi="楷体" w:eastAsia="楷体" w:cs="楷体"/>
          <w:sz w:val="30"/>
          <w:szCs w:val="30"/>
        </w:rPr>
      </w:pPr>
    </w:p>
    <w:p>
      <w:pPr>
        <w:tabs>
          <w:tab w:val="left" w:leader="dot" w:pos="8540"/>
        </w:tabs>
        <w:ind w:left="357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昆明市东川区住房和城乡建设局2020年保障性安居工程专项老旧小区改造项目绩效评价报告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sz w:val="20"/>
          <w:szCs w:val="20"/>
        </w:rPr>
      </w:pPr>
      <w:r>
        <w:rPr>
          <w:rFonts w:eastAsia="黑体"/>
          <w:sz w:val="32"/>
          <w:szCs w:val="32"/>
        </w:rPr>
        <w:t>一、项目基本情况</w:t>
      </w:r>
    </w:p>
    <w:p>
      <w:pPr>
        <w:spacing w:line="540" w:lineRule="exact"/>
        <w:ind w:firstLine="480" w:firstLineChars="150"/>
        <w:rPr>
          <w:sz w:val="20"/>
          <w:szCs w:val="20"/>
        </w:rPr>
      </w:pPr>
      <w:r>
        <w:rPr>
          <w:rFonts w:eastAsia="楷体"/>
          <w:sz w:val="32"/>
          <w:szCs w:val="32"/>
        </w:rPr>
        <w:t>（一）项目基本概况。</w:t>
      </w:r>
    </w:p>
    <w:p>
      <w:pPr>
        <w:spacing w:line="54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1、立项背景及目的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2017年12月住房和城乡建设部部署开展老旧小区改造试点以来，15个试点城市充分运用“美好环境与幸福生活共同缔造”理念，将开展老旧小区改造与加强基层党建、创新社会治理等结合起来，有效改善了老旧小区居民居住条件，促进了基层党建工作创新，密切了党群干群关系，增强了群众获得感、幸福感和安全感。为落实2019年《政府工作报告》有关部署，大力进行老旧小区改造提升，进一步改善群众居住条件，决定自2019年起将老旧小区改造纳入城镇保障性安居工程，给予中央补助资金支持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昆明市东川区落雪大院、腊利大院、上大院、中大院、下大院、古铜路粮食局小区六个老旧住宅小区，均修建于2000年以前，现房屋本体和基础设施陈旧老化，甚至缺失，缺乏系统保养和维修。如小区道路老化，路面破损严重，没有路灯；房前屋后下水管道破损、堵塞，雨水、污水混流，化粪池不能做到定期清理；绿地杂草丛生，布局混乱。居民活动场所、公共绿地、停车场等配套设施与居民实际需求的矛盾相当突出。涉及老旧小区区内无停车位，车辆沿路而停；单元楼之间电力、电信线私拉私接、杆线杂乱；居民楼立面为涂料墙面，出现大规模的黑化；小区内雨水渠道破损，化粪池经常堵塞或缺少化粪池。可见这几个老旧小区的住房状况差、基础设施不配套、安全隐患突出、社会管理薄弱，因此改造基础配套设施建设已势在必行、刻不容缓。</w:t>
      </w:r>
    </w:p>
    <w:p>
      <w:pPr>
        <w:spacing w:line="54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2、项目实施情况</w:t>
      </w:r>
    </w:p>
    <w:p>
      <w:pPr>
        <w:spacing w:line="560" w:lineRule="exact"/>
        <w:ind w:firstLine="640" w:firstLineChars="200"/>
        <w:jc w:val="both"/>
        <w:rPr>
          <w:rFonts w:eastAsia="仿宋_GB2312"/>
          <w:color w:val="FF0000"/>
          <w:spacing w:val="-4"/>
          <w:sz w:val="32"/>
          <w:szCs w:val="32"/>
        </w:rPr>
      </w:pPr>
      <w:r>
        <w:rPr>
          <w:rFonts w:eastAsia="仿宋_GB2312"/>
          <w:sz w:val="32"/>
          <w:szCs w:val="32"/>
        </w:rPr>
        <w:t>按照相关文件要求需年内完成城区的落雪大院、腊利大院、上大院、中大院、下大院、古铜路粮食局小区六个老旧小区改造，总建筑面积为139821</w:t>
      </w:r>
      <w:r>
        <w:rPr>
          <w:rFonts w:eastAsia="Segoe UI Symbol"/>
          <w:sz w:val="32"/>
          <w:szCs w:val="32"/>
        </w:rPr>
        <w:t>㎡</w:t>
      </w:r>
      <w:r>
        <w:rPr>
          <w:rFonts w:eastAsia="仿宋_GB2312"/>
          <w:sz w:val="32"/>
          <w:szCs w:val="32"/>
        </w:rPr>
        <w:t>，总户数为2524户，涉及楼栋数为108栋。实际于2021年1月全部完成涉及的老旧小区改造工作。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3、资金来源及使用情况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z w:val="32"/>
          <w:szCs w:val="32"/>
        </w:rPr>
        <w:t>2020年上级下达资金2000万元，全部划转住建局保障性安居工程专户管理和使用，资金到位及时，专项用于老旧小区改造，资金使用规范，符合有关专项资金管理办法的规定；资金的拨付有完整的审批程序和手续；不存在截留、挤占、挪用、虚列支出等情况。实际使用1529.68万元，剩余资金待结算审核完成后足额拨付</w:t>
      </w:r>
      <w:r>
        <w:rPr>
          <w:rFonts w:eastAsia="仿宋_GB2312"/>
          <w:spacing w:val="-4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4、组织及管理情况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该项目是由区住建局牵头，负责项目的统筹组织、协调推进工作；一期由中舜建设集团有限公司负责根据计划组织实施建设；二期由云南春辉建筑安装有限公司负责根据计划组织实施建设。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（二）绩效目标。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1、总目标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2020年计划完成城区的落雪大院、腊利大院、上大院、中大院、下大院、古铜路粮食局小区等六个老旧小区改造，总建筑面积为139821</w:t>
      </w:r>
      <w:r>
        <w:rPr>
          <w:rFonts w:eastAsia="Segoe UI Symbol"/>
          <w:sz w:val="32"/>
          <w:szCs w:val="32"/>
        </w:rPr>
        <w:t>㎡</w:t>
      </w:r>
      <w:r>
        <w:rPr>
          <w:rFonts w:eastAsia="仿宋_GB2312"/>
          <w:sz w:val="32"/>
          <w:szCs w:val="32"/>
        </w:rPr>
        <w:t>，总户数为2524户，涉及楼栋数为108栋。并全部改造内容完工后达到一次性验收合格。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2、年度目标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2020年完成东川主城区的落雪大院、腊利大院、上大院、中大院、下大院、古铜路粮食局小区等六个老旧小区改造。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二、绩效评价工作情况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（一）绩效评价目的</w:t>
      </w:r>
    </w:p>
    <w:p>
      <w:pPr>
        <w:spacing w:line="540" w:lineRule="exact"/>
        <w:ind w:right="204"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独立、客观、公正地评价项目经费及项目的目标实现情况，系统、科学地考评项目资金支出效益及综合社会经济效果，总结项目资金使用中的主要经验及存在问题，提出有针对性和可操作性的政策建议，不断提高财政资金管理水平和使用效益。从项目投入、实施过程、绩效表现情况等方面，反映项目实施的效果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（二）绩效评价工作方案制定过程</w:t>
      </w:r>
    </w:p>
    <w:p>
      <w:pPr>
        <w:spacing w:line="54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相关资料，初步了解项目实施内容和实施情况，在此基础上拟定项目实施单位需要提交的资料清单。根据项目相关管理制度，结合项目立项及批复、实施过程中召开的相关会议等资料，对项目目前的实施情况和实施过程中存在的问题等进行初步了解。根据项目特点设置个性指标，通过与相关单位公司沟通和讨论后修改完善指标，作为后期评价工作开展的重要依据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（三）绩效评价原则、评价方法</w:t>
      </w:r>
    </w:p>
    <w:p>
      <w:pPr>
        <w:spacing w:line="560" w:lineRule="exact"/>
        <w:ind w:firstLine="620" w:firstLineChars="200"/>
        <w:jc w:val="both"/>
        <w:rPr>
          <w:rFonts w:eastAsia="仿宋_GB2312"/>
          <w:sz w:val="20"/>
          <w:szCs w:val="20"/>
        </w:rPr>
      </w:pPr>
      <w:r>
        <w:rPr>
          <w:rFonts w:eastAsia="仿宋_GB2312"/>
          <w:sz w:val="31"/>
          <w:szCs w:val="31"/>
        </w:rPr>
        <w:t>本次绩效评价，按照项目绩效评价指标体系的要求，采取全面评价与重点抽查相结合、现场评价与非现场评价相结合的方式进行，具体如下：与项目主管、项目负责人、财务人员进行座谈，听取项目介绍，对项目的立项、资金到位及使用、项目实施管理等方面进行了解。取得项目主管单位提供项目资金申请下达文件、相关文件、项目相关的财务资料；项目实施过程及产出的相关数据、实施效果、</w:t>
      </w:r>
      <w:r>
        <w:rPr>
          <w:rFonts w:eastAsia="仿宋_GB2312"/>
          <w:sz w:val="32"/>
          <w:szCs w:val="32"/>
        </w:rPr>
        <w:t>实施检查、考核的相关文件、项目绩效自评报告等资料。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（四）绩效评价实施过程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遵循科学规范原则、公正公开原则、分级分类原则、相关性原则、重要性原则、可比性原则、系统性原则和经济性原则，采用调查收集资料法、因素分析法、比较法和公众评判法等基本评价方法对该项目实施进行真实、客观、公正独立的评价，对具体项目采取定量指标与定性指标相结合，以定量为主、定性为辅的方式开展评价工作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（五）本次绩效评价的局限性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采用多种方式综合验证保证了绩效评价的真实、合理性，并最大限度地获取了充分、适当的评价证据，但是在评价过程中也存在诸多局限性，例如，我们只能针对抽查的部分群众发放问卷调查，最终掌握群众的满意程度，因为问卷调查主要为通过随机选择部分目标样本进行调查，因此可能无法代表所有人的意愿。</w:t>
      </w:r>
    </w:p>
    <w:p>
      <w:pPr>
        <w:topLinePunct/>
        <w:spacing w:line="540" w:lineRule="exact"/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三、评价结论和绩效分析</w:t>
      </w:r>
    </w:p>
    <w:p>
      <w:pPr>
        <w:topLinePunct/>
        <w:spacing w:line="540" w:lineRule="exact"/>
        <w:ind w:firstLine="800" w:firstLineChars="2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（一）评价结论</w:t>
      </w:r>
    </w:p>
    <w:p>
      <w:pPr>
        <w:spacing w:line="560" w:lineRule="exact"/>
        <w:ind w:right="204" w:firstLine="640" w:firstLineChars="200"/>
        <w:jc w:val="both"/>
        <w:rPr>
          <w:rFonts w:eastAsia="仿宋_GB2312"/>
          <w:sz w:val="20"/>
          <w:szCs w:val="20"/>
        </w:rPr>
      </w:pPr>
      <w:r>
        <w:rPr>
          <w:rFonts w:eastAsia="仿宋_GB2312"/>
          <w:sz w:val="32"/>
          <w:szCs w:val="32"/>
        </w:rPr>
        <w:t>经过评价小组对东川区住建局2020年东川区保障性安居工程专项老旧小区改造项目专项资金的立项、资金落实、业务管理、财务管理、项目产出和项目效益方面等进行绩效评价，项目的绩效目标基本得到实现，总评价得分95.5分，评价等级为优秀。</w:t>
      </w:r>
    </w:p>
    <w:p>
      <w:pPr>
        <w:topLinePunct/>
        <w:spacing w:line="540" w:lineRule="exact"/>
        <w:ind w:firstLine="800" w:firstLineChars="2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（二）具体效益分析</w:t>
      </w:r>
    </w:p>
    <w:p>
      <w:pPr>
        <w:spacing w:line="560" w:lineRule="exact"/>
        <w:ind w:firstLine="624" w:firstLineChars="200"/>
        <w:jc w:val="both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经济效益分析：</w:t>
      </w:r>
      <w:r>
        <w:rPr>
          <w:rFonts w:eastAsia="仿宋_GB2312"/>
          <w:sz w:val="32"/>
          <w:szCs w:val="32"/>
        </w:rPr>
        <w:t>完善小区配套基础设施，提升改造小区品质，改善小区环境，实现环保节能</w:t>
      </w:r>
      <w:r>
        <w:rPr>
          <w:rFonts w:eastAsia="仿宋_GB2312"/>
          <w:spacing w:val="-4"/>
          <w:sz w:val="32"/>
          <w:szCs w:val="32"/>
        </w:rPr>
        <w:t>。</w:t>
      </w:r>
    </w:p>
    <w:p>
      <w:pPr>
        <w:spacing w:line="560" w:lineRule="exact"/>
        <w:ind w:firstLine="624" w:firstLineChars="200"/>
        <w:jc w:val="both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社会效益分析：</w:t>
      </w:r>
      <w:r>
        <w:rPr>
          <w:rFonts w:eastAsia="仿宋_GB2312"/>
          <w:sz w:val="32"/>
          <w:szCs w:val="32"/>
        </w:rPr>
        <w:t>有效改善城镇老旧小区人居环境、群众生活环境大幅度提升，从而提高群众获得感、幸福感</w:t>
      </w:r>
      <w:r>
        <w:rPr>
          <w:rFonts w:eastAsia="仿宋_GB2312"/>
          <w:spacing w:val="-4"/>
          <w:sz w:val="32"/>
          <w:szCs w:val="32"/>
        </w:rPr>
        <w:t>。</w:t>
      </w:r>
    </w:p>
    <w:p>
      <w:pPr>
        <w:widowControl w:val="0"/>
        <w:spacing w:line="540" w:lineRule="exact"/>
        <w:ind w:firstLine="624" w:firstLineChars="200"/>
        <w:jc w:val="both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生态效益分析：对改造区</w:t>
      </w:r>
      <w:r>
        <w:rPr>
          <w:rFonts w:eastAsia="仿宋_GB2312"/>
          <w:sz w:val="32"/>
          <w:szCs w:val="32"/>
        </w:rPr>
        <w:t>内道路、排水、供电、绿化、照明、围墙等基础设施的更新改造、对小区内配套养老抚幼、无障碍设施、便民市场等服务设施的建设，</w:t>
      </w:r>
      <w:r>
        <w:rPr>
          <w:rFonts w:eastAsia="仿宋_GB2312"/>
          <w:spacing w:val="-4"/>
          <w:sz w:val="32"/>
          <w:szCs w:val="32"/>
        </w:rPr>
        <w:t>整体上有效改善了东川区</w:t>
      </w:r>
      <w:r>
        <w:rPr>
          <w:rFonts w:eastAsia="仿宋_GB2312"/>
          <w:sz w:val="32"/>
          <w:szCs w:val="32"/>
        </w:rPr>
        <w:t>老旧小区居民居住条件</w:t>
      </w:r>
      <w:r>
        <w:rPr>
          <w:rFonts w:eastAsia="仿宋_GB2312"/>
          <w:spacing w:val="-4"/>
          <w:sz w:val="32"/>
          <w:szCs w:val="32"/>
        </w:rPr>
        <w:t>。</w:t>
      </w:r>
    </w:p>
    <w:p>
      <w:pPr>
        <w:widowControl w:val="0"/>
        <w:spacing w:line="540" w:lineRule="exact"/>
        <w:ind w:firstLine="624" w:firstLineChars="200"/>
        <w:jc w:val="both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可持续性影响效益：</w:t>
      </w:r>
      <w:r>
        <w:rPr>
          <w:rFonts w:eastAsia="仿宋_GB2312"/>
          <w:sz w:val="32"/>
          <w:szCs w:val="32"/>
        </w:rPr>
        <w:t>将开展老旧小区改造与加强基层党建、创新社会治理等结合起来，有效改善了老旧小区居民居住条件，促进了基层党建工作创新，密切了党群干群关系，增强了群众获得感、幸福感和安全感</w:t>
      </w:r>
      <w:r>
        <w:rPr>
          <w:rFonts w:eastAsia="仿宋_GB2312"/>
          <w:spacing w:val="-4"/>
          <w:sz w:val="32"/>
          <w:szCs w:val="32"/>
        </w:rPr>
        <w:t>。</w:t>
      </w:r>
    </w:p>
    <w:p>
      <w:pPr>
        <w:topLinePunct/>
        <w:spacing w:line="540" w:lineRule="exact"/>
        <w:ind w:firstLine="800" w:firstLineChars="25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四、成本效益分析</w:t>
      </w:r>
    </w:p>
    <w:p>
      <w:pPr>
        <w:topLinePunct/>
        <w:spacing w:line="540" w:lineRule="exact"/>
        <w:ind w:firstLine="800" w:firstLineChars="250"/>
        <w:jc w:val="both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>改造基础配套设施建设费用，包括小区内道路、排水、供电、绿化、照明、围墙等基础设施的更新改造，小区内配套养老抚幼、无障碍设施、便民市场等服务设施的建设，新建小区大门值班、公厕为公共建筑，总计2000万元。</w:t>
      </w:r>
    </w:p>
    <w:p>
      <w:pPr>
        <w:topLinePunct/>
        <w:spacing w:line="540" w:lineRule="exact"/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五、主要经验及做法、存在的问题和建议</w:t>
      </w:r>
    </w:p>
    <w:p>
      <w:pPr>
        <w:topLinePunct/>
        <w:spacing w:line="540" w:lineRule="exact"/>
        <w:ind w:firstLine="800" w:firstLineChars="2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（一）主要经验及做法</w:t>
      </w:r>
    </w:p>
    <w:p>
      <w:pPr>
        <w:topLinePunct/>
        <w:spacing w:line="540" w:lineRule="exact"/>
        <w:ind w:firstLine="800" w:firstLineChars="25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对项目总体目标进行明确，细化项目实施内容，明确资金预算，提出工作要求，对项目的实施起到促进作用。在建设施工中，按照合同规划建设，确保项目工程质量。</w:t>
      </w:r>
    </w:p>
    <w:p>
      <w:pPr>
        <w:topLinePunct/>
        <w:spacing w:line="540" w:lineRule="exact"/>
        <w:ind w:firstLine="800" w:firstLineChars="2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（二）存在的问题</w:t>
      </w:r>
    </w:p>
    <w:p>
      <w:pPr>
        <w:spacing w:line="540" w:lineRule="exact"/>
        <w:ind w:left="920"/>
        <w:rPr>
          <w:rFonts w:eastAsia="仿宋_GB2312"/>
          <w:sz w:val="20"/>
          <w:szCs w:val="20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资金使用跟踪管理缺失</w:t>
      </w:r>
    </w:p>
    <w:p>
      <w:pPr>
        <w:spacing w:line="560" w:lineRule="exact"/>
        <w:ind w:right="147" w:firstLine="640" w:firstLineChars="200"/>
        <w:rPr>
          <w:rFonts w:eastAsia="仿宋_GB2312"/>
          <w:sz w:val="20"/>
          <w:szCs w:val="20"/>
        </w:rPr>
      </w:pPr>
      <w:r>
        <w:rPr>
          <w:rFonts w:eastAsia="仿宋_GB2312"/>
          <w:sz w:val="32"/>
          <w:szCs w:val="32"/>
        </w:rPr>
        <w:t>资金拨付后未对项目具体实施单位进行资金使用跟踪、检查监督管理。</w:t>
      </w:r>
    </w:p>
    <w:p>
      <w:pPr>
        <w:spacing w:line="540" w:lineRule="exact"/>
        <w:ind w:left="360" w:right="426" w:firstLine="56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eastAsia="仿宋_GB2312"/>
          <w:sz w:val="32"/>
          <w:szCs w:val="32"/>
        </w:rPr>
        <w:t>建设资金压力较大</w:t>
      </w:r>
    </w:p>
    <w:p>
      <w:pPr>
        <w:spacing w:line="540" w:lineRule="exact"/>
        <w:ind w:right="426"/>
        <w:rPr>
          <w:rFonts w:eastAsia="仿宋_GB2312"/>
          <w:sz w:val="20"/>
          <w:szCs w:val="20"/>
        </w:rPr>
      </w:pPr>
      <w:r>
        <w:rPr>
          <w:rFonts w:eastAsia="仿宋_GB2312"/>
          <w:sz w:val="32"/>
          <w:szCs w:val="32"/>
        </w:rPr>
        <w:t>国家及省投资补助资金较少，其余部分需要地方自筹，政府资金支付压力更大。</w:t>
      </w:r>
    </w:p>
    <w:p>
      <w:pPr>
        <w:topLinePunct/>
        <w:spacing w:line="54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（三）建议和改进措施</w:t>
      </w:r>
    </w:p>
    <w:p>
      <w:pPr>
        <w:spacing w:line="540" w:lineRule="exact"/>
        <w:ind w:left="920"/>
        <w:rPr>
          <w:rFonts w:eastAsia="仿宋_GB2312"/>
          <w:sz w:val="20"/>
          <w:szCs w:val="20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bookmarkStart w:id="1" w:name="_GoBack"/>
      <w:bookmarkEnd w:id="1"/>
      <w:r>
        <w:rPr>
          <w:rFonts w:eastAsia="仿宋_GB2312"/>
          <w:sz w:val="32"/>
          <w:szCs w:val="32"/>
        </w:rPr>
        <w:t>加强项目管理过程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eastAsia="仿宋_GB2312"/>
          <w:sz w:val="20"/>
          <w:szCs w:val="20"/>
        </w:rPr>
      </w:pPr>
      <w:r>
        <w:rPr>
          <w:rFonts w:eastAsia="仿宋_GB2312"/>
          <w:sz w:val="32"/>
          <w:szCs w:val="32"/>
        </w:rPr>
        <w:t>加强资金使用跟踪管理</w:t>
      </w:r>
    </w:p>
    <w:p>
      <w:pPr>
        <w:spacing w:line="560" w:lineRule="exact"/>
        <w:ind w:right="488" w:firstLine="640" w:firstLineChars="200"/>
        <w:jc w:val="both"/>
        <w:rPr>
          <w:rFonts w:eastAsia="仿宋_GB2312"/>
          <w:sz w:val="20"/>
          <w:szCs w:val="20"/>
        </w:rPr>
      </w:pPr>
      <w:r>
        <w:rPr>
          <w:rFonts w:eastAsia="仿宋_GB2312"/>
          <w:sz w:val="32"/>
          <w:szCs w:val="32"/>
        </w:rPr>
        <w:t>对资金拨付使用要进行跟踪管理，保障资金安全，提高资金使用效果。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rPr>
          <w:rFonts w:eastAsia="仿宋_GB2312"/>
          <w:sz w:val="20"/>
          <w:szCs w:val="20"/>
        </w:rPr>
      </w:pPr>
      <w:r>
        <w:rPr>
          <w:rFonts w:eastAsia="仿宋_GB2312"/>
          <w:sz w:val="32"/>
          <w:szCs w:val="32"/>
        </w:rPr>
        <w:t>加强项目管理</w:t>
      </w:r>
    </w:p>
    <w:p>
      <w:pPr>
        <w:spacing w:line="560" w:lineRule="exact"/>
        <w:ind w:right="204" w:firstLine="640" w:firstLineChars="200"/>
        <w:jc w:val="both"/>
        <w:rPr>
          <w:rFonts w:eastAsia="仿宋_GB2312"/>
          <w:sz w:val="20"/>
          <w:szCs w:val="20"/>
        </w:rPr>
      </w:pPr>
      <w:r>
        <w:rPr>
          <w:rFonts w:eastAsia="仿宋_GB2312"/>
          <w:sz w:val="32"/>
          <w:szCs w:val="32"/>
        </w:rPr>
        <w:t>为规范公司项目管理、提高项目质量、降低项目成本、规避项目风险，应制定项目管理制度。对项目实施有效控制，确保安全、质量、工期、效益目标的实现，充分发挥项目管理机构整体作用。</w:t>
      </w:r>
    </w:p>
    <w:p>
      <w:pPr>
        <w:spacing w:line="540" w:lineRule="exact"/>
        <w:ind w:left="920"/>
        <w:rPr>
          <w:rFonts w:eastAsia="仿宋_GB2312"/>
          <w:sz w:val="20"/>
          <w:szCs w:val="20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加大资金筹措力度</w:t>
      </w:r>
    </w:p>
    <w:p>
      <w:pPr>
        <w:topLinePunct/>
        <w:spacing w:line="560" w:lineRule="exact"/>
        <w:ind w:firstLine="640" w:firstLineChars="200"/>
        <w:jc w:val="both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政府应加大改造专项资金补助力度，并对经济贫困地区给予适当的倾斜，切实减轻地方政府资金压力，确保项目顺利推进。</w:t>
      </w:r>
    </w:p>
    <w:p>
      <w:pPr>
        <w:spacing w:line="540" w:lineRule="exact"/>
        <w:ind w:firstLine="400" w:firstLineChars="200"/>
        <w:rPr>
          <w:sz w:val="20"/>
          <w:szCs w:val="20"/>
        </w:rPr>
      </w:pPr>
    </w:p>
    <w:p>
      <w:pPr>
        <w:spacing w:line="540" w:lineRule="exact"/>
        <w:rPr>
          <w:sz w:val="20"/>
          <w:szCs w:val="20"/>
        </w:rPr>
        <w:sectPr>
          <w:pgSz w:w="11900" w:h="16838"/>
          <w:pgMar w:top="860" w:right="1440" w:bottom="703" w:left="1440" w:header="0" w:footer="0" w:gutter="0"/>
          <w:cols w:equalWidth="0" w:num="1">
            <w:col w:w="9026"/>
          </w:cols>
        </w:sectPr>
      </w:pPr>
    </w:p>
    <w:p>
      <w:pPr>
        <w:tabs>
          <w:tab w:val="left" w:leader="dot" w:pos="8540"/>
        </w:tabs>
        <w:spacing w:line="365" w:lineRule="exact"/>
        <w:rPr>
          <w:sz w:val="20"/>
          <w:szCs w:val="20"/>
        </w:rPr>
        <w:sectPr>
          <w:pgSz w:w="11900" w:h="16838"/>
          <w:pgMar w:top="1440" w:right="1440" w:bottom="703" w:left="1440" w:header="0" w:footer="0" w:gutter="0"/>
          <w:cols w:equalWidth="0" w:num="1">
            <w:col w:w="9026"/>
          </w:cols>
        </w:sectPr>
      </w:pPr>
    </w:p>
    <w:p>
      <w:pPr>
        <w:spacing w:line="540" w:lineRule="exact"/>
        <w:ind w:right="6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37809"/>
    <w:multiLevelType w:val="multilevel"/>
    <w:tmpl w:val="62E37809"/>
    <w:lvl w:ilvl="0" w:tentative="0">
      <w:start w:val="1"/>
      <w:numFmt w:val="decimalEnclosedCircle"/>
      <w:lvlText w:val="%1"/>
      <w:lvlJc w:val="left"/>
      <w:pPr>
        <w:ind w:left="1280" w:hanging="360"/>
      </w:pPr>
      <w:rPr>
        <w:rFonts w:hint="default" w:hAnsi="仿宋" w:cs="仿宋"/>
        <w:sz w:val="32"/>
      </w:rPr>
    </w:lvl>
    <w:lvl w:ilvl="1" w:tentative="0">
      <w:start w:val="1"/>
      <w:numFmt w:val="lowerLetter"/>
      <w:lvlText w:val="%2)"/>
      <w:lvlJc w:val="left"/>
      <w:pPr>
        <w:ind w:left="1760" w:hanging="420"/>
      </w:pPr>
    </w:lvl>
    <w:lvl w:ilvl="2" w:tentative="0">
      <w:start w:val="1"/>
      <w:numFmt w:val="lowerRoman"/>
      <w:lvlText w:val="%3."/>
      <w:lvlJc w:val="right"/>
      <w:pPr>
        <w:ind w:left="2180" w:hanging="420"/>
      </w:pPr>
    </w:lvl>
    <w:lvl w:ilvl="3" w:tentative="0">
      <w:start w:val="1"/>
      <w:numFmt w:val="decimal"/>
      <w:lvlText w:val="%4."/>
      <w:lvlJc w:val="left"/>
      <w:pPr>
        <w:ind w:left="2600" w:hanging="420"/>
      </w:pPr>
    </w:lvl>
    <w:lvl w:ilvl="4" w:tentative="0">
      <w:start w:val="1"/>
      <w:numFmt w:val="lowerLetter"/>
      <w:lvlText w:val="%5)"/>
      <w:lvlJc w:val="left"/>
      <w:pPr>
        <w:ind w:left="3020" w:hanging="420"/>
      </w:pPr>
    </w:lvl>
    <w:lvl w:ilvl="5" w:tentative="0">
      <w:start w:val="1"/>
      <w:numFmt w:val="lowerRoman"/>
      <w:lvlText w:val="%6."/>
      <w:lvlJc w:val="right"/>
      <w:pPr>
        <w:ind w:left="3440" w:hanging="420"/>
      </w:pPr>
    </w:lvl>
    <w:lvl w:ilvl="6" w:tentative="0">
      <w:start w:val="1"/>
      <w:numFmt w:val="decimal"/>
      <w:lvlText w:val="%7."/>
      <w:lvlJc w:val="left"/>
      <w:pPr>
        <w:ind w:left="3860" w:hanging="420"/>
      </w:pPr>
    </w:lvl>
    <w:lvl w:ilvl="7" w:tentative="0">
      <w:start w:val="1"/>
      <w:numFmt w:val="lowerLetter"/>
      <w:lvlText w:val="%8)"/>
      <w:lvlJc w:val="left"/>
      <w:pPr>
        <w:ind w:left="4280" w:hanging="420"/>
      </w:pPr>
    </w:lvl>
    <w:lvl w:ilvl="8" w:tentative="0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7D"/>
    <w:rsid w:val="00031DB4"/>
    <w:rsid w:val="00083C8D"/>
    <w:rsid w:val="00086879"/>
    <w:rsid w:val="000957E8"/>
    <w:rsid w:val="000A2A78"/>
    <w:rsid w:val="000D2C73"/>
    <w:rsid w:val="000D5F0F"/>
    <w:rsid w:val="001B4D2B"/>
    <w:rsid w:val="001F0A63"/>
    <w:rsid w:val="00203154"/>
    <w:rsid w:val="0021659B"/>
    <w:rsid w:val="002231D2"/>
    <w:rsid w:val="002411B3"/>
    <w:rsid w:val="0024740B"/>
    <w:rsid w:val="00286C28"/>
    <w:rsid w:val="002B0BB1"/>
    <w:rsid w:val="002B10E6"/>
    <w:rsid w:val="002D0F02"/>
    <w:rsid w:val="002D3ACD"/>
    <w:rsid w:val="002F0495"/>
    <w:rsid w:val="002F7F15"/>
    <w:rsid w:val="00336A98"/>
    <w:rsid w:val="00346179"/>
    <w:rsid w:val="003A0069"/>
    <w:rsid w:val="003A0B42"/>
    <w:rsid w:val="003E08BC"/>
    <w:rsid w:val="004235E8"/>
    <w:rsid w:val="00462EAB"/>
    <w:rsid w:val="004C2A87"/>
    <w:rsid w:val="0051024A"/>
    <w:rsid w:val="005547AC"/>
    <w:rsid w:val="005724C5"/>
    <w:rsid w:val="005C3430"/>
    <w:rsid w:val="005F6030"/>
    <w:rsid w:val="006149E6"/>
    <w:rsid w:val="0068143F"/>
    <w:rsid w:val="006B553A"/>
    <w:rsid w:val="006D3529"/>
    <w:rsid w:val="006F3A2E"/>
    <w:rsid w:val="00713EA7"/>
    <w:rsid w:val="007562A2"/>
    <w:rsid w:val="007764C8"/>
    <w:rsid w:val="007D70B9"/>
    <w:rsid w:val="007E7DBD"/>
    <w:rsid w:val="007F7A4E"/>
    <w:rsid w:val="00807B8B"/>
    <w:rsid w:val="00807C15"/>
    <w:rsid w:val="00823620"/>
    <w:rsid w:val="00877C3E"/>
    <w:rsid w:val="00926D65"/>
    <w:rsid w:val="00953CE4"/>
    <w:rsid w:val="00960D07"/>
    <w:rsid w:val="00961BE2"/>
    <w:rsid w:val="009A5705"/>
    <w:rsid w:val="009C7378"/>
    <w:rsid w:val="00A03FB6"/>
    <w:rsid w:val="00A1168A"/>
    <w:rsid w:val="00A36149"/>
    <w:rsid w:val="00A6231A"/>
    <w:rsid w:val="00A67A78"/>
    <w:rsid w:val="00AA7BE1"/>
    <w:rsid w:val="00AB0B2B"/>
    <w:rsid w:val="00AF24F0"/>
    <w:rsid w:val="00B10E41"/>
    <w:rsid w:val="00B3540F"/>
    <w:rsid w:val="00B5620E"/>
    <w:rsid w:val="00B574A3"/>
    <w:rsid w:val="00B92009"/>
    <w:rsid w:val="00BA0685"/>
    <w:rsid w:val="00BB50FE"/>
    <w:rsid w:val="00BE3FC4"/>
    <w:rsid w:val="00C12D9E"/>
    <w:rsid w:val="00C54247"/>
    <w:rsid w:val="00C76622"/>
    <w:rsid w:val="00C8044F"/>
    <w:rsid w:val="00C90CAD"/>
    <w:rsid w:val="00C93F17"/>
    <w:rsid w:val="00C958AA"/>
    <w:rsid w:val="00CD7C29"/>
    <w:rsid w:val="00D3700F"/>
    <w:rsid w:val="00D55CE1"/>
    <w:rsid w:val="00DD406F"/>
    <w:rsid w:val="00DF2C10"/>
    <w:rsid w:val="00DF3DDA"/>
    <w:rsid w:val="00E34EEC"/>
    <w:rsid w:val="00E56A7D"/>
    <w:rsid w:val="00E7019D"/>
    <w:rsid w:val="00E75E76"/>
    <w:rsid w:val="00E8681E"/>
    <w:rsid w:val="00E9312F"/>
    <w:rsid w:val="00EA14D7"/>
    <w:rsid w:val="00ED4586"/>
    <w:rsid w:val="00F5695F"/>
    <w:rsid w:val="00FB084C"/>
    <w:rsid w:val="00FE5E7A"/>
    <w:rsid w:val="3BF0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618</Words>
  <Characters>3523</Characters>
  <Lines>29</Lines>
  <Paragraphs>8</Paragraphs>
  <TotalTime>816</TotalTime>
  <ScaleCrop>false</ScaleCrop>
  <LinksUpToDate>false</LinksUpToDate>
  <CharactersWithSpaces>4133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2020-04-20T06:38:00Z</dcterms:created>
  <dc:creator>zen 2135</dc:creator>
  <cp:lastModifiedBy>那些花儿</cp:lastModifiedBy>
  <dcterms:modified xsi:type="dcterms:W3CDTF">2021-05-22T08:49:00Z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27414D1776FB4EF8AD3D9D77B244CABE</vt:lpwstr>
  </property>
</Properties>
</file>