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D9E4" w14:textId="77777777" w:rsidR="00462EAB" w:rsidRDefault="00462EAB" w:rsidP="00462EAB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3851CAFB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34E4E024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4B77A091" w14:textId="77777777" w:rsidR="00462EAB" w:rsidRDefault="00462EAB" w:rsidP="00462EAB">
      <w:pPr>
        <w:spacing w:line="206" w:lineRule="exact"/>
        <w:jc w:val="center"/>
        <w:rPr>
          <w:sz w:val="24"/>
          <w:szCs w:val="24"/>
        </w:rPr>
      </w:pPr>
    </w:p>
    <w:p w14:paraId="4757AC33" w14:textId="7D977AAC" w:rsidR="00462EAB" w:rsidRPr="00462EAB" w:rsidRDefault="00462EAB" w:rsidP="00462EAB">
      <w:pPr>
        <w:spacing w:line="632" w:lineRule="exact"/>
        <w:ind w:right="626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 xml:space="preserve"> </w:t>
      </w:r>
      <w:r w:rsidRPr="00462EAB">
        <w:rPr>
          <w:rFonts w:ascii="方正小标宋简体" w:eastAsia="方正小标宋简体" w:hAnsi="微软雅黑" w:cs="微软雅黑" w:hint="eastAsia"/>
          <w:sz w:val="44"/>
          <w:szCs w:val="44"/>
        </w:rPr>
        <w:t>昆明市东川区住房和城乡建设局20</w:t>
      </w:r>
      <w:r w:rsidR="00877C3E">
        <w:rPr>
          <w:rFonts w:ascii="方正小标宋简体" w:eastAsia="方正小标宋简体" w:hAnsi="微软雅黑" w:cs="微软雅黑"/>
          <w:sz w:val="44"/>
          <w:szCs w:val="44"/>
        </w:rPr>
        <w:t>20</w:t>
      </w:r>
      <w:r w:rsidRPr="00462EAB">
        <w:rPr>
          <w:rFonts w:ascii="方正小标宋简体" w:eastAsia="方正小标宋简体" w:hAnsi="微软雅黑" w:cs="微软雅黑" w:hint="eastAsia"/>
          <w:sz w:val="44"/>
          <w:szCs w:val="44"/>
        </w:rPr>
        <w:t>年度人居环境提升改造项目支出绩效评价报告</w:t>
      </w:r>
    </w:p>
    <w:p w14:paraId="0975EBFC" w14:textId="77777777" w:rsidR="00462EAB" w:rsidRDefault="00462EAB" w:rsidP="00462EAB">
      <w:pPr>
        <w:spacing w:line="200" w:lineRule="exact"/>
        <w:jc w:val="center"/>
        <w:rPr>
          <w:sz w:val="24"/>
          <w:szCs w:val="24"/>
        </w:rPr>
      </w:pPr>
    </w:p>
    <w:p w14:paraId="0BEAD2A8" w14:textId="77777777" w:rsidR="00462EAB" w:rsidRDefault="00462EAB" w:rsidP="00462EAB">
      <w:pPr>
        <w:spacing w:line="200" w:lineRule="exact"/>
        <w:jc w:val="center"/>
        <w:rPr>
          <w:sz w:val="24"/>
          <w:szCs w:val="24"/>
        </w:rPr>
      </w:pPr>
    </w:p>
    <w:p w14:paraId="4AA01BAC" w14:textId="77777777" w:rsidR="00462EAB" w:rsidRDefault="00462EAB" w:rsidP="00462EAB">
      <w:pPr>
        <w:spacing w:line="200" w:lineRule="exact"/>
        <w:jc w:val="center"/>
        <w:rPr>
          <w:sz w:val="24"/>
          <w:szCs w:val="24"/>
        </w:rPr>
      </w:pPr>
    </w:p>
    <w:p w14:paraId="7B526880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23800098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00A39812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1F0D9DA4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686571C5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16CA8C11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736C1CC6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1598C567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20D9C26F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5D04D0C6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1CCA1B77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108C6E6A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7674853D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6F285FDB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7AF24792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3BB0A559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02C4242C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39AC617C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2524A00D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091CE094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33E036AD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3B9E6B6E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478C39F8" w14:textId="77777777" w:rsidR="00462EAB" w:rsidRDefault="00462EAB" w:rsidP="00462EAB">
      <w:pPr>
        <w:spacing w:line="200" w:lineRule="exact"/>
        <w:rPr>
          <w:sz w:val="24"/>
          <w:szCs w:val="24"/>
        </w:rPr>
      </w:pPr>
    </w:p>
    <w:p w14:paraId="6998C538" w14:textId="77777777" w:rsidR="00462EAB" w:rsidRDefault="00462EAB" w:rsidP="00462EAB">
      <w:pPr>
        <w:spacing w:line="356" w:lineRule="exact"/>
        <w:rPr>
          <w:sz w:val="24"/>
          <w:szCs w:val="24"/>
        </w:rPr>
      </w:pPr>
    </w:p>
    <w:p w14:paraId="24D2E54A" w14:textId="2528AC4F" w:rsidR="00462EAB" w:rsidRDefault="00462EAB" w:rsidP="00462EAB">
      <w:pPr>
        <w:tabs>
          <w:tab w:val="left" w:pos="340"/>
        </w:tabs>
        <w:spacing w:line="366" w:lineRule="exact"/>
        <w:ind w:right="506" w:firstLineChars="200" w:firstLine="64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项</w:t>
      </w:r>
      <w:r>
        <w:rPr>
          <w:rFonts w:ascii="仿宋" w:eastAsia="仿宋" w:hAnsi="仿宋" w:cs="仿宋"/>
          <w:sz w:val="32"/>
          <w:szCs w:val="32"/>
        </w:rPr>
        <w:tab/>
        <w:t>目 名 称：东川区</w:t>
      </w:r>
      <w:r>
        <w:rPr>
          <w:rFonts w:ascii="宋体" w:eastAsia="宋体" w:hAnsi="宋体" w:cs="宋体"/>
          <w:sz w:val="32"/>
          <w:szCs w:val="32"/>
        </w:rPr>
        <w:t>20</w:t>
      </w:r>
      <w:r w:rsidR="00877C3E">
        <w:rPr>
          <w:rFonts w:ascii="宋体" w:eastAsia="宋体" w:hAnsi="宋体" w:cs="宋体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人居环境提升改造</w:t>
      </w:r>
    </w:p>
    <w:p w14:paraId="49B30998" w14:textId="77777777" w:rsidR="00462EAB" w:rsidRDefault="00462EAB" w:rsidP="00462EAB">
      <w:pPr>
        <w:spacing w:line="259" w:lineRule="exact"/>
        <w:rPr>
          <w:sz w:val="24"/>
          <w:szCs w:val="24"/>
        </w:rPr>
      </w:pPr>
    </w:p>
    <w:p w14:paraId="7483F185" w14:textId="77777777" w:rsidR="00462EAB" w:rsidRDefault="00462EAB" w:rsidP="00462EAB">
      <w:pPr>
        <w:spacing w:line="366" w:lineRule="exact"/>
        <w:ind w:right="-993" w:firstLineChars="900" w:firstLine="288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项目支出绩效</w:t>
      </w:r>
    </w:p>
    <w:p w14:paraId="04D56B57" w14:textId="77777777" w:rsidR="00462EAB" w:rsidRDefault="00462EAB" w:rsidP="00462EAB">
      <w:pPr>
        <w:spacing w:line="257" w:lineRule="exact"/>
        <w:rPr>
          <w:sz w:val="24"/>
          <w:szCs w:val="24"/>
        </w:rPr>
      </w:pPr>
    </w:p>
    <w:p w14:paraId="0A838B00" w14:textId="77777777" w:rsidR="00462EAB" w:rsidRDefault="00462EAB" w:rsidP="00462EAB">
      <w:pPr>
        <w:spacing w:line="366" w:lineRule="exact"/>
        <w:ind w:right="-753" w:firstLineChars="200" w:firstLine="64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项目实施单位：昆明市东川区住房和城乡建设局</w:t>
      </w:r>
    </w:p>
    <w:p w14:paraId="737840C9" w14:textId="77777777" w:rsidR="00462EAB" w:rsidRDefault="00462EAB" w:rsidP="00462EAB">
      <w:pPr>
        <w:spacing w:line="257" w:lineRule="exact"/>
        <w:rPr>
          <w:sz w:val="24"/>
          <w:szCs w:val="24"/>
        </w:rPr>
      </w:pPr>
    </w:p>
    <w:p w14:paraId="675A4B4A" w14:textId="77777777" w:rsidR="00462EAB" w:rsidRDefault="00462EAB" w:rsidP="00462EAB">
      <w:pPr>
        <w:spacing w:line="366" w:lineRule="exact"/>
        <w:ind w:right="-753" w:firstLineChars="200" w:firstLine="64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项目主管部门：昆明市东川区住房和城乡建设局</w:t>
      </w:r>
    </w:p>
    <w:p w14:paraId="0E0741DC" w14:textId="77777777" w:rsidR="00462EAB" w:rsidRDefault="00462EAB" w:rsidP="00462EAB">
      <w:pPr>
        <w:spacing w:line="259" w:lineRule="exact"/>
        <w:rPr>
          <w:sz w:val="24"/>
          <w:szCs w:val="24"/>
        </w:rPr>
      </w:pPr>
    </w:p>
    <w:p w14:paraId="47763E95" w14:textId="77777777" w:rsidR="00462EAB" w:rsidRDefault="00462EAB" w:rsidP="00462EAB">
      <w:pPr>
        <w:rPr>
          <w:sz w:val="20"/>
          <w:szCs w:val="20"/>
        </w:rPr>
      </w:pPr>
    </w:p>
    <w:p w14:paraId="1E4BB3AC" w14:textId="77777777" w:rsidR="00462EAB" w:rsidRDefault="00462EAB" w:rsidP="00462EAB">
      <w:pPr>
        <w:rPr>
          <w:sz w:val="20"/>
          <w:szCs w:val="20"/>
        </w:rPr>
      </w:pPr>
    </w:p>
    <w:p w14:paraId="59388348" w14:textId="77777777" w:rsidR="00462EAB" w:rsidRDefault="00462EAB" w:rsidP="00462EAB">
      <w:pPr>
        <w:rPr>
          <w:sz w:val="20"/>
          <w:szCs w:val="20"/>
        </w:rPr>
      </w:pPr>
    </w:p>
    <w:p w14:paraId="68114B07" w14:textId="77777777" w:rsidR="00462EAB" w:rsidRDefault="00462EAB" w:rsidP="00462EAB">
      <w:pPr>
        <w:rPr>
          <w:sz w:val="20"/>
          <w:szCs w:val="20"/>
        </w:rPr>
      </w:pPr>
    </w:p>
    <w:p w14:paraId="7A783EA1" w14:textId="77777777" w:rsidR="00462EAB" w:rsidRDefault="00462EAB" w:rsidP="00462EAB">
      <w:pPr>
        <w:rPr>
          <w:sz w:val="20"/>
          <w:szCs w:val="20"/>
        </w:rPr>
      </w:pPr>
    </w:p>
    <w:p w14:paraId="7207A6B0" w14:textId="77777777" w:rsidR="00462EAB" w:rsidRDefault="00462EAB" w:rsidP="00462EAB">
      <w:pPr>
        <w:rPr>
          <w:sz w:val="20"/>
          <w:szCs w:val="20"/>
        </w:rPr>
      </w:pPr>
    </w:p>
    <w:p w14:paraId="2A92A60D" w14:textId="77777777" w:rsidR="00462EAB" w:rsidRDefault="00462EAB" w:rsidP="00462EAB">
      <w:pPr>
        <w:rPr>
          <w:sz w:val="20"/>
          <w:szCs w:val="20"/>
        </w:rPr>
      </w:pPr>
    </w:p>
    <w:p w14:paraId="56F8FACA" w14:textId="77777777" w:rsidR="00462EAB" w:rsidRDefault="00462EAB" w:rsidP="00462EAB">
      <w:pPr>
        <w:rPr>
          <w:sz w:val="20"/>
          <w:szCs w:val="20"/>
        </w:rPr>
      </w:pPr>
    </w:p>
    <w:p w14:paraId="28BA0ED2" w14:textId="77777777" w:rsidR="00462EAB" w:rsidRDefault="00462EAB" w:rsidP="00462EAB">
      <w:pPr>
        <w:rPr>
          <w:sz w:val="20"/>
          <w:szCs w:val="20"/>
        </w:rPr>
      </w:pPr>
    </w:p>
    <w:p w14:paraId="04D7564D" w14:textId="77777777" w:rsidR="00462EAB" w:rsidRDefault="00462EAB" w:rsidP="00462EAB">
      <w:pPr>
        <w:rPr>
          <w:sz w:val="20"/>
          <w:szCs w:val="20"/>
        </w:rPr>
      </w:pPr>
    </w:p>
    <w:p w14:paraId="54166A70" w14:textId="77777777" w:rsidR="00462EAB" w:rsidRDefault="00462EAB" w:rsidP="00462EAB">
      <w:pPr>
        <w:rPr>
          <w:sz w:val="20"/>
          <w:szCs w:val="20"/>
        </w:rPr>
      </w:pPr>
    </w:p>
    <w:p w14:paraId="7AFE39CE" w14:textId="77777777" w:rsidR="00462EAB" w:rsidRDefault="00462EAB" w:rsidP="00462EAB">
      <w:pPr>
        <w:rPr>
          <w:sz w:val="20"/>
          <w:szCs w:val="20"/>
        </w:rPr>
      </w:pPr>
    </w:p>
    <w:p w14:paraId="05FC7BFD" w14:textId="77777777" w:rsidR="00462EAB" w:rsidRDefault="00462EAB" w:rsidP="00462EAB">
      <w:pPr>
        <w:rPr>
          <w:sz w:val="20"/>
          <w:szCs w:val="20"/>
        </w:rPr>
      </w:pPr>
    </w:p>
    <w:p w14:paraId="422D5EF8" w14:textId="77777777" w:rsidR="00462EAB" w:rsidRDefault="00462EAB" w:rsidP="00462EAB"/>
    <w:p w14:paraId="61A12390" w14:textId="4D2F7A27" w:rsidR="00462EAB" w:rsidRPr="00462EAB" w:rsidRDefault="00462EAB" w:rsidP="00462EAB">
      <w:pPr>
        <w:spacing w:line="366" w:lineRule="exact"/>
        <w:ind w:right="6"/>
        <w:jc w:val="center"/>
        <w:rPr>
          <w:sz w:val="20"/>
          <w:szCs w:val="20"/>
        </w:rPr>
        <w:sectPr w:rsidR="00462EAB" w:rsidRPr="00462EAB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  <w:r>
        <w:rPr>
          <w:rFonts w:ascii="仿宋" w:eastAsia="仿宋" w:hAnsi="仿宋" w:cs="仿宋"/>
          <w:sz w:val="32"/>
          <w:szCs w:val="32"/>
        </w:rPr>
        <w:t>报告日期：</w:t>
      </w:r>
      <w:r>
        <w:rPr>
          <w:rFonts w:ascii="宋体" w:eastAsia="宋体" w:hAnsi="宋体" w:cs="宋体"/>
          <w:sz w:val="32"/>
          <w:szCs w:val="32"/>
        </w:rPr>
        <w:t>202</w:t>
      </w:r>
      <w:r w:rsidR="00877C3E">
        <w:rPr>
          <w:rFonts w:ascii="宋体" w:eastAsia="宋体" w:hAnsi="宋体" w:cs="宋体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年</w:t>
      </w:r>
      <w:r>
        <w:rPr>
          <w:rFonts w:ascii="宋体" w:eastAsia="宋体" w:hAnsi="宋体" w:cs="宋体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月</w:t>
      </w:r>
      <w:r w:rsidR="00877C3E">
        <w:rPr>
          <w:rFonts w:ascii="宋体" w:eastAsia="宋体" w:hAnsi="宋体" w:cs="宋体"/>
          <w:sz w:val="32"/>
          <w:szCs w:val="32"/>
        </w:rPr>
        <w:t>14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14:paraId="7DDE327C" w14:textId="77777777" w:rsidR="00462EAB" w:rsidRDefault="00462EAB" w:rsidP="00E56A7D">
      <w:pPr>
        <w:spacing w:line="113" w:lineRule="exact"/>
        <w:rPr>
          <w:sz w:val="20"/>
          <w:szCs w:val="20"/>
        </w:rPr>
      </w:pPr>
    </w:p>
    <w:p w14:paraId="5043C3D2" w14:textId="77777777" w:rsidR="00E56A7D" w:rsidRDefault="00E56A7D" w:rsidP="00E56A7D">
      <w:pPr>
        <w:tabs>
          <w:tab w:val="left" w:pos="4720"/>
        </w:tabs>
        <w:spacing w:line="581" w:lineRule="exact"/>
        <w:ind w:left="3860"/>
        <w:rPr>
          <w:sz w:val="20"/>
          <w:szCs w:val="20"/>
        </w:rPr>
      </w:pPr>
      <w:r>
        <w:rPr>
          <w:rFonts w:ascii="微软雅黑" w:eastAsia="微软雅黑" w:hAnsi="微软雅黑" w:cs="微软雅黑"/>
          <w:sz w:val="44"/>
          <w:szCs w:val="44"/>
        </w:rPr>
        <w:t>目</w:t>
      </w:r>
      <w:r>
        <w:rPr>
          <w:rFonts w:ascii="微软雅黑" w:eastAsia="微软雅黑" w:hAnsi="微软雅黑" w:cs="微软雅黑"/>
          <w:sz w:val="44"/>
          <w:szCs w:val="44"/>
        </w:rPr>
        <w:tab/>
        <w:t>录</w:t>
      </w:r>
    </w:p>
    <w:p w14:paraId="52BC2408" w14:textId="77777777" w:rsidR="00E56A7D" w:rsidRDefault="00E56A7D" w:rsidP="00E56A7D">
      <w:pPr>
        <w:spacing w:line="216" w:lineRule="exact"/>
        <w:rPr>
          <w:sz w:val="20"/>
          <w:szCs w:val="20"/>
        </w:rPr>
      </w:pPr>
    </w:p>
    <w:p w14:paraId="16BF3175" w14:textId="77777777" w:rsidR="00E56A7D" w:rsidRDefault="00687271" w:rsidP="00E56A7D">
      <w:pPr>
        <w:tabs>
          <w:tab w:val="left" w:leader="dot" w:pos="8680"/>
        </w:tabs>
        <w:spacing w:line="365" w:lineRule="exact"/>
        <w:ind w:left="220"/>
        <w:rPr>
          <w:rFonts w:ascii="黑体" w:eastAsia="黑体" w:hAnsi="黑体" w:cs="黑体"/>
          <w:sz w:val="30"/>
          <w:szCs w:val="30"/>
        </w:rPr>
      </w:pPr>
      <w:hyperlink w:anchor="page3">
        <w:r w:rsidR="00E56A7D">
          <w:rPr>
            <w:rFonts w:ascii="黑体" w:eastAsia="黑体" w:hAnsi="黑体" w:cs="黑体"/>
            <w:sz w:val="30"/>
            <w:szCs w:val="30"/>
          </w:rPr>
          <w:t>一、项目基本情况</w:t>
        </w:r>
      </w:hyperlink>
      <w:r w:rsidR="00E56A7D">
        <w:rPr>
          <w:rFonts w:eastAsia="Times New Roman"/>
          <w:sz w:val="30"/>
          <w:szCs w:val="30"/>
        </w:rPr>
        <w:tab/>
      </w:r>
      <w:r w:rsidR="00203154">
        <w:rPr>
          <w:rFonts w:eastAsia="Times New Roman"/>
          <w:sz w:val="30"/>
          <w:szCs w:val="30"/>
        </w:rPr>
        <w:t>2</w:t>
      </w:r>
    </w:p>
    <w:p w14:paraId="3FD91438" w14:textId="77777777" w:rsidR="00E56A7D" w:rsidRDefault="00E56A7D" w:rsidP="00E56A7D">
      <w:pPr>
        <w:spacing w:line="243" w:lineRule="exact"/>
        <w:rPr>
          <w:sz w:val="20"/>
          <w:szCs w:val="20"/>
        </w:rPr>
      </w:pPr>
    </w:p>
    <w:p w14:paraId="05E98376" w14:textId="77777777" w:rsidR="00E56A7D" w:rsidRDefault="00687271" w:rsidP="00E56A7D">
      <w:pPr>
        <w:tabs>
          <w:tab w:val="left" w:leader="dot" w:pos="8700"/>
        </w:tabs>
        <w:spacing w:line="365" w:lineRule="exact"/>
        <w:ind w:left="360"/>
        <w:rPr>
          <w:rFonts w:ascii="楷体" w:eastAsia="楷体" w:hAnsi="楷体" w:cs="楷体"/>
          <w:sz w:val="27"/>
          <w:szCs w:val="27"/>
        </w:rPr>
      </w:pPr>
      <w:hyperlink w:anchor="page3">
        <w:r w:rsidR="00E56A7D">
          <w:rPr>
            <w:rFonts w:ascii="楷体" w:eastAsia="楷体" w:hAnsi="楷体" w:cs="楷体"/>
            <w:sz w:val="30"/>
            <w:szCs w:val="30"/>
          </w:rPr>
          <w:t>（一）项目基本概况</w:t>
        </w:r>
      </w:hyperlink>
      <w:r w:rsidR="00E56A7D">
        <w:rPr>
          <w:rFonts w:eastAsia="Times New Roman"/>
          <w:sz w:val="30"/>
          <w:szCs w:val="30"/>
        </w:rPr>
        <w:tab/>
      </w:r>
      <w:r w:rsidR="00203154">
        <w:rPr>
          <w:rFonts w:eastAsia="Times New Roman"/>
          <w:sz w:val="30"/>
          <w:szCs w:val="30"/>
        </w:rPr>
        <w:t>2</w:t>
      </w:r>
    </w:p>
    <w:p w14:paraId="6A64F48C" w14:textId="77777777" w:rsidR="00E56A7D" w:rsidRDefault="00E56A7D" w:rsidP="00E56A7D">
      <w:pPr>
        <w:spacing w:line="336" w:lineRule="exact"/>
        <w:rPr>
          <w:sz w:val="20"/>
          <w:szCs w:val="20"/>
        </w:rPr>
      </w:pPr>
    </w:p>
    <w:p w14:paraId="3E067EEB" w14:textId="77777777" w:rsidR="00E56A7D" w:rsidRDefault="00E56A7D" w:rsidP="00E56A7D">
      <w:pPr>
        <w:tabs>
          <w:tab w:val="left" w:leader="dot" w:pos="8700"/>
        </w:tabs>
        <w:spacing w:line="365" w:lineRule="exact"/>
        <w:ind w:left="360"/>
        <w:rPr>
          <w:sz w:val="20"/>
          <w:szCs w:val="20"/>
        </w:rPr>
      </w:pPr>
      <w:r>
        <w:rPr>
          <w:rFonts w:ascii="楷体" w:eastAsia="楷体" w:hAnsi="楷体" w:cs="楷体"/>
          <w:sz w:val="30"/>
          <w:szCs w:val="30"/>
        </w:rPr>
        <w:t>（二）</w:t>
      </w:r>
      <w:r w:rsidR="00CD7C29">
        <w:rPr>
          <w:rFonts w:ascii="楷体" w:eastAsia="楷体" w:hAnsi="楷体" w:cs="楷体" w:hint="eastAsia"/>
          <w:sz w:val="30"/>
          <w:szCs w:val="30"/>
        </w:rPr>
        <w:t>绩效</w:t>
      </w:r>
      <w:r>
        <w:rPr>
          <w:rFonts w:ascii="楷体" w:eastAsia="楷体" w:hAnsi="楷体" w:cs="楷体"/>
          <w:sz w:val="30"/>
          <w:szCs w:val="30"/>
        </w:rPr>
        <w:t>目标</w:t>
      </w:r>
      <w:r>
        <w:rPr>
          <w:sz w:val="20"/>
          <w:szCs w:val="20"/>
        </w:rPr>
        <w:tab/>
      </w:r>
      <w:r w:rsidR="00203154" w:rsidRPr="00203154">
        <w:rPr>
          <w:rFonts w:eastAsia="Times New Roman"/>
          <w:sz w:val="30"/>
          <w:szCs w:val="30"/>
        </w:rPr>
        <w:t>3</w:t>
      </w:r>
    </w:p>
    <w:p w14:paraId="1A3FD1F8" w14:textId="77777777" w:rsidR="00E56A7D" w:rsidRDefault="00E56A7D" w:rsidP="00E56A7D">
      <w:pPr>
        <w:spacing w:line="325" w:lineRule="exact"/>
        <w:rPr>
          <w:sz w:val="20"/>
          <w:szCs w:val="20"/>
        </w:rPr>
      </w:pPr>
    </w:p>
    <w:p w14:paraId="1D66CD58" w14:textId="77777777" w:rsidR="00E56A7D" w:rsidRDefault="00E56A7D" w:rsidP="00E56A7D">
      <w:pPr>
        <w:tabs>
          <w:tab w:val="left" w:leader="dot" w:pos="8680"/>
        </w:tabs>
        <w:spacing w:line="365" w:lineRule="exact"/>
        <w:ind w:left="220"/>
        <w:rPr>
          <w:sz w:val="20"/>
          <w:szCs w:val="20"/>
        </w:rPr>
      </w:pPr>
      <w:r>
        <w:rPr>
          <w:rFonts w:ascii="黑体" w:eastAsia="黑体" w:hAnsi="黑体" w:cs="黑体"/>
          <w:sz w:val="30"/>
          <w:szCs w:val="30"/>
        </w:rPr>
        <w:t>二、绩效评价</w:t>
      </w:r>
      <w:r w:rsidR="00D55CE1">
        <w:rPr>
          <w:rFonts w:ascii="黑体" w:eastAsia="黑体" w:hAnsi="黑体" w:cs="黑体" w:hint="eastAsia"/>
          <w:sz w:val="30"/>
          <w:szCs w:val="30"/>
        </w:rPr>
        <w:t>工作</w:t>
      </w:r>
      <w:r>
        <w:rPr>
          <w:rFonts w:ascii="黑体" w:eastAsia="黑体" w:hAnsi="黑体" w:cs="黑体"/>
          <w:sz w:val="30"/>
          <w:szCs w:val="30"/>
        </w:rPr>
        <w:t>情况</w:t>
      </w:r>
      <w:r>
        <w:rPr>
          <w:sz w:val="20"/>
          <w:szCs w:val="20"/>
        </w:rPr>
        <w:tab/>
      </w:r>
      <w:r w:rsidR="00203154" w:rsidRPr="00203154">
        <w:rPr>
          <w:rFonts w:eastAsia="Times New Roman"/>
          <w:sz w:val="30"/>
          <w:szCs w:val="30"/>
        </w:rPr>
        <w:t>3</w:t>
      </w:r>
    </w:p>
    <w:p w14:paraId="0BE06FEE" w14:textId="77777777" w:rsidR="00E56A7D" w:rsidRDefault="00E56A7D" w:rsidP="00E56A7D">
      <w:pPr>
        <w:spacing w:line="243" w:lineRule="exact"/>
        <w:rPr>
          <w:sz w:val="20"/>
          <w:szCs w:val="20"/>
        </w:rPr>
      </w:pPr>
    </w:p>
    <w:p w14:paraId="3C32B176" w14:textId="77777777" w:rsidR="00E56A7D" w:rsidRDefault="00E56A7D" w:rsidP="00E56A7D">
      <w:pPr>
        <w:tabs>
          <w:tab w:val="left" w:leader="dot" w:pos="8700"/>
        </w:tabs>
        <w:spacing w:line="365" w:lineRule="exact"/>
        <w:ind w:left="360"/>
        <w:rPr>
          <w:sz w:val="20"/>
          <w:szCs w:val="20"/>
        </w:rPr>
      </w:pPr>
      <w:r>
        <w:rPr>
          <w:rFonts w:ascii="楷体" w:eastAsia="楷体" w:hAnsi="楷体" w:cs="楷体"/>
          <w:sz w:val="30"/>
          <w:szCs w:val="30"/>
        </w:rPr>
        <w:t>（一）</w:t>
      </w:r>
      <w:r w:rsidR="00D55CE1">
        <w:rPr>
          <w:rFonts w:ascii="楷体" w:eastAsia="楷体" w:hAnsi="楷体" w:cs="楷体" w:hint="eastAsia"/>
          <w:sz w:val="30"/>
          <w:szCs w:val="30"/>
        </w:rPr>
        <w:t>绩效评价目的</w:t>
      </w:r>
      <w:r>
        <w:rPr>
          <w:sz w:val="20"/>
          <w:szCs w:val="20"/>
        </w:rPr>
        <w:tab/>
      </w:r>
      <w:r w:rsidR="00203154" w:rsidRPr="00203154">
        <w:rPr>
          <w:rFonts w:eastAsia="Times New Roman"/>
          <w:sz w:val="30"/>
          <w:szCs w:val="30"/>
        </w:rPr>
        <w:t>3</w:t>
      </w:r>
    </w:p>
    <w:p w14:paraId="7FCED7F3" w14:textId="77777777" w:rsidR="00E56A7D" w:rsidRDefault="00E56A7D" w:rsidP="00E56A7D">
      <w:pPr>
        <w:spacing w:line="336" w:lineRule="exact"/>
        <w:rPr>
          <w:sz w:val="20"/>
          <w:szCs w:val="20"/>
        </w:rPr>
      </w:pPr>
    </w:p>
    <w:p w14:paraId="3D3F8E8C" w14:textId="77777777" w:rsidR="00E56A7D" w:rsidRDefault="00687271" w:rsidP="00E56A7D">
      <w:pPr>
        <w:tabs>
          <w:tab w:val="left" w:leader="dot" w:pos="8700"/>
        </w:tabs>
        <w:spacing w:line="365" w:lineRule="exact"/>
        <w:ind w:left="360"/>
        <w:rPr>
          <w:rFonts w:ascii="楷体" w:eastAsia="楷体" w:hAnsi="楷体" w:cs="楷体"/>
          <w:sz w:val="27"/>
          <w:szCs w:val="27"/>
        </w:rPr>
      </w:pPr>
      <w:hyperlink w:anchor="page9">
        <w:r w:rsidR="00E56A7D">
          <w:rPr>
            <w:rFonts w:ascii="楷体" w:eastAsia="楷体" w:hAnsi="楷体" w:cs="楷体"/>
            <w:sz w:val="30"/>
            <w:szCs w:val="30"/>
          </w:rPr>
          <w:t>（二）</w:t>
        </w:r>
        <w:r w:rsidR="00D55CE1">
          <w:rPr>
            <w:rFonts w:ascii="楷体" w:eastAsia="楷体" w:hAnsi="楷体" w:cs="楷体" w:hint="eastAsia"/>
            <w:sz w:val="30"/>
            <w:szCs w:val="30"/>
          </w:rPr>
          <w:t>绩效评价工作方案制定过程</w:t>
        </w:r>
      </w:hyperlink>
      <w:r w:rsidR="00E56A7D">
        <w:rPr>
          <w:rFonts w:eastAsia="Times New Roman"/>
          <w:sz w:val="30"/>
          <w:szCs w:val="30"/>
        </w:rPr>
        <w:tab/>
      </w:r>
      <w:r w:rsidR="00203154">
        <w:rPr>
          <w:rFonts w:eastAsia="Times New Roman"/>
          <w:sz w:val="30"/>
          <w:szCs w:val="30"/>
        </w:rPr>
        <w:t>3</w:t>
      </w:r>
    </w:p>
    <w:p w14:paraId="4A4C61B5" w14:textId="77777777" w:rsidR="00D55CE1" w:rsidRDefault="00D55CE1" w:rsidP="00E56A7D">
      <w:pPr>
        <w:tabs>
          <w:tab w:val="left" w:leader="dot" w:pos="8700"/>
        </w:tabs>
        <w:spacing w:line="365" w:lineRule="exact"/>
        <w:ind w:left="360"/>
        <w:rPr>
          <w:rFonts w:ascii="楷体" w:eastAsia="楷体" w:hAnsi="楷体" w:cs="楷体"/>
          <w:sz w:val="27"/>
          <w:szCs w:val="27"/>
        </w:rPr>
      </w:pPr>
    </w:p>
    <w:p w14:paraId="6F4D3637" w14:textId="77777777" w:rsidR="00E56A7D" w:rsidRDefault="00687271" w:rsidP="00D55CE1">
      <w:pPr>
        <w:tabs>
          <w:tab w:val="left" w:leader="dot" w:pos="8700"/>
        </w:tabs>
        <w:spacing w:line="365" w:lineRule="exact"/>
        <w:ind w:left="360"/>
        <w:rPr>
          <w:rFonts w:ascii="楷体" w:eastAsia="楷体" w:hAnsi="楷体" w:cs="楷体"/>
          <w:sz w:val="27"/>
          <w:szCs w:val="27"/>
        </w:rPr>
      </w:pPr>
      <w:hyperlink w:anchor="page9">
        <w:r w:rsidR="00D55CE1">
          <w:rPr>
            <w:rFonts w:ascii="楷体" w:eastAsia="楷体" w:hAnsi="楷体" w:cs="楷体"/>
            <w:sz w:val="30"/>
            <w:szCs w:val="30"/>
          </w:rPr>
          <w:t>（</w:t>
        </w:r>
        <w:r w:rsidR="00D55CE1">
          <w:rPr>
            <w:rFonts w:ascii="楷体" w:eastAsia="楷体" w:hAnsi="楷体" w:cs="楷体" w:hint="eastAsia"/>
            <w:sz w:val="30"/>
            <w:szCs w:val="30"/>
          </w:rPr>
          <w:t>三</w:t>
        </w:r>
        <w:r w:rsidR="00D55CE1">
          <w:rPr>
            <w:rFonts w:ascii="楷体" w:eastAsia="楷体" w:hAnsi="楷体" w:cs="楷体"/>
            <w:sz w:val="30"/>
            <w:szCs w:val="30"/>
          </w:rPr>
          <w:t>）</w:t>
        </w:r>
        <w:r w:rsidR="00D55CE1">
          <w:rPr>
            <w:rFonts w:ascii="楷体" w:eastAsia="楷体" w:hAnsi="楷体" w:cs="楷体" w:hint="eastAsia"/>
            <w:sz w:val="30"/>
            <w:szCs w:val="30"/>
          </w:rPr>
          <w:t>绩效评价原则、评价方法</w:t>
        </w:r>
      </w:hyperlink>
      <w:r w:rsidR="00D55CE1">
        <w:rPr>
          <w:rFonts w:eastAsia="Times New Roman"/>
          <w:sz w:val="30"/>
          <w:szCs w:val="30"/>
        </w:rPr>
        <w:tab/>
      </w:r>
      <w:r w:rsidR="00203154">
        <w:rPr>
          <w:rFonts w:eastAsia="Times New Roman"/>
          <w:sz w:val="30"/>
          <w:szCs w:val="30"/>
        </w:rPr>
        <w:t>4</w:t>
      </w:r>
    </w:p>
    <w:p w14:paraId="0025D78B" w14:textId="77777777" w:rsidR="00D55CE1" w:rsidRDefault="00D55CE1" w:rsidP="00D55CE1">
      <w:pPr>
        <w:tabs>
          <w:tab w:val="left" w:leader="dot" w:pos="8700"/>
        </w:tabs>
        <w:spacing w:line="365" w:lineRule="exact"/>
        <w:ind w:left="360"/>
        <w:rPr>
          <w:rFonts w:ascii="楷体" w:eastAsia="楷体" w:hAnsi="楷体" w:cs="楷体"/>
          <w:sz w:val="27"/>
          <w:szCs w:val="27"/>
        </w:rPr>
      </w:pPr>
    </w:p>
    <w:p w14:paraId="46CA90D7" w14:textId="77777777" w:rsidR="00D55CE1" w:rsidRDefault="00687271" w:rsidP="00D55CE1">
      <w:pPr>
        <w:tabs>
          <w:tab w:val="left" w:leader="dot" w:pos="8700"/>
        </w:tabs>
        <w:spacing w:line="365" w:lineRule="exact"/>
        <w:ind w:left="360"/>
        <w:rPr>
          <w:rFonts w:ascii="楷体" w:eastAsia="楷体" w:hAnsi="楷体" w:cs="楷体"/>
          <w:sz w:val="27"/>
          <w:szCs w:val="27"/>
        </w:rPr>
      </w:pPr>
      <w:hyperlink w:anchor="page9">
        <w:r w:rsidR="00D55CE1">
          <w:rPr>
            <w:rFonts w:ascii="楷体" w:eastAsia="楷体" w:hAnsi="楷体" w:cs="楷体"/>
            <w:sz w:val="30"/>
            <w:szCs w:val="30"/>
          </w:rPr>
          <w:t>（</w:t>
        </w:r>
        <w:r w:rsidR="00D55CE1">
          <w:rPr>
            <w:rFonts w:ascii="楷体" w:eastAsia="楷体" w:hAnsi="楷体" w:cs="楷体" w:hint="eastAsia"/>
            <w:sz w:val="30"/>
            <w:szCs w:val="30"/>
          </w:rPr>
          <w:t>四</w:t>
        </w:r>
        <w:r w:rsidR="00D55CE1">
          <w:rPr>
            <w:rFonts w:ascii="楷体" w:eastAsia="楷体" w:hAnsi="楷体" w:cs="楷体"/>
            <w:sz w:val="30"/>
            <w:szCs w:val="30"/>
          </w:rPr>
          <w:t>）</w:t>
        </w:r>
        <w:r w:rsidR="00D55CE1">
          <w:rPr>
            <w:rFonts w:ascii="楷体" w:eastAsia="楷体" w:hAnsi="楷体" w:cs="楷体" w:hint="eastAsia"/>
            <w:sz w:val="30"/>
            <w:szCs w:val="30"/>
          </w:rPr>
          <w:t>绩效评价实施过程</w:t>
        </w:r>
      </w:hyperlink>
      <w:r w:rsidR="00D55CE1">
        <w:rPr>
          <w:rFonts w:eastAsia="Times New Roman"/>
          <w:sz w:val="30"/>
          <w:szCs w:val="30"/>
        </w:rPr>
        <w:tab/>
      </w:r>
      <w:r w:rsidR="00203154">
        <w:rPr>
          <w:rFonts w:eastAsia="Times New Roman"/>
          <w:sz w:val="30"/>
          <w:szCs w:val="30"/>
        </w:rPr>
        <w:t>4</w:t>
      </w:r>
    </w:p>
    <w:p w14:paraId="64235B6D" w14:textId="77777777" w:rsidR="00D55CE1" w:rsidRDefault="00D55CE1" w:rsidP="00D55CE1">
      <w:pPr>
        <w:tabs>
          <w:tab w:val="left" w:leader="dot" w:pos="8700"/>
        </w:tabs>
        <w:spacing w:line="365" w:lineRule="exact"/>
        <w:ind w:left="360"/>
        <w:rPr>
          <w:rFonts w:ascii="楷体" w:eastAsia="楷体" w:hAnsi="楷体" w:cs="楷体"/>
          <w:sz w:val="27"/>
          <w:szCs w:val="27"/>
        </w:rPr>
      </w:pPr>
    </w:p>
    <w:p w14:paraId="3B774C39" w14:textId="77777777" w:rsidR="00D55CE1" w:rsidRDefault="00687271" w:rsidP="00D55CE1">
      <w:pPr>
        <w:tabs>
          <w:tab w:val="left" w:leader="dot" w:pos="8700"/>
        </w:tabs>
        <w:spacing w:line="365" w:lineRule="exact"/>
        <w:ind w:left="360"/>
        <w:rPr>
          <w:rFonts w:ascii="楷体" w:eastAsia="楷体" w:hAnsi="楷体" w:cs="楷体"/>
          <w:sz w:val="27"/>
          <w:szCs w:val="27"/>
        </w:rPr>
      </w:pPr>
      <w:hyperlink w:anchor="page9">
        <w:r w:rsidR="00D55CE1">
          <w:rPr>
            <w:rFonts w:ascii="楷体" w:eastAsia="楷体" w:hAnsi="楷体" w:cs="楷体"/>
            <w:sz w:val="30"/>
            <w:szCs w:val="30"/>
          </w:rPr>
          <w:t>（</w:t>
        </w:r>
        <w:r w:rsidR="00D55CE1">
          <w:rPr>
            <w:rFonts w:ascii="楷体" w:eastAsia="楷体" w:hAnsi="楷体" w:cs="楷体" w:hint="eastAsia"/>
            <w:sz w:val="30"/>
            <w:szCs w:val="30"/>
          </w:rPr>
          <w:t>五</w:t>
        </w:r>
        <w:r w:rsidR="00D55CE1">
          <w:rPr>
            <w:rFonts w:ascii="楷体" w:eastAsia="楷体" w:hAnsi="楷体" w:cs="楷体"/>
            <w:sz w:val="30"/>
            <w:szCs w:val="30"/>
          </w:rPr>
          <w:t>）</w:t>
        </w:r>
        <w:r w:rsidR="00D55CE1">
          <w:rPr>
            <w:rFonts w:ascii="楷体" w:eastAsia="楷体" w:hAnsi="楷体" w:cs="楷体" w:hint="eastAsia"/>
            <w:sz w:val="30"/>
            <w:szCs w:val="30"/>
          </w:rPr>
          <w:t>本次绩效评价的局限性</w:t>
        </w:r>
      </w:hyperlink>
      <w:r w:rsidR="00D55CE1">
        <w:rPr>
          <w:rFonts w:eastAsia="Times New Roman"/>
          <w:sz w:val="30"/>
          <w:szCs w:val="30"/>
        </w:rPr>
        <w:tab/>
      </w:r>
      <w:r w:rsidR="00203154">
        <w:rPr>
          <w:rFonts w:eastAsia="Times New Roman"/>
          <w:sz w:val="30"/>
          <w:szCs w:val="30"/>
        </w:rPr>
        <w:t>4</w:t>
      </w:r>
    </w:p>
    <w:p w14:paraId="6AB40890" w14:textId="77777777" w:rsidR="00D55CE1" w:rsidRPr="00D55CE1" w:rsidRDefault="00D55CE1" w:rsidP="00D55CE1">
      <w:pPr>
        <w:tabs>
          <w:tab w:val="left" w:leader="dot" w:pos="8700"/>
        </w:tabs>
        <w:spacing w:line="365" w:lineRule="exact"/>
        <w:ind w:left="360"/>
        <w:rPr>
          <w:rFonts w:ascii="楷体" w:eastAsia="楷体" w:hAnsi="楷体" w:cs="楷体"/>
          <w:sz w:val="27"/>
          <w:szCs w:val="27"/>
        </w:rPr>
      </w:pPr>
    </w:p>
    <w:p w14:paraId="17B95EB2" w14:textId="77777777" w:rsidR="00E56A7D" w:rsidRPr="00203154" w:rsidRDefault="00687271" w:rsidP="00E56A7D">
      <w:pPr>
        <w:tabs>
          <w:tab w:val="left" w:leader="dot" w:pos="8540"/>
        </w:tabs>
        <w:spacing w:line="365" w:lineRule="exact"/>
        <w:ind w:left="220"/>
        <w:rPr>
          <w:rFonts w:ascii="宋体" w:eastAsia="宋体" w:hAnsi="宋体" w:cs="宋体"/>
          <w:sz w:val="29"/>
          <w:szCs w:val="29"/>
        </w:rPr>
      </w:pPr>
      <w:hyperlink w:anchor="page13">
        <w:r w:rsidR="00E56A7D">
          <w:rPr>
            <w:rFonts w:ascii="黑体" w:eastAsia="黑体" w:hAnsi="黑体" w:cs="黑体"/>
            <w:sz w:val="30"/>
            <w:szCs w:val="30"/>
          </w:rPr>
          <w:t>三、</w:t>
        </w:r>
        <w:r w:rsidR="00D55CE1">
          <w:rPr>
            <w:rFonts w:ascii="黑体" w:eastAsia="黑体" w:hAnsi="黑体" w:cs="黑体" w:hint="eastAsia"/>
            <w:sz w:val="30"/>
            <w:szCs w:val="30"/>
          </w:rPr>
          <w:t>评价结论和绩效分析</w:t>
        </w:r>
      </w:hyperlink>
      <w:r w:rsidR="00E56A7D">
        <w:rPr>
          <w:rFonts w:eastAsia="Times New Roman"/>
          <w:sz w:val="30"/>
          <w:szCs w:val="30"/>
        </w:rPr>
        <w:tab/>
      </w:r>
      <w:r w:rsidR="00203154">
        <w:rPr>
          <w:rFonts w:eastAsia="Times New Roman"/>
          <w:sz w:val="30"/>
          <w:szCs w:val="30"/>
        </w:rPr>
        <w:t>..4</w:t>
      </w:r>
    </w:p>
    <w:p w14:paraId="3D729919" w14:textId="77777777" w:rsidR="00E56A7D" w:rsidRDefault="00E56A7D" w:rsidP="00E56A7D">
      <w:pPr>
        <w:spacing w:line="243" w:lineRule="exact"/>
        <w:rPr>
          <w:sz w:val="20"/>
          <w:szCs w:val="20"/>
        </w:rPr>
      </w:pPr>
    </w:p>
    <w:p w14:paraId="70682407" w14:textId="77777777" w:rsidR="00E56A7D" w:rsidRDefault="00687271" w:rsidP="00E56A7D">
      <w:pPr>
        <w:tabs>
          <w:tab w:val="left" w:leader="dot" w:pos="8540"/>
        </w:tabs>
        <w:spacing w:line="365" w:lineRule="exact"/>
        <w:ind w:left="360"/>
        <w:rPr>
          <w:rFonts w:ascii="楷体" w:eastAsia="楷体" w:hAnsi="楷体" w:cs="楷体"/>
          <w:sz w:val="29"/>
          <w:szCs w:val="29"/>
        </w:rPr>
      </w:pPr>
      <w:hyperlink w:anchor="page13">
        <w:r w:rsidR="00E56A7D">
          <w:rPr>
            <w:rFonts w:ascii="楷体" w:eastAsia="楷体" w:hAnsi="楷体" w:cs="楷体"/>
            <w:sz w:val="30"/>
            <w:szCs w:val="30"/>
          </w:rPr>
          <w:t>（一）</w:t>
        </w:r>
        <w:r w:rsidR="00D55CE1">
          <w:rPr>
            <w:rFonts w:ascii="楷体" w:eastAsia="楷体" w:hAnsi="楷体" w:cs="楷体" w:hint="eastAsia"/>
            <w:sz w:val="30"/>
            <w:szCs w:val="30"/>
          </w:rPr>
          <w:t>评价结论</w:t>
        </w:r>
      </w:hyperlink>
      <w:r w:rsidR="00E56A7D">
        <w:rPr>
          <w:rFonts w:eastAsia="Times New Roman"/>
          <w:sz w:val="30"/>
          <w:szCs w:val="30"/>
        </w:rPr>
        <w:tab/>
      </w:r>
      <w:r w:rsidR="00203154">
        <w:rPr>
          <w:rFonts w:eastAsia="Times New Roman"/>
          <w:sz w:val="30"/>
          <w:szCs w:val="30"/>
        </w:rPr>
        <w:t>..4</w:t>
      </w:r>
    </w:p>
    <w:p w14:paraId="663B197A" w14:textId="77777777" w:rsidR="00E56A7D" w:rsidRDefault="00E56A7D" w:rsidP="00E56A7D">
      <w:pPr>
        <w:spacing w:line="333" w:lineRule="exact"/>
        <w:rPr>
          <w:sz w:val="20"/>
          <w:szCs w:val="20"/>
        </w:rPr>
      </w:pPr>
    </w:p>
    <w:p w14:paraId="044D3DC2" w14:textId="77777777" w:rsidR="00E56A7D" w:rsidRDefault="00E56A7D" w:rsidP="00E56A7D">
      <w:pPr>
        <w:tabs>
          <w:tab w:val="left" w:leader="dot" w:pos="8540"/>
        </w:tabs>
        <w:spacing w:line="365" w:lineRule="exact"/>
        <w:ind w:left="360"/>
        <w:rPr>
          <w:sz w:val="20"/>
          <w:szCs w:val="20"/>
        </w:rPr>
      </w:pPr>
      <w:r>
        <w:rPr>
          <w:rFonts w:ascii="楷体" w:eastAsia="楷体" w:hAnsi="楷体" w:cs="楷体"/>
          <w:sz w:val="30"/>
          <w:szCs w:val="30"/>
        </w:rPr>
        <w:t>（二）</w:t>
      </w:r>
      <w:r w:rsidR="00D55CE1">
        <w:rPr>
          <w:rFonts w:ascii="楷体" w:eastAsia="楷体" w:hAnsi="楷体" w:cs="楷体" w:hint="eastAsia"/>
          <w:sz w:val="30"/>
          <w:szCs w:val="30"/>
        </w:rPr>
        <w:t>具体绩效分析</w:t>
      </w:r>
      <w:r>
        <w:rPr>
          <w:sz w:val="20"/>
          <w:szCs w:val="20"/>
        </w:rPr>
        <w:tab/>
      </w:r>
      <w:r w:rsidR="00203154">
        <w:rPr>
          <w:sz w:val="20"/>
          <w:szCs w:val="20"/>
        </w:rPr>
        <w:t>…</w:t>
      </w:r>
      <w:r w:rsidR="00203154" w:rsidRPr="00203154">
        <w:rPr>
          <w:rFonts w:eastAsia="Times New Roman"/>
          <w:sz w:val="30"/>
          <w:szCs w:val="30"/>
        </w:rPr>
        <w:t>5</w:t>
      </w:r>
    </w:p>
    <w:p w14:paraId="2246E630" w14:textId="77777777" w:rsidR="00E56A7D" w:rsidRDefault="00E56A7D" w:rsidP="00E56A7D">
      <w:pPr>
        <w:spacing w:line="328" w:lineRule="exact"/>
        <w:rPr>
          <w:sz w:val="20"/>
          <w:szCs w:val="20"/>
        </w:rPr>
      </w:pPr>
    </w:p>
    <w:p w14:paraId="14F98772" w14:textId="77777777" w:rsidR="00E56A7D" w:rsidRDefault="00687271" w:rsidP="00E56A7D">
      <w:pPr>
        <w:tabs>
          <w:tab w:val="left" w:leader="dot" w:pos="8540"/>
        </w:tabs>
        <w:spacing w:line="365" w:lineRule="exact"/>
        <w:ind w:left="220"/>
        <w:rPr>
          <w:rFonts w:ascii="黑体" w:eastAsia="黑体" w:hAnsi="黑体" w:cs="黑体"/>
          <w:sz w:val="29"/>
          <w:szCs w:val="29"/>
        </w:rPr>
      </w:pPr>
      <w:hyperlink w:anchor="page14">
        <w:r w:rsidR="00E56A7D">
          <w:rPr>
            <w:rFonts w:ascii="黑体" w:eastAsia="黑体" w:hAnsi="黑体" w:cs="黑体"/>
            <w:sz w:val="30"/>
            <w:szCs w:val="30"/>
          </w:rPr>
          <w:t>四、</w:t>
        </w:r>
        <w:r w:rsidR="00D55CE1">
          <w:rPr>
            <w:rFonts w:ascii="黑体" w:eastAsia="黑体" w:hAnsi="黑体" w:cs="黑体" w:hint="eastAsia"/>
            <w:sz w:val="30"/>
            <w:szCs w:val="30"/>
          </w:rPr>
          <w:t>成本效益分析</w:t>
        </w:r>
      </w:hyperlink>
      <w:r w:rsidR="00E56A7D">
        <w:rPr>
          <w:rFonts w:eastAsia="Times New Roman"/>
          <w:sz w:val="30"/>
          <w:szCs w:val="30"/>
        </w:rPr>
        <w:tab/>
      </w:r>
      <w:r w:rsidR="00203154">
        <w:rPr>
          <w:rFonts w:eastAsia="Times New Roman"/>
          <w:sz w:val="30"/>
          <w:szCs w:val="30"/>
        </w:rPr>
        <w:t>..5</w:t>
      </w:r>
    </w:p>
    <w:p w14:paraId="43CDE93F" w14:textId="77777777" w:rsidR="00D55CE1" w:rsidRDefault="00D55CE1" w:rsidP="00D55CE1">
      <w:pPr>
        <w:tabs>
          <w:tab w:val="left" w:leader="dot" w:pos="8540"/>
        </w:tabs>
        <w:spacing w:line="365" w:lineRule="exact"/>
        <w:rPr>
          <w:rFonts w:ascii="楷体" w:eastAsia="楷体" w:hAnsi="楷体" w:cs="楷体"/>
          <w:sz w:val="30"/>
          <w:szCs w:val="30"/>
        </w:rPr>
      </w:pPr>
    </w:p>
    <w:p w14:paraId="4D79DEA4" w14:textId="77777777" w:rsidR="00D55CE1" w:rsidRDefault="00687271" w:rsidP="00D55CE1">
      <w:pPr>
        <w:tabs>
          <w:tab w:val="left" w:leader="dot" w:pos="8540"/>
        </w:tabs>
        <w:spacing w:line="365" w:lineRule="exact"/>
        <w:ind w:left="220"/>
        <w:rPr>
          <w:rFonts w:ascii="黑体" w:eastAsia="黑体" w:hAnsi="黑体" w:cs="黑体"/>
          <w:sz w:val="29"/>
          <w:szCs w:val="29"/>
        </w:rPr>
      </w:pPr>
      <w:hyperlink w:anchor="page14">
        <w:r w:rsidR="00D55CE1">
          <w:rPr>
            <w:rFonts w:ascii="黑体" w:eastAsia="黑体" w:hAnsi="黑体" w:cs="黑体" w:hint="eastAsia"/>
            <w:sz w:val="30"/>
            <w:szCs w:val="30"/>
          </w:rPr>
          <w:t>五</w:t>
        </w:r>
        <w:r w:rsidR="00D55CE1">
          <w:rPr>
            <w:rFonts w:ascii="黑体" w:eastAsia="黑体" w:hAnsi="黑体" w:cs="黑体"/>
            <w:sz w:val="30"/>
            <w:szCs w:val="30"/>
          </w:rPr>
          <w:t>、</w:t>
        </w:r>
        <w:r w:rsidR="00D55CE1">
          <w:rPr>
            <w:rFonts w:ascii="黑体" w:eastAsia="黑体" w:hAnsi="黑体" w:cs="黑体" w:hint="eastAsia"/>
            <w:sz w:val="30"/>
            <w:szCs w:val="30"/>
          </w:rPr>
          <w:t>主要经验及做法、存在问题和建议</w:t>
        </w:r>
      </w:hyperlink>
      <w:r w:rsidR="00D55CE1">
        <w:rPr>
          <w:rFonts w:eastAsia="Times New Roman"/>
          <w:sz w:val="30"/>
          <w:szCs w:val="30"/>
        </w:rPr>
        <w:tab/>
      </w:r>
      <w:r w:rsidR="00203154">
        <w:rPr>
          <w:rFonts w:eastAsia="Times New Roman"/>
          <w:sz w:val="30"/>
          <w:szCs w:val="30"/>
        </w:rPr>
        <w:t>.5</w:t>
      </w:r>
    </w:p>
    <w:p w14:paraId="575F21BA" w14:textId="77777777" w:rsidR="00D55CE1" w:rsidRDefault="00D55CE1" w:rsidP="00D55CE1">
      <w:pPr>
        <w:tabs>
          <w:tab w:val="left" w:leader="dot" w:pos="8540"/>
        </w:tabs>
        <w:spacing w:line="365" w:lineRule="exact"/>
        <w:ind w:left="220"/>
        <w:rPr>
          <w:rFonts w:ascii="黑体" w:eastAsia="黑体" w:hAnsi="黑体" w:cs="黑体"/>
          <w:sz w:val="29"/>
          <w:szCs w:val="29"/>
        </w:rPr>
      </w:pPr>
    </w:p>
    <w:p w14:paraId="779DC8D7" w14:textId="77777777" w:rsidR="00D55CE1" w:rsidRDefault="00687271" w:rsidP="00D55CE1">
      <w:pPr>
        <w:tabs>
          <w:tab w:val="left" w:leader="dot" w:pos="8540"/>
        </w:tabs>
        <w:spacing w:line="365" w:lineRule="exact"/>
        <w:ind w:left="360"/>
        <w:rPr>
          <w:rFonts w:ascii="楷体" w:eastAsia="楷体" w:hAnsi="楷体" w:cs="楷体"/>
          <w:sz w:val="29"/>
          <w:szCs w:val="29"/>
        </w:rPr>
      </w:pPr>
      <w:hyperlink w:anchor="page13">
        <w:r w:rsidR="00D55CE1">
          <w:rPr>
            <w:rFonts w:ascii="楷体" w:eastAsia="楷体" w:hAnsi="楷体" w:cs="楷体"/>
            <w:sz w:val="30"/>
            <w:szCs w:val="30"/>
          </w:rPr>
          <w:t>（一）</w:t>
        </w:r>
        <w:r w:rsidR="00D55CE1">
          <w:rPr>
            <w:rFonts w:ascii="楷体" w:eastAsia="楷体" w:hAnsi="楷体" w:cs="楷体" w:hint="eastAsia"/>
            <w:sz w:val="30"/>
            <w:szCs w:val="30"/>
          </w:rPr>
          <w:t>主要经验及做法</w:t>
        </w:r>
      </w:hyperlink>
      <w:r w:rsidR="00D55CE1">
        <w:rPr>
          <w:rFonts w:eastAsia="Times New Roman"/>
          <w:sz w:val="30"/>
          <w:szCs w:val="30"/>
        </w:rPr>
        <w:tab/>
      </w:r>
      <w:r w:rsidR="00203154">
        <w:rPr>
          <w:rFonts w:eastAsia="Times New Roman"/>
          <w:sz w:val="30"/>
          <w:szCs w:val="30"/>
        </w:rPr>
        <w:t>.5</w:t>
      </w:r>
    </w:p>
    <w:p w14:paraId="7B2ECC00" w14:textId="77777777" w:rsidR="00D55CE1" w:rsidRDefault="00D55CE1" w:rsidP="00D55CE1">
      <w:pPr>
        <w:tabs>
          <w:tab w:val="left" w:leader="dot" w:pos="8540"/>
        </w:tabs>
        <w:spacing w:line="365" w:lineRule="exact"/>
        <w:ind w:left="360"/>
      </w:pPr>
    </w:p>
    <w:p w14:paraId="4D550B6B" w14:textId="77777777" w:rsidR="00D55CE1" w:rsidRDefault="00687271" w:rsidP="00D55CE1">
      <w:pPr>
        <w:tabs>
          <w:tab w:val="left" w:leader="dot" w:pos="8540"/>
        </w:tabs>
        <w:spacing w:line="365" w:lineRule="exact"/>
        <w:ind w:left="360"/>
        <w:rPr>
          <w:rFonts w:ascii="楷体" w:eastAsia="楷体" w:hAnsi="楷体" w:cs="楷体"/>
          <w:sz w:val="29"/>
          <w:szCs w:val="29"/>
        </w:rPr>
      </w:pPr>
      <w:hyperlink w:anchor="page13">
        <w:r w:rsidR="00D55CE1">
          <w:rPr>
            <w:rFonts w:ascii="楷体" w:eastAsia="楷体" w:hAnsi="楷体" w:cs="楷体"/>
            <w:sz w:val="30"/>
            <w:szCs w:val="30"/>
          </w:rPr>
          <w:t>（</w:t>
        </w:r>
        <w:r w:rsidR="00EA14D7">
          <w:rPr>
            <w:rFonts w:ascii="楷体" w:eastAsia="楷体" w:hAnsi="楷体" w:cs="楷体" w:hint="eastAsia"/>
            <w:sz w:val="30"/>
            <w:szCs w:val="30"/>
          </w:rPr>
          <w:t>二</w:t>
        </w:r>
        <w:r w:rsidR="00D55CE1">
          <w:rPr>
            <w:rFonts w:ascii="楷体" w:eastAsia="楷体" w:hAnsi="楷体" w:cs="楷体"/>
            <w:sz w:val="30"/>
            <w:szCs w:val="30"/>
          </w:rPr>
          <w:t>）</w:t>
        </w:r>
        <w:r w:rsidR="00D55CE1">
          <w:rPr>
            <w:rFonts w:ascii="楷体" w:eastAsia="楷体" w:hAnsi="楷体" w:cs="楷体" w:hint="eastAsia"/>
            <w:sz w:val="30"/>
            <w:szCs w:val="30"/>
          </w:rPr>
          <w:t>存在问题</w:t>
        </w:r>
      </w:hyperlink>
      <w:r w:rsidR="00D55CE1">
        <w:rPr>
          <w:rFonts w:eastAsia="Times New Roman"/>
          <w:sz w:val="30"/>
          <w:szCs w:val="30"/>
        </w:rPr>
        <w:tab/>
      </w:r>
      <w:r w:rsidR="00203154">
        <w:rPr>
          <w:rFonts w:eastAsia="Times New Roman"/>
          <w:sz w:val="30"/>
          <w:szCs w:val="30"/>
        </w:rPr>
        <w:t>6</w:t>
      </w:r>
    </w:p>
    <w:p w14:paraId="52A3E59B" w14:textId="77777777" w:rsidR="00D55CE1" w:rsidRDefault="00D55CE1" w:rsidP="00D55CE1">
      <w:pPr>
        <w:tabs>
          <w:tab w:val="left" w:leader="dot" w:pos="8540"/>
        </w:tabs>
        <w:spacing w:line="365" w:lineRule="exact"/>
        <w:ind w:left="360"/>
      </w:pPr>
    </w:p>
    <w:p w14:paraId="74AC4E10" w14:textId="77777777" w:rsidR="00D55CE1" w:rsidRDefault="00687271" w:rsidP="00D55CE1">
      <w:pPr>
        <w:tabs>
          <w:tab w:val="left" w:leader="dot" w:pos="8540"/>
        </w:tabs>
        <w:spacing w:line="365" w:lineRule="exact"/>
        <w:ind w:left="360"/>
        <w:rPr>
          <w:rFonts w:ascii="楷体" w:eastAsia="楷体" w:hAnsi="楷体" w:cs="楷体"/>
          <w:sz w:val="29"/>
          <w:szCs w:val="29"/>
        </w:rPr>
      </w:pPr>
      <w:hyperlink w:anchor="page13">
        <w:r w:rsidR="00D55CE1">
          <w:rPr>
            <w:rFonts w:ascii="楷体" w:eastAsia="楷体" w:hAnsi="楷体" w:cs="楷体"/>
            <w:sz w:val="30"/>
            <w:szCs w:val="30"/>
          </w:rPr>
          <w:t>（</w:t>
        </w:r>
        <w:r w:rsidR="00EA14D7">
          <w:rPr>
            <w:rFonts w:ascii="楷体" w:eastAsia="楷体" w:hAnsi="楷体" w:cs="楷体" w:hint="eastAsia"/>
            <w:sz w:val="30"/>
            <w:szCs w:val="30"/>
          </w:rPr>
          <w:t>三</w:t>
        </w:r>
        <w:r w:rsidR="00D55CE1">
          <w:rPr>
            <w:rFonts w:ascii="楷体" w:eastAsia="楷体" w:hAnsi="楷体" w:cs="楷体"/>
            <w:sz w:val="30"/>
            <w:szCs w:val="30"/>
          </w:rPr>
          <w:t>）</w:t>
        </w:r>
        <w:r w:rsidR="00D55CE1">
          <w:rPr>
            <w:rFonts w:ascii="楷体" w:eastAsia="楷体" w:hAnsi="楷体" w:cs="楷体" w:hint="eastAsia"/>
            <w:sz w:val="30"/>
            <w:szCs w:val="30"/>
          </w:rPr>
          <w:t>建议和改进措施</w:t>
        </w:r>
      </w:hyperlink>
      <w:r w:rsidR="00D55CE1">
        <w:rPr>
          <w:rFonts w:eastAsia="Times New Roman"/>
          <w:sz w:val="30"/>
          <w:szCs w:val="30"/>
        </w:rPr>
        <w:tab/>
      </w:r>
      <w:r w:rsidR="00203154">
        <w:rPr>
          <w:rFonts w:eastAsia="Times New Roman"/>
          <w:sz w:val="30"/>
          <w:szCs w:val="30"/>
        </w:rPr>
        <w:t>7</w:t>
      </w:r>
    </w:p>
    <w:p w14:paraId="113BA517" w14:textId="77777777" w:rsidR="00E56A7D" w:rsidRDefault="00E56A7D" w:rsidP="00E56A7D">
      <w:pPr>
        <w:spacing w:line="325" w:lineRule="exact"/>
        <w:rPr>
          <w:sz w:val="20"/>
          <w:szCs w:val="20"/>
        </w:rPr>
      </w:pPr>
    </w:p>
    <w:p w14:paraId="38391EC6" w14:textId="77777777" w:rsidR="00EA14D7" w:rsidRDefault="00EA14D7" w:rsidP="00E56A7D">
      <w:pPr>
        <w:tabs>
          <w:tab w:val="left" w:leader="dot" w:pos="8540"/>
        </w:tabs>
        <w:ind w:left="357"/>
        <w:jc w:val="center"/>
        <w:rPr>
          <w:rFonts w:ascii="黑体" w:eastAsia="黑体" w:hAnsi="黑体" w:cs="黑体"/>
          <w:sz w:val="30"/>
          <w:szCs w:val="30"/>
        </w:rPr>
      </w:pPr>
    </w:p>
    <w:p w14:paraId="025E6D59" w14:textId="77777777" w:rsidR="00EA14D7" w:rsidRDefault="00EA14D7" w:rsidP="00E56A7D">
      <w:pPr>
        <w:tabs>
          <w:tab w:val="left" w:leader="dot" w:pos="8540"/>
        </w:tabs>
        <w:ind w:left="357"/>
        <w:jc w:val="center"/>
        <w:rPr>
          <w:rFonts w:ascii="楷体" w:eastAsia="楷体" w:hAnsi="楷体" w:cs="楷体"/>
          <w:sz w:val="30"/>
          <w:szCs w:val="30"/>
        </w:rPr>
      </w:pPr>
    </w:p>
    <w:p w14:paraId="7B959385" w14:textId="77777777" w:rsidR="00EA14D7" w:rsidRDefault="00EA14D7" w:rsidP="00E56A7D">
      <w:pPr>
        <w:tabs>
          <w:tab w:val="left" w:leader="dot" w:pos="8540"/>
        </w:tabs>
        <w:ind w:left="357"/>
        <w:jc w:val="center"/>
        <w:rPr>
          <w:rFonts w:ascii="楷体" w:eastAsia="楷体" w:hAnsi="楷体" w:cs="楷体"/>
          <w:sz w:val="30"/>
          <w:szCs w:val="30"/>
        </w:rPr>
      </w:pPr>
    </w:p>
    <w:p w14:paraId="34494B42" w14:textId="77777777" w:rsidR="00EA14D7" w:rsidRDefault="00EA14D7" w:rsidP="00E56A7D">
      <w:pPr>
        <w:tabs>
          <w:tab w:val="left" w:leader="dot" w:pos="8540"/>
        </w:tabs>
        <w:ind w:left="357"/>
        <w:jc w:val="center"/>
        <w:rPr>
          <w:rFonts w:ascii="楷体" w:eastAsia="楷体" w:hAnsi="楷体" w:cs="楷体"/>
          <w:sz w:val="30"/>
          <w:szCs w:val="30"/>
        </w:rPr>
      </w:pPr>
    </w:p>
    <w:p w14:paraId="7AD8E9C8" w14:textId="77777777" w:rsidR="00EA14D7" w:rsidRDefault="00EA14D7" w:rsidP="00E56A7D">
      <w:pPr>
        <w:tabs>
          <w:tab w:val="left" w:leader="dot" w:pos="8540"/>
        </w:tabs>
        <w:ind w:left="357"/>
        <w:jc w:val="center"/>
        <w:rPr>
          <w:rFonts w:ascii="楷体" w:eastAsia="楷体" w:hAnsi="楷体" w:cs="楷体"/>
          <w:sz w:val="30"/>
          <w:szCs w:val="30"/>
        </w:rPr>
      </w:pPr>
    </w:p>
    <w:p w14:paraId="6E8D9072" w14:textId="28A29FA6" w:rsidR="00E56A7D" w:rsidRDefault="00E56A7D" w:rsidP="00E56A7D">
      <w:pPr>
        <w:tabs>
          <w:tab w:val="left" w:leader="dot" w:pos="8540"/>
        </w:tabs>
        <w:ind w:left="357"/>
        <w:jc w:val="center"/>
        <w:rPr>
          <w:rFonts w:ascii="黑体" w:eastAsia="黑体" w:hAnsi="黑体" w:cs="楷体"/>
          <w:sz w:val="36"/>
          <w:szCs w:val="36"/>
        </w:rPr>
      </w:pPr>
      <w:r>
        <w:rPr>
          <w:rFonts w:ascii="黑体" w:eastAsia="黑体" w:hAnsi="黑体" w:cs="楷体" w:hint="eastAsia"/>
          <w:sz w:val="36"/>
          <w:szCs w:val="36"/>
        </w:rPr>
        <w:lastRenderedPageBreak/>
        <w:t>昆明市东川区住房和城乡建设局2</w:t>
      </w:r>
      <w:r>
        <w:rPr>
          <w:rFonts w:ascii="黑体" w:eastAsia="黑体" w:hAnsi="黑体" w:cs="楷体"/>
          <w:sz w:val="36"/>
          <w:szCs w:val="36"/>
        </w:rPr>
        <w:t>0</w:t>
      </w:r>
      <w:r w:rsidR="00877C3E">
        <w:rPr>
          <w:rFonts w:ascii="黑体" w:eastAsia="黑体" w:hAnsi="黑体" w:cs="楷体"/>
          <w:sz w:val="36"/>
          <w:szCs w:val="36"/>
        </w:rPr>
        <w:t>20</w:t>
      </w:r>
      <w:r>
        <w:rPr>
          <w:rFonts w:ascii="黑体" w:eastAsia="黑体" w:hAnsi="黑体" w:cs="楷体" w:hint="eastAsia"/>
          <w:sz w:val="36"/>
          <w:szCs w:val="36"/>
        </w:rPr>
        <w:t>年城市人居环境提升改造工程项目绩效评价报告</w:t>
      </w:r>
    </w:p>
    <w:p w14:paraId="47EB49BE" w14:textId="77777777" w:rsidR="00031DB4" w:rsidRPr="00EA14D7" w:rsidRDefault="00031DB4" w:rsidP="00031DB4">
      <w:pPr>
        <w:spacing w:line="540" w:lineRule="exact"/>
        <w:rPr>
          <w:rFonts w:ascii="仿宋_GB2312" w:eastAsia="仿宋_GB2312" w:hAnsi="黑体" w:cs="楷体"/>
          <w:sz w:val="32"/>
          <w:szCs w:val="32"/>
        </w:rPr>
      </w:pPr>
    </w:p>
    <w:p w14:paraId="2878E042" w14:textId="77777777" w:rsidR="00031DB4" w:rsidRDefault="00926D65" w:rsidP="00031DB4">
      <w:pPr>
        <w:spacing w:line="540" w:lineRule="exact"/>
        <w:ind w:firstLineChars="200" w:firstLine="640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一、项目基本情况</w:t>
      </w:r>
    </w:p>
    <w:p w14:paraId="403FFC79" w14:textId="77777777" w:rsidR="00031DB4" w:rsidRPr="00031DB4" w:rsidRDefault="00926D65" w:rsidP="00031DB4">
      <w:pPr>
        <w:spacing w:line="540" w:lineRule="exact"/>
        <w:ind w:firstLineChars="150" w:firstLine="480"/>
        <w:rPr>
          <w:sz w:val="20"/>
          <w:szCs w:val="20"/>
        </w:rPr>
      </w:pPr>
      <w:r>
        <w:rPr>
          <w:rFonts w:ascii="楷体" w:eastAsia="楷体" w:hAnsi="楷体" w:cs="楷体"/>
          <w:sz w:val="32"/>
          <w:szCs w:val="32"/>
        </w:rPr>
        <w:t>（一）项目基本概况。</w:t>
      </w:r>
    </w:p>
    <w:p w14:paraId="71C58625" w14:textId="77777777" w:rsidR="00926D65" w:rsidRPr="00031DB4" w:rsidRDefault="00031DB4" w:rsidP="00031DB4">
      <w:pPr>
        <w:spacing w:line="5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031DB4">
        <w:rPr>
          <w:rFonts w:ascii="楷体" w:eastAsia="楷体" w:hAnsi="楷体" w:cs="楷体" w:hint="eastAsia"/>
          <w:sz w:val="32"/>
          <w:szCs w:val="32"/>
        </w:rPr>
        <w:t>1、立项背景及目的</w:t>
      </w:r>
    </w:p>
    <w:p w14:paraId="41B831A0" w14:textId="77777777" w:rsidR="00926D65" w:rsidRDefault="00926D65" w:rsidP="005F6030">
      <w:pPr>
        <w:spacing w:line="54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E3348D">
        <w:rPr>
          <w:rFonts w:ascii="仿宋_GB2312" w:eastAsia="仿宋_GB2312" w:hAnsi="仿宋" w:cs="宋体" w:hint="eastAsia"/>
          <w:sz w:val="32"/>
          <w:szCs w:val="32"/>
        </w:rPr>
        <w:t>自东川区划调整以来，东川迎来了新一轮的城市高速发展历程，城市建城区面积由原来的</w:t>
      </w:r>
      <w:r w:rsidRPr="00E3348D">
        <w:rPr>
          <w:rFonts w:ascii="仿宋_GB2312" w:eastAsia="仿宋_GB2312" w:hAnsi="宋体" w:cs="宋体" w:hint="eastAsia"/>
          <w:sz w:val="32"/>
          <w:szCs w:val="32"/>
        </w:rPr>
        <w:t>4</w:t>
      </w:r>
      <w:r w:rsidRPr="00E3348D">
        <w:rPr>
          <w:rFonts w:ascii="仿宋_GB2312" w:eastAsia="仿宋_GB2312" w:hAnsi="仿宋" w:cs="宋体" w:hint="eastAsia"/>
          <w:sz w:val="32"/>
          <w:szCs w:val="32"/>
        </w:rPr>
        <w:t>.</w:t>
      </w:r>
      <w:r w:rsidRPr="00E3348D">
        <w:rPr>
          <w:rFonts w:ascii="仿宋_GB2312" w:eastAsia="仿宋_GB2312" w:hAnsi="宋体" w:cs="宋体" w:hint="eastAsia"/>
          <w:sz w:val="32"/>
          <w:szCs w:val="32"/>
        </w:rPr>
        <w:t>5</w:t>
      </w:r>
      <w:r w:rsidRPr="00E3348D">
        <w:rPr>
          <w:rFonts w:ascii="仿宋_GB2312" w:eastAsia="仿宋_GB2312" w:hAnsi="仿宋" w:cs="宋体" w:hint="eastAsia"/>
          <w:sz w:val="32"/>
          <w:szCs w:val="32"/>
        </w:rPr>
        <w:t>平方公里扩大到约</w:t>
      </w:r>
      <w:r w:rsidRPr="00E3348D">
        <w:rPr>
          <w:rFonts w:ascii="仿宋_GB2312" w:eastAsia="仿宋_GB2312" w:hAnsi="宋体" w:cs="宋体" w:hint="eastAsia"/>
          <w:sz w:val="32"/>
          <w:szCs w:val="32"/>
        </w:rPr>
        <w:t>12</w:t>
      </w:r>
      <w:r w:rsidRPr="00E3348D">
        <w:rPr>
          <w:rFonts w:ascii="仿宋_GB2312" w:eastAsia="仿宋_GB2312" w:hAnsi="仿宋" w:cs="宋体" w:hint="eastAsia"/>
          <w:sz w:val="32"/>
          <w:szCs w:val="32"/>
        </w:rPr>
        <w:t>平方公里。城市高速发展的同时，也伴随着“城市病”的滋生和蔓延，居民的机动车保有量不断增加，机动车出行也不断增加，城市居民日常通勤出行和生活出行给城市交通带来较大的压力。城市交通软硬件环境亟须改进提质以适应市民生产和生活的需要。为加快建设“三美东川·创业铜都”，依据《云南省进一步提升城乡人居环境五年行动计划（</w:t>
      </w:r>
      <w:r w:rsidRPr="00E3348D">
        <w:rPr>
          <w:rFonts w:ascii="仿宋_GB2312" w:eastAsia="仿宋_GB2312" w:hAnsi="宋体" w:cs="宋体" w:hint="eastAsia"/>
          <w:sz w:val="32"/>
          <w:szCs w:val="32"/>
        </w:rPr>
        <w:t>2016</w:t>
      </w:r>
      <w:r w:rsidRPr="00E3348D">
        <w:rPr>
          <w:rFonts w:ascii="仿宋_GB2312" w:eastAsia="仿宋_GB2312" w:hAnsi="仿宋" w:cs="宋体" w:hint="eastAsia"/>
          <w:sz w:val="32"/>
          <w:szCs w:val="32"/>
        </w:rPr>
        <w:t>～</w:t>
      </w:r>
      <w:r w:rsidRPr="00E3348D">
        <w:rPr>
          <w:rFonts w:ascii="仿宋_GB2312" w:eastAsia="仿宋_GB2312" w:hAnsi="宋体" w:cs="宋体" w:hint="eastAsia"/>
          <w:sz w:val="32"/>
          <w:szCs w:val="32"/>
        </w:rPr>
        <w:t>2020</w:t>
      </w:r>
      <w:r w:rsidRPr="00E3348D">
        <w:rPr>
          <w:rFonts w:ascii="仿宋_GB2312" w:eastAsia="仿宋_GB2312" w:hAnsi="仿宋" w:cs="宋体" w:hint="eastAsia"/>
          <w:sz w:val="32"/>
          <w:szCs w:val="32"/>
        </w:rPr>
        <w:t>年）》的要求及东川区委区政府安排部署，东川区城市人居环境提升改造工程列入了我区</w:t>
      </w:r>
      <w:r w:rsidRPr="00E3348D">
        <w:rPr>
          <w:rFonts w:ascii="仿宋_GB2312" w:eastAsia="仿宋_GB2312" w:hAnsi="宋体" w:cs="宋体" w:hint="eastAsia"/>
          <w:sz w:val="32"/>
          <w:szCs w:val="32"/>
        </w:rPr>
        <w:t>2016</w:t>
      </w:r>
      <w:r w:rsidRPr="00E3348D">
        <w:rPr>
          <w:rFonts w:ascii="仿宋_GB2312" w:eastAsia="仿宋_GB2312" w:hAnsi="仿宋" w:cs="宋体" w:hint="eastAsia"/>
          <w:sz w:val="32"/>
          <w:szCs w:val="32"/>
        </w:rPr>
        <w:t>年“三重三十”工作任务中的十大重点项目之一。</w:t>
      </w:r>
    </w:p>
    <w:p w14:paraId="5254AE73" w14:textId="77777777" w:rsidR="00031DB4" w:rsidRPr="00031DB4" w:rsidRDefault="00031DB4" w:rsidP="00031DB4">
      <w:pPr>
        <w:spacing w:line="5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031DB4">
        <w:rPr>
          <w:rFonts w:ascii="楷体" w:eastAsia="楷体" w:hAnsi="楷体" w:cs="楷体" w:hint="eastAsia"/>
          <w:sz w:val="32"/>
          <w:szCs w:val="32"/>
        </w:rPr>
        <w:t>2、项目实施情况</w:t>
      </w:r>
    </w:p>
    <w:p w14:paraId="15B55E20" w14:textId="4DAA384A" w:rsidR="00031DB4" w:rsidRPr="00ED5865" w:rsidRDefault="00926D65" w:rsidP="005F6030">
      <w:pPr>
        <w:spacing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E3348D">
        <w:rPr>
          <w:rFonts w:ascii="仿宋_GB2312" w:eastAsia="仿宋_GB2312" w:hAnsi="仿宋" w:cs="仿宋_GB2312" w:hint="eastAsia"/>
          <w:sz w:val="32"/>
          <w:szCs w:val="32"/>
        </w:rPr>
        <w:t>该项目位于东川区铜都街道，改造</w:t>
      </w:r>
      <w:proofErr w:type="gramStart"/>
      <w:r w:rsidRPr="00E3348D">
        <w:rPr>
          <w:rFonts w:ascii="仿宋_GB2312" w:eastAsia="仿宋_GB2312" w:hAnsi="仿宋" w:cs="仿宋_GB2312" w:hint="eastAsia"/>
          <w:sz w:val="32"/>
          <w:szCs w:val="32"/>
        </w:rPr>
        <w:t>范围南起兴达</w:t>
      </w:r>
      <w:proofErr w:type="gramEnd"/>
      <w:r w:rsidRPr="00E3348D">
        <w:rPr>
          <w:rFonts w:ascii="仿宋_GB2312" w:eastAsia="仿宋_GB2312" w:hAnsi="仿宋" w:cs="仿宋_GB2312" w:hint="eastAsia"/>
          <w:sz w:val="32"/>
          <w:szCs w:val="32"/>
        </w:rPr>
        <w:t>路、北至新桥河，西起</w:t>
      </w:r>
      <w:proofErr w:type="gramStart"/>
      <w:r w:rsidRPr="00E3348D">
        <w:rPr>
          <w:rFonts w:ascii="仿宋_GB2312" w:eastAsia="仿宋_GB2312" w:hAnsi="仿宋" w:cs="仿宋_GB2312" w:hint="eastAsia"/>
          <w:sz w:val="32"/>
          <w:szCs w:val="32"/>
        </w:rPr>
        <w:t>龙东格公路</w:t>
      </w:r>
      <w:proofErr w:type="gramEnd"/>
      <w:r w:rsidRPr="00E3348D">
        <w:rPr>
          <w:rFonts w:ascii="仿宋_GB2312" w:eastAsia="仿宋_GB2312" w:hAnsi="仿宋" w:cs="仿宋_GB2312" w:hint="eastAsia"/>
          <w:sz w:val="32"/>
          <w:szCs w:val="32"/>
        </w:rPr>
        <w:t>，东到东起路，约</w:t>
      </w:r>
      <w:r w:rsidRPr="00E3348D">
        <w:rPr>
          <w:rFonts w:ascii="仿宋_GB2312" w:eastAsia="仿宋_GB2312" w:hAnsi="宋体" w:cs="仿宋_GB2312" w:hint="eastAsia"/>
          <w:sz w:val="32"/>
          <w:szCs w:val="32"/>
        </w:rPr>
        <w:t>8</w:t>
      </w:r>
      <w:r w:rsidRPr="00E3348D">
        <w:rPr>
          <w:rFonts w:ascii="仿宋_GB2312" w:eastAsia="仿宋_GB2312" w:hAnsi="仿宋" w:cs="仿宋_GB2312" w:hint="eastAsia"/>
          <w:sz w:val="32"/>
          <w:szCs w:val="32"/>
        </w:rPr>
        <w:t>平方公里，</w:t>
      </w:r>
      <w:r w:rsidRPr="00E3348D">
        <w:rPr>
          <w:rFonts w:ascii="仿宋_GB2312" w:eastAsia="仿宋_GB2312" w:hAnsi="仿宋" w:cs="宋体" w:hint="eastAsia"/>
          <w:sz w:val="32"/>
          <w:szCs w:val="32"/>
        </w:rPr>
        <w:t>对主城区市府街、文苑巷等共</w:t>
      </w:r>
      <w:r w:rsidRPr="00E3348D">
        <w:rPr>
          <w:rFonts w:ascii="仿宋_GB2312" w:eastAsia="仿宋_GB2312" w:hAnsi="宋体" w:cs="仿宋_GB2312" w:hint="eastAsia"/>
          <w:sz w:val="32"/>
          <w:szCs w:val="32"/>
        </w:rPr>
        <w:t>24</w:t>
      </w:r>
      <w:r w:rsidRPr="00E3348D">
        <w:rPr>
          <w:rFonts w:ascii="仿宋_GB2312" w:eastAsia="仿宋_GB2312" w:hAnsi="仿宋" w:cs="仿宋_GB2312" w:hint="eastAsia"/>
          <w:sz w:val="32"/>
          <w:szCs w:val="32"/>
        </w:rPr>
        <w:t>条城市道路</w:t>
      </w:r>
      <w:r w:rsidR="00961BE2">
        <w:rPr>
          <w:rFonts w:ascii="仿宋_GB2312" w:eastAsia="仿宋_GB2312" w:hAnsi="仿宋" w:cs="仿宋_GB2312" w:hint="eastAsia"/>
          <w:sz w:val="32"/>
          <w:szCs w:val="32"/>
        </w:rPr>
        <w:t>约2</w:t>
      </w:r>
      <w:r w:rsidR="00961BE2">
        <w:rPr>
          <w:rFonts w:ascii="仿宋_GB2312" w:eastAsia="仿宋_GB2312" w:hAnsi="仿宋" w:cs="仿宋_GB2312"/>
          <w:sz w:val="32"/>
          <w:szCs w:val="32"/>
        </w:rPr>
        <w:t>3.4</w:t>
      </w:r>
      <w:r w:rsidR="00961BE2">
        <w:rPr>
          <w:rFonts w:ascii="仿宋_GB2312" w:eastAsia="仿宋_GB2312" w:hAnsi="仿宋" w:cs="仿宋_GB2312" w:hint="eastAsia"/>
          <w:sz w:val="32"/>
          <w:szCs w:val="32"/>
        </w:rPr>
        <w:t>公里</w:t>
      </w:r>
      <w:r w:rsidRPr="00E3348D">
        <w:rPr>
          <w:rFonts w:ascii="仿宋_GB2312" w:eastAsia="仿宋_GB2312" w:hAnsi="仿宋" w:cs="仿宋_GB2312" w:hint="eastAsia"/>
          <w:sz w:val="32"/>
          <w:szCs w:val="32"/>
        </w:rPr>
        <w:t>进行提升改造。</w:t>
      </w:r>
      <w:r w:rsidRPr="00E3348D">
        <w:rPr>
          <w:rFonts w:ascii="仿宋_GB2312" w:eastAsia="仿宋_GB2312" w:hAnsi="仿宋" w:hint="eastAsia"/>
          <w:spacing w:val="-4"/>
          <w:sz w:val="32"/>
          <w:szCs w:val="32"/>
        </w:rPr>
        <w:t>该工程总投资约</w:t>
      </w:r>
      <w:r w:rsidRPr="00E3348D">
        <w:rPr>
          <w:rFonts w:ascii="仿宋_GB2312" w:eastAsia="仿宋_GB2312" w:hAnsi="宋体" w:hint="eastAsia"/>
          <w:spacing w:val="-4"/>
          <w:sz w:val="32"/>
          <w:szCs w:val="32"/>
        </w:rPr>
        <w:t>7</w:t>
      </w:r>
      <w:r w:rsidRPr="00E3348D">
        <w:rPr>
          <w:rFonts w:ascii="仿宋_GB2312" w:eastAsia="仿宋_GB2312" w:hAnsi="仿宋" w:hint="eastAsia"/>
          <w:spacing w:val="-4"/>
          <w:sz w:val="32"/>
          <w:szCs w:val="32"/>
        </w:rPr>
        <w:t>.</w:t>
      </w:r>
      <w:r w:rsidRPr="00E3348D">
        <w:rPr>
          <w:rFonts w:ascii="仿宋_GB2312" w:eastAsia="仿宋_GB2312" w:hAnsi="宋体" w:hint="eastAsia"/>
          <w:spacing w:val="-4"/>
          <w:sz w:val="32"/>
          <w:szCs w:val="32"/>
        </w:rPr>
        <w:t>14</w:t>
      </w:r>
      <w:r w:rsidRPr="00E3348D">
        <w:rPr>
          <w:rFonts w:ascii="仿宋_GB2312" w:eastAsia="仿宋_GB2312" w:hAnsi="仿宋" w:hint="eastAsia"/>
          <w:spacing w:val="-4"/>
          <w:sz w:val="32"/>
          <w:szCs w:val="32"/>
        </w:rPr>
        <w:t>亿元，资金筹措方式为政府投资与银行贷款相结合的方式（</w:t>
      </w:r>
      <w:r w:rsidRPr="00960D07">
        <w:rPr>
          <w:rFonts w:ascii="仿宋_GB2312" w:eastAsia="仿宋_GB2312" w:hAnsi="仿宋" w:hint="eastAsia"/>
          <w:spacing w:val="-4"/>
          <w:sz w:val="32"/>
          <w:szCs w:val="32"/>
        </w:rPr>
        <w:t>PPP合作方式）</w:t>
      </w:r>
      <w:r w:rsidRPr="00E3348D">
        <w:rPr>
          <w:rFonts w:ascii="仿宋_GB2312" w:eastAsia="仿宋_GB2312" w:hAnsi="仿宋" w:hint="eastAsia"/>
          <w:spacing w:val="-4"/>
          <w:sz w:val="32"/>
          <w:szCs w:val="32"/>
        </w:rPr>
        <w:t>。计划</w:t>
      </w:r>
      <w:r w:rsidRPr="00E3348D">
        <w:rPr>
          <w:rFonts w:ascii="仿宋_GB2312" w:eastAsia="仿宋_GB2312" w:hAnsi="宋体" w:hint="eastAsia"/>
          <w:spacing w:val="-4"/>
          <w:sz w:val="32"/>
          <w:szCs w:val="32"/>
        </w:rPr>
        <w:t>2018</w:t>
      </w:r>
      <w:r w:rsidRPr="00E3348D">
        <w:rPr>
          <w:rFonts w:ascii="仿宋_GB2312" w:eastAsia="仿宋_GB2312" w:hAnsi="仿宋" w:hint="eastAsia"/>
          <w:spacing w:val="-4"/>
          <w:sz w:val="32"/>
          <w:szCs w:val="32"/>
        </w:rPr>
        <w:t>年</w:t>
      </w:r>
      <w:r w:rsidRPr="00E3348D">
        <w:rPr>
          <w:rFonts w:ascii="仿宋_GB2312" w:eastAsia="仿宋_GB2312" w:hAnsi="宋体" w:hint="eastAsia"/>
          <w:spacing w:val="-4"/>
          <w:sz w:val="32"/>
          <w:szCs w:val="32"/>
        </w:rPr>
        <w:t>12</w:t>
      </w:r>
      <w:r w:rsidRPr="00E3348D">
        <w:rPr>
          <w:rFonts w:ascii="仿宋_GB2312" w:eastAsia="仿宋_GB2312" w:hAnsi="仿宋" w:hint="eastAsia"/>
          <w:spacing w:val="-4"/>
          <w:sz w:val="32"/>
          <w:szCs w:val="32"/>
        </w:rPr>
        <w:t>月底全部完成道路改造程</w:t>
      </w:r>
      <w:r w:rsidR="00A67A78">
        <w:rPr>
          <w:rFonts w:ascii="仿宋_GB2312" w:eastAsia="仿宋_GB2312" w:hAnsi="仿宋" w:hint="eastAsia"/>
          <w:spacing w:val="-4"/>
          <w:sz w:val="32"/>
          <w:szCs w:val="32"/>
        </w:rPr>
        <w:t>，</w:t>
      </w:r>
      <w:r w:rsidR="00A67A78" w:rsidRPr="002D0F02">
        <w:rPr>
          <w:rFonts w:ascii="仿宋_GB2312" w:eastAsia="仿宋_GB2312" w:hAnsi="仿宋" w:hint="eastAsia"/>
          <w:spacing w:val="-4"/>
          <w:sz w:val="32"/>
          <w:szCs w:val="32"/>
        </w:rPr>
        <w:t>2</w:t>
      </w:r>
      <w:r w:rsidR="00A67A78" w:rsidRPr="002D0F02">
        <w:rPr>
          <w:rFonts w:ascii="仿宋_GB2312" w:eastAsia="仿宋_GB2312" w:hAnsi="仿宋"/>
          <w:spacing w:val="-4"/>
          <w:sz w:val="32"/>
          <w:szCs w:val="32"/>
        </w:rPr>
        <w:t>019</w:t>
      </w:r>
      <w:r w:rsidR="00A67A78" w:rsidRPr="002D0F02">
        <w:rPr>
          <w:rFonts w:ascii="仿宋_GB2312" w:eastAsia="仿宋_GB2312" w:hAnsi="仿宋" w:hint="eastAsia"/>
          <w:spacing w:val="-4"/>
          <w:sz w:val="32"/>
          <w:szCs w:val="32"/>
        </w:rPr>
        <w:t>年调整金沙路的道路工程，属于续建</w:t>
      </w:r>
      <w:r w:rsidR="002D0F02">
        <w:rPr>
          <w:rFonts w:ascii="仿宋_GB2312" w:eastAsia="仿宋_GB2312" w:hAnsi="仿宋" w:hint="eastAsia"/>
          <w:spacing w:val="-4"/>
          <w:sz w:val="32"/>
          <w:szCs w:val="32"/>
        </w:rPr>
        <w:t>，</w:t>
      </w:r>
      <w:r w:rsidR="00ED5865">
        <w:rPr>
          <w:rFonts w:ascii="仿宋_GB2312" w:eastAsia="仿宋_GB2312" w:hAnsi="仿宋" w:hint="eastAsia"/>
          <w:spacing w:val="-4"/>
          <w:sz w:val="32"/>
          <w:szCs w:val="32"/>
        </w:rPr>
        <w:t>内容为：</w:t>
      </w:r>
      <w:r w:rsidR="00ED5865" w:rsidRPr="00ED5865">
        <w:rPr>
          <w:rFonts w:ascii="仿宋_GB2312" w:eastAsia="仿宋_GB2312" w:hAnsi="仿宋" w:cs="宋体"/>
          <w:sz w:val="32"/>
          <w:szCs w:val="32"/>
        </w:rPr>
        <w:t>起点接现状金沙路，从南向北延伸，与七条规划道路分别平面相交后，止于机电职业技术学院东侧现状道路。道路</w:t>
      </w:r>
      <w:r w:rsidR="00ED5865" w:rsidRPr="00ED5865">
        <w:rPr>
          <w:rFonts w:ascii="仿宋_GB2312" w:eastAsia="仿宋_GB2312" w:hAnsi="仿宋" w:cs="宋体" w:hint="eastAsia"/>
          <w:sz w:val="32"/>
          <w:szCs w:val="32"/>
        </w:rPr>
        <w:t>为</w:t>
      </w:r>
      <w:r w:rsidR="00ED5865" w:rsidRPr="00ED5865">
        <w:rPr>
          <w:rFonts w:ascii="仿宋_GB2312" w:eastAsia="仿宋_GB2312" w:hAnsi="仿宋" w:cs="宋体"/>
          <w:sz w:val="32"/>
          <w:szCs w:val="32"/>
        </w:rPr>
        <w:t>双向4车道，路幅宽度30m，设计速度40km/h，道路定义为城市主干道。全线长1.604km，包含大桥一座，</w:t>
      </w:r>
      <w:r w:rsidR="00ED5865" w:rsidRPr="00ED5865">
        <w:rPr>
          <w:rFonts w:ascii="仿宋_GB2312" w:eastAsia="仿宋_GB2312" w:hAnsi="仿宋" w:cs="宋体" w:hint="eastAsia"/>
          <w:sz w:val="32"/>
          <w:szCs w:val="32"/>
        </w:rPr>
        <w:t>横跨</w:t>
      </w:r>
      <w:r w:rsidR="00ED5865" w:rsidRPr="00ED5865">
        <w:rPr>
          <w:rFonts w:ascii="仿宋_GB2312" w:eastAsia="仿宋_GB2312" w:hAnsi="仿宋" w:cs="宋体"/>
          <w:sz w:val="32"/>
          <w:szCs w:val="32"/>
        </w:rPr>
        <w:t xml:space="preserve">深沟，桥长372米 </w:t>
      </w:r>
      <w:r w:rsidR="00ED5865">
        <w:rPr>
          <w:rFonts w:ascii="仿宋_GB2312" w:eastAsia="仿宋_GB2312" w:hAnsi="仿宋" w:cs="宋体" w:hint="eastAsia"/>
          <w:sz w:val="32"/>
          <w:szCs w:val="32"/>
        </w:rPr>
        <w:t>。</w:t>
      </w:r>
    </w:p>
    <w:p w14:paraId="69E8BE20" w14:textId="77777777" w:rsidR="00960D07" w:rsidRPr="00960D07" w:rsidRDefault="00031DB4" w:rsidP="00926D65">
      <w:pPr>
        <w:spacing w:line="56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3、资金来源及使用情况</w:t>
      </w:r>
    </w:p>
    <w:p w14:paraId="20D2BCED" w14:textId="5CFB0A3B" w:rsidR="00031DB4" w:rsidRPr="006A4AE0" w:rsidRDefault="00955B3D" w:rsidP="006A4AE0">
      <w:pPr>
        <w:spacing w:line="560" w:lineRule="exact"/>
        <w:ind w:firstLineChars="200" w:firstLine="624"/>
        <w:jc w:val="both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lastRenderedPageBreak/>
        <w:t>2</w:t>
      </w:r>
      <w:r>
        <w:rPr>
          <w:rFonts w:ascii="仿宋_GB2312" w:eastAsia="仿宋_GB2312" w:hAnsi="仿宋"/>
          <w:spacing w:val="-4"/>
          <w:sz w:val="32"/>
          <w:szCs w:val="32"/>
        </w:rPr>
        <w:t>020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年</w:t>
      </w:r>
      <w:r w:rsidR="0004565E">
        <w:rPr>
          <w:rFonts w:ascii="仿宋_GB2312" w:eastAsia="仿宋_GB2312" w:hAnsi="仿宋" w:hint="eastAsia"/>
          <w:spacing w:val="-4"/>
          <w:sz w:val="32"/>
          <w:szCs w:val="32"/>
        </w:rPr>
        <w:t>年初预算安排资金9</w:t>
      </w:r>
      <w:r w:rsidR="0004565E">
        <w:rPr>
          <w:rFonts w:ascii="仿宋_GB2312" w:eastAsia="仿宋_GB2312" w:hAnsi="仿宋"/>
          <w:spacing w:val="-4"/>
          <w:sz w:val="32"/>
          <w:szCs w:val="32"/>
        </w:rPr>
        <w:t>87</w:t>
      </w:r>
      <w:r w:rsidR="0004565E">
        <w:rPr>
          <w:rFonts w:ascii="仿宋_GB2312" w:eastAsia="仿宋_GB2312" w:hAnsi="仿宋" w:hint="eastAsia"/>
          <w:spacing w:val="-4"/>
          <w:sz w:val="32"/>
          <w:szCs w:val="32"/>
        </w:rPr>
        <w:t>万，专项用于人居环境改造提升项目2</w:t>
      </w:r>
      <w:r w:rsidR="0004565E">
        <w:rPr>
          <w:rFonts w:ascii="仿宋_GB2312" w:eastAsia="仿宋_GB2312" w:hAnsi="仿宋"/>
          <w:spacing w:val="-4"/>
          <w:sz w:val="32"/>
          <w:szCs w:val="32"/>
        </w:rPr>
        <w:t>020</w:t>
      </w:r>
      <w:r w:rsidR="0004565E">
        <w:rPr>
          <w:rFonts w:ascii="仿宋_GB2312" w:eastAsia="仿宋_GB2312" w:hAnsi="仿宋" w:hint="eastAsia"/>
          <w:spacing w:val="-4"/>
          <w:sz w:val="32"/>
          <w:szCs w:val="32"/>
        </w:rPr>
        <w:t>年部分，</w:t>
      </w:r>
      <w:r w:rsidR="0004565E" w:rsidRPr="00CF3D59">
        <w:rPr>
          <w:rFonts w:eastAsia="仿宋_GB2312" w:hint="eastAsia"/>
          <w:sz w:val="32"/>
          <w:szCs w:val="32"/>
        </w:rPr>
        <w:t>资金使用规范，符合</w:t>
      </w:r>
      <w:r w:rsidR="0004565E">
        <w:rPr>
          <w:rFonts w:eastAsia="仿宋_GB2312" w:hint="eastAsia"/>
          <w:sz w:val="32"/>
          <w:szCs w:val="32"/>
        </w:rPr>
        <w:t>有关</w:t>
      </w:r>
      <w:r w:rsidR="0004565E" w:rsidRPr="00CF3D59">
        <w:rPr>
          <w:rFonts w:eastAsia="仿宋_GB2312" w:hint="eastAsia"/>
          <w:sz w:val="32"/>
          <w:szCs w:val="32"/>
        </w:rPr>
        <w:t>专项资金管理办法的规定；资金的拨付有完整的审批程序和手续；不存在截留、挤占、挪用、虚列支出等情况</w:t>
      </w:r>
      <w:r w:rsidR="005B6261">
        <w:rPr>
          <w:rFonts w:eastAsia="仿宋_GB2312" w:hint="eastAsia"/>
          <w:sz w:val="32"/>
          <w:szCs w:val="32"/>
        </w:rPr>
        <w:t>。</w:t>
      </w:r>
      <w:r w:rsidR="0004565E">
        <w:rPr>
          <w:rFonts w:eastAsia="仿宋_GB2312" w:hint="eastAsia"/>
          <w:sz w:val="32"/>
          <w:szCs w:val="32"/>
        </w:rPr>
        <w:t>实际</w:t>
      </w:r>
      <w:r w:rsidR="005B6261">
        <w:rPr>
          <w:rFonts w:eastAsia="仿宋_GB2312" w:hint="eastAsia"/>
          <w:sz w:val="32"/>
          <w:szCs w:val="32"/>
        </w:rPr>
        <w:t>执行</w:t>
      </w:r>
      <w:r w:rsidR="006A4AE0">
        <w:rPr>
          <w:rFonts w:eastAsia="仿宋_GB2312"/>
          <w:sz w:val="32"/>
          <w:szCs w:val="32"/>
        </w:rPr>
        <w:t>987</w:t>
      </w:r>
      <w:r w:rsidR="0004565E">
        <w:rPr>
          <w:rFonts w:eastAsia="仿宋_GB2312" w:hint="eastAsia"/>
          <w:sz w:val="32"/>
          <w:szCs w:val="32"/>
        </w:rPr>
        <w:t>万元</w:t>
      </w:r>
      <w:r w:rsidR="0004565E">
        <w:rPr>
          <w:rFonts w:ascii="仿宋_GB2312" w:eastAsia="仿宋_GB2312" w:hAnsi="仿宋" w:hint="eastAsia"/>
          <w:spacing w:val="-4"/>
          <w:sz w:val="32"/>
          <w:szCs w:val="32"/>
        </w:rPr>
        <w:t>。</w:t>
      </w:r>
    </w:p>
    <w:p w14:paraId="4FA687C5" w14:textId="77777777" w:rsidR="00960D07" w:rsidRDefault="003A0069" w:rsidP="00926D65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4、组织及管理情况</w:t>
      </w:r>
    </w:p>
    <w:p w14:paraId="42B368D5" w14:textId="6FF60210" w:rsidR="00DD406F" w:rsidRDefault="00DD406F" w:rsidP="00DD406F">
      <w:pPr>
        <w:spacing w:line="54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该项目是由区住建局牵头，负责项目的统筹组织、协调推进工作；由东川</w:t>
      </w:r>
      <w:proofErr w:type="gramStart"/>
      <w:r>
        <w:rPr>
          <w:rFonts w:ascii="仿宋_GB2312" w:eastAsia="仿宋_GB2312" w:hAnsi="仿宋" w:cs="宋体" w:hint="eastAsia"/>
          <w:sz w:val="32"/>
          <w:szCs w:val="32"/>
        </w:rPr>
        <w:t>区建投公司</w:t>
      </w:r>
      <w:proofErr w:type="gramEnd"/>
      <w:r>
        <w:rPr>
          <w:rFonts w:ascii="仿宋_GB2312" w:eastAsia="仿宋_GB2312" w:hAnsi="仿宋" w:cs="宋体" w:hint="eastAsia"/>
          <w:sz w:val="32"/>
          <w:szCs w:val="32"/>
        </w:rPr>
        <w:t>负责根据计划组织实施建设。</w:t>
      </w:r>
    </w:p>
    <w:p w14:paraId="77C98C2A" w14:textId="77777777" w:rsidR="003A0B42" w:rsidRPr="003A0B42" w:rsidRDefault="003A0B42" w:rsidP="00DD406F">
      <w:pPr>
        <w:spacing w:line="54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3A0B42">
        <w:rPr>
          <w:rFonts w:ascii="楷体_GB2312" w:eastAsia="楷体_GB2312" w:hAnsi="楷体" w:hint="eastAsia"/>
          <w:sz w:val="32"/>
          <w:szCs w:val="32"/>
        </w:rPr>
        <w:t>（二）绩效目标。</w:t>
      </w:r>
    </w:p>
    <w:p w14:paraId="0A1330D4" w14:textId="77777777" w:rsidR="003A0069" w:rsidRDefault="003A0B42" w:rsidP="00926D65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1、总目标</w:t>
      </w:r>
    </w:p>
    <w:p w14:paraId="1D44FB60" w14:textId="018352E2" w:rsidR="00961BE2" w:rsidRDefault="00605A03" w:rsidP="00605A03">
      <w:pPr>
        <w:spacing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完成东川区城市人居环境提升改造工程项目，包括道路工程及城市风貌建设。</w:t>
      </w:r>
      <w:r>
        <w:rPr>
          <w:rFonts w:ascii="仿宋_GB2312" w:eastAsia="仿宋_GB2312" w:hAnsi="仿宋" w:cs="宋体"/>
          <w:sz w:val="32"/>
          <w:szCs w:val="32"/>
        </w:rPr>
        <w:t xml:space="preserve"> </w:t>
      </w:r>
    </w:p>
    <w:p w14:paraId="7A6C5ADA" w14:textId="77777777" w:rsidR="007E7DBD" w:rsidRDefault="003A0B42" w:rsidP="007E7DBD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2、年度目标</w:t>
      </w:r>
    </w:p>
    <w:p w14:paraId="29E65A41" w14:textId="6385C6CE" w:rsidR="007E7DBD" w:rsidRPr="00ED5865" w:rsidRDefault="007E7DBD" w:rsidP="005F6030">
      <w:pPr>
        <w:spacing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ED5865">
        <w:rPr>
          <w:rFonts w:ascii="仿宋_GB2312" w:eastAsia="仿宋_GB2312" w:hAnsi="仿宋" w:cs="宋体" w:hint="eastAsia"/>
          <w:sz w:val="32"/>
          <w:szCs w:val="32"/>
        </w:rPr>
        <w:t>2</w:t>
      </w:r>
      <w:r w:rsidRPr="00ED5865">
        <w:rPr>
          <w:rFonts w:ascii="仿宋_GB2312" w:eastAsia="仿宋_GB2312" w:hAnsi="仿宋" w:cs="宋体"/>
          <w:sz w:val="32"/>
          <w:szCs w:val="32"/>
        </w:rPr>
        <w:t>0</w:t>
      </w:r>
      <w:r w:rsidR="00877C3E" w:rsidRPr="00ED5865">
        <w:rPr>
          <w:rFonts w:ascii="仿宋_GB2312" w:eastAsia="仿宋_GB2312" w:hAnsi="仿宋" w:cs="宋体"/>
          <w:sz w:val="32"/>
          <w:szCs w:val="32"/>
        </w:rPr>
        <w:t>20</w:t>
      </w:r>
      <w:r w:rsidRPr="00ED5865">
        <w:rPr>
          <w:rFonts w:ascii="仿宋_GB2312" w:eastAsia="仿宋_GB2312" w:hAnsi="仿宋" w:cs="宋体" w:hint="eastAsia"/>
          <w:sz w:val="32"/>
          <w:szCs w:val="32"/>
        </w:rPr>
        <w:t>年完成东川区</w:t>
      </w:r>
      <w:r w:rsidR="006A4AE0" w:rsidRPr="00ED5865">
        <w:rPr>
          <w:rFonts w:ascii="仿宋_GB2312" w:eastAsia="仿宋_GB2312" w:hAnsi="仿宋" w:hint="eastAsia"/>
          <w:spacing w:val="-4"/>
          <w:sz w:val="32"/>
          <w:szCs w:val="32"/>
        </w:rPr>
        <w:t>金沙路的道路工程</w:t>
      </w:r>
      <w:r w:rsidR="006A4AE0" w:rsidRPr="00ED5865">
        <w:rPr>
          <w:rFonts w:ascii="仿宋_GB2312" w:eastAsia="仿宋_GB2312" w:hAnsi="仿宋" w:cs="宋体" w:hint="eastAsia"/>
          <w:sz w:val="32"/>
          <w:szCs w:val="32"/>
        </w:rPr>
        <w:t>。</w:t>
      </w:r>
      <w:r w:rsidR="00605A03" w:rsidRPr="00ED5865">
        <w:rPr>
          <w:rFonts w:ascii="仿宋_GB2312" w:eastAsia="仿宋_GB2312" w:hAnsi="仿宋" w:cs="宋体" w:hint="eastAsia"/>
          <w:sz w:val="32"/>
          <w:szCs w:val="32"/>
        </w:rPr>
        <w:t>内容包括</w:t>
      </w:r>
      <w:r w:rsidR="00605A03" w:rsidRPr="00ED5865">
        <w:rPr>
          <w:rFonts w:ascii="仿宋_GB2312" w:eastAsia="仿宋_GB2312" w:hAnsi="仿宋" w:cs="宋体"/>
          <w:sz w:val="32"/>
          <w:szCs w:val="32"/>
        </w:rPr>
        <w:t>道路全长1.604千米，双向4车道，路幅宽度30米，设计速度40km/h，道路为城市主干道。含大桥一座长372米。</w:t>
      </w:r>
    </w:p>
    <w:p w14:paraId="0521293D" w14:textId="77777777" w:rsidR="0051024A" w:rsidRDefault="00DF2C10" w:rsidP="007E7DBD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二、绩效评价工作情况</w:t>
      </w:r>
    </w:p>
    <w:p w14:paraId="6437B06C" w14:textId="77777777" w:rsidR="006D3529" w:rsidRDefault="00DF2C10" w:rsidP="006D3529">
      <w:pPr>
        <w:spacing w:line="560" w:lineRule="exact"/>
        <w:ind w:firstLineChars="200"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（一）</w:t>
      </w:r>
      <w:r w:rsidR="006D3529">
        <w:rPr>
          <w:rFonts w:ascii="仿宋_GB2312" w:eastAsia="仿宋_GB2312" w:hAnsi="黑体" w:cs="宋体" w:hint="eastAsia"/>
          <w:sz w:val="32"/>
          <w:szCs w:val="32"/>
        </w:rPr>
        <w:t>绩效评价目的</w:t>
      </w:r>
    </w:p>
    <w:p w14:paraId="4777FFF7" w14:textId="77777777" w:rsidR="006D3529" w:rsidRPr="00C54247" w:rsidRDefault="006D3529" w:rsidP="005F6030">
      <w:pPr>
        <w:spacing w:line="540" w:lineRule="exact"/>
        <w:ind w:right="204"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C54247">
        <w:rPr>
          <w:rFonts w:ascii="仿宋_GB2312" w:eastAsia="仿宋_GB2312" w:hAnsi="仿宋" w:cs="仿宋" w:hint="eastAsia"/>
          <w:sz w:val="32"/>
          <w:szCs w:val="32"/>
        </w:rPr>
        <w:t>通过独立、客观、公正地评价项目经费及项目的目标实现情况，系统、科学地考评项目资金支出效益及综合社会经济效果，总结项目资金使用中的主要经验及存在问题，提出有针对性和可操作性的政策建议，不断提高财政资金管理水平和使用效益。从项目投入、实施过程、绩效表现情况等方面，反映项目实施的效果。</w:t>
      </w:r>
    </w:p>
    <w:p w14:paraId="61A393AD" w14:textId="77777777" w:rsidR="006D3529" w:rsidRDefault="006D3529" w:rsidP="006D3529">
      <w:pPr>
        <w:spacing w:line="540" w:lineRule="exact"/>
        <w:ind w:firstLineChars="200"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（二）</w:t>
      </w:r>
      <w:r w:rsidR="0024740B">
        <w:rPr>
          <w:rFonts w:ascii="仿宋_GB2312" w:eastAsia="仿宋_GB2312" w:hAnsi="黑体" w:cs="宋体" w:hint="eastAsia"/>
          <w:sz w:val="32"/>
          <w:szCs w:val="32"/>
        </w:rPr>
        <w:t>绩效评价工作方案制定过程</w:t>
      </w:r>
    </w:p>
    <w:p w14:paraId="5B6531BB" w14:textId="77777777" w:rsidR="0024740B" w:rsidRDefault="00A6231A" w:rsidP="006D3529">
      <w:pPr>
        <w:spacing w:line="540" w:lineRule="exact"/>
        <w:ind w:firstLineChars="200" w:firstLine="640"/>
        <w:rPr>
          <w:rFonts w:ascii="仿宋_GB2312" w:eastAsia="仿宋_GB2312" w:hAnsi="黑体" w:cs="宋体"/>
          <w:sz w:val="32"/>
          <w:szCs w:val="32"/>
        </w:rPr>
      </w:pPr>
      <w:r w:rsidRPr="007C52DC">
        <w:rPr>
          <w:rFonts w:ascii="仿宋_GB2312" w:eastAsia="仿宋_GB2312" w:hAnsi="仿宋_GB2312" w:cs="仿宋_GB2312" w:hint="eastAsia"/>
          <w:sz w:val="32"/>
          <w:szCs w:val="32"/>
        </w:rPr>
        <w:t>通过相关资料，初步了解项目实施内容和实施情况，在此基础上拟定项目实施单位需要提交的资料清单。根据项目相关管理制度，结合项目立项及批复、实施过程中召开的相关会议等资</w:t>
      </w:r>
      <w:r w:rsidRPr="007C52D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料，对项目目前的实施情况和实施过程中存在的问题等进行初步了解。根据项目特点设置个性指标，通过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与相关单位公司</w:t>
      </w:r>
      <w:r w:rsidRPr="007C52DC">
        <w:rPr>
          <w:rFonts w:ascii="仿宋_GB2312" w:eastAsia="仿宋_GB2312" w:hAnsi="仿宋_GB2312" w:cs="仿宋_GB2312" w:hint="eastAsia"/>
          <w:sz w:val="32"/>
          <w:szCs w:val="32"/>
        </w:rPr>
        <w:t>沟通和讨论后修改完善指标，作为后期评价</w:t>
      </w:r>
      <w:r w:rsidRPr="00A6231A">
        <w:rPr>
          <w:rFonts w:ascii="仿宋_GB2312" w:eastAsia="仿宋_GB2312" w:hAnsi="仿宋_GB2312" w:cs="仿宋_GB2312" w:hint="eastAsia"/>
          <w:sz w:val="32"/>
          <w:szCs w:val="32"/>
        </w:rPr>
        <w:t>工作开展的</w:t>
      </w:r>
      <w:r w:rsidRPr="007C52DC">
        <w:rPr>
          <w:rFonts w:ascii="仿宋_GB2312" w:eastAsia="仿宋_GB2312" w:hAnsi="仿宋_GB2312" w:cs="仿宋_GB2312" w:hint="eastAsia"/>
          <w:sz w:val="32"/>
          <w:szCs w:val="32"/>
        </w:rPr>
        <w:t>重要依据。</w:t>
      </w:r>
    </w:p>
    <w:p w14:paraId="5431C3A0" w14:textId="77777777" w:rsidR="0024740B" w:rsidRDefault="0024740B" w:rsidP="006D3529">
      <w:pPr>
        <w:spacing w:line="540" w:lineRule="exact"/>
        <w:ind w:firstLineChars="200"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（三）绩效评价原则、评价方法</w:t>
      </w:r>
    </w:p>
    <w:p w14:paraId="142AB229" w14:textId="77777777" w:rsidR="00A36149" w:rsidRPr="00C54247" w:rsidRDefault="00A36149" w:rsidP="005F6030">
      <w:pPr>
        <w:spacing w:line="540" w:lineRule="exact"/>
        <w:ind w:left="357" w:firstLineChars="200" w:firstLine="620"/>
        <w:jc w:val="both"/>
        <w:rPr>
          <w:rFonts w:ascii="仿宋_GB2312" w:eastAsia="仿宋_GB2312"/>
          <w:sz w:val="20"/>
          <w:szCs w:val="20"/>
        </w:rPr>
      </w:pPr>
      <w:r w:rsidRPr="00C54247">
        <w:rPr>
          <w:rFonts w:ascii="仿宋_GB2312" w:eastAsia="仿宋_GB2312" w:hAnsi="仿宋" w:cs="仿宋" w:hint="eastAsia"/>
          <w:sz w:val="31"/>
          <w:szCs w:val="31"/>
        </w:rPr>
        <w:t>本次绩效评价，按照项目绩效评价指标体系的要求，采取全面评价与重点抽查相结合、现场评价与非现场评价相结合的方式进行，具体如下：与项目主管、项目负责人、财务人员进行座谈，听取项目介绍，对项目的立项、资金到位及使用、项目实施管理等方面进行了解。取得项目主管单位提供项目资金申请下达文件、相关文件、项目相关的财务资料；项目实施过程及产出的相关数据、实施效果、</w:t>
      </w:r>
      <w:r w:rsidRPr="00C54247">
        <w:rPr>
          <w:rFonts w:ascii="仿宋_GB2312" w:eastAsia="仿宋_GB2312" w:hAnsi="仿宋" w:cs="仿宋" w:hint="eastAsia"/>
          <w:sz w:val="32"/>
          <w:szCs w:val="32"/>
        </w:rPr>
        <w:t>实施检查、考核的相关文件、项目绩效自评报告等资料。</w:t>
      </w:r>
    </w:p>
    <w:p w14:paraId="45018AFD" w14:textId="77777777" w:rsidR="0024740B" w:rsidRDefault="0024740B" w:rsidP="006D3529">
      <w:pPr>
        <w:spacing w:line="540" w:lineRule="exact"/>
        <w:ind w:firstLineChars="200"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（四）绩效评价实施过程</w:t>
      </w:r>
    </w:p>
    <w:p w14:paraId="673DD94F" w14:textId="77777777" w:rsidR="00953CE4" w:rsidRDefault="00E8681E" w:rsidP="00FE5E7A">
      <w:pPr>
        <w:spacing w:line="540" w:lineRule="exact"/>
        <w:ind w:firstLineChars="200" w:firstLine="640"/>
        <w:rPr>
          <w:rFonts w:ascii="仿宋_GB2312" w:eastAsia="仿宋_GB2312" w:hAnsi="黑体" w:cs="宋体"/>
          <w:sz w:val="32"/>
          <w:szCs w:val="32"/>
        </w:rPr>
      </w:pPr>
      <w:r w:rsidRPr="007C52DC">
        <w:rPr>
          <w:rFonts w:ascii="仿宋_GB2312" w:eastAsia="仿宋_GB2312" w:hAnsi="仿宋_GB2312" w:cs="仿宋_GB2312" w:hint="eastAsia"/>
          <w:sz w:val="32"/>
          <w:szCs w:val="32"/>
        </w:rPr>
        <w:t>遵循科学规范原则、公正公开原则、分级分类原则、相关性原则、重要性原则、可比性原则、系统性原则和经济性原则，采用调查收集资料法、因素分析法、比较法和公众评判法等基本评价方法对该项目实施进行真实、客观、公正独立的评价，对具体项目采取定量指标与定性指标相结合，以定量为主、定性为辅的方式开展评价工作。</w:t>
      </w:r>
    </w:p>
    <w:p w14:paraId="4AC69DE4" w14:textId="77777777" w:rsidR="0024740B" w:rsidRDefault="0024740B" w:rsidP="00FE5E7A">
      <w:pPr>
        <w:spacing w:line="540" w:lineRule="exact"/>
        <w:ind w:firstLineChars="200"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（五）本次绩效评价的局限性</w:t>
      </w:r>
    </w:p>
    <w:p w14:paraId="40A406C6" w14:textId="77777777" w:rsidR="00C958AA" w:rsidRPr="00C958AA" w:rsidRDefault="00C958AA" w:rsidP="00C958AA">
      <w:pPr>
        <w:numPr>
          <w:ilvl w:val="255"/>
          <w:numId w:val="0"/>
        </w:num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52DC">
        <w:rPr>
          <w:rFonts w:ascii="仿宋_GB2312" w:eastAsia="仿宋_GB2312" w:hAnsi="仿宋_GB2312" w:cs="仿宋_GB2312" w:hint="eastAsia"/>
          <w:sz w:val="32"/>
          <w:szCs w:val="32"/>
        </w:rPr>
        <w:t>采用多种方式综合验证保证了绩效评价的真实、合理性，并最大限度地获取了充分、适当的评价证据，但是在评价过程中也存在诸多局限性，例如，我们只能针对抽查的部分群众发放问卷调查，最终掌握群众的满意程度，因为问卷调查主要为通过随机选择部分目标样本进行调查，因此可能无法代表所有人的意愿。</w:t>
      </w:r>
    </w:p>
    <w:p w14:paraId="6FA4B6B0" w14:textId="77777777" w:rsidR="00FE5E7A" w:rsidRDefault="00FE5E7A" w:rsidP="00FE5E7A">
      <w:pPr>
        <w:topLinePunct/>
        <w:spacing w:line="54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FE5E7A">
        <w:rPr>
          <w:rFonts w:ascii="黑体" w:eastAsia="黑体" w:hAnsi="黑体" w:hint="eastAsia"/>
          <w:sz w:val="32"/>
          <w:szCs w:val="32"/>
        </w:rPr>
        <w:t>三、评价结论和绩效分析</w:t>
      </w:r>
    </w:p>
    <w:p w14:paraId="1D017932" w14:textId="77777777" w:rsidR="00FE5E7A" w:rsidRDefault="00FE5E7A" w:rsidP="00FE5E7A">
      <w:pPr>
        <w:topLinePunct/>
        <w:spacing w:line="540" w:lineRule="exact"/>
        <w:ind w:firstLineChars="250" w:firstLine="800"/>
        <w:rPr>
          <w:rFonts w:ascii="楷体_GB2312" w:eastAsia="楷体_GB2312" w:hAnsi="黑体"/>
          <w:sz w:val="32"/>
          <w:szCs w:val="32"/>
        </w:rPr>
      </w:pPr>
      <w:r w:rsidRPr="00FE5E7A">
        <w:rPr>
          <w:rFonts w:ascii="楷体_GB2312" w:eastAsia="楷体_GB2312" w:hAnsi="黑体" w:hint="eastAsia"/>
          <w:sz w:val="32"/>
          <w:szCs w:val="32"/>
        </w:rPr>
        <w:t>（</w:t>
      </w:r>
      <w:r>
        <w:rPr>
          <w:rFonts w:ascii="楷体_GB2312" w:eastAsia="楷体_GB2312" w:hAnsi="黑体" w:hint="eastAsia"/>
          <w:sz w:val="32"/>
          <w:szCs w:val="32"/>
        </w:rPr>
        <w:t>一</w:t>
      </w:r>
      <w:r w:rsidRPr="00FE5E7A">
        <w:rPr>
          <w:rFonts w:ascii="楷体_GB2312" w:eastAsia="楷体_GB2312" w:hAnsi="黑体" w:hint="eastAsia"/>
          <w:sz w:val="32"/>
          <w:szCs w:val="32"/>
        </w:rPr>
        <w:t>）</w:t>
      </w:r>
      <w:r>
        <w:rPr>
          <w:rFonts w:ascii="楷体_GB2312" w:eastAsia="楷体_GB2312" w:hAnsi="黑体" w:hint="eastAsia"/>
          <w:sz w:val="32"/>
          <w:szCs w:val="32"/>
        </w:rPr>
        <w:t>评价结论</w:t>
      </w:r>
    </w:p>
    <w:p w14:paraId="5C93455C" w14:textId="3D0B60EE" w:rsidR="00B5620E" w:rsidRPr="00C93F17" w:rsidRDefault="00B5620E" w:rsidP="00B5620E">
      <w:pPr>
        <w:spacing w:line="481" w:lineRule="exact"/>
        <w:ind w:left="360" w:right="206" w:firstLine="665"/>
        <w:jc w:val="both"/>
        <w:rPr>
          <w:rFonts w:ascii="仿宋_GB2312" w:eastAsia="仿宋_GB2312"/>
          <w:sz w:val="20"/>
          <w:szCs w:val="20"/>
        </w:rPr>
      </w:pPr>
      <w:r w:rsidRPr="00C93F17">
        <w:rPr>
          <w:rFonts w:ascii="仿宋_GB2312" w:eastAsia="仿宋_GB2312" w:hAnsi="仿宋" w:cs="仿宋" w:hint="eastAsia"/>
          <w:sz w:val="32"/>
          <w:szCs w:val="32"/>
        </w:rPr>
        <w:lastRenderedPageBreak/>
        <w:t>经过评价小组对东川区住建局</w:t>
      </w:r>
      <w:r w:rsidR="00877C3E">
        <w:rPr>
          <w:rFonts w:ascii="仿宋_GB2312" w:eastAsia="仿宋_GB2312" w:hAnsi="仿宋" w:cs="仿宋"/>
          <w:sz w:val="32"/>
          <w:szCs w:val="32"/>
        </w:rPr>
        <w:t>2020</w:t>
      </w:r>
      <w:r w:rsidRPr="00C93F17">
        <w:rPr>
          <w:rFonts w:ascii="仿宋_GB2312" w:eastAsia="仿宋_GB2312" w:hAnsi="仿宋" w:cs="仿宋" w:hint="eastAsia"/>
          <w:sz w:val="32"/>
          <w:szCs w:val="32"/>
        </w:rPr>
        <w:t>年东川区城市人居环境提升改造工程项目专项资金的立项、资金落实、业务管理、财务管理、项目产出和项目效益方面等进行绩效评价，项目的绩效目标基本得到实现，总评价得分</w:t>
      </w:r>
      <w:r w:rsidR="00D910A2">
        <w:rPr>
          <w:rFonts w:ascii="仿宋_GB2312" w:eastAsia="仿宋_GB2312" w:hAnsi="仿宋" w:cs="仿宋"/>
          <w:sz w:val="32"/>
          <w:szCs w:val="32"/>
        </w:rPr>
        <w:t>96.4</w:t>
      </w:r>
      <w:r w:rsidR="00086879" w:rsidRPr="00090331">
        <w:rPr>
          <w:rFonts w:ascii="仿宋_GB2312" w:eastAsia="仿宋_GB2312" w:hAnsi="仿宋" w:cs="仿宋"/>
          <w:sz w:val="32"/>
          <w:szCs w:val="32"/>
        </w:rPr>
        <w:t>0</w:t>
      </w:r>
      <w:r w:rsidRPr="00C93F17">
        <w:rPr>
          <w:rFonts w:ascii="仿宋_GB2312" w:eastAsia="仿宋_GB2312" w:hAnsi="仿宋" w:cs="仿宋" w:hint="eastAsia"/>
          <w:sz w:val="32"/>
          <w:szCs w:val="32"/>
        </w:rPr>
        <w:t>分，评价等级为</w:t>
      </w:r>
      <w:r w:rsidR="00086879">
        <w:rPr>
          <w:rFonts w:ascii="仿宋_GB2312" w:eastAsia="仿宋_GB2312" w:hAnsi="仿宋" w:cs="仿宋" w:hint="eastAsia"/>
          <w:sz w:val="32"/>
          <w:szCs w:val="32"/>
        </w:rPr>
        <w:t>优秀</w:t>
      </w:r>
      <w:r w:rsidRPr="00C93F17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18D8BE3B" w14:textId="77777777" w:rsidR="00FE5E7A" w:rsidRDefault="00FE5E7A" w:rsidP="00FE5E7A">
      <w:pPr>
        <w:topLinePunct/>
        <w:spacing w:line="540" w:lineRule="exact"/>
        <w:ind w:firstLineChars="250" w:firstLine="80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（二）具体效益分析</w:t>
      </w:r>
    </w:p>
    <w:p w14:paraId="4E068ED0" w14:textId="77777777" w:rsidR="00A03FB6" w:rsidRDefault="00E34EEC" w:rsidP="005F6030">
      <w:pPr>
        <w:spacing w:line="560" w:lineRule="exact"/>
        <w:ind w:firstLineChars="200" w:firstLine="624"/>
        <w:jc w:val="both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经济效益</w:t>
      </w:r>
      <w:r w:rsidR="00A03FB6">
        <w:rPr>
          <w:rFonts w:ascii="仿宋_GB2312" w:eastAsia="仿宋_GB2312" w:hAnsi="仿宋" w:hint="eastAsia"/>
          <w:spacing w:val="-4"/>
          <w:sz w:val="32"/>
          <w:szCs w:val="32"/>
        </w:rPr>
        <w:t>分析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：</w:t>
      </w:r>
      <w:r w:rsidR="000D2C73" w:rsidRPr="000D2C73">
        <w:rPr>
          <w:rFonts w:ascii="仿宋_GB2312" w:eastAsia="仿宋_GB2312" w:hAnsi="仿宋" w:hint="eastAsia"/>
          <w:spacing w:val="-4"/>
          <w:sz w:val="32"/>
          <w:szCs w:val="32"/>
        </w:rPr>
        <w:t>结合东川区旅游休闲城市定位，扩大城市影响力，营造旅游大环境，提高旅游产业附加值。带动当地居民的就业需求，提供一定的就业岗位，为居民增收创造一定条件。</w:t>
      </w:r>
      <w:r w:rsidRPr="00E3348D">
        <w:rPr>
          <w:rFonts w:ascii="仿宋_GB2312" w:eastAsia="仿宋_GB2312" w:hAnsi="仿宋" w:hint="eastAsia"/>
          <w:spacing w:val="-4"/>
          <w:sz w:val="32"/>
          <w:szCs w:val="32"/>
        </w:rPr>
        <w:t>社会效益分析</w:t>
      </w:r>
      <w:r w:rsidR="00A03FB6">
        <w:rPr>
          <w:rFonts w:ascii="仿宋_GB2312" w:eastAsia="仿宋_GB2312" w:hAnsi="仿宋" w:hint="eastAsia"/>
          <w:spacing w:val="-4"/>
          <w:sz w:val="32"/>
          <w:szCs w:val="32"/>
        </w:rPr>
        <w:t>：</w:t>
      </w:r>
      <w:r w:rsidR="00A03FB6" w:rsidRPr="00E3348D">
        <w:rPr>
          <w:rFonts w:ascii="仿宋_GB2312" w:eastAsia="仿宋_GB2312" w:hAnsi="仿宋" w:hint="eastAsia"/>
          <w:spacing w:val="-4"/>
          <w:sz w:val="32"/>
          <w:szCs w:val="32"/>
        </w:rPr>
        <w:t>从长期发展来说，社会环境会向更先进、更文明的方向发展，短期的不利影响很快会消失。市政道路建设的快速发展，是城镇化进程的必然过程，也是城市社会经济发展的必由之路。</w:t>
      </w:r>
    </w:p>
    <w:p w14:paraId="6CA18FEF" w14:textId="77777777" w:rsidR="000D2C73" w:rsidRPr="00E3348D" w:rsidRDefault="000D2C73" w:rsidP="005F6030">
      <w:pPr>
        <w:spacing w:line="560" w:lineRule="exact"/>
        <w:ind w:firstLineChars="200" w:firstLine="624"/>
        <w:jc w:val="both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社会效益分析：</w:t>
      </w:r>
      <w:r w:rsidRPr="000D2C73">
        <w:rPr>
          <w:rFonts w:ascii="仿宋_GB2312" w:eastAsia="仿宋_GB2312" w:hAnsi="仿宋" w:hint="eastAsia"/>
          <w:spacing w:val="-4"/>
          <w:sz w:val="32"/>
          <w:szCs w:val="32"/>
        </w:rPr>
        <w:t>加快城市开发建设，促进经济的发展，加快小康社会建设步伐，增加就业机会，提升城市居民的生活水平，完善东川区的道路体系和提升城市总体形象，完善城市功能起到非常重要的作用。</w:t>
      </w:r>
    </w:p>
    <w:p w14:paraId="0D1BC3E1" w14:textId="77777777" w:rsidR="00E34EEC" w:rsidRDefault="000D2C73" w:rsidP="005F6030">
      <w:pPr>
        <w:widowControl w:val="0"/>
        <w:spacing w:line="540" w:lineRule="exact"/>
        <w:ind w:firstLineChars="200" w:firstLine="624"/>
        <w:jc w:val="both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生态效益分析：</w:t>
      </w:r>
      <w:r w:rsidRPr="000D2C73">
        <w:rPr>
          <w:rFonts w:ascii="仿宋_GB2312" w:eastAsia="仿宋_GB2312" w:hAnsi="仿宋" w:hint="eastAsia"/>
          <w:spacing w:val="-4"/>
          <w:sz w:val="32"/>
          <w:szCs w:val="32"/>
        </w:rPr>
        <w:t>对改造区内道路、交通、排水管网、污水管网、道路绿化等多个分项工程进行改造，整体上提升东川区的生态环境。</w:t>
      </w:r>
    </w:p>
    <w:p w14:paraId="7D36528C" w14:textId="77777777" w:rsidR="000D2C73" w:rsidRPr="00E34EEC" w:rsidRDefault="000D2C73" w:rsidP="005F6030">
      <w:pPr>
        <w:widowControl w:val="0"/>
        <w:spacing w:line="540" w:lineRule="exact"/>
        <w:ind w:firstLineChars="200" w:firstLine="624"/>
        <w:jc w:val="both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可持续性影响效益：</w:t>
      </w:r>
      <w:r w:rsidRPr="000D2C73">
        <w:rPr>
          <w:rFonts w:ascii="仿宋_GB2312" w:eastAsia="仿宋_GB2312" w:hAnsi="仿宋" w:hint="eastAsia"/>
          <w:spacing w:val="-4"/>
          <w:sz w:val="32"/>
          <w:szCs w:val="32"/>
        </w:rPr>
        <w:t>加快城市开发建设，有利于促进经济的发展，加快小康社会建设步伐，增加就业机会，提升城市居民的生活水平。</w:t>
      </w:r>
    </w:p>
    <w:p w14:paraId="2809AD76" w14:textId="77777777" w:rsidR="00FE5E7A" w:rsidRDefault="00FE5E7A" w:rsidP="005F6030">
      <w:pPr>
        <w:topLinePunct/>
        <w:spacing w:line="540" w:lineRule="exact"/>
        <w:ind w:firstLineChars="250" w:firstLine="80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四、成本效益分析</w:t>
      </w:r>
    </w:p>
    <w:p w14:paraId="1650513A" w14:textId="7FC8577D" w:rsidR="00B3540F" w:rsidRPr="00526424" w:rsidRDefault="000D2C73" w:rsidP="005F6030">
      <w:pPr>
        <w:topLinePunct/>
        <w:spacing w:line="540" w:lineRule="exact"/>
        <w:ind w:firstLineChars="250" w:firstLine="800"/>
        <w:jc w:val="both"/>
        <w:rPr>
          <w:rFonts w:ascii="仿宋_GB2312" w:eastAsia="仿宋_GB2312" w:hAnsi="黑体"/>
          <w:sz w:val="32"/>
          <w:szCs w:val="32"/>
        </w:rPr>
      </w:pPr>
      <w:r w:rsidRPr="00526424">
        <w:rPr>
          <w:rFonts w:ascii="仿宋_GB2312" w:eastAsia="仿宋_GB2312" w:hAnsi="黑体" w:hint="eastAsia"/>
          <w:sz w:val="32"/>
          <w:szCs w:val="32"/>
        </w:rPr>
        <w:t>基础设施提升改造部分建安工程费用，包括道路工程、</w:t>
      </w:r>
      <w:r w:rsidR="00ED5865" w:rsidRPr="00526424">
        <w:rPr>
          <w:rFonts w:ascii="仿宋_GB2312" w:eastAsia="仿宋_GB2312" w:hAnsi="黑体" w:hint="eastAsia"/>
          <w:sz w:val="32"/>
          <w:szCs w:val="32"/>
        </w:rPr>
        <w:t>桥梁工程，综合管网工程、</w:t>
      </w:r>
      <w:r w:rsidRPr="00526424">
        <w:rPr>
          <w:rFonts w:ascii="仿宋_GB2312" w:eastAsia="仿宋_GB2312" w:hAnsi="黑体" w:hint="eastAsia"/>
          <w:sz w:val="32"/>
          <w:szCs w:val="32"/>
        </w:rPr>
        <w:t>交通工程、</w:t>
      </w:r>
      <w:r w:rsidR="00ED5865" w:rsidRPr="00526424">
        <w:rPr>
          <w:rFonts w:ascii="仿宋_GB2312" w:eastAsia="仿宋_GB2312" w:hAnsi="黑体" w:hint="eastAsia"/>
          <w:sz w:val="32"/>
          <w:szCs w:val="32"/>
        </w:rPr>
        <w:t>景观工程、照明</w:t>
      </w:r>
      <w:r w:rsidRPr="00526424">
        <w:rPr>
          <w:rFonts w:ascii="仿宋_GB2312" w:eastAsia="仿宋_GB2312" w:hAnsi="黑体" w:hint="eastAsia"/>
          <w:sz w:val="32"/>
          <w:szCs w:val="32"/>
        </w:rPr>
        <w:t>工程等</w:t>
      </w:r>
      <w:r w:rsidR="00ED5865" w:rsidRPr="00526424">
        <w:rPr>
          <w:rFonts w:ascii="仿宋_GB2312" w:eastAsia="仿宋_GB2312" w:hAnsi="黑体" w:hint="eastAsia"/>
          <w:sz w:val="32"/>
          <w:szCs w:val="32"/>
        </w:rPr>
        <w:t>六</w:t>
      </w:r>
      <w:r w:rsidRPr="00526424">
        <w:rPr>
          <w:rFonts w:ascii="仿宋_GB2312" w:eastAsia="仿宋_GB2312" w:hAnsi="黑体" w:hint="eastAsia"/>
          <w:sz w:val="32"/>
          <w:szCs w:val="32"/>
        </w:rPr>
        <w:t>个方面，总计</w:t>
      </w:r>
      <w:r w:rsidR="00526424" w:rsidRPr="00526424">
        <w:rPr>
          <w:rFonts w:ascii="仿宋_GB2312" w:eastAsia="仿宋_GB2312" w:hAnsi="黑体"/>
          <w:sz w:val="32"/>
          <w:szCs w:val="32"/>
        </w:rPr>
        <w:t>987</w:t>
      </w:r>
      <w:r w:rsidRPr="00526424">
        <w:rPr>
          <w:rFonts w:ascii="仿宋_GB2312" w:eastAsia="仿宋_GB2312" w:hAnsi="黑体" w:hint="eastAsia"/>
          <w:sz w:val="32"/>
          <w:szCs w:val="32"/>
        </w:rPr>
        <w:t>万元。</w:t>
      </w:r>
    </w:p>
    <w:p w14:paraId="5D9BE50A" w14:textId="77777777" w:rsidR="00FE5E7A" w:rsidRDefault="00FE5E7A" w:rsidP="00FE5E7A">
      <w:pPr>
        <w:topLinePunct/>
        <w:spacing w:line="54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五、主要经验及做法、存在的问题和建议</w:t>
      </w:r>
    </w:p>
    <w:p w14:paraId="40AE9F87" w14:textId="77777777" w:rsidR="00FE5E7A" w:rsidRDefault="00FE5E7A" w:rsidP="00FE5E7A">
      <w:pPr>
        <w:topLinePunct/>
        <w:spacing w:line="540" w:lineRule="exact"/>
        <w:ind w:firstLineChars="250" w:firstLine="80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（一）主要经验及做法</w:t>
      </w:r>
    </w:p>
    <w:p w14:paraId="062AD14B" w14:textId="77777777" w:rsidR="005F6030" w:rsidRDefault="001B4D2B" w:rsidP="00FE5E7A">
      <w:pPr>
        <w:topLinePunct/>
        <w:spacing w:line="540" w:lineRule="exact"/>
        <w:ind w:firstLineChars="250" w:firstLine="800"/>
        <w:rPr>
          <w:rFonts w:ascii="楷体_GB2312" w:eastAsia="楷体_GB2312" w:hAnsi="黑体"/>
          <w:sz w:val="32"/>
          <w:szCs w:val="32"/>
        </w:rPr>
      </w:pPr>
      <w:r w:rsidRPr="007C52D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对项目总体目标进行明确，细化项目实施内容，明确资金预算，提出工作要求，对项目的实施起到促进作用。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在建设施工中，按照合同规划建设，确保项目工程质量。</w:t>
      </w:r>
    </w:p>
    <w:p w14:paraId="33ABD628" w14:textId="77777777" w:rsidR="00FE5E7A" w:rsidRDefault="00FE5E7A" w:rsidP="00FE5E7A">
      <w:pPr>
        <w:topLinePunct/>
        <w:spacing w:line="540" w:lineRule="exact"/>
        <w:ind w:firstLineChars="250" w:firstLine="80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</w:t>
      </w:r>
      <w:r>
        <w:rPr>
          <w:rFonts w:ascii="楷体_GB2312" w:eastAsia="楷体_GB2312" w:hAnsi="黑体"/>
          <w:sz w:val="32"/>
          <w:szCs w:val="32"/>
        </w:rPr>
        <w:t>二）存在的问题</w:t>
      </w:r>
    </w:p>
    <w:p w14:paraId="624380F0" w14:textId="77777777" w:rsidR="002411B3" w:rsidRPr="002411B3" w:rsidRDefault="002411B3" w:rsidP="002411B3">
      <w:pPr>
        <w:spacing w:line="540" w:lineRule="exact"/>
        <w:ind w:left="920"/>
        <w:rPr>
          <w:rFonts w:ascii="仿宋_GB2312" w:eastAsia="仿宋_GB2312"/>
          <w:sz w:val="20"/>
          <w:szCs w:val="20"/>
        </w:rPr>
      </w:pPr>
      <w:r w:rsidRPr="002411B3">
        <w:rPr>
          <w:rFonts w:ascii="仿宋_GB2312" w:eastAsia="仿宋_GB2312" w:hAnsi="仿宋" w:cs="仿宋" w:hint="eastAsia"/>
          <w:sz w:val="32"/>
          <w:szCs w:val="32"/>
        </w:rPr>
        <w:t>1、资金使用跟踪管理缺失</w:t>
      </w:r>
    </w:p>
    <w:p w14:paraId="52B6712C" w14:textId="77777777" w:rsidR="002411B3" w:rsidRPr="002411B3" w:rsidRDefault="002411B3" w:rsidP="002411B3">
      <w:pPr>
        <w:spacing w:line="540" w:lineRule="exact"/>
        <w:ind w:left="360" w:right="146" w:firstLine="562"/>
        <w:rPr>
          <w:rFonts w:ascii="仿宋_GB2312" w:eastAsia="仿宋_GB2312"/>
          <w:sz w:val="20"/>
          <w:szCs w:val="20"/>
        </w:rPr>
      </w:pPr>
      <w:r w:rsidRPr="002411B3">
        <w:rPr>
          <w:rFonts w:ascii="仿宋_GB2312" w:eastAsia="仿宋_GB2312" w:hAnsi="仿宋" w:cs="仿宋" w:hint="eastAsia"/>
          <w:sz w:val="32"/>
          <w:szCs w:val="32"/>
        </w:rPr>
        <w:t>资金拨付后未对项目具体实施单位进行资金使用跟踪、检查监督管理。</w:t>
      </w:r>
    </w:p>
    <w:p w14:paraId="3C2073BC" w14:textId="77777777" w:rsidR="002411B3" w:rsidRPr="002411B3" w:rsidRDefault="002411B3" w:rsidP="002411B3">
      <w:pPr>
        <w:spacing w:line="540" w:lineRule="exact"/>
        <w:ind w:left="920"/>
        <w:rPr>
          <w:rFonts w:ascii="仿宋_GB2312" w:eastAsia="仿宋_GB2312"/>
          <w:sz w:val="20"/>
          <w:szCs w:val="20"/>
        </w:rPr>
      </w:pPr>
      <w:r w:rsidRPr="002411B3">
        <w:rPr>
          <w:rFonts w:ascii="仿宋_GB2312" w:eastAsia="仿宋_GB2312" w:hAnsi="仿宋" w:cs="仿宋" w:hint="eastAsia"/>
          <w:sz w:val="32"/>
          <w:szCs w:val="32"/>
        </w:rPr>
        <w:t>2、未制定项目管理制度</w:t>
      </w:r>
    </w:p>
    <w:p w14:paraId="4404C977" w14:textId="77777777" w:rsidR="002411B3" w:rsidRPr="002411B3" w:rsidRDefault="002411B3" w:rsidP="002411B3">
      <w:pPr>
        <w:spacing w:line="540" w:lineRule="exact"/>
        <w:ind w:left="360" w:right="426" w:firstLine="562"/>
        <w:rPr>
          <w:rFonts w:ascii="仿宋_GB2312" w:eastAsia="仿宋_GB2312"/>
          <w:sz w:val="20"/>
          <w:szCs w:val="20"/>
        </w:rPr>
      </w:pPr>
      <w:r w:rsidRPr="002411B3">
        <w:rPr>
          <w:rFonts w:ascii="仿宋_GB2312" w:eastAsia="仿宋_GB2312" w:hAnsi="仿宋" w:cs="仿宋" w:hint="eastAsia"/>
          <w:sz w:val="32"/>
          <w:szCs w:val="32"/>
        </w:rPr>
        <w:t>在项目管理过程中无项目立项管理、过程管理、风险管理等，未制定与项目相适应的管理制度。</w:t>
      </w:r>
    </w:p>
    <w:p w14:paraId="06B1AFBA" w14:textId="77777777" w:rsidR="002411B3" w:rsidRPr="002411B3" w:rsidRDefault="002411B3" w:rsidP="002411B3">
      <w:pPr>
        <w:spacing w:line="540" w:lineRule="exact"/>
        <w:ind w:left="920"/>
        <w:rPr>
          <w:rFonts w:ascii="仿宋_GB2312" w:eastAsia="仿宋_GB2312"/>
          <w:sz w:val="20"/>
          <w:szCs w:val="20"/>
        </w:rPr>
      </w:pPr>
      <w:r w:rsidRPr="002411B3">
        <w:rPr>
          <w:rFonts w:ascii="仿宋_GB2312" w:eastAsia="仿宋_GB2312" w:hAnsi="仿宋" w:cs="仿宋" w:hint="eastAsia"/>
          <w:sz w:val="32"/>
          <w:szCs w:val="32"/>
        </w:rPr>
        <w:t>3、绩效跟踪、检查不到位</w:t>
      </w:r>
    </w:p>
    <w:p w14:paraId="69AF2FB6" w14:textId="77777777" w:rsidR="005F6030" w:rsidRDefault="002411B3" w:rsidP="002411B3">
      <w:pPr>
        <w:spacing w:line="540" w:lineRule="exact"/>
        <w:ind w:left="360" w:right="426" w:firstLine="562"/>
        <w:rPr>
          <w:rFonts w:ascii="仿宋_GB2312" w:eastAsia="仿宋_GB2312" w:hAnsi="仿宋" w:cs="仿宋"/>
          <w:sz w:val="32"/>
          <w:szCs w:val="32"/>
        </w:rPr>
      </w:pPr>
      <w:r w:rsidRPr="002411B3">
        <w:rPr>
          <w:rFonts w:ascii="仿宋_GB2312" w:eastAsia="仿宋_GB2312" w:hAnsi="仿宋" w:cs="仿宋" w:hint="eastAsia"/>
          <w:sz w:val="32"/>
          <w:szCs w:val="32"/>
        </w:rPr>
        <w:t>对项目实施单位未进行绩效跟踪、检查，项目绩效监督管理不到位。</w:t>
      </w:r>
    </w:p>
    <w:p w14:paraId="00C63B5A" w14:textId="77777777" w:rsidR="002411B3" w:rsidRDefault="002411B3" w:rsidP="002411B3">
      <w:pPr>
        <w:spacing w:line="540" w:lineRule="exact"/>
        <w:ind w:left="360" w:right="426" w:firstLine="562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4、建设资金压力较大</w:t>
      </w:r>
    </w:p>
    <w:p w14:paraId="4FDFA431" w14:textId="77777777" w:rsidR="002411B3" w:rsidRPr="002411B3" w:rsidRDefault="002411B3" w:rsidP="002411B3">
      <w:pPr>
        <w:spacing w:line="540" w:lineRule="exact"/>
        <w:ind w:left="360" w:right="426" w:firstLine="562"/>
        <w:rPr>
          <w:rFonts w:ascii="仿宋_GB2312" w:eastAsia="仿宋_GB2312"/>
          <w:sz w:val="20"/>
          <w:szCs w:val="20"/>
        </w:rPr>
      </w:pPr>
      <w:r>
        <w:rPr>
          <w:rFonts w:ascii="仿宋_GB2312" w:eastAsia="仿宋_GB2312" w:hAnsi="仿宋" w:cs="仿宋" w:hint="eastAsia"/>
          <w:sz w:val="32"/>
          <w:szCs w:val="32"/>
        </w:rPr>
        <w:t>国家及省投资补助资金较少，其余部分需要地方自筹，政府资金支付压力更大。</w:t>
      </w:r>
    </w:p>
    <w:p w14:paraId="51AAC3FE" w14:textId="77777777" w:rsidR="00FE5E7A" w:rsidRPr="005F6030" w:rsidRDefault="00FE5E7A" w:rsidP="005F6030">
      <w:pPr>
        <w:topLinePunct/>
        <w:spacing w:line="540" w:lineRule="exact"/>
        <w:ind w:firstLineChars="250" w:firstLine="800"/>
        <w:rPr>
          <w:rFonts w:ascii="仿宋_GB2312" w:eastAsia="仿宋_GB2312" w:hAnsi="黑体"/>
          <w:sz w:val="32"/>
          <w:szCs w:val="32"/>
        </w:rPr>
      </w:pPr>
      <w:r w:rsidRPr="005F6030">
        <w:rPr>
          <w:rFonts w:ascii="仿宋_GB2312" w:eastAsia="仿宋_GB2312" w:hAnsi="黑体" w:hint="eastAsia"/>
          <w:sz w:val="32"/>
          <w:szCs w:val="32"/>
        </w:rPr>
        <w:t>（三）建议和改进措施</w:t>
      </w:r>
    </w:p>
    <w:p w14:paraId="1F2DC490" w14:textId="77777777" w:rsidR="005F6030" w:rsidRPr="005F6030" w:rsidRDefault="005F6030" w:rsidP="005F6030">
      <w:pPr>
        <w:spacing w:line="540" w:lineRule="exact"/>
        <w:ind w:left="920"/>
        <w:rPr>
          <w:rFonts w:ascii="仿宋_GB2312" w:eastAsia="仿宋_GB2312"/>
          <w:sz w:val="20"/>
          <w:szCs w:val="20"/>
        </w:rPr>
      </w:pPr>
      <w:r>
        <w:rPr>
          <w:rFonts w:ascii="仿宋_GB2312" w:eastAsia="仿宋_GB2312" w:hAnsi="仿宋" w:cs="仿宋" w:hint="eastAsia"/>
          <w:sz w:val="32"/>
          <w:szCs w:val="32"/>
        </w:rPr>
        <w:t>1、</w:t>
      </w:r>
      <w:r w:rsidRPr="005F6030">
        <w:rPr>
          <w:rFonts w:ascii="仿宋_GB2312" w:eastAsia="仿宋_GB2312" w:hAnsi="仿宋" w:cs="仿宋" w:hint="eastAsia"/>
          <w:sz w:val="32"/>
          <w:szCs w:val="32"/>
        </w:rPr>
        <w:t>加强项目管理过程</w:t>
      </w:r>
    </w:p>
    <w:p w14:paraId="39DA8142" w14:textId="77777777" w:rsidR="005F6030" w:rsidRPr="005F6030" w:rsidRDefault="005F6030" w:rsidP="005F6030">
      <w:pPr>
        <w:pStyle w:val="a3"/>
        <w:numPr>
          <w:ilvl w:val="0"/>
          <w:numId w:val="4"/>
        </w:numPr>
        <w:spacing w:line="540" w:lineRule="exact"/>
        <w:ind w:firstLineChars="0"/>
        <w:rPr>
          <w:rFonts w:ascii="仿宋_GB2312" w:eastAsia="仿宋_GB2312"/>
          <w:sz w:val="20"/>
          <w:szCs w:val="20"/>
        </w:rPr>
      </w:pPr>
      <w:r w:rsidRPr="005F6030">
        <w:rPr>
          <w:rFonts w:ascii="仿宋_GB2312" w:eastAsia="仿宋_GB2312" w:hAnsi="仿宋" w:cs="仿宋" w:hint="eastAsia"/>
          <w:sz w:val="32"/>
          <w:szCs w:val="32"/>
        </w:rPr>
        <w:t>加强资金使用跟踪管理</w:t>
      </w:r>
    </w:p>
    <w:p w14:paraId="0E9D9C9E" w14:textId="77777777" w:rsidR="005F6030" w:rsidRPr="005F6030" w:rsidRDefault="005F6030" w:rsidP="005F6030">
      <w:pPr>
        <w:spacing w:line="540" w:lineRule="exact"/>
        <w:ind w:left="360" w:right="486" w:firstLine="562"/>
        <w:jc w:val="both"/>
        <w:rPr>
          <w:rFonts w:ascii="仿宋_GB2312" w:eastAsia="仿宋_GB2312"/>
          <w:sz w:val="20"/>
          <w:szCs w:val="20"/>
        </w:rPr>
      </w:pPr>
      <w:r w:rsidRPr="005F6030">
        <w:rPr>
          <w:rFonts w:ascii="仿宋_GB2312" w:eastAsia="仿宋_GB2312" w:hAnsi="仿宋" w:cs="仿宋" w:hint="eastAsia"/>
          <w:sz w:val="32"/>
          <w:szCs w:val="32"/>
        </w:rPr>
        <w:t>对资金拨付使用要进行跟踪管理，保障资金安全，提高资金使用效果。</w:t>
      </w:r>
    </w:p>
    <w:p w14:paraId="4F8E127E" w14:textId="77777777" w:rsidR="005F6030" w:rsidRPr="005F6030" w:rsidRDefault="005F6030" w:rsidP="005F6030">
      <w:pPr>
        <w:pStyle w:val="a3"/>
        <w:numPr>
          <w:ilvl w:val="0"/>
          <w:numId w:val="4"/>
        </w:numPr>
        <w:spacing w:line="540" w:lineRule="exact"/>
        <w:ind w:firstLineChars="0"/>
        <w:rPr>
          <w:rFonts w:ascii="仿宋_GB2312" w:eastAsia="仿宋_GB2312"/>
          <w:sz w:val="20"/>
          <w:szCs w:val="20"/>
        </w:rPr>
      </w:pPr>
      <w:r w:rsidRPr="005F6030">
        <w:rPr>
          <w:rFonts w:ascii="仿宋_GB2312" w:eastAsia="仿宋_GB2312" w:hAnsi="仿宋" w:cs="仿宋" w:hint="eastAsia"/>
          <w:sz w:val="32"/>
          <w:szCs w:val="32"/>
        </w:rPr>
        <w:t>加强项目管理</w:t>
      </w:r>
    </w:p>
    <w:p w14:paraId="1868555A" w14:textId="77777777" w:rsidR="005F6030" w:rsidRPr="005F6030" w:rsidRDefault="005F6030" w:rsidP="005F6030">
      <w:pPr>
        <w:spacing w:line="540" w:lineRule="exact"/>
        <w:ind w:left="360" w:right="206" w:firstLine="562"/>
        <w:jc w:val="both"/>
        <w:rPr>
          <w:rFonts w:ascii="仿宋_GB2312" w:eastAsia="仿宋_GB2312"/>
          <w:sz w:val="20"/>
          <w:szCs w:val="20"/>
        </w:rPr>
      </w:pPr>
      <w:r w:rsidRPr="005F6030">
        <w:rPr>
          <w:rFonts w:ascii="仿宋_GB2312" w:eastAsia="仿宋_GB2312" w:hAnsi="仿宋" w:cs="仿宋" w:hint="eastAsia"/>
          <w:sz w:val="32"/>
          <w:szCs w:val="32"/>
        </w:rPr>
        <w:t>为规范公司项目管理、提高项目质量、降低项目成本、规避项目风险，应制定项目管理制度。对项目实施有效控制，确保安全、质量、工期、效益目标的实现，充分发挥项目管理机构整体作用。</w:t>
      </w:r>
    </w:p>
    <w:p w14:paraId="759F0E8C" w14:textId="77777777" w:rsidR="005F6030" w:rsidRPr="005F6030" w:rsidRDefault="005F6030" w:rsidP="005F6030">
      <w:pPr>
        <w:pStyle w:val="a3"/>
        <w:numPr>
          <w:ilvl w:val="0"/>
          <w:numId w:val="4"/>
        </w:numPr>
        <w:spacing w:line="540" w:lineRule="exact"/>
        <w:ind w:firstLineChars="0"/>
        <w:rPr>
          <w:rFonts w:ascii="仿宋_GB2312" w:eastAsia="仿宋_GB2312"/>
          <w:sz w:val="20"/>
          <w:szCs w:val="20"/>
        </w:rPr>
      </w:pPr>
      <w:r w:rsidRPr="005F6030">
        <w:rPr>
          <w:rFonts w:ascii="仿宋_GB2312" w:eastAsia="仿宋_GB2312" w:hAnsi="仿宋" w:cs="仿宋" w:hint="eastAsia"/>
          <w:sz w:val="32"/>
          <w:szCs w:val="32"/>
        </w:rPr>
        <w:t>加强监管机制。</w:t>
      </w:r>
    </w:p>
    <w:p w14:paraId="71FDFB2E" w14:textId="77777777" w:rsidR="005F6030" w:rsidRPr="005F6030" w:rsidRDefault="005F6030" w:rsidP="005F6030">
      <w:pPr>
        <w:spacing w:line="540" w:lineRule="exact"/>
        <w:ind w:left="360" w:right="206" w:firstLine="562"/>
        <w:jc w:val="both"/>
        <w:rPr>
          <w:rFonts w:ascii="仿宋_GB2312" w:eastAsia="仿宋_GB2312"/>
          <w:sz w:val="20"/>
          <w:szCs w:val="20"/>
        </w:rPr>
      </w:pPr>
      <w:r w:rsidRPr="005F6030">
        <w:rPr>
          <w:rFonts w:ascii="仿宋_GB2312" w:eastAsia="仿宋_GB2312" w:hAnsi="仿宋" w:cs="仿宋" w:hint="eastAsia"/>
          <w:sz w:val="32"/>
          <w:szCs w:val="32"/>
        </w:rPr>
        <w:lastRenderedPageBreak/>
        <w:t>加大政府监督检查和工程质量安全责任追究力度，确保工程质量安全监督覆盖率和验收合格率达到 100%。对项目决策、设计、发承包、实施、竣工等各个阶段工程计价和工程造价实施目标管理，提供全过程跟踪服务，组织开展工作专项巡查工作，转变监督方式，将阶段性巡查、调研与明察暗访、随机抽查相结合，建立政府监督，社会监督、群众监督的住房保障监督体系。</w:t>
      </w:r>
    </w:p>
    <w:p w14:paraId="379A0A53" w14:textId="77777777" w:rsidR="005F6030" w:rsidRPr="005F6030" w:rsidRDefault="005F6030" w:rsidP="005F6030">
      <w:pPr>
        <w:spacing w:line="540" w:lineRule="exact"/>
        <w:ind w:left="920"/>
        <w:rPr>
          <w:rFonts w:ascii="仿宋_GB2312" w:eastAsia="仿宋_GB2312"/>
          <w:sz w:val="20"/>
          <w:szCs w:val="20"/>
        </w:rPr>
      </w:pPr>
      <w:r>
        <w:rPr>
          <w:rFonts w:ascii="仿宋_GB2312" w:eastAsia="仿宋_GB2312" w:hAnsi="仿宋" w:cs="仿宋" w:hint="eastAsia"/>
          <w:sz w:val="32"/>
          <w:szCs w:val="32"/>
        </w:rPr>
        <w:t>2、</w:t>
      </w:r>
      <w:r w:rsidRPr="005F6030">
        <w:rPr>
          <w:rFonts w:ascii="仿宋_GB2312" w:eastAsia="仿宋_GB2312" w:hAnsi="仿宋" w:cs="仿宋" w:hint="eastAsia"/>
          <w:sz w:val="32"/>
          <w:szCs w:val="32"/>
        </w:rPr>
        <w:t>加大资金筹措力度</w:t>
      </w:r>
    </w:p>
    <w:p w14:paraId="2B8ADA4F" w14:textId="77777777" w:rsidR="00FE5E7A" w:rsidRPr="00FE5E7A" w:rsidRDefault="005F6030" w:rsidP="005F6030">
      <w:pPr>
        <w:topLinePunct/>
        <w:spacing w:line="540" w:lineRule="exact"/>
        <w:ind w:firstLineChars="200" w:firstLine="640"/>
        <w:jc w:val="both"/>
        <w:rPr>
          <w:rFonts w:ascii="楷体_GB2312" w:eastAsia="楷体_GB2312" w:hAnsi="黑体"/>
          <w:sz w:val="32"/>
          <w:szCs w:val="32"/>
        </w:rPr>
      </w:pPr>
      <w:r w:rsidRPr="005F6030">
        <w:rPr>
          <w:rFonts w:ascii="仿宋_GB2312" w:eastAsia="仿宋_GB2312" w:hAnsi="仿宋" w:cs="仿宋" w:hint="eastAsia"/>
          <w:sz w:val="32"/>
          <w:szCs w:val="32"/>
        </w:rPr>
        <w:t>政府应加大改造专项资金补助力度，并对经济贫困地区给予适当的倾斜，切实减轻地方政府资金压力，确保项目顺利推进。</w:t>
      </w:r>
    </w:p>
    <w:p w14:paraId="08E5DF78" w14:textId="77777777" w:rsidR="006D3529" w:rsidRPr="00FE5E7A" w:rsidRDefault="006D3529" w:rsidP="005F6030">
      <w:pPr>
        <w:spacing w:line="540" w:lineRule="exact"/>
        <w:ind w:firstLineChars="200" w:firstLine="400"/>
        <w:rPr>
          <w:sz w:val="20"/>
          <w:szCs w:val="20"/>
        </w:rPr>
      </w:pPr>
    </w:p>
    <w:p w14:paraId="75BABF1B" w14:textId="77777777" w:rsidR="00FE5E7A" w:rsidRPr="006D3529" w:rsidRDefault="00FE5E7A" w:rsidP="00A36149">
      <w:pPr>
        <w:spacing w:line="540" w:lineRule="exact"/>
        <w:rPr>
          <w:sz w:val="20"/>
          <w:szCs w:val="20"/>
        </w:rPr>
        <w:sectPr w:rsidR="00FE5E7A" w:rsidRPr="006D3529">
          <w:pgSz w:w="11900" w:h="16838"/>
          <w:pgMar w:top="860" w:right="1440" w:bottom="703" w:left="1440" w:header="0" w:footer="0" w:gutter="0"/>
          <w:cols w:space="720" w:equalWidth="0">
            <w:col w:w="9026"/>
          </w:cols>
        </w:sectPr>
      </w:pPr>
    </w:p>
    <w:p w14:paraId="442B9FFB" w14:textId="77777777" w:rsidR="00E56A7D" w:rsidRPr="002D0F02" w:rsidRDefault="00E56A7D" w:rsidP="00E56A7D">
      <w:pPr>
        <w:tabs>
          <w:tab w:val="left" w:leader="dot" w:pos="8540"/>
        </w:tabs>
        <w:spacing w:line="365" w:lineRule="exact"/>
        <w:rPr>
          <w:sz w:val="20"/>
          <w:szCs w:val="20"/>
        </w:rPr>
        <w:sectPr w:rsidR="00E56A7D" w:rsidRPr="002D0F02">
          <w:pgSz w:w="11900" w:h="16838"/>
          <w:pgMar w:top="1440" w:right="1440" w:bottom="703" w:left="1440" w:header="0" w:footer="0" w:gutter="0"/>
          <w:cols w:space="720" w:equalWidth="0">
            <w:col w:w="9026"/>
          </w:cols>
        </w:sectPr>
      </w:pPr>
    </w:p>
    <w:p w14:paraId="58A5493B" w14:textId="77777777" w:rsidR="00E9312F" w:rsidRPr="00E56A7D" w:rsidRDefault="00E9312F" w:rsidP="00031DB4">
      <w:pPr>
        <w:spacing w:line="540" w:lineRule="exact"/>
        <w:ind w:right="6"/>
        <w:rPr>
          <w:sz w:val="20"/>
          <w:szCs w:val="20"/>
        </w:rPr>
      </w:pPr>
    </w:p>
    <w:sectPr w:rsidR="00E9312F" w:rsidRPr="00E56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E8D1" w14:textId="77777777" w:rsidR="00687271" w:rsidRDefault="00687271" w:rsidP="00C54247">
      <w:r>
        <w:separator/>
      </w:r>
    </w:p>
  </w:endnote>
  <w:endnote w:type="continuationSeparator" w:id="0">
    <w:p w14:paraId="3EE89ECD" w14:textId="77777777" w:rsidR="00687271" w:rsidRDefault="00687271" w:rsidP="00C5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94A8" w14:textId="77777777" w:rsidR="00687271" w:rsidRDefault="00687271" w:rsidP="00C54247">
      <w:r>
        <w:separator/>
      </w:r>
    </w:p>
  </w:footnote>
  <w:footnote w:type="continuationSeparator" w:id="0">
    <w:p w14:paraId="4DF9C811" w14:textId="77777777" w:rsidR="00687271" w:rsidRDefault="00687271" w:rsidP="00C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5699"/>
    <w:multiLevelType w:val="hybridMultilevel"/>
    <w:tmpl w:val="7668DDD2"/>
    <w:lvl w:ilvl="0" w:tplc="772C4E20">
      <w:start w:val="1"/>
      <w:numFmt w:val="japaneseCounting"/>
      <w:lvlText w:val="%1、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 w15:restartNumberingAfterBreak="0">
    <w:nsid w:val="5A0E9936"/>
    <w:multiLevelType w:val="singleLevel"/>
    <w:tmpl w:val="5A0E9936"/>
    <w:lvl w:ilvl="0">
      <w:start w:val="3"/>
      <w:numFmt w:val="chineseCounting"/>
      <w:suff w:val="nothing"/>
      <w:lvlText w:val="（%1）"/>
      <w:lvlJc w:val="left"/>
    </w:lvl>
  </w:abstractNum>
  <w:abstractNum w:abstractNumId="2" w15:restartNumberingAfterBreak="0">
    <w:nsid w:val="5A0E9C37"/>
    <w:multiLevelType w:val="singleLevel"/>
    <w:tmpl w:val="5A0E9C37"/>
    <w:lvl w:ilvl="0">
      <w:start w:val="3"/>
      <w:numFmt w:val="decimal"/>
      <w:suff w:val="nothing"/>
      <w:lvlText w:val="%1、"/>
      <w:lvlJc w:val="left"/>
    </w:lvl>
  </w:abstractNum>
  <w:abstractNum w:abstractNumId="3" w15:restartNumberingAfterBreak="0">
    <w:nsid w:val="62E37809"/>
    <w:multiLevelType w:val="hybridMultilevel"/>
    <w:tmpl w:val="0ACED3DA"/>
    <w:lvl w:ilvl="0" w:tplc="926A80D6">
      <w:start w:val="1"/>
      <w:numFmt w:val="decimalEnclosedCircle"/>
      <w:lvlText w:val="%1"/>
      <w:lvlJc w:val="left"/>
      <w:pPr>
        <w:ind w:left="1280" w:hanging="360"/>
      </w:pPr>
      <w:rPr>
        <w:rFonts w:hAnsi="仿宋" w:cs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7D"/>
    <w:rsid w:val="00031DB4"/>
    <w:rsid w:val="0004565E"/>
    <w:rsid w:val="00086879"/>
    <w:rsid w:val="00090331"/>
    <w:rsid w:val="000957E8"/>
    <w:rsid w:val="000C6F6F"/>
    <w:rsid w:val="000D2C73"/>
    <w:rsid w:val="001B4D2B"/>
    <w:rsid w:val="00203154"/>
    <w:rsid w:val="002411B3"/>
    <w:rsid w:val="0024740B"/>
    <w:rsid w:val="002B0BB1"/>
    <w:rsid w:val="002B10E6"/>
    <w:rsid w:val="002D0F02"/>
    <w:rsid w:val="002D3ACD"/>
    <w:rsid w:val="002F0495"/>
    <w:rsid w:val="003A0069"/>
    <w:rsid w:val="003A0B42"/>
    <w:rsid w:val="004235E8"/>
    <w:rsid w:val="00462EAB"/>
    <w:rsid w:val="0051024A"/>
    <w:rsid w:val="00526424"/>
    <w:rsid w:val="005724C5"/>
    <w:rsid w:val="005B6261"/>
    <w:rsid w:val="005F6030"/>
    <w:rsid w:val="00605A03"/>
    <w:rsid w:val="00687271"/>
    <w:rsid w:val="006A4AE0"/>
    <w:rsid w:val="006D3529"/>
    <w:rsid w:val="00766993"/>
    <w:rsid w:val="00793BB7"/>
    <w:rsid w:val="007D70B9"/>
    <w:rsid w:val="007E7DBD"/>
    <w:rsid w:val="007F7A4E"/>
    <w:rsid w:val="00807C15"/>
    <w:rsid w:val="008148A4"/>
    <w:rsid w:val="00823620"/>
    <w:rsid w:val="00877C3E"/>
    <w:rsid w:val="00926D65"/>
    <w:rsid w:val="00953CE4"/>
    <w:rsid w:val="00955B3D"/>
    <w:rsid w:val="00960D07"/>
    <w:rsid w:val="00961BE2"/>
    <w:rsid w:val="009C7378"/>
    <w:rsid w:val="00A03FB6"/>
    <w:rsid w:val="00A1168A"/>
    <w:rsid w:val="00A36149"/>
    <w:rsid w:val="00A6231A"/>
    <w:rsid w:val="00A67A78"/>
    <w:rsid w:val="00AA7BE1"/>
    <w:rsid w:val="00AB0B2B"/>
    <w:rsid w:val="00AF24F0"/>
    <w:rsid w:val="00B10E41"/>
    <w:rsid w:val="00B3540F"/>
    <w:rsid w:val="00B5620E"/>
    <w:rsid w:val="00B574A3"/>
    <w:rsid w:val="00B92009"/>
    <w:rsid w:val="00B940E0"/>
    <w:rsid w:val="00BA0685"/>
    <w:rsid w:val="00BE3FC4"/>
    <w:rsid w:val="00BF3336"/>
    <w:rsid w:val="00C54247"/>
    <w:rsid w:val="00C90CAD"/>
    <w:rsid w:val="00C93F17"/>
    <w:rsid w:val="00C958AA"/>
    <w:rsid w:val="00CD7C29"/>
    <w:rsid w:val="00D2534D"/>
    <w:rsid w:val="00D47DF4"/>
    <w:rsid w:val="00D55CE1"/>
    <w:rsid w:val="00D910A2"/>
    <w:rsid w:val="00DD406F"/>
    <w:rsid w:val="00DF2C10"/>
    <w:rsid w:val="00DF3DDA"/>
    <w:rsid w:val="00E34EEC"/>
    <w:rsid w:val="00E56A7D"/>
    <w:rsid w:val="00E7019D"/>
    <w:rsid w:val="00E8681E"/>
    <w:rsid w:val="00E9312F"/>
    <w:rsid w:val="00EA14D7"/>
    <w:rsid w:val="00ED021C"/>
    <w:rsid w:val="00ED4586"/>
    <w:rsid w:val="00ED5865"/>
    <w:rsid w:val="00F5695F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883A0"/>
  <w15:chartTrackingRefBased/>
  <w15:docId w15:val="{D329EE1F-9340-4A6E-9E08-C339BE9F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A7D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7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54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4247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42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4247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 2135</dc:creator>
  <cp:keywords/>
  <dc:description/>
  <cp:lastModifiedBy>zen2135</cp:lastModifiedBy>
  <cp:revision>228</cp:revision>
  <dcterms:created xsi:type="dcterms:W3CDTF">2020-04-20T06:38:00Z</dcterms:created>
  <dcterms:modified xsi:type="dcterms:W3CDTF">2021-04-20T02:29:00Z</dcterms:modified>
</cp:coreProperties>
</file>