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8863"/>
      <w:bookmarkStart w:id="1" w:name="_Toc17148_WPSOffice_Level1"/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阿旺镇人民政府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基层安全生产、环境保护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专项经费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项目支出绩效评价报告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黑体" w:eastAsia="黑体"/>
          <w:color w:val="000000" w:themeColor="text1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按照《项目支出绩效评价管理办法》（东财预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</w:rPr>
        <w:t>《东川区财政局关于开展东</w:t>
      </w:r>
      <w:r>
        <w:rPr>
          <w:rFonts w:hint="eastAsia" w:ascii="仿宋_GB2312" w:hAnsi="宋体"/>
          <w:spacing w:val="6"/>
          <w:szCs w:val="32"/>
        </w:rPr>
        <w:t>川区20</w:t>
      </w:r>
      <w:r>
        <w:rPr>
          <w:rFonts w:hint="eastAsia" w:ascii="仿宋_GB2312" w:hAnsi="宋体"/>
          <w:spacing w:val="6"/>
          <w:szCs w:val="32"/>
          <w:lang w:val="en-US" w:eastAsia="zh-CN"/>
        </w:rPr>
        <w:t>20</w:t>
      </w:r>
      <w:r>
        <w:rPr>
          <w:rFonts w:hint="eastAsia" w:ascii="仿宋_GB2312" w:hAnsi="宋体"/>
          <w:spacing w:val="6"/>
          <w:szCs w:val="32"/>
          <w:highlight w:val="none"/>
        </w:rPr>
        <w:t>年度绩效自评工作的通知》（东财绩〔202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/>
          <w:spacing w:val="6"/>
          <w:szCs w:val="32"/>
          <w:highlight w:val="none"/>
        </w:rPr>
        <w:t>〕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/>
          <w:spacing w:val="6"/>
          <w:szCs w:val="32"/>
          <w:highlight w:val="none"/>
        </w:rPr>
        <w:t>号）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东川区预算绩效管理结果应用暂行办法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（东政发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东川区部门预算绩效自评管理暂行办法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（东政办发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，为加强财政支出管理、强化支出责任，规范财政支出绩效评价行为，提高财政资金使用效益，现就阿旺镇开展2020年度基层安全生产、环境保护专项经费项目支出绩效自评工作报告如下：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0"/>
        <w:rPr>
          <w:rFonts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2" w:name="_Toc16683"/>
      <w:bookmarkStart w:id="3" w:name="_Toc25951_WPSOffice_Level1"/>
      <w:bookmarkStart w:id="4" w:name="_Toc14789"/>
      <w:bookmarkStart w:id="5" w:name="_Toc23327"/>
      <w:bookmarkStart w:id="6" w:name="_Toc3798"/>
      <w:bookmarkStart w:id="7" w:name="_Toc26736"/>
      <w:bookmarkStart w:id="8" w:name="_Toc9955"/>
      <w:r>
        <w:rPr>
          <w:rFonts w:hint="eastAsia"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项目基本情况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1"/>
        <w:rPr>
          <w:rFonts w:ascii="楷体" w:hAnsi="楷体" w:eastAsia="楷体" w:cs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9" w:name="_Toc26584"/>
      <w:bookmarkStart w:id="10" w:name="_Toc17148_WPSOffice_Level2"/>
      <w:bookmarkStart w:id="11" w:name="_Toc20817"/>
      <w:bookmarkStart w:id="12" w:name="_Toc22093"/>
      <w:bookmarkStart w:id="13" w:name="_Toc7419"/>
      <w:bookmarkStart w:id="14" w:name="_Toc11285"/>
      <w:bookmarkStart w:id="15" w:name="_Toc16540"/>
      <w:r>
        <w:rPr>
          <w:rFonts w:hint="eastAsia" w:ascii="楷体" w:hAnsi="楷体" w:eastAsia="楷体" w:cs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（一）项目概况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2"/>
        <w:rPr>
          <w:rFonts w:hint="eastAsia" w:ascii="仿宋_GB2312" w:hAnsi="楷体"/>
          <w:color w:val="000000" w:themeColor="text1"/>
          <w:szCs w:val="32"/>
          <w:highlight w:val="yellow"/>
          <w14:textFill>
            <w14:solidFill>
              <w14:schemeClr w14:val="tx1"/>
            </w14:solidFill>
          </w14:textFill>
        </w:rPr>
      </w:pPr>
      <w:bookmarkStart w:id="16" w:name="_Toc30805"/>
      <w:bookmarkStart w:id="17" w:name="_Toc17148_WPSOffice_Level3"/>
      <w:bookmarkStart w:id="18" w:name="_Toc21814"/>
      <w:bookmarkStart w:id="19" w:name="_Toc19359"/>
      <w:bookmarkStart w:id="20" w:name="_Toc21333"/>
      <w:bookmarkStart w:id="21" w:name="_Toc27105"/>
      <w:bookmarkStart w:id="22" w:name="_Toc16402"/>
      <w:r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bookmarkEnd w:id="16"/>
      <w:bookmarkEnd w:id="17"/>
      <w:bookmarkEnd w:id="18"/>
      <w:bookmarkEnd w:id="19"/>
      <w:bookmarkEnd w:id="20"/>
      <w:bookmarkEnd w:id="21"/>
      <w:r>
        <w:rPr>
          <w:rFonts w:hint="eastAsia" w:ascii="仿宋_GB2312" w:hAnsi="楷体"/>
          <w:szCs w:val="32"/>
        </w:rPr>
        <w:t>立项背景及目的</w:t>
      </w:r>
      <w:bookmarkEnd w:id="22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9"/>
        <w:rPr>
          <w:rFonts w:hint="eastAsia"/>
          <w:lang w:val="en-US" w:eastAsia="zh-CN"/>
        </w:rPr>
      </w:pPr>
      <w:r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立项背景</w:t>
      </w:r>
    </w:p>
    <w:p>
      <w:pPr>
        <w:pStyle w:val="6"/>
        <w:jc w:val="left"/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为进一步抓好安全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环保工作，确保安全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环保工作有人抓、有人管，做好安全生产、环境保护的宣传、信息、统计、隐患排查治理和事故报告等基础工作</w:t>
      </w:r>
      <w:bookmarkStart w:id="23" w:name="_Toc17139"/>
      <w:bookmarkStart w:id="24" w:name="_Toc25951_WPSOffice_Level3"/>
      <w:bookmarkStart w:id="25" w:name="_Toc2412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确保安全生产、环境保护工作得到有效的执行和开展。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pacing w:line="560" w:lineRule="exact"/>
        <w:ind w:left="0" w:leftChars="0" w:firstLine="632" w:firstLineChars="200"/>
        <w:outlineLvl w:val="9"/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立项目的</w:t>
      </w:r>
    </w:p>
    <w:p>
      <w:pPr>
        <w:pStyle w:val="6"/>
        <w:ind w:firstLine="632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加大基层安全生产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环境保护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监管执法力度，完善基层监管网络，进一步提高基层监管工作保障水平，让安全生产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和环境保护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意识深入到日常生产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outlineLvl w:val="2"/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_Toc30634"/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项目实施情况</w:t>
      </w:r>
      <w:bookmarkEnd w:id="26"/>
    </w:p>
    <w:p>
      <w:pPr>
        <w:pStyle w:val="6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根据《昆明市东川区财政局关于下达2020年东川区乡镇（街道）一般公共预算支出的通知》（东财预【2020】3号）文件，2020年阿旺镇开展了基层安全生产、环境保护专项工作，该项目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阿旺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镇安全生产监督和环境保护管理中心负责并组织实施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在实施过程中</w:t>
      </w:r>
      <w:r>
        <w:rPr>
          <w:rFonts w:hint="eastAsia" w:ascii="仿宋_GB2312" w:hAnsi="楷体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方面进行安全、环保知识培训，提高全镇人员的的安全、环保意识，培养安全、环保优先的理念；另一方面通过制作宣传标语、环保袋等方式，将安全、环保意识深入到日常的生产、生活中；第三切实加大安全、环境隐患的排查，全面提升安全、环保的风险防控水平。截止2020年12月31日项目资金全部支付完毕。</w:t>
      </w:r>
    </w:p>
    <w:bookmarkEnd w:id="23"/>
    <w:bookmarkEnd w:id="24"/>
    <w:bookmarkEnd w:id="25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2"/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7" w:name="_Toc24826"/>
      <w:bookmarkStart w:id="28" w:name="_Toc31401"/>
      <w:bookmarkStart w:id="29" w:name="_Toc11688"/>
      <w:bookmarkStart w:id="30" w:name="_Toc20622"/>
      <w:bookmarkStart w:id="31" w:name="_Toc12512_WPSOffice_Level3"/>
      <w:bookmarkStart w:id="32" w:name="_Toc5100"/>
      <w:r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资金来源及使用情况</w:t>
      </w:r>
      <w:bookmarkEnd w:id="27"/>
      <w:bookmarkEnd w:id="28"/>
      <w:bookmarkEnd w:id="29"/>
      <w:bookmarkEnd w:id="30"/>
      <w:bookmarkEnd w:id="31"/>
      <w:bookmarkEnd w:id="3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9"/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（1）资金来源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rPr>
          <w:rFonts w:hint="default" w:eastAsia="方正小标宋简体"/>
          <w:lang w:val="en-US" w:eastAsia="zh-CN"/>
        </w:rPr>
      </w:pPr>
      <w:r>
        <w:rPr>
          <w:rFonts w:hint="eastAsia" w:ascii="仿宋_GB2312" w:hAnsi="新宋体" w:cs="Times New Roman"/>
          <w:kern w:val="2"/>
          <w:sz w:val="32"/>
          <w:szCs w:val="32"/>
          <w:lang w:val="en-US" w:eastAsia="zh-CN" w:bidi="ar-SA"/>
        </w:rPr>
        <w:t>安全生产、环境保护专项经费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 w:bidi="ar-SA"/>
        </w:rPr>
        <w:t>项目依据《昆</w:t>
      </w:r>
      <w:r>
        <w:rPr>
          <w:rFonts w:hint="eastAsia" w:ascii="仿宋_GB2312" w:hAnsi="楷体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明市东川区财政局关于下达2020年东川区乡镇（街道）一般公共预算支出的通知》（东财预【2020】3号）文件</w:t>
      </w:r>
      <w:r>
        <w:rPr>
          <w:rFonts w:hint="eastAsia" w:ascii="仿宋_GB2312" w:hAnsi="楷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，资金</w:t>
      </w:r>
      <w:r>
        <w:rPr>
          <w:rFonts w:hint="eastAsia" w:ascii="仿宋_GB2312" w:hAnsi="楷体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全部来源于财政拨款收入，资金总计15万元</w:t>
      </w:r>
      <w:r>
        <w:rPr>
          <w:rFonts w:hint="eastAsia" w:ascii="仿宋_GB2312" w:hAnsi="楷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left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（2）资金到位情况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rPr>
          <w:rFonts w:hint="default" w:eastAsia="方正小标宋简体"/>
          <w:lang w:val="en-US" w:eastAsia="zh-CN"/>
        </w:rPr>
      </w:pPr>
      <w:r>
        <w:rPr>
          <w:rFonts w:hint="eastAsia" w:ascii="仿宋_GB2312"/>
          <w:szCs w:val="32"/>
        </w:rPr>
        <w:t>截止20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年12月</w:t>
      </w:r>
      <w:r>
        <w:rPr>
          <w:rFonts w:hint="eastAsia" w:ascii="仿宋_GB2312"/>
          <w:szCs w:val="32"/>
          <w:lang w:val="en-US" w:eastAsia="zh-CN"/>
        </w:rPr>
        <w:t>31</w:t>
      </w:r>
      <w:r>
        <w:rPr>
          <w:rFonts w:hint="eastAsia" w:ascii="仿宋_GB2312"/>
          <w:szCs w:val="32"/>
        </w:rPr>
        <w:t>日，昆明市东川区</w:t>
      </w:r>
      <w:r>
        <w:rPr>
          <w:rFonts w:hint="eastAsia" w:ascii="仿宋_GB2312"/>
          <w:szCs w:val="32"/>
          <w:lang w:eastAsia="zh-CN"/>
        </w:rPr>
        <w:t>阿旺</w:t>
      </w:r>
      <w:r>
        <w:rPr>
          <w:rFonts w:hint="eastAsia" w:ascii="仿宋_GB2312"/>
          <w:szCs w:val="32"/>
        </w:rPr>
        <w:t>镇人民政府共收到昆明市东川区财政局拨入资金</w:t>
      </w:r>
      <w:r>
        <w:rPr>
          <w:rFonts w:hint="eastAsia" w:ascii="仿宋_GB2312"/>
          <w:szCs w:val="32"/>
          <w:lang w:val="en-US" w:eastAsia="zh-CN"/>
        </w:rPr>
        <w:t>15万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其中：安全生产专项经费10万元，环境保护专项经费5万元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pacing w:line="560" w:lineRule="exact"/>
        <w:ind w:left="0" w:leftChars="0" w:firstLine="632" w:firstLineChars="200"/>
        <w:rPr>
          <w:rFonts w:hint="eastAsia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资金使用情况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rPr>
          <w:rFonts w:hint="eastAsia"/>
          <w:highlight w:val="yellow"/>
          <w:lang w:val="en-US" w:eastAsia="zh-CN"/>
        </w:rPr>
      </w:pPr>
      <w:r>
        <w:rPr>
          <w:rFonts w:hint="eastAsia" w:ascii="仿宋_GB2312" w:hAnsi="宋体" w:cs="方正仿宋_GBK"/>
          <w:szCs w:val="32"/>
          <w:highlight w:val="none"/>
          <w:lang w:val="zh-CN"/>
        </w:rPr>
        <w:t>截止20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cs="方正仿宋_GBK"/>
          <w:szCs w:val="32"/>
          <w:highlight w:val="none"/>
          <w:lang w:val="zh-CN"/>
        </w:rPr>
        <w:t>年1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cs="方正仿宋_GBK"/>
          <w:szCs w:val="32"/>
          <w:highlight w:val="none"/>
          <w:lang w:val="zh-CN"/>
        </w:rPr>
        <w:t>月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cs="方正仿宋_GBK"/>
          <w:szCs w:val="32"/>
          <w:highlight w:val="none"/>
          <w:lang w:val="zh-CN"/>
        </w:rPr>
        <w:t>日，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阿旺镇安全生产、环境保护专项经费项目实际到位资金15万</w:t>
      </w:r>
      <w:r>
        <w:rPr>
          <w:rFonts w:hint="eastAsia" w:ascii="仿宋_GB2312" w:hAnsi="宋体" w:cs="方正仿宋_GBK"/>
          <w:szCs w:val="32"/>
          <w:highlight w:val="none"/>
          <w:lang w:val="zh-CN"/>
        </w:rPr>
        <w:t>元，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其中：</w:t>
      </w:r>
      <w:r>
        <w:rPr>
          <w:rFonts w:hint="eastAsia" w:ascii="仿宋_GB2312"/>
          <w:szCs w:val="32"/>
          <w:lang w:val="en-US" w:eastAsia="zh-CN"/>
        </w:rPr>
        <w:t>安全生产专项经费10万元，环境保护专项经费5万元，项目资金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全部使用完结</w:t>
      </w:r>
      <w:r>
        <w:rPr>
          <w:rFonts w:hint="eastAsia" w:ascii="仿宋_GB2312" w:hAnsi="宋体" w:cs="方正仿宋_GBK"/>
          <w:szCs w:val="32"/>
          <w:highlight w:val="none"/>
          <w:lang w:val="zh-CN"/>
        </w:rPr>
        <w:t>，</w:t>
      </w:r>
      <w:r>
        <w:rPr>
          <w:rFonts w:hint="eastAsia" w:ascii="仿宋_GB2312" w:hAnsi="宋体" w:cs="方正仿宋_GBK"/>
          <w:szCs w:val="32"/>
          <w:highlight w:val="none"/>
          <w:lang w:val="en-US" w:eastAsia="zh-CN"/>
        </w:rPr>
        <w:t>项目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具体支出如下：</w:t>
      </w:r>
    </w:p>
    <w:p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2020年基层安全生产、环境保护专项经费</w:t>
      </w:r>
    </w:p>
    <w:p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项目资金使用情况</w:t>
      </w:r>
    </w:p>
    <w:p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单位：万元</w:t>
      </w:r>
    </w:p>
    <w:tbl>
      <w:tblPr>
        <w:tblStyle w:val="21"/>
        <w:tblW w:w="8251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2"/>
        <w:gridCol w:w="37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支付明细</w:t>
            </w:r>
          </w:p>
        </w:tc>
        <w:tc>
          <w:tcPr>
            <w:tcW w:w="3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生产安全宣传材料制作费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环保宣传材料费、制作费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7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安全生产监督协管员工资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7"/>
              </w:tabs>
              <w:jc w:val="left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33" w:name="_Toc3791"/>
      <w:bookmarkStart w:id="34" w:name="_Toc11492"/>
      <w:bookmarkStart w:id="35" w:name="_Toc2306"/>
      <w:bookmarkStart w:id="36" w:name="_Toc25951_WPSOffice_Level2"/>
      <w:bookmarkStart w:id="37" w:name="_Toc17057"/>
      <w:bookmarkStart w:id="38" w:name="_Toc19158"/>
      <w:r>
        <w:rPr>
          <w:rFonts w:hint="eastAsia" w:ascii="楷体" w:hAnsi="楷体" w:eastAsia="楷体" w:cs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（二）绩效目标</w:t>
      </w:r>
      <w:bookmarkEnd w:id="33"/>
      <w:bookmarkEnd w:id="34"/>
      <w:bookmarkEnd w:id="35"/>
      <w:bookmarkEnd w:id="36"/>
      <w:bookmarkEnd w:id="37"/>
      <w:bookmarkEnd w:id="38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39" w:name="_Toc27193"/>
      <w:bookmarkStart w:id="40" w:name="_Toc29329"/>
      <w:bookmarkStart w:id="41" w:name="_Toc15973"/>
      <w:bookmarkStart w:id="42" w:name="_Toc10521"/>
      <w:bookmarkStart w:id="43" w:name="_Toc31331_WPSOffice_Level3"/>
      <w:bookmarkStart w:id="44" w:name="_Toc1030"/>
      <w:r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1.总目标</w:t>
      </w:r>
      <w:bookmarkEnd w:id="39"/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9"/>
        <w:rPr>
          <w:rFonts w:hint="eastAsia" w:ascii="仿宋_GB2312" w:hAnsi="楷体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按照“全面覆盖、突出重点，权责对等、约束有力，结果应用、及时纠偏”的原则，加强基层安全生产、环境保护工作的开展，增加安全生产、环境保护意识，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提高预算执行效率和资金使用效益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2"/>
        <w:rPr>
          <w:highlight w:val="none"/>
        </w:rPr>
      </w:pPr>
      <w:bookmarkStart w:id="45" w:name="_Toc1069"/>
      <w:bookmarkStart w:id="46" w:name="_Toc19196"/>
      <w:bookmarkStart w:id="47" w:name="_Toc3411"/>
      <w:bookmarkStart w:id="48" w:name="_Toc5937"/>
      <w:bookmarkStart w:id="49" w:name="_Toc15709"/>
      <w:bookmarkStart w:id="50" w:name="_Toc30576_WPSOffice_Level3"/>
      <w:r>
        <w:rPr>
          <w:rFonts w:hint="eastAsia" w:ascii="仿宋_GB2312" w:hAnsi="楷体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年度目标</w:t>
      </w:r>
      <w:bookmarkEnd w:id="45"/>
      <w:bookmarkEnd w:id="46"/>
      <w:bookmarkEnd w:id="47"/>
      <w:bookmarkEnd w:id="48"/>
      <w:bookmarkEnd w:id="49"/>
      <w:bookmarkEnd w:id="5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9"/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年度昆明市东川区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紧紧围绕工作职能，结合实际情况，制定相应的本年度的绩效目标。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0"/>
        <w:rPr>
          <w:rFonts w:hint="eastAsia" w:ascii="仿宋_GB2312" w:hAnsi="楷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51" w:name="_Toc1131"/>
      <w:bookmarkStart w:id="52" w:name="_Toc4813"/>
      <w:bookmarkStart w:id="53" w:name="_Toc12512_WPSOffice_Level1"/>
      <w:bookmarkStart w:id="54" w:name="_Toc30319"/>
      <w:bookmarkStart w:id="55" w:name="_Toc7211"/>
      <w:bookmarkStart w:id="56" w:name="_Toc14959"/>
      <w:r>
        <w:rPr>
          <w:rFonts w:hint="eastAsia" w:ascii="仿宋_GB2312" w:hAnsi="楷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加强基层安全环保监管队伍建设，推进安全环保监管"关口前移，重心下移"，落实党委、政府履行监管责任。提高对抓好环境保护工作重要性的认识，正确处理环境保护和经济发展的关系，进一步统筹规划，健全机构，厘清职责，充实力量，确保基层安全环保监管力量能够满足监管工作任务的需要。通过环境保护知识的宣传、培训、组织、协调、指导和改善监督检查的方法，加强基层环境保护的监管队伍和机构建设，建立环境保护投入保障机制，进一步提高基层监管工作保障水平。加大基层环境保护监管执法力度，建立健全环境保护保障机制，完善基层监管网络，进一步提高基层监管工作保障水平，让环境保护意识深入到日常生产。通过项目实施，进一步提高阿旺镇安全环保中心安全生产监管水平。体现以人为本、加强环境保护队伍建设，促进环境保护工作开展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二、绩效评价工作情况</w:t>
      </w:r>
      <w:bookmarkEnd w:id="51"/>
      <w:bookmarkEnd w:id="52"/>
      <w:bookmarkEnd w:id="53"/>
      <w:bookmarkEnd w:id="54"/>
      <w:bookmarkEnd w:id="55"/>
      <w:bookmarkEnd w:id="56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57" w:name="_Toc3114"/>
      <w:bookmarkStart w:id="58" w:name="_Toc16579"/>
      <w:bookmarkStart w:id="59" w:name="_Toc24506"/>
      <w:bookmarkStart w:id="60" w:name="_Toc28088"/>
      <w:bookmarkStart w:id="61" w:name="_Toc1848"/>
      <w:bookmarkStart w:id="62" w:name="_Toc12512_WPSOffice_Level2"/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（一）绩效评价目的</w:t>
      </w:r>
      <w:bookmarkEnd w:id="57"/>
      <w:bookmarkEnd w:id="58"/>
      <w:bookmarkEnd w:id="59"/>
      <w:bookmarkEnd w:id="60"/>
      <w:bookmarkEnd w:id="61"/>
      <w:bookmarkEnd w:id="62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63" w:name="_Toc24392"/>
      <w:bookmarkStart w:id="64" w:name="_Toc25407"/>
      <w:bookmarkStart w:id="65" w:name="_Toc11471_WPSOffice_Level2"/>
      <w:bookmarkStart w:id="66" w:name="_Toc6074"/>
      <w:bookmarkStart w:id="67" w:name="_Toc31776"/>
      <w:bookmarkStart w:id="68" w:name="_Toc7263"/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（二）绩效评价工作方案制定过程</w:t>
      </w:r>
      <w:bookmarkEnd w:id="63"/>
      <w:bookmarkEnd w:id="64"/>
      <w:bookmarkEnd w:id="65"/>
      <w:bookmarkEnd w:id="66"/>
      <w:bookmarkEnd w:id="67"/>
      <w:bookmarkEnd w:id="68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69" w:name="_Toc4052"/>
      <w:bookmarkStart w:id="70" w:name="_Toc4376_WPSOffice_Level3"/>
      <w:bookmarkStart w:id="71" w:name="_Toc5848"/>
      <w:bookmarkStart w:id="72" w:name="_Toc31961"/>
      <w:bookmarkStart w:id="73" w:name="_Toc15475"/>
      <w:bookmarkStart w:id="74" w:name="_Toc14587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1.前期调研</w:t>
      </w:r>
      <w:bookmarkEnd w:id="69"/>
      <w:bookmarkEnd w:id="70"/>
      <w:bookmarkEnd w:id="71"/>
      <w:bookmarkEnd w:id="72"/>
      <w:bookmarkEnd w:id="73"/>
      <w:bookmarkEnd w:id="7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成立绩效评价工作小组，对本单位的项目报送情况进行整理，结合</w:t>
      </w:r>
      <w:r>
        <w:rPr>
          <w:rFonts w:hint="eastAsia" w:ascii="仿宋_GB2312" w:hAnsi="楷体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，对报送的项目实施情况进行调研分析、核查落实，在核查无误的情况下进行汇总，为绩效评价工作奠定基础。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75" w:name="_Toc3799"/>
      <w:bookmarkStart w:id="76" w:name="_Toc14727"/>
      <w:bookmarkStart w:id="77" w:name="_Toc2850_WPSOffice_Level3"/>
      <w:bookmarkStart w:id="78" w:name="_Toc2989"/>
      <w:bookmarkStart w:id="79" w:name="_Toc7526"/>
      <w:bookmarkStart w:id="80" w:name="_Toc2127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研究文件</w:t>
      </w:r>
      <w:bookmarkEnd w:id="75"/>
      <w:bookmarkEnd w:id="76"/>
      <w:bookmarkEnd w:id="77"/>
      <w:bookmarkEnd w:id="78"/>
      <w:bookmarkEnd w:id="79"/>
      <w:bookmarkEnd w:id="8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jc w:val="left"/>
        <w:rPr>
          <w:rFonts w:ascii="仿宋_GB2312" w:hAnsi="楷体"/>
          <w:color w:val="000000" w:themeColor="text1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根据《中华人民共和国预算法》，按照《昆明市人民政府关于全面推进预算绩效管理改革的实施意见》（昆政发﹝2016﹞21号）和《东川区财政局关于开展东川区20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年度绩效自评工作的通知》（</w:t>
      </w:r>
      <w:r>
        <w:rPr>
          <w:rFonts w:hint="eastAsia" w:ascii="仿宋_GB2312" w:hAnsi="楷体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绩〔20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号）文件要求，查看单位年度工作任务目标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专项资金项目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绩效目标申报表，为开展绩效评价工作奠定基础。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81" w:name="_Toc9775"/>
      <w:bookmarkStart w:id="82" w:name="_Toc29899"/>
      <w:bookmarkStart w:id="83" w:name="_Toc7088_WPSOffice_Level3"/>
      <w:bookmarkStart w:id="84" w:name="_Toc18102"/>
      <w:bookmarkStart w:id="85" w:name="_Toc29877"/>
      <w:bookmarkStart w:id="86" w:name="_Toc25968"/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绩效评价指标体系及工作方案的设计</w:t>
      </w:r>
      <w:bookmarkEnd w:id="81"/>
      <w:bookmarkEnd w:id="82"/>
      <w:bookmarkEnd w:id="83"/>
      <w:bookmarkEnd w:id="84"/>
      <w:bookmarkEnd w:id="85"/>
      <w:bookmarkEnd w:id="86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（1）绩效评价指标体系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评价指标体系共设一级指标三个，分别为项目决策（20%）、项目管理（20%）、项目绩效（60%）；二级指标七个，分别为项目立项、项目目标、投入管理、财务管理、项目实施、项目产出、项目效益；再根据项目具体情况细化为三级指标及四级指标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（2）工作方案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评价工作小组组织召开绩效评价会议，确定绩效评价重点，选取适合的绩效评价方式，制定绩效评价指标体系，明确绩效评价标准和评分标准，对相关单位的绩效资料报送情况进行现场核查、搜集证据材料，并形成评价结论，得出绩效评分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 w:cs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87" w:name="_Toc3884"/>
      <w:bookmarkStart w:id="88" w:name="_Toc725"/>
      <w:bookmarkStart w:id="89" w:name="_Toc2547"/>
      <w:bookmarkStart w:id="90" w:name="_Toc5669"/>
      <w:bookmarkStart w:id="91" w:name="_Toc31331_WPSOffice_Level2"/>
      <w:bookmarkStart w:id="92" w:name="_Toc14853"/>
      <w:r>
        <w:rPr>
          <w:rFonts w:hint="eastAsia" w:ascii="楷体" w:hAnsi="楷体" w:eastAsia="楷体" w:cs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（三）绩效评价原则、评价方法</w:t>
      </w:r>
      <w:bookmarkEnd w:id="87"/>
      <w:bookmarkEnd w:id="88"/>
      <w:bookmarkEnd w:id="89"/>
      <w:bookmarkEnd w:id="90"/>
      <w:bookmarkEnd w:id="91"/>
      <w:bookmarkEnd w:id="92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93" w:name="_Toc15295"/>
      <w:bookmarkStart w:id="94" w:name="_Toc23916"/>
      <w:bookmarkStart w:id="95" w:name="_Toc13043_WPSOffice_Level3"/>
      <w:bookmarkStart w:id="96" w:name="_Toc6299"/>
      <w:bookmarkStart w:id="97" w:name="_Toc27645"/>
      <w:bookmarkStart w:id="98" w:name="_Toc11800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1.绩效评价原则</w:t>
      </w:r>
      <w:bookmarkEnd w:id="93"/>
      <w:bookmarkEnd w:id="94"/>
      <w:bookmarkEnd w:id="95"/>
      <w:bookmarkEnd w:id="96"/>
      <w:bookmarkEnd w:id="97"/>
      <w:bookmarkEnd w:id="98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（1）经济性、效率性和有效性原则；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（2）经济效益、社会效益和生态环境效益原则；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（3）财政支出和产出绩效对应原则；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（4）定量分析与定性分析相结合原则。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99" w:name="_Toc923_WPSOffice_Level3"/>
      <w:bookmarkStart w:id="100" w:name="_Toc32224"/>
      <w:bookmarkStart w:id="101" w:name="_Toc497"/>
      <w:bookmarkStart w:id="102" w:name="_Toc24976"/>
      <w:bookmarkStart w:id="103" w:name="_Toc18128"/>
      <w:bookmarkStart w:id="104" w:name="_Toc30230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2.绩效评价方法</w:t>
      </w:r>
      <w:bookmarkEnd w:id="99"/>
      <w:bookmarkEnd w:id="100"/>
      <w:bookmarkEnd w:id="101"/>
      <w:bookmarkEnd w:id="102"/>
      <w:bookmarkEnd w:id="103"/>
      <w:bookmarkEnd w:id="10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根据《中华人民共和国预算法》，按照</w:t>
      </w:r>
      <w:r>
        <w:rPr>
          <w:rFonts w:hint="eastAsia" w:ascii="仿宋_GB2312" w:hAnsi="宋体"/>
          <w:spacing w:val="6"/>
          <w:szCs w:val="32"/>
          <w:highlight w:val="none"/>
        </w:rPr>
        <w:t>《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项目支出绩效评价</w:t>
      </w:r>
      <w:r>
        <w:rPr>
          <w:rFonts w:hint="eastAsia" w:ascii="仿宋_GB2312" w:hAnsi="宋体"/>
          <w:spacing w:val="6"/>
          <w:szCs w:val="32"/>
          <w:highlight w:val="none"/>
        </w:rPr>
        <w:t>管理办法》（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财预</w:t>
      </w:r>
      <w:r>
        <w:rPr>
          <w:rFonts w:hint="eastAsia" w:ascii="仿宋_GB2312" w:hAnsi="宋体"/>
          <w:spacing w:val="6"/>
          <w:szCs w:val="32"/>
          <w:highlight w:val="none"/>
        </w:rPr>
        <w:t>〔20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/>
          <w:spacing w:val="6"/>
          <w:szCs w:val="32"/>
          <w:highlight w:val="none"/>
        </w:rPr>
        <w:t>〕</w:t>
      </w:r>
      <w:r>
        <w:rPr>
          <w:rFonts w:hint="eastAsia" w:ascii="仿宋_GB2312" w:hAnsi="宋体"/>
          <w:spacing w:val="6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/>
          <w:spacing w:val="6"/>
          <w:szCs w:val="32"/>
          <w:highlight w:val="none"/>
        </w:rPr>
        <w:t>0号）</w:t>
      </w:r>
      <w:r>
        <w:rPr>
          <w:rFonts w:hint="eastAsia" w:ascii="仿宋_GB2312" w:hAnsi="宋体"/>
          <w:spacing w:val="6"/>
          <w:szCs w:val="32"/>
          <w:highlight w:val="none"/>
          <w:lang w:eastAsia="zh-CN"/>
        </w:rPr>
        <w:t>、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《东川区财政局关于开展东川区20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年度绩效自评工作的通知》（东财绩〔20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号）文件要求，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采用定量分析与定性分析相结合、运用比较分析的办法，对部门规划、项目立项、管理制度、绩效指标、预算执行、资金使用、项目监管、绩效目标的完成情况及产生效果进行评价。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05" w:name="_Toc30576_WPSOffice_Level2"/>
      <w:bookmarkStart w:id="106" w:name="_Toc2891"/>
      <w:bookmarkStart w:id="107" w:name="_Toc30904"/>
      <w:bookmarkStart w:id="108" w:name="_Toc1125"/>
      <w:bookmarkStart w:id="109" w:name="_Toc20852"/>
      <w:bookmarkStart w:id="110" w:name="_Toc28147"/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（四）绩效评价实施过程</w:t>
      </w:r>
      <w:bookmarkEnd w:id="105"/>
      <w:bookmarkEnd w:id="106"/>
      <w:bookmarkEnd w:id="107"/>
      <w:bookmarkEnd w:id="108"/>
      <w:bookmarkEnd w:id="109"/>
      <w:bookmarkEnd w:id="11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11" w:name="_Toc25031"/>
      <w:bookmarkStart w:id="112" w:name="_Toc15041_WPSOffice_Level3"/>
      <w:bookmarkStart w:id="113" w:name="_Toc3147"/>
      <w:bookmarkStart w:id="114" w:name="_Toc28114"/>
      <w:bookmarkStart w:id="115" w:name="_Toc31214"/>
      <w:bookmarkStart w:id="116" w:name="_Toc29169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1.数据填报和采集</w:t>
      </w:r>
      <w:bookmarkEnd w:id="111"/>
      <w:bookmarkEnd w:id="112"/>
      <w:bookmarkEnd w:id="113"/>
      <w:bookmarkEnd w:id="114"/>
      <w:bookmarkEnd w:id="115"/>
      <w:bookmarkEnd w:id="116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本次绩效评价数据来源于预算批复及明细、部门决算报表、绩效目标申报表、绩效目标完成情况、部门年度工作总结，</w:t>
      </w:r>
      <w:r>
        <w:rPr>
          <w:rFonts w:hint="eastAsia" w:ascii="仿宋_GB2312" w:hAnsi="楷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相关工程建设资料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，根据以上资料进行分析汇总，形成绩效自评报告的基础数据。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17" w:name="_Toc17260"/>
      <w:bookmarkStart w:id="118" w:name="_Toc32454"/>
      <w:bookmarkStart w:id="119" w:name="_Toc24306"/>
      <w:bookmarkStart w:id="120" w:name="_Toc17501"/>
      <w:bookmarkStart w:id="121" w:name="_Toc4072"/>
      <w:bookmarkStart w:id="122" w:name="_Toc5280_WPSOffice_Level3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社会调查</w:t>
      </w:r>
      <w:bookmarkEnd w:id="117"/>
      <w:bookmarkEnd w:id="118"/>
      <w:bookmarkEnd w:id="119"/>
      <w:bookmarkEnd w:id="120"/>
      <w:bookmarkEnd w:id="121"/>
      <w:bookmarkEnd w:id="122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绩效评价工作小组根据项目的开展情况，设计相关的调查问卷，对社会公众对象进行满意度调查，并对调查结果进行统计分析，形成社会调查问卷分析报告。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3" w:name="_Toc12388"/>
      <w:bookmarkStart w:id="124" w:name="_Toc14259"/>
      <w:bookmarkStart w:id="125" w:name="_Toc25194"/>
      <w:bookmarkStart w:id="126" w:name="_Toc27606"/>
      <w:bookmarkStart w:id="127" w:name="_Toc1033"/>
      <w:bookmarkStart w:id="128" w:name="_Toc22779_WPSOffice_Level3"/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数据分析和撰写报告</w:t>
      </w:r>
      <w:bookmarkEnd w:id="123"/>
      <w:bookmarkEnd w:id="124"/>
      <w:bookmarkEnd w:id="125"/>
      <w:bookmarkEnd w:id="126"/>
      <w:bookmarkEnd w:id="127"/>
      <w:bookmarkEnd w:id="128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仿宋_GB2312" w:hAnsi="楷体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根据要求，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昆明市东川区阿旺镇人民政府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对专项支出从项目决策、项目管理、项目绩效（包括产出和效益）三个方面进行评价，得出评价结论及得分，撰写绩效自评报告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项目决策方面，主要是评价绩效目标的设定情况，包括绩效目标设立的充分性、明确性、合理性以及细化程度，绩效目标的设立是否符合客观实际，是否与部门履职相一致，绩效指标是否清晰、细化、可衡量。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管理方面，主要是资金投入和使用情况、未实现绩效目标制定的制度、采取的措施等，包括评价资金分配过程、投入方式、资金到位、预算执行和结果；看资金分配过程是否科学规范，资金投入方式是否合理，资金是否及时到位，预算执行进度是否按预期进行，资金使用是否经济有效；项目制度包括项目管理制度、财务管理制度、资产管理制度和绩效跟踪管理措施以及制度措施的落实情况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项目绩效方面，主要是绩效目标的实现程度和效果，绩效目标的实现程度包括产出数量、产出质量、产出时效和产出成本；效果包括经济效益、社会效益、生态效益、可持续影响以及服务对象满意度等。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9" w:name="_Toc9988"/>
      <w:bookmarkStart w:id="130" w:name="_Toc4376_WPSOffice_Level2"/>
      <w:bookmarkStart w:id="131" w:name="_Toc28480"/>
      <w:bookmarkStart w:id="132" w:name="_Toc1002"/>
      <w:bookmarkStart w:id="133" w:name="_Toc15096"/>
      <w:bookmarkStart w:id="134" w:name="_Toc26959"/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本次绩效评价的局限性</w:t>
      </w:r>
      <w:bookmarkEnd w:id="129"/>
      <w:bookmarkEnd w:id="130"/>
      <w:bookmarkEnd w:id="131"/>
      <w:bookmarkEnd w:id="132"/>
      <w:bookmarkEnd w:id="133"/>
      <w:bookmarkEnd w:id="13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由于本次绩效评价为自评，带有一定的主观性，不能全面反映各部门项目实施的实际绩效；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rPr>
          <w:rFonts w:hint="eastAsia" w:ascii="仿宋_GB2312" w:hAnsi="楷体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获取资料有限，可能会造成数据与客观事实之间的差距</w:t>
      </w:r>
      <w:r>
        <w:rPr>
          <w:rFonts w:hint="eastAsia" w:ascii="仿宋_GB2312" w:hAnsi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35" w:name="_Toc10077"/>
      <w:bookmarkStart w:id="136" w:name="_Toc2474"/>
      <w:bookmarkStart w:id="137" w:name="_Toc11471_WPSOffice_Level1"/>
      <w:bookmarkStart w:id="138" w:name="_Toc22436"/>
      <w:bookmarkStart w:id="139" w:name="_Toc16905"/>
      <w:bookmarkStart w:id="140" w:name="_Toc30851"/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三、评价结论和绩效分析</w:t>
      </w:r>
      <w:bookmarkEnd w:id="135"/>
      <w:bookmarkEnd w:id="136"/>
      <w:bookmarkEnd w:id="137"/>
      <w:bookmarkEnd w:id="138"/>
      <w:bookmarkEnd w:id="139"/>
      <w:bookmarkEnd w:id="14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41" w:name="_Toc19365"/>
      <w:bookmarkStart w:id="142" w:name="_Toc26726"/>
      <w:bookmarkStart w:id="143" w:name="_Toc2854"/>
      <w:bookmarkStart w:id="144" w:name="_Toc27410"/>
      <w:bookmarkStart w:id="145" w:name="_Toc31192"/>
      <w:bookmarkStart w:id="146" w:name="_Toc2850_WPSOffice_Level2"/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（一）评价结论</w:t>
      </w:r>
      <w:bookmarkEnd w:id="141"/>
      <w:bookmarkEnd w:id="142"/>
      <w:bookmarkEnd w:id="143"/>
      <w:bookmarkEnd w:id="144"/>
      <w:bookmarkEnd w:id="145"/>
      <w:bookmarkEnd w:id="146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2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47" w:name="_Toc11044"/>
      <w:bookmarkStart w:id="148" w:name="_Toc10054"/>
      <w:bookmarkStart w:id="149" w:name="_Toc26168_WPSOffice_Level3"/>
      <w:bookmarkStart w:id="150" w:name="_Toc20339"/>
      <w:bookmarkStart w:id="151" w:name="_Toc21356"/>
      <w:bookmarkStart w:id="152" w:name="_Toc6173"/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1.评价结果</w:t>
      </w:r>
      <w:bookmarkEnd w:id="147"/>
      <w:bookmarkEnd w:id="148"/>
      <w:bookmarkEnd w:id="149"/>
      <w:bookmarkEnd w:id="150"/>
      <w:bookmarkEnd w:id="151"/>
      <w:bookmarkEnd w:id="152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经评价，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阿旺镇基层安全生产、环境保护专项经费项目支出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绩效自评得分: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分，评价等级为“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left="155" w:leftChars="0" w:firstLine="790" w:firstLineChars="0"/>
        <w:outlineLvl w:val="2"/>
        <w:rPr>
          <w:rFonts w:hint="eastAsia" w:ascii="仿宋_GB2312" w:hAnsi="仿宋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53" w:name="_Toc32521_WPSOffice_Level3"/>
      <w:bookmarkStart w:id="154" w:name="_Toc23183"/>
      <w:bookmarkStart w:id="155" w:name="_Toc11469"/>
      <w:bookmarkStart w:id="156" w:name="_Toc25521"/>
      <w:bookmarkStart w:id="157" w:name="_Toc17817"/>
      <w:bookmarkStart w:id="158" w:name="_Toc12451"/>
      <w:r>
        <w:rPr>
          <w:rFonts w:hint="eastAsia" w:ascii="仿宋_GB2312" w:hAnsi="仿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主要绩效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6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autoSpaceDE/>
        <w:autoSpaceDN/>
        <w:bidi w:val="0"/>
        <w:adjustRightInd/>
        <w:spacing w:line="560" w:lineRule="exact"/>
        <w:ind w:left="-2" w:leftChars="0" w:firstLine="632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增强安全生产、环境保护意识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通过安全生产、环境保护知识培训，正确认识当前安全生产、环境保护的形式，增强抓好安全环保工作的紧迫感和责任意识，认真贯彻执行国家和地方政府关于安全环保的方针、政策、法律法规和相关制度，把安全环保工作放在首位。</w:t>
      </w:r>
    </w:p>
    <w:p>
      <w:pPr>
        <w:pStyle w:val="6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autoSpaceDE/>
        <w:autoSpaceDN/>
        <w:bidi w:val="0"/>
        <w:adjustRightInd/>
        <w:spacing w:line="560" w:lineRule="exact"/>
        <w:ind w:left="-2" w:leftChars="0" w:firstLine="632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增加安全生产、环境保护监督管理力量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2020年由阿旺镇镇党委书记、镇长等组成了安全环保工作监控领导小组，对安全、环保工作完成情况进行监督，以完善监督管理机制。</w:t>
      </w:r>
    </w:p>
    <w:p>
      <w:pPr>
        <w:pStyle w:val="6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autoSpaceDE/>
        <w:autoSpaceDN/>
        <w:bidi w:val="0"/>
        <w:adjustRightInd/>
        <w:spacing w:line="560" w:lineRule="exact"/>
        <w:ind w:left="-2" w:leftChars="0" w:firstLine="632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增强安全、环保工作风险管理意识</w:t>
      </w: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培养各级管理人员事事从严、事事从细的工作作风，及时发现和堵塞安全环保工作中的漏洞，识别各类风险，增强识险避险和事故应急处理能力。</w:t>
      </w:r>
    </w:p>
    <w:p>
      <w:pPr>
        <w:pStyle w:val="6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autoSpaceDE/>
        <w:autoSpaceDN/>
        <w:bidi w:val="0"/>
        <w:adjustRightInd/>
        <w:spacing w:line="560" w:lineRule="exact"/>
        <w:ind w:left="-2" w:leftChars="0" w:firstLine="632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采用多种形式宣传安全、环保知识</w:t>
      </w:r>
    </w:p>
    <w:p>
      <w:pPr>
        <w:widowControl/>
        <w:ind w:firstLine="474" w:firstLineChars="15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bookmarkStart w:id="159" w:name="_Toc10595"/>
      <w:bookmarkStart w:id="160" w:name="_Toc7088_WPSOffice_Level2"/>
      <w:bookmarkStart w:id="161" w:name="_Toc14979"/>
      <w:bookmarkStart w:id="162" w:name="_Toc21746"/>
      <w:bookmarkStart w:id="163" w:name="_Toc5951"/>
      <w:bookmarkStart w:id="164" w:name="_Toc2865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分别在17个村社区、8个交通安全劝导站分别张贴六月安全生产月内容写真共25张，发放安全生产、环保宣传手袋1000个、雨伞400把、纸巾1000盒、太阳帽500顶、纸杯3000个、食品宣传围裙500条，发放阿旺镇人民政府安全告知书、交通安全常识、消防安全常识、食品安全常识等法律法规宣传材料5000余份、图册1000余份。在集镇和17个村（社区）悬挂环境保护宣传标语30余幅，制作《阿旺镇生态环境保护宣传栏》4块，更换张贴环境保护宣传写真5期共120余张，发放阿旺镇生态环境保护宣传材料10000余份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1"/>
        <w:rPr>
          <w:rFonts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01" w:name="_GoBack"/>
      <w:bookmarkEnd w:id="201"/>
      <w:r>
        <w:rPr>
          <w:rFonts w:hint="eastAsia"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（二）具体绩效分析</w:t>
      </w:r>
      <w:bookmarkEnd w:id="159"/>
      <w:bookmarkEnd w:id="160"/>
      <w:bookmarkEnd w:id="161"/>
      <w:bookmarkEnd w:id="162"/>
      <w:bookmarkEnd w:id="163"/>
      <w:bookmarkEnd w:id="16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经评价，20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年度财政预算资金部门项目支出绩效评价综合得分为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分，评定等级为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项目决策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部分分值为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20.00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占比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评价得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20.00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；项目管理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部分分值为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占比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评价得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项目绩效部分分值为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60.00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分，占比60%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项目产出部分分值为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42.00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分，占比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%，评价得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37.5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分；项目效益部分分值为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分，占比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%，评价得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</w:t>
      </w:r>
      <w:bookmarkStart w:id="165" w:name="_Toc21345"/>
      <w:bookmarkStart w:id="166" w:name="_Toc31331_WPSOffice_Level1"/>
      <w:bookmarkStart w:id="167" w:name="_Toc13352"/>
      <w:bookmarkStart w:id="168" w:name="_Toc1634"/>
      <w:bookmarkStart w:id="169" w:name="_Toc19404"/>
      <w:bookmarkStart w:id="170" w:name="_Toc987"/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四、成本效益分析</w:t>
      </w:r>
      <w:bookmarkEnd w:id="165"/>
      <w:bookmarkEnd w:id="166"/>
      <w:bookmarkEnd w:id="167"/>
      <w:bookmarkEnd w:id="168"/>
      <w:bookmarkEnd w:id="169"/>
      <w:bookmarkEnd w:id="17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</w:pPr>
      <w:bookmarkStart w:id="171" w:name="_Toc30080"/>
      <w:bookmarkStart w:id="172" w:name="_Toc13043_WPSOffice_Level2"/>
      <w:r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  <w:t>（一）经济性分析</w:t>
      </w:r>
      <w:bookmarkEnd w:id="171"/>
      <w:bookmarkEnd w:id="172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rPr>
          <w:rFonts w:hint="default" w:ascii="楷体" w:hAnsi="楷体" w:eastAsia="楷体" w:cs="楷体"/>
          <w:color w:val="000000" w:themeColor="text1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年云南省阿旺镇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安全生产、环保专项资金</w:t>
      </w:r>
      <w:r>
        <w:rPr>
          <w:rFonts w:hint="eastAsia"/>
        </w:rPr>
        <w:t>预算资金</w:t>
      </w:r>
      <w:r>
        <w:rPr>
          <w:rFonts w:hint="eastAsia"/>
          <w:lang w:val="en-US" w:eastAsia="zh-CN"/>
        </w:rPr>
        <w:t>于2020年11月6日全部</w:t>
      </w:r>
      <w:r>
        <w:rPr>
          <w:rFonts w:hint="eastAsia"/>
        </w:rPr>
        <w:t>拨付到位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并按照相关规定全部用于单位项目支出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由于项目资金有限，在培训、制作宣传品支出超出了年初预算，使得未能按预算购置相关的设备，</w:t>
      </w:r>
      <w:r>
        <w:rPr>
          <w:rFonts w:hint="eastAsia"/>
          <w:szCs w:val="22"/>
          <w:lang w:val="en-US" w:eastAsia="zh-CN"/>
        </w:rPr>
        <w:t>项</w:t>
      </w:r>
      <w:r>
        <w:rPr>
          <w:rFonts w:hint="eastAsia"/>
          <w:lang w:val="en-US" w:eastAsia="zh-CN"/>
        </w:rPr>
        <w:t>目资金使用成本未能得到有效控制。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</w:pPr>
      <w:bookmarkStart w:id="173" w:name="_Toc923_WPSOffice_Level2"/>
      <w:bookmarkStart w:id="174" w:name="_Toc9410"/>
      <w:r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  <w:t>（二）效率性分析</w:t>
      </w:r>
      <w:bookmarkEnd w:id="173"/>
      <w:bookmarkEnd w:id="174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楷体_GB2312" w:hAnsi="楷体_GB2312" w:eastAsia="仿宋_GB2312" w:cs="楷体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年云南省阿旺镇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安全生产、环境保护专项经费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按年初设定的目标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执行效率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相关的工作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</w:pPr>
      <w:bookmarkStart w:id="175" w:name="_Toc19097"/>
      <w:bookmarkStart w:id="176" w:name="_Toc27896_WPSOffice_Level2"/>
      <w:r>
        <w:rPr>
          <w:rFonts w:hint="eastAsia" w:ascii="楷体_GB2312" w:hAnsi="楷体_GB2312" w:eastAsia="楷体_GB2312" w:cs="楷体_GB2312"/>
          <w:b/>
          <w:bCs/>
          <w:szCs w:val="32"/>
          <w:highlight w:val="none"/>
        </w:rPr>
        <w:t>（三）效益性分析</w:t>
      </w:r>
      <w:bookmarkEnd w:id="175"/>
      <w:bookmarkEnd w:id="176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177" w:name="_Toc493"/>
      <w:bookmarkStart w:id="178" w:name="_Toc27896_WPSOffice_Level1"/>
      <w:bookmarkStart w:id="179" w:name="_Toc17660"/>
      <w:bookmarkStart w:id="180" w:name="_Toc3346"/>
      <w:bookmarkStart w:id="181" w:name="_Toc15550"/>
      <w:bookmarkStart w:id="182" w:name="_Toc19966"/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2020年阿旺镇安全、环保专项经费支出，对</w:t>
      </w:r>
      <w:r>
        <w:rPr>
          <w:rFonts w:hint="eastAsia" w:asciiTheme="minorEastAsia" w:hAnsiTheme="minorEastAsia" w:cstheme="minorEastAsia"/>
          <w:sz w:val="32"/>
          <w:szCs w:val="32"/>
        </w:rPr>
        <w:t>扩大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安全生产、</w:t>
      </w:r>
      <w:r>
        <w:rPr>
          <w:rFonts w:hint="eastAsia" w:asciiTheme="minorEastAsia" w:hAnsiTheme="minorEastAsia" w:cstheme="minorEastAsia"/>
          <w:sz w:val="32"/>
          <w:szCs w:val="32"/>
        </w:rPr>
        <w:t>环保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32"/>
          <w:szCs w:val="32"/>
        </w:rPr>
        <w:t>影响，强化群众、企业的环境意识，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起到了重大作用。</w:t>
      </w:r>
      <w:r>
        <w:rPr>
          <w:rFonts w:hint="eastAsia" w:asciiTheme="minorEastAsia" w:hAnsiTheme="minorEastAsia" w:cstheme="minorEastAsia"/>
          <w:sz w:val="32"/>
          <w:szCs w:val="32"/>
        </w:rPr>
        <w:t>采取灵活的宣传方法，利用会议、标语、各村小喇叭、传单等群众喜闻乐见的方式对群众，企业进行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安全、</w:t>
      </w:r>
      <w:r>
        <w:rPr>
          <w:rFonts w:hint="eastAsia" w:asciiTheme="minorEastAsia" w:hAnsiTheme="minorEastAsia" w:cstheme="minorEastAsia"/>
          <w:sz w:val="32"/>
          <w:szCs w:val="32"/>
        </w:rPr>
        <w:t>环保政策、法规的宣传，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将安全、环保知识融入生产、生活中。</w:t>
      </w:r>
    </w:p>
    <w:p>
      <w:pPr>
        <w:ind w:firstLine="632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根据内污染源分布情况，全镇范围内各企业不断的完善环保配套设施建设，坚持环保“三同时”，狠抓企业环保工作。</w:t>
      </w:r>
      <w:r>
        <w:rPr>
          <w:rFonts w:hint="eastAsia" w:asciiTheme="minorEastAsia" w:hAnsiTheme="minorEastAsia" w:cstheme="minorEastAsia"/>
          <w:sz w:val="32"/>
          <w:szCs w:val="32"/>
        </w:rPr>
        <w:t>加强对镇区水源保护区的管理工作，保证饮用水水源地的环境质量，保证镇区饮用水安全。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截至12月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31日，阿旺</w:t>
      </w:r>
      <w:r>
        <w:rPr>
          <w:rFonts w:hint="eastAsia" w:ascii="仿宋" w:hAnsi="仿宋" w:eastAsia="仿宋" w:cs="仿宋_GB2312"/>
          <w:sz w:val="32"/>
          <w:szCs w:val="32"/>
        </w:rPr>
        <w:t>镇没有发生一起生产安全事故，没有人员伤亡及财产损失。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0"/>
        <w:rPr>
          <w:rFonts w:ascii="黑体" w:hAnsi="黑体" w:eastAsia="黑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五、主要经验及做法、存在的问题和建议</w:t>
      </w:r>
      <w:bookmarkEnd w:id="177"/>
      <w:bookmarkEnd w:id="178"/>
      <w:bookmarkEnd w:id="179"/>
      <w:bookmarkEnd w:id="180"/>
      <w:bookmarkEnd w:id="181"/>
      <w:bookmarkEnd w:id="182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hint="eastAsia"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83" w:name="_Toc11048_WPSOffice_Level2"/>
      <w:bookmarkStart w:id="184" w:name="_Toc2639"/>
      <w:bookmarkStart w:id="185" w:name="_Toc31834"/>
      <w:bookmarkStart w:id="186" w:name="_Toc29680"/>
      <w:bookmarkStart w:id="187" w:name="_Toc15538"/>
      <w:bookmarkStart w:id="188" w:name="_Toc22105"/>
      <w:r>
        <w:rPr>
          <w:rFonts w:hint="eastAsia"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（一）主要经验及做法</w:t>
      </w:r>
      <w:bookmarkEnd w:id="183"/>
      <w:bookmarkEnd w:id="184"/>
      <w:bookmarkEnd w:id="185"/>
      <w:bookmarkEnd w:id="186"/>
      <w:bookmarkEnd w:id="187"/>
      <w:bookmarkEnd w:id="188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楷体" w:hAnsi="楷体" w:eastAsia="楷体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z w:val="32"/>
          <w:szCs w:val="32"/>
        </w:rPr>
        <w:t>通过评价小组对</w:t>
      </w:r>
      <w:r>
        <w:rPr>
          <w:rFonts w:hint="eastAsia" w:ascii="仿宋_GB2312" w:cs="仿宋_GB2312"/>
          <w:sz w:val="32"/>
          <w:szCs w:val="32"/>
          <w:lang w:val="en-US" w:eastAsia="zh-CN"/>
        </w:rPr>
        <w:t>2020年安全生产、环境保护项目经费</w:t>
      </w:r>
      <w:r>
        <w:rPr>
          <w:rFonts w:hint="eastAsia" w:ascii="仿宋_GB2312" w:eastAsia="仿宋_GB2312" w:cs="仿宋_GB2312"/>
          <w:sz w:val="32"/>
          <w:szCs w:val="32"/>
        </w:rPr>
        <w:t>的立项、资金落实、业务管理、财务管理、项目产出</w:t>
      </w:r>
      <w:r>
        <w:rPr>
          <w:rFonts w:hint="eastAsia" w:asci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cs="仿宋_GB2312"/>
          <w:sz w:val="32"/>
          <w:szCs w:val="32"/>
          <w:lang w:val="en-US" w:eastAsia="zh-CN"/>
        </w:rPr>
        <w:t>经济效益和社会效益</w:t>
      </w:r>
      <w:r>
        <w:rPr>
          <w:rFonts w:hint="eastAsia" w:ascii="仿宋_GB2312" w:eastAsia="仿宋_GB2312" w:cs="仿宋_GB2312"/>
          <w:sz w:val="32"/>
          <w:szCs w:val="32"/>
        </w:rPr>
        <w:t>等方面进行绩效评价</w:t>
      </w:r>
      <w:r>
        <w:rPr>
          <w:rFonts w:hint="eastAsia" w:ascii="仿宋_GB2312" w:cs="仿宋_GB2312"/>
          <w:sz w:val="32"/>
          <w:szCs w:val="32"/>
          <w:lang w:val="en-US" w:eastAsia="zh-CN"/>
        </w:rPr>
        <w:t>分析，</w:t>
      </w:r>
      <w:r>
        <w:rPr>
          <w:rFonts w:hint="eastAsia" w:ascii="仿宋_GB2312" w:eastAsia="仿宋_GB2312"/>
          <w:sz w:val="32"/>
          <w:szCs w:val="32"/>
        </w:rPr>
        <w:t>项目的绩效目标得到实现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使绩效考核有章可循，有据可依。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89" w:name="_Toc19217"/>
      <w:bookmarkStart w:id="190" w:name="_Toc25771"/>
      <w:bookmarkStart w:id="191" w:name="_Toc3807_WPSOffice_Level2"/>
      <w:bookmarkStart w:id="192" w:name="_Toc22097"/>
      <w:bookmarkStart w:id="193" w:name="_Toc3359"/>
      <w:bookmarkStart w:id="194" w:name="_Toc9279"/>
      <w:r>
        <w:rPr>
          <w:rFonts w:hint="eastAsia"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存在的问题</w:t>
      </w:r>
      <w:bookmarkEnd w:id="189"/>
      <w:bookmarkEnd w:id="190"/>
      <w:bookmarkEnd w:id="191"/>
      <w:bookmarkEnd w:id="192"/>
      <w:bookmarkEnd w:id="193"/>
      <w:bookmarkEnd w:id="194"/>
    </w:p>
    <w:p>
      <w:pPr>
        <w:pStyle w:val="6"/>
        <w:numPr>
          <w:ilvl w:val="0"/>
          <w:numId w:val="0"/>
        </w:numPr>
        <w:ind w:firstLine="948" w:firstLineChars="30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1.阿旺镇内部控制制度不健全，监督机制不完善</w:t>
      </w:r>
      <w:bookmarkStart w:id="195" w:name="_Toc13156"/>
      <w:bookmarkStart w:id="196" w:name="_Toc6390"/>
      <w:bookmarkStart w:id="197" w:name="_Toc24387"/>
      <w:bookmarkStart w:id="198" w:name="_Toc7961"/>
      <w:bookmarkStart w:id="199" w:name="_Toc21785_WPSOffice_Level2"/>
      <w:bookmarkStart w:id="200" w:name="_Toc21671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，措施执行情况不够具体，需进一步加强管理制度，细化监管措施。</w:t>
      </w:r>
    </w:p>
    <w:p>
      <w:pPr>
        <w:ind w:firstLine="948" w:firstLineChars="3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2.全镇人员及企业安全、</w:t>
      </w:r>
      <w:r>
        <w:rPr>
          <w:rFonts w:hint="eastAsia" w:asciiTheme="minorEastAsia" w:hAnsiTheme="minorEastAsia" w:cstheme="minorEastAsia"/>
          <w:sz w:val="32"/>
          <w:szCs w:val="32"/>
        </w:rPr>
        <w:t>环保意识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和安全、</w:t>
      </w:r>
      <w:r>
        <w:rPr>
          <w:rFonts w:hint="eastAsia" w:asciiTheme="minorEastAsia" w:hAnsiTheme="minorEastAsia" w:cstheme="minorEastAsia"/>
          <w:sz w:val="32"/>
          <w:szCs w:val="32"/>
        </w:rPr>
        <w:t>环保理念还需进一步强化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</w:rPr>
        <w:t>生态环境建设仍需进一步加大。</w:t>
      </w:r>
    </w:p>
    <w:p>
      <w:pPr>
        <w:pStyle w:val="6"/>
        <w:spacing w:after="0" w:line="500" w:lineRule="exact"/>
        <w:ind w:firstLine="63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由于经费及人员不足，有些工作不能及时开展，发现问题也不能及时处理，进一步限制了安全生产工作的推进。</w:t>
      </w:r>
    </w:p>
    <w:p>
      <w:pPr>
        <w:pStyle w:val="2"/>
        <w:rPr>
          <w:rFonts w:hint="default" w:eastAsia="等线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790" w:firstLineChars="250"/>
        <w:outlineLvl w:val="1"/>
        <w:rPr>
          <w:rFonts w:ascii="仿宋_GB2312" w:hAnsi="仿宋_GB2312" w:cs="仿宋_GB2312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建议和改进措施</w:t>
      </w:r>
      <w:bookmarkEnd w:id="195"/>
      <w:bookmarkEnd w:id="196"/>
      <w:bookmarkEnd w:id="197"/>
      <w:bookmarkEnd w:id="198"/>
      <w:bookmarkEnd w:id="199"/>
      <w:bookmarkEnd w:id="20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firstLine="948" w:firstLineChars="3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1.建议结合全镇的实际情况</w:t>
      </w:r>
      <w:r>
        <w:rPr>
          <w:rFonts w:hint="eastAsia" w:asciiTheme="minorEastAsia" w:hAnsiTheme="minorEastAsia" w:cstheme="minorEastAsia"/>
          <w:sz w:val="32"/>
          <w:szCs w:val="32"/>
        </w:rPr>
        <w:t>进一步完善工作机制，落实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安全、</w:t>
      </w:r>
      <w:r>
        <w:rPr>
          <w:rFonts w:hint="eastAsia" w:asciiTheme="minorEastAsia" w:hAnsiTheme="minorEastAsia" w:cstheme="minorEastAsia"/>
          <w:sz w:val="32"/>
          <w:szCs w:val="32"/>
        </w:rPr>
        <w:t>环保工作责任制，加大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安全、</w:t>
      </w:r>
      <w:r>
        <w:rPr>
          <w:rFonts w:hint="eastAsia" w:asciiTheme="minorEastAsia" w:hAnsiTheme="minorEastAsia" w:cstheme="minorEastAsia"/>
          <w:sz w:val="32"/>
          <w:szCs w:val="32"/>
        </w:rPr>
        <w:t>环保执法监督力度，加大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安全、</w:t>
      </w:r>
      <w:r>
        <w:rPr>
          <w:rFonts w:hint="eastAsia" w:asciiTheme="minorEastAsia" w:hAnsiTheme="minorEastAsia" w:cstheme="minorEastAsia"/>
          <w:sz w:val="32"/>
          <w:szCs w:val="32"/>
        </w:rPr>
        <w:t>环保配套设施建设力度，强化生态建设，建立健全长效工作机制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保证安全、环保工作执行到位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pStyle w:val="6"/>
        <w:ind w:firstLine="632" w:firstLineChars="200"/>
        <w:jc w:val="both"/>
        <w:rPr>
          <w:rFonts w:hint="eastAsia" w:eastAsia="仿宋" w:asciiTheme="minorEastAsia" w:hAnsi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2.</w:t>
      </w:r>
      <w:r>
        <w:rPr>
          <w:rFonts w:hint="eastAsia" w:ascii="仿宋" w:hAnsi="仿宋" w:eastAsia="仿宋" w:cs="仿宋_GB2312"/>
          <w:sz w:val="32"/>
          <w:szCs w:val="32"/>
        </w:rPr>
        <w:t>针对</w:t>
      </w:r>
      <w:r>
        <w:rPr>
          <w:rFonts w:hint="eastAsia" w:eastAsia="仿宋_GB2312" w:asciiTheme="minorEastAsia" w:hAnsiTheme="minorEastAsia" w:cstheme="minorEastAsia"/>
          <w:kern w:val="2"/>
          <w:sz w:val="32"/>
          <w:szCs w:val="32"/>
          <w:lang w:val="en-US" w:eastAsia="zh-CN" w:bidi="ar-SA"/>
        </w:rPr>
        <w:t>全镇安全生产、环境保护的</w:t>
      </w:r>
      <w:r>
        <w:rPr>
          <w:rFonts w:hint="eastAsia" w:ascii="仿宋" w:hAnsi="仿宋" w:eastAsia="仿宋" w:cs="仿宋_GB2312"/>
          <w:sz w:val="32"/>
          <w:szCs w:val="32"/>
        </w:rPr>
        <w:t>隐患加大巡排查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力度，及时发现、及时解决，</w:t>
      </w:r>
      <w:r>
        <w:rPr>
          <w:rFonts w:hint="eastAsia" w:ascii="仿宋" w:hAnsi="仿宋" w:eastAsia="仿宋" w:cs="仿宋_GB2312"/>
          <w:sz w:val="32"/>
          <w:szCs w:val="32"/>
        </w:rPr>
        <w:t>加强行政执法力度，按照全覆盖、零容忍、严执法、重实效的总要求抓好安全检查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/>
        <w:autoSpaceDE/>
        <w:autoSpaceDN/>
        <w:bidi w:val="0"/>
        <w:adjustRightInd/>
        <w:spacing w:line="560" w:lineRule="exact"/>
        <w:rPr>
          <w:rFonts w:ascii="仿宋_GB2312" w:hAnsi="仿宋_GB2312" w:cs="仿宋_GB2312"/>
          <w:spacing w:val="6"/>
          <w:szCs w:val="32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2041" w:right="1531" w:bottom="1871" w:left="1531" w:header="851" w:footer="1304" w:gutter="0"/>
      <w:pgNumType w:fmt="decimal" w:start="1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300"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rPr>
        <w:rFonts w:ascii="仿宋" w:hAnsi="仿宋" w:eastAsia="仿宋" w:cs="仿宋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534AC"/>
    <w:multiLevelType w:val="singleLevel"/>
    <w:tmpl w:val="92D534AC"/>
    <w:lvl w:ilvl="0" w:tentative="0">
      <w:start w:val="1"/>
      <w:numFmt w:val="decimal"/>
      <w:suff w:val="nothing"/>
      <w:lvlText w:val="（%1）"/>
      <w:lvlJc w:val="left"/>
      <w:pPr>
        <w:ind w:left="-2"/>
      </w:pPr>
    </w:lvl>
  </w:abstractNum>
  <w:abstractNum w:abstractNumId="1">
    <w:nsid w:val="BFD86A5C"/>
    <w:multiLevelType w:val="singleLevel"/>
    <w:tmpl w:val="BFD86A5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0E59AC"/>
    <w:multiLevelType w:val="singleLevel"/>
    <w:tmpl w:val="570E59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15D6BE"/>
    <w:multiLevelType w:val="singleLevel"/>
    <w:tmpl w:val="5D15D6BE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D15D8BA"/>
    <w:multiLevelType w:val="singleLevel"/>
    <w:tmpl w:val="5D15D8BA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D15DADC"/>
    <w:multiLevelType w:val="singleLevel"/>
    <w:tmpl w:val="5D15DADC"/>
    <w:lvl w:ilvl="0" w:tentative="0">
      <w:start w:val="5"/>
      <w:numFmt w:val="chineseCounting"/>
      <w:suff w:val="nothing"/>
      <w:lvlText w:val="（%1）"/>
      <w:lvlJc w:val="left"/>
    </w:lvl>
  </w:abstractNum>
  <w:abstractNum w:abstractNumId="6">
    <w:nsid w:val="5D15DB83"/>
    <w:multiLevelType w:val="singleLevel"/>
    <w:tmpl w:val="5D15DB83"/>
    <w:lvl w:ilvl="0" w:tentative="0">
      <w:start w:val="2"/>
      <w:numFmt w:val="decimal"/>
      <w:suff w:val="nothing"/>
      <w:lvlText w:val="%1."/>
      <w:lvlJc w:val="left"/>
      <w:pPr>
        <w:ind w:left="155"/>
      </w:pPr>
    </w:lvl>
  </w:abstractNum>
  <w:abstractNum w:abstractNumId="7">
    <w:nsid w:val="5D15E550"/>
    <w:multiLevelType w:val="singleLevel"/>
    <w:tmpl w:val="5D15E550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D173516"/>
    <w:multiLevelType w:val="singleLevel"/>
    <w:tmpl w:val="5D1735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B2C41"/>
    <w:rsid w:val="000C6A55"/>
    <w:rsid w:val="000D0079"/>
    <w:rsid w:val="000E4635"/>
    <w:rsid w:val="000E57AE"/>
    <w:rsid w:val="000F0DDC"/>
    <w:rsid w:val="000F2D14"/>
    <w:rsid w:val="000F2E4E"/>
    <w:rsid w:val="00112694"/>
    <w:rsid w:val="00123D76"/>
    <w:rsid w:val="0013625A"/>
    <w:rsid w:val="00151A18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1208"/>
    <w:rsid w:val="00232238"/>
    <w:rsid w:val="00236F6F"/>
    <w:rsid w:val="00260330"/>
    <w:rsid w:val="0027333E"/>
    <w:rsid w:val="0028678C"/>
    <w:rsid w:val="00294EE5"/>
    <w:rsid w:val="00301902"/>
    <w:rsid w:val="00304EEE"/>
    <w:rsid w:val="003209BE"/>
    <w:rsid w:val="00320A77"/>
    <w:rsid w:val="00357E11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C3A61"/>
    <w:rsid w:val="004D50F2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5E422D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35F6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1D3B"/>
    <w:rsid w:val="009C2E24"/>
    <w:rsid w:val="009E07A7"/>
    <w:rsid w:val="00A032C7"/>
    <w:rsid w:val="00A449C0"/>
    <w:rsid w:val="00A45A91"/>
    <w:rsid w:val="00AB1262"/>
    <w:rsid w:val="00AB6099"/>
    <w:rsid w:val="00B1591B"/>
    <w:rsid w:val="00B268F0"/>
    <w:rsid w:val="00B27F3F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8616D"/>
    <w:rsid w:val="00C918C5"/>
    <w:rsid w:val="00CB338B"/>
    <w:rsid w:val="00CD2387"/>
    <w:rsid w:val="00D16944"/>
    <w:rsid w:val="00D20768"/>
    <w:rsid w:val="00D4728C"/>
    <w:rsid w:val="00D60CF2"/>
    <w:rsid w:val="00D611EB"/>
    <w:rsid w:val="00D77134"/>
    <w:rsid w:val="00D87244"/>
    <w:rsid w:val="00DD46DD"/>
    <w:rsid w:val="00E0768F"/>
    <w:rsid w:val="00E124FB"/>
    <w:rsid w:val="00E219E0"/>
    <w:rsid w:val="00E44E53"/>
    <w:rsid w:val="00E60A47"/>
    <w:rsid w:val="00E627D0"/>
    <w:rsid w:val="00E75F2E"/>
    <w:rsid w:val="00EB1222"/>
    <w:rsid w:val="00EB5E95"/>
    <w:rsid w:val="00F40020"/>
    <w:rsid w:val="00F525BE"/>
    <w:rsid w:val="00F56A9E"/>
    <w:rsid w:val="00F613AB"/>
    <w:rsid w:val="00F8179E"/>
    <w:rsid w:val="00F947A2"/>
    <w:rsid w:val="00FB0339"/>
    <w:rsid w:val="014318DD"/>
    <w:rsid w:val="0155530C"/>
    <w:rsid w:val="01FB6F4D"/>
    <w:rsid w:val="02323FEC"/>
    <w:rsid w:val="02762465"/>
    <w:rsid w:val="02D56ED5"/>
    <w:rsid w:val="046E7630"/>
    <w:rsid w:val="04FF7BF6"/>
    <w:rsid w:val="05165627"/>
    <w:rsid w:val="05317CFD"/>
    <w:rsid w:val="053349F5"/>
    <w:rsid w:val="05513873"/>
    <w:rsid w:val="060376AF"/>
    <w:rsid w:val="062B09E6"/>
    <w:rsid w:val="06800D10"/>
    <w:rsid w:val="06BD0E19"/>
    <w:rsid w:val="06F97448"/>
    <w:rsid w:val="070A78C4"/>
    <w:rsid w:val="07322FF4"/>
    <w:rsid w:val="079B327D"/>
    <w:rsid w:val="08391827"/>
    <w:rsid w:val="08AC289A"/>
    <w:rsid w:val="09151993"/>
    <w:rsid w:val="0A0E0133"/>
    <w:rsid w:val="0A0F2602"/>
    <w:rsid w:val="0A3B65C9"/>
    <w:rsid w:val="0B765EE0"/>
    <w:rsid w:val="0B9E129A"/>
    <w:rsid w:val="0BCB020B"/>
    <w:rsid w:val="0BDE20E1"/>
    <w:rsid w:val="0C0020B8"/>
    <w:rsid w:val="0C067215"/>
    <w:rsid w:val="0C4B627A"/>
    <w:rsid w:val="0CA667CB"/>
    <w:rsid w:val="0D645B2C"/>
    <w:rsid w:val="0DCD47E2"/>
    <w:rsid w:val="0E141612"/>
    <w:rsid w:val="0E6432DF"/>
    <w:rsid w:val="0EE10B41"/>
    <w:rsid w:val="0EEE65B1"/>
    <w:rsid w:val="0F010437"/>
    <w:rsid w:val="0F05088B"/>
    <w:rsid w:val="0F312DE9"/>
    <w:rsid w:val="0FC03932"/>
    <w:rsid w:val="10130E23"/>
    <w:rsid w:val="103E2376"/>
    <w:rsid w:val="10947F3E"/>
    <w:rsid w:val="10F51224"/>
    <w:rsid w:val="11196468"/>
    <w:rsid w:val="115D5020"/>
    <w:rsid w:val="11B65AC0"/>
    <w:rsid w:val="11B91A6F"/>
    <w:rsid w:val="126F05BC"/>
    <w:rsid w:val="12D77006"/>
    <w:rsid w:val="12F93F93"/>
    <w:rsid w:val="13346603"/>
    <w:rsid w:val="134433B4"/>
    <w:rsid w:val="135F6C8F"/>
    <w:rsid w:val="13C34D17"/>
    <w:rsid w:val="13CE79EE"/>
    <w:rsid w:val="145E5528"/>
    <w:rsid w:val="14BB07ED"/>
    <w:rsid w:val="17311A81"/>
    <w:rsid w:val="17E33551"/>
    <w:rsid w:val="180F41A4"/>
    <w:rsid w:val="191D329C"/>
    <w:rsid w:val="196F0A74"/>
    <w:rsid w:val="19D662D2"/>
    <w:rsid w:val="1B6663D6"/>
    <w:rsid w:val="1BE42F49"/>
    <w:rsid w:val="1C0E715F"/>
    <w:rsid w:val="1C336AC0"/>
    <w:rsid w:val="1C345150"/>
    <w:rsid w:val="1E4008F9"/>
    <w:rsid w:val="1E773724"/>
    <w:rsid w:val="1E90639E"/>
    <w:rsid w:val="1EBD774A"/>
    <w:rsid w:val="1EC44AF1"/>
    <w:rsid w:val="1ECB6563"/>
    <w:rsid w:val="1EDA0DC1"/>
    <w:rsid w:val="1F636414"/>
    <w:rsid w:val="1F710266"/>
    <w:rsid w:val="1FD745FA"/>
    <w:rsid w:val="1FEE492D"/>
    <w:rsid w:val="1FEE7C28"/>
    <w:rsid w:val="200D7619"/>
    <w:rsid w:val="20682A38"/>
    <w:rsid w:val="20C305E3"/>
    <w:rsid w:val="20C456CB"/>
    <w:rsid w:val="211C16FB"/>
    <w:rsid w:val="219563A7"/>
    <w:rsid w:val="21A57A2C"/>
    <w:rsid w:val="21B34CD8"/>
    <w:rsid w:val="22E40BA1"/>
    <w:rsid w:val="230C6BE3"/>
    <w:rsid w:val="23103AE4"/>
    <w:rsid w:val="234E6DBA"/>
    <w:rsid w:val="23997E6A"/>
    <w:rsid w:val="2415729D"/>
    <w:rsid w:val="25D265DB"/>
    <w:rsid w:val="25D53A0C"/>
    <w:rsid w:val="26223E0D"/>
    <w:rsid w:val="265A7551"/>
    <w:rsid w:val="26693FDE"/>
    <w:rsid w:val="267170C1"/>
    <w:rsid w:val="269648E3"/>
    <w:rsid w:val="27F715AD"/>
    <w:rsid w:val="283259F2"/>
    <w:rsid w:val="283A48E4"/>
    <w:rsid w:val="288A3738"/>
    <w:rsid w:val="28AC2BC1"/>
    <w:rsid w:val="28C50650"/>
    <w:rsid w:val="29CE5623"/>
    <w:rsid w:val="2A77493E"/>
    <w:rsid w:val="2AB44D6A"/>
    <w:rsid w:val="2BDD06D5"/>
    <w:rsid w:val="2C3F36BD"/>
    <w:rsid w:val="2C980AA3"/>
    <w:rsid w:val="2CAB2B19"/>
    <w:rsid w:val="2CFD06B6"/>
    <w:rsid w:val="2D5A32B6"/>
    <w:rsid w:val="2D847819"/>
    <w:rsid w:val="2E911C05"/>
    <w:rsid w:val="2EBB201C"/>
    <w:rsid w:val="2EE900A9"/>
    <w:rsid w:val="2F4922D3"/>
    <w:rsid w:val="2FC00DAE"/>
    <w:rsid w:val="306F5702"/>
    <w:rsid w:val="315D4C7D"/>
    <w:rsid w:val="31A271A1"/>
    <w:rsid w:val="31E15570"/>
    <w:rsid w:val="32184D45"/>
    <w:rsid w:val="32C06DF3"/>
    <w:rsid w:val="32D906F6"/>
    <w:rsid w:val="338516F2"/>
    <w:rsid w:val="34D764A0"/>
    <w:rsid w:val="35FC59E6"/>
    <w:rsid w:val="368C4E6B"/>
    <w:rsid w:val="36BB488B"/>
    <w:rsid w:val="36C639D9"/>
    <w:rsid w:val="36D57583"/>
    <w:rsid w:val="36D8066D"/>
    <w:rsid w:val="36E81DE2"/>
    <w:rsid w:val="36F06D3B"/>
    <w:rsid w:val="375D6882"/>
    <w:rsid w:val="377453C4"/>
    <w:rsid w:val="37EC178B"/>
    <w:rsid w:val="383E5605"/>
    <w:rsid w:val="38777B10"/>
    <w:rsid w:val="389136F8"/>
    <w:rsid w:val="38E77464"/>
    <w:rsid w:val="3A1E64DF"/>
    <w:rsid w:val="3B112DA9"/>
    <w:rsid w:val="3BBB67F7"/>
    <w:rsid w:val="3C1A1567"/>
    <w:rsid w:val="3C4E5E2B"/>
    <w:rsid w:val="3C590CA9"/>
    <w:rsid w:val="3CC505CD"/>
    <w:rsid w:val="3D2F633E"/>
    <w:rsid w:val="3E2C2721"/>
    <w:rsid w:val="3E545E68"/>
    <w:rsid w:val="3E600247"/>
    <w:rsid w:val="3F182526"/>
    <w:rsid w:val="3F860EA3"/>
    <w:rsid w:val="40451B2F"/>
    <w:rsid w:val="405C0016"/>
    <w:rsid w:val="414920E9"/>
    <w:rsid w:val="424B418C"/>
    <w:rsid w:val="434B17DC"/>
    <w:rsid w:val="442425F9"/>
    <w:rsid w:val="4480563A"/>
    <w:rsid w:val="44AF2783"/>
    <w:rsid w:val="44B54AFC"/>
    <w:rsid w:val="44EE6EC3"/>
    <w:rsid w:val="45130421"/>
    <w:rsid w:val="451C0ADF"/>
    <w:rsid w:val="45EA7221"/>
    <w:rsid w:val="45FC3C18"/>
    <w:rsid w:val="47AE3657"/>
    <w:rsid w:val="47AE54E8"/>
    <w:rsid w:val="47EE55CE"/>
    <w:rsid w:val="480D03A2"/>
    <w:rsid w:val="480E104C"/>
    <w:rsid w:val="4820085A"/>
    <w:rsid w:val="488156A8"/>
    <w:rsid w:val="48A7792E"/>
    <w:rsid w:val="48DD4D42"/>
    <w:rsid w:val="49B62707"/>
    <w:rsid w:val="4A9E3F01"/>
    <w:rsid w:val="4AB74312"/>
    <w:rsid w:val="4AE50DFB"/>
    <w:rsid w:val="4BAA130A"/>
    <w:rsid w:val="4C0B2E1F"/>
    <w:rsid w:val="4C6636AB"/>
    <w:rsid w:val="4D3E22FB"/>
    <w:rsid w:val="4DB57CF3"/>
    <w:rsid w:val="4DBF14A2"/>
    <w:rsid w:val="4DFA5B4D"/>
    <w:rsid w:val="4E541EF9"/>
    <w:rsid w:val="4EA43970"/>
    <w:rsid w:val="4EC764F1"/>
    <w:rsid w:val="4F7370ED"/>
    <w:rsid w:val="4F82129C"/>
    <w:rsid w:val="4FEF16E6"/>
    <w:rsid w:val="509F4C6F"/>
    <w:rsid w:val="51253ACC"/>
    <w:rsid w:val="514363A4"/>
    <w:rsid w:val="515838D5"/>
    <w:rsid w:val="51734689"/>
    <w:rsid w:val="51734EB6"/>
    <w:rsid w:val="52023989"/>
    <w:rsid w:val="521B4E46"/>
    <w:rsid w:val="5230663B"/>
    <w:rsid w:val="52312FFF"/>
    <w:rsid w:val="52843CEB"/>
    <w:rsid w:val="53762C10"/>
    <w:rsid w:val="544F75AA"/>
    <w:rsid w:val="54CD363E"/>
    <w:rsid w:val="54E4125E"/>
    <w:rsid w:val="55054AB3"/>
    <w:rsid w:val="552E207A"/>
    <w:rsid w:val="560C112E"/>
    <w:rsid w:val="56EC0565"/>
    <w:rsid w:val="57D35C1D"/>
    <w:rsid w:val="58034A3B"/>
    <w:rsid w:val="580977C3"/>
    <w:rsid w:val="58A221CF"/>
    <w:rsid w:val="59186477"/>
    <w:rsid w:val="5A847EF4"/>
    <w:rsid w:val="5AA6095A"/>
    <w:rsid w:val="5AED2BA9"/>
    <w:rsid w:val="5AFD38C0"/>
    <w:rsid w:val="5B0A2C7C"/>
    <w:rsid w:val="5B1024F7"/>
    <w:rsid w:val="5B1F7B91"/>
    <w:rsid w:val="5BAB7D37"/>
    <w:rsid w:val="5BD22DC0"/>
    <w:rsid w:val="5BDF30DF"/>
    <w:rsid w:val="5BF43014"/>
    <w:rsid w:val="5C433F2F"/>
    <w:rsid w:val="5CD57D19"/>
    <w:rsid w:val="5E0151C2"/>
    <w:rsid w:val="5E18584C"/>
    <w:rsid w:val="5E2A4A17"/>
    <w:rsid w:val="5E4033A6"/>
    <w:rsid w:val="5E4431D4"/>
    <w:rsid w:val="5EC62601"/>
    <w:rsid w:val="5EDD1C1E"/>
    <w:rsid w:val="5F4B63CA"/>
    <w:rsid w:val="5FBE69BD"/>
    <w:rsid w:val="607D475B"/>
    <w:rsid w:val="6101159B"/>
    <w:rsid w:val="61E770F6"/>
    <w:rsid w:val="62F025C8"/>
    <w:rsid w:val="6323513F"/>
    <w:rsid w:val="645D0058"/>
    <w:rsid w:val="65850121"/>
    <w:rsid w:val="65A71D26"/>
    <w:rsid w:val="66B20B64"/>
    <w:rsid w:val="66C62695"/>
    <w:rsid w:val="66E22ED4"/>
    <w:rsid w:val="67320924"/>
    <w:rsid w:val="67BB4CEE"/>
    <w:rsid w:val="68155D26"/>
    <w:rsid w:val="6819357A"/>
    <w:rsid w:val="68850E65"/>
    <w:rsid w:val="68DD4BF9"/>
    <w:rsid w:val="693F0688"/>
    <w:rsid w:val="6ABF2218"/>
    <w:rsid w:val="6B0D3DC2"/>
    <w:rsid w:val="6B207357"/>
    <w:rsid w:val="6BB52F43"/>
    <w:rsid w:val="6C0C4FBB"/>
    <w:rsid w:val="6C1C2572"/>
    <w:rsid w:val="6C212A27"/>
    <w:rsid w:val="6C7A3A33"/>
    <w:rsid w:val="6D421680"/>
    <w:rsid w:val="6D9E6500"/>
    <w:rsid w:val="6DD23421"/>
    <w:rsid w:val="6DD25FF4"/>
    <w:rsid w:val="6DE17439"/>
    <w:rsid w:val="6E2118AB"/>
    <w:rsid w:val="6F6F3C2E"/>
    <w:rsid w:val="6F9F5A50"/>
    <w:rsid w:val="6FB66533"/>
    <w:rsid w:val="70E203DC"/>
    <w:rsid w:val="710516AA"/>
    <w:rsid w:val="71225BD5"/>
    <w:rsid w:val="71717741"/>
    <w:rsid w:val="71FF77AD"/>
    <w:rsid w:val="720B3C9F"/>
    <w:rsid w:val="72D071CA"/>
    <w:rsid w:val="731F2DBC"/>
    <w:rsid w:val="74747F6B"/>
    <w:rsid w:val="74842C76"/>
    <w:rsid w:val="749F170A"/>
    <w:rsid w:val="74C71B95"/>
    <w:rsid w:val="753732CA"/>
    <w:rsid w:val="75ED45C3"/>
    <w:rsid w:val="76492131"/>
    <w:rsid w:val="76494BCD"/>
    <w:rsid w:val="766466F0"/>
    <w:rsid w:val="76957913"/>
    <w:rsid w:val="76FC592B"/>
    <w:rsid w:val="772B0556"/>
    <w:rsid w:val="77486C71"/>
    <w:rsid w:val="77754EA5"/>
    <w:rsid w:val="7778418A"/>
    <w:rsid w:val="777B4787"/>
    <w:rsid w:val="77C74D65"/>
    <w:rsid w:val="77F14686"/>
    <w:rsid w:val="783C7528"/>
    <w:rsid w:val="79D5562B"/>
    <w:rsid w:val="7A030956"/>
    <w:rsid w:val="7A3612B4"/>
    <w:rsid w:val="7A4A0E6C"/>
    <w:rsid w:val="7A4B7366"/>
    <w:rsid w:val="7A6B4C2F"/>
    <w:rsid w:val="7A963211"/>
    <w:rsid w:val="7A9C4997"/>
    <w:rsid w:val="7BB728E7"/>
    <w:rsid w:val="7BCD06B3"/>
    <w:rsid w:val="7BFF7BE5"/>
    <w:rsid w:val="7C600E49"/>
    <w:rsid w:val="7CDA738D"/>
    <w:rsid w:val="7CFB76D1"/>
    <w:rsid w:val="7D186BED"/>
    <w:rsid w:val="7D2C1294"/>
    <w:rsid w:val="7DDB64F8"/>
    <w:rsid w:val="7DFA2996"/>
    <w:rsid w:val="7E2B15BC"/>
    <w:rsid w:val="7EBD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1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rFonts w:ascii="等线" w:hAnsi="等线" w:eastAsia="等线"/>
      <w:szCs w:val="28"/>
    </w:r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方正小标宋简体"/>
      <w:sz w:val="36"/>
    </w:rPr>
  </w:style>
  <w:style w:type="paragraph" w:styleId="7">
    <w:name w:val="Body Text Indent"/>
    <w:basedOn w:val="1"/>
    <w:link w:val="29"/>
    <w:qFormat/>
    <w:uiPriority w:val="99"/>
    <w:pPr>
      <w:ind w:firstLine="632" w:firstLineChars="20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2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qFormat/>
    <w:uiPriority w:val="99"/>
    <w:rPr>
      <w:rFonts w:cs="Times New Roman"/>
    </w:rPr>
  </w:style>
  <w:style w:type="character" w:styleId="2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6">
    <w:name w:val="页眉 Char"/>
    <w:link w:val="14"/>
    <w:semiHidden/>
    <w:qFormat/>
    <w:uiPriority w:val="99"/>
    <w:rPr>
      <w:rFonts w:eastAsia="仿宋_GB2312"/>
      <w:sz w:val="18"/>
      <w:szCs w:val="18"/>
    </w:rPr>
  </w:style>
  <w:style w:type="character" w:customStyle="1" w:styleId="27">
    <w:name w:val="页脚 Char"/>
    <w:link w:val="13"/>
    <w:semiHidden/>
    <w:qFormat/>
    <w:uiPriority w:val="99"/>
    <w:rPr>
      <w:rFonts w:eastAsia="仿宋_GB2312"/>
      <w:sz w:val="18"/>
      <w:szCs w:val="18"/>
    </w:rPr>
  </w:style>
  <w:style w:type="character" w:customStyle="1" w:styleId="28">
    <w:name w:val="日期 Char"/>
    <w:link w:val="11"/>
    <w:semiHidden/>
    <w:qFormat/>
    <w:uiPriority w:val="99"/>
    <w:rPr>
      <w:rFonts w:eastAsia="仿宋_GB2312"/>
      <w:sz w:val="32"/>
      <w:szCs w:val="20"/>
    </w:rPr>
  </w:style>
  <w:style w:type="character" w:customStyle="1" w:styleId="29">
    <w:name w:val="正文文本缩进 Char"/>
    <w:link w:val="7"/>
    <w:semiHidden/>
    <w:qFormat/>
    <w:uiPriority w:val="99"/>
    <w:rPr>
      <w:rFonts w:eastAsia="仿宋_GB2312"/>
      <w:sz w:val="32"/>
      <w:szCs w:val="20"/>
    </w:rPr>
  </w:style>
  <w:style w:type="paragraph" w:customStyle="1" w:styleId="30">
    <w:name w:val="Char Char Char Char Char Char"/>
    <w:basedOn w:val="1"/>
    <w:qFormat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31">
    <w:name w:val="标题 1 Char"/>
    <w:link w:val="3"/>
    <w:qFormat/>
    <w:uiPriority w:val="99"/>
    <w:rPr>
      <w:rFonts w:ascii="Calibri" w:hAnsi="Calibri" w:cs="Calibri"/>
      <w:b/>
      <w:bCs/>
      <w:kern w:val="44"/>
      <w:sz w:val="44"/>
      <w:szCs w:val="44"/>
    </w:rPr>
  </w:style>
  <w:style w:type="paragraph" w:customStyle="1" w:styleId="3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5">
    <w:name w:val="批注框文本 Char"/>
    <w:basedOn w:val="23"/>
    <w:link w:val="1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6">
    <w:name w:val="font01"/>
    <w:basedOn w:val="2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37">
    <w:name w:val="font1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34</Pages>
  <Words>3362</Words>
  <Characters>19164</Characters>
  <Lines>159</Lines>
  <Paragraphs>44</Paragraphs>
  <TotalTime>0</TotalTime>
  <ScaleCrop>false</ScaleCrop>
  <LinksUpToDate>false</LinksUpToDate>
  <CharactersWithSpaces>22482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123木头人</cp:lastModifiedBy>
  <cp:lastPrinted>2019-07-24T07:59:00Z</cp:lastPrinted>
  <dcterms:modified xsi:type="dcterms:W3CDTF">2021-06-07T00:58:41Z</dcterms:modified>
  <dc:title>益财会〔2002〕4号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7F2B146D0C54458795AD7E0CDA28CA66</vt:lpwstr>
  </property>
  <property fmtid="{D5CDD505-2E9C-101B-9397-08002B2CF9AE}" pid="4" name="KSOSaveFontToCloudKey">
    <vt:lpwstr>263607869_btnclosed</vt:lpwstr>
  </property>
</Properties>
</file>