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eastAsia="黑体"/>
          <w:b/>
          <w:sz w:val="28"/>
          <w:szCs w:val="28"/>
        </w:rPr>
      </w:pPr>
      <w:r>
        <w:rPr>
          <w:rFonts w:hint="eastAsia" w:ascii="仿宋_GB2312" w:hAnsi="宋体" w:cs="宋体"/>
          <w:b/>
          <w:kern w:val="0"/>
          <w:sz w:val="28"/>
          <w:szCs w:val="28"/>
        </w:rPr>
        <w:t>附件5：</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topLinePunct/>
        <w:ind w:firstLine="790" w:firstLineChars="250"/>
        <w:rPr>
          <w:rFonts w:ascii="仿宋_GB2312" w:hAnsi="黑体"/>
          <w:szCs w:val="32"/>
        </w:rPr>
      </w:pPr>
      <w:r>
        <w:rPr>
          <w:rFonts w:hint="eastAsia" w:ascii="黑体" w:hAnsi="黑体" w:eastAsia="黑体"/>
          <w:szCs w:val="32"/>
        </w:rPr>
        <w:t>一、项目概况：</w:t>
      </w:r>
      <w:r>
        <w:rPr>
          <w:rFonts w:hint="eastAsia" w:ascii="仿宋_GB2312" w:hAnsi="黑体"/>
          <w:szCs w:val="32"/>
        </w:rPr>
        <w:t>根据2009年东川区政府为民办十件实事相关精神及要求，2009年12月28日启动老年人免费乘坐城市公交仪式，2010年1月1日，老年人开始免费乘坐公交车。东川公共汽车分公司及中国人寿保险公司东川分公司严格按照办理程序办理，截止20</w:t>
      </w:r>
      <w:r>
        <w:rPr>
          <w:rFonts w:hint="eastAsia" w:ascii="仿宋_GB2312" w:hAnsi="黑体"/>
          <w:szCs w:val="32"/>
          <w:lang w:val="en-US" w:eastAsia="zh-CN"/>
        </w:rPr>
        <w:t>20</w:t>
      </w:r>
      <w:r>
        <w:rPr>
          <w:rFonts w:hint="eastAsia" w:ascii="仿宋_GB2312" w:hAnsi="黑体"/>
          <w:szCs w:val="32"/>
        </w:rPr>
        <w:t>年12月31日已有8167人老年人办理了老年公交爱心卡， 20</w:t>
      </w:r>
      <w:r>
        <w:rPr>
          <w:rFonts w:hint="eastAsia" w:ascii="仿宋_GB2312" w:hAnsi="黑体"/>
          <w:szCs w:val="32"/>
          <w:lang w:val="en-US" w:eastAsia="zh-CN"/>
        </w:rPr>
        <w:t>20</w:t>
      </w:r>
      <w:r>
        <w:rPr>
          <w:rFonts w:hint="eastAsia" w:ascii="仿宋_GB2312" w:hAnsi="黑体"/>
          <w:szCs w:val="32"/>
        </w:rPr>
        <w:t>年老年人乘坐公交车次数达2</w:t>
      </w:r>
      <w:r>
        <w:rPr>
          <w:rFonts w:hint="eastAsia" w:ascii="仿宋_GB2312" w:hAnsi="黑体"/>
          <w:szCs w:val="32"/>
          <w:lang w:val="en-US" w:eastAsia="zh-CN"/>
        </w:rPr>
        <w:t>2</w:t>
      </w:r>
      <w:r>
        <w:rPr>
          <w:rFonts w:hint="eastAsia" w:ascii="仿宋_GB2312" w:hAnsi="黑体"/>
          <w:szCs w:val="32"/>
        </w:rPr>
        <w:t>0</w:t>
      </w:r>
      <w:r>
        <w:rPr>
          <w:rFonts w:hint="eastAsia" w:ascii="仿宋_GB2312" w:hAnsi="黑体"/>
          <w:szCs w:val="32"/>
          <w:lang w:val="en-US" w:eastAsia="zh-CN"/>
        </w:rPr>
        <w:t>6239</w:t>
      </w:r>
      <w:r>
        <w:rPr>
          <w:rFonts w:hint="eastAsia" w:ascii="仿宋_GB2312" w:hAnsi="黑体"/>
          <w:szCs w:val="32"/>
        </w:rPr>
        <w:t>人次，广大老年群众得到了实惠，对政府的惠民政策纷纷表示感谢。</w:t>
      </w:r>
    </w:p>
    <w:p>
      <w:pPr>
        <w:topLinePunct/>
        <w:ind w:firstLine="632" w:firstLineChars="200"/>
        <w:rPr>
          <w:rFonts w:ascii="仿宋_GB2312" w:hAnsi="黑体"/>
          <w:szCs w:val="32"/>
        </w:rPr>
      </w:pPr>
      <w:r>
        <w:rPr>
          <w:rFonts w:hint="eastAsia" w:ascii="仿宋_GB2312" w:hAnsi="黑体"/>
          <w:szCs w:val="32"/>
        </w:rPr>
        <w:t>每年均由财政预算安排80万元定补实施企业,确保符合条件老年人都能乘坐上免费公交，为老年人出行带来便利。</w:t>
      </w:r>
    </w:p>
    <w:p>
      <w:pPr>
        <w:spacing w:line="540" w:lineRule="exact"/>
        <w:jc w:val="left"/>
        <w:rPr>
          <w:rFonts w:hint="eastAsia" w:ascii="黑体" w:hAnsi="黑体" w:eastAsia="黑体"/>
          <w:szCs w:val="32"/>
        </w:rPr>
      </w:pPr>
      <w:r>
        <w:rPr>
          <w:rFonts w:hint="eastAsia" w:ascii="黑体" w:hAnsi="黑体" w:eastAsia="黑体"/>
          <w:szCs w:val="32"/>
        </w:rPr>
        <w:t xml:space="preserve">    二、评价结论</w:t>
      </w:r>
    </w:p>
    <w:p>
      <w:pPr>
        <w:spacing w:line="540" w:lineRule="exact"/>
        <w:jc w:val="left"/>
        <w:rPr>
          <w:rFonts w:hint="eastAsia" w:ascii="仿宋_GB2312" w:hAnsi="黑体"/>
          <w:szCs w:val="32"/>
        </w:rPr>
      </w:pPr>
      <w:r>
        <w:rPr>
          <w:rFonts w:hint="eastAsia" w:ascii="黑体" w:hAnsi="黑体" w:eastAsia="黑体"/>
          <w:szCs w:val="32"/>
        </w:rPr>
        <w:t xml:space="preserve">    </w:t>
      </w:r>
      <w:r>
        <w:rPr>
          <w:rFonts w:hint="eastAsia" w:ascii="仿宋_GB2312" w:hAnsi="黑体"/>
          <w:szCs w:val="32"/>
        </w:rPr>
        <w:t>在本项目实施以来普惠东川区的65岁以上老年人群体，仅2019年1月1日至2019年12月31日期间，老年卡刷卡次数多达2404569次，而自2009年12月27日此项目开始实施至20</w:t>
      </w:r>
      <w:r>
        <w:rPr>
          <w:rFonts w:hint="eastAsia" w:ascii="仿宋_GB2312" w:hAnsi="黑体"/>
          <w:szCs w:val="32"/>
          <w:lang w:val="en-US" w:eastAsia="zh-CN"/>
        </w:rPr>
        <w:t>20</w:t>
      </w:r>
      <w:r>
        <w:rPr>
          <w:rFonts w:hint="eastAsia" w:ascii="仿宋_GB2312" w:hAnsi="黑体"/>
          <w:szCs w:val="32"/>
        </w:rPr>
        <w:t>年12月28日，共计开办老人公交卡数达81</w:t>
      </w:r>
      <w:r>
        <w:rPr>
          <w:rFonts w:hint="eastAsia" w:ascii="仿宋_GB2312" w:hAnsi="黑体"/>
          <w:szCs w:val="32"/>
          <w:lang w:val="en-US" w:eastAsia="zh-CN"/>
        </w:rPr>
        <w:t>89</w:t>
      </w:r>
      <w:r>
        <w:rPr>
          <w:rFonts w:hint="eastAsia" w:ascii="仿宋_GB2312" w:hAnsi="黑体"/>
          <w:szCs w:val="32"/>
        </w:rPr>
        <w:t>人次，这意味着在东川的32万人口中有近一万的老年人在享受着此项目所带来的便利，此项目确保了老年人的出行方便，也确实达成了我单位开展此次项目的预期效果。</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hint="eastAsia" w:ascii="楷体" w:hAnsi="楷体" w:eastAsia="楷体"/>
          <w:szCs w:val="32"/>
        </w:rPr>
      </w:pPr>
      <w:r>
        <w:rPr>
          <w:rFonts w:hint="eastAsia" w:ascii="楷体" w:hAnsi="楷体" w:eastAsia="楷体"/>
          <w:szCs w:val="32"/>
        </w:rPr>
        <w:t>1.主要经验及做法；</w:t>
      </w:r>
    </w:p>
    <w:p>
      <w:pPr>
        <w:topLinePunct/>
        <w:spacing w:line="540" w:lineRule="exact"/>
        <w:ind w:firstLine="790" w:firstLineChars="250"/>
        <w:rPr>
          <w:rFonts w:ascii="仿宋_GB2312" w:hAnsi="仿宋"/>
        </w:rPr>
      </w:pPr>
      <w:r>
        <w:rPr>
          <w:rFonts w:hint="eastAsia" w:ascii="仿宋_GB2312" w:hAnsi="仿宋"/>
        </w:rPr>
        <w:t>提高单位工作效率，加快资金拨付进度的同时确保对下拨资金的管控，确保区级下拨资金用在实处；</w:t>
      </w:r>
    </w:p>
    <w:p>
      <w:pPr>
        <w:spacing w:line="540" w:lineRule="exact"/>
        <w:ind w:firstLine="632" w:firstLineChars="200"/>
        <w:jc w:val="left"/>
        <w:rPr>
          <w:rFonts w:hint="eastAsia" w:ascii="楷体" w:hAnsi="楷体" w:eastAsia="楷体"/>
          <w:szCs w:val="32"/>
        </w:rPr>
      </w:pPr>
      <w:r>
        <w:rPr>
          <w:rFonts w:hint="eastAsia" w:ascii="楷体" w:hAnsi="楷体" w:eastAsia="楷体"/>
          <w:szCs w:val="32"/>
        </w:rPr>
        <w:t>2.存在的问题；</w:t>
      </w:r>
    </w:p>
    <w:p>
      <w:pPr>
        <w:spacing w:line="600" w:lineRule="exact"/>
        <w:ind w:firstLine="632" w:firstLineChars="200"/>
        <w:rPr>
          <w:rFonts w:ascii="仿宋_GB2312" w:hAnsi="仿宋"/>
        </w:rPr>
      </w:pPr>
      <w:r>
        <w:rPr>
          <w:rFonts w:hint="eastAsia" w:ascii="仿宋_GB2312" w:hAnsi="仿宋"/>
        </w:rPr>
        <w:t>由于今年人工工资及汽车零配件价格比2010年时大幅上涨，给公交客运企业带来了巨大的压力。现又对持老年爱心IC卡及残疾人优惠卡的人群实行免费乘坐城市空调公交车，加之逐年增加的老年人经常乘坐公交车客伤事故时有发生，每年80万元的财政补助几乎不够赔付伤者，对东川汽车公司的经营更是雪上加霜，现在已属于亏损经营，很难承担每年200多万人次老年人免费乘坐公交车的经济负担。</w:t>
      </w:r>
    </w:p>
    <w:p>
      <w:pPr>
        <w:spacing w:line="440" w:lineRule="exact"/>
        <w:ind w:firstLine="600"/>
        <w:rPr>
          <w:rFonts w:ascii="仿宋_GB2312" w:hAnsi="仿宋"/>
        </w:rPr>
      </w:pPr>
      <w:r>
        <w:rPr>
          <w:rFonts w:hint="eastAsia" w:ascii="仿宋_GB2312" w:hAnsi="仿宋"/>
        </w:rPr>
        <w:t>加之为响应国家推广和使用新能源车及提升东川城市形象，使广大人民群众乘坐舒适、清爽的公交车，汽车公司新购了40辆带空调的纯电动公交车，满足东川城区广大人民群众生活工作及学生上、下学的乘车需求，由于这40公交车辆均为新购置的，用去大笔资金，给公司经营运转带来了较大的困难，现已拖欠东川石油公司的柴油货款。</w:t>
      </w:r>
    </w:p>
    <w:p>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pPr>
        <w:spacing w:line="600" w:lineRule="exact"/>
        <w:ind w:firstLine="632" w:firstLineChars="200"/>
        <w:rPr>
          <w:rFonts w:ascii="仿宋_GB2312" w:hAnsi="仿宋"/>
        </w:rPr>
      </w:pPr>
      <w:r>
        <w:rPr>
          <w:rFonts w:hint="eastAsia" w:ascii="仿宋_GB2312" w:hAnsi="仿宋"/>
        </w:rPr>
        <w:t>政府对老年人免费乘坐公交车项目加大财政补贴，使东川公共汽车分公司能够得到良性发展，继续把这项惠民利民的工作继续开展下去。</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rPr>
        <w:t>正文：老年公交项目支出绩效评价报告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ascii="仿宋_GB2312" w:hAnsi="楷体"/>
          <w:szCs w:val="32"/>
        </w:rPr>
      </w:pPr>
      <w:r>
        <w:rPr>
          <w:rFonts w:hint="eastAsia" w:ascii="仿宋_GB2312" w:hAnsi="楷体"/>
          <w:szCs w:val="32"/>
        </w:rPr>
        <w:t>1.立项背景及目的。</w:t>
      </w:r>
    </w:p>
    <w:p>
      <w:pPr>
        <w:topLinePunct/>
        <w:ind w:firstLine="790" w:firstLineChars="250"/>
        <w:rPr>
          <w:rFonts w:ascii="仿宋_GB2312" w:hAnsi="楷体"/>
          <w:szCs w:val="32"/>
        </w:rPr>
      </w:pPr>
      <w:r>
        <w:rPr>
          <w:rFonts w:hint="eastAsia" w:ascii="仿宋_GB2312" w:hAnsi="楷体"/>
          <w:szCs w:val="32"/>
        </w:rPr>
        <w:t>根据2009年东川区政府为民办十件实事相关精神及要求，2009年12月28日启动老年人免费乘坐城市公交仪式，2010年1月1日，老年人开始免费乘坐公交车。东川公共汽车分公司及中国人寿保险公司东川分公司严格按照办理程序办理，截止20</w:t>
      </w:r>
      <w:r>
        <w:rPr>
          <w:rFonts w:hint="eastAsia" w:ascii="仿宋_GB2312" w:hAnsi="楷体"/>
          <w:szCs w:val="32"/>
          <w:lang w:val="en-US" w:eastAsia="zh-CN"/>
        </w:rPr>
        <w:t>20</w:t>
      </w:r>
      <w:r>
        <w:rPr>
          <w:rFonts w:hint="eastAsia" w:ascii="仿宋_GB2312" w:hAnsi="楷体"/>
          <w:szCs w:val="32"/>
        </w:rPr>
        <w:t>年12月31日已有81</w:t>
      </w:r>
      <w:r>
        <w:rPr>
          <w:rFonts w:hint="eastAsia" w:ascii="仿宋_GB2312" w:hAnsi="楷体"/>
          <w:szCs w:val="32"/>
          <w:lang w:val="en-US" w:eastAsia="zh-CN"/>
        </w:rPr>
        <w:t>89</w:t>
      </w:r>
      <w:r>
        <w:rPr>
          <w:rFonts w:hint="eastAsia" w:ascii="仿宋_GB2312" w:hAnsi="楷体"/>
          <w:szCs w:val="32"/>
        </w:rPr>
        <w:t>人老年人办理了老年公交爱心卡， 20</w:t>
      </w:r>
      <w:r>
        <w:rPr>
          <w:rFonts w:hint="eastAsia" w:ascii="仿宋_GB2312" w:hAnsi="楷体"/>
          <w:szCs w:val="32"/>
          <w:lang w:val="en-US" w:eastAsia="zh-CN"/>
        </w:rPr>
        <w:t>20</w:t>
      </w:r>
      <w:r>
        <w:rPr>
          <w:rFonts w:hint="eastAsia" w:ascii="仿宋_GB2312" w:hAnsi="楷体"/>
          <w:szCs w:val="32"/>
        </w:rPr>
        <w:t>年老年人乘坐公交车次数达2</w:t>
      </w:r>
      <w:r>
        <w:rPr>
          <w:rFonts w:hint="eastAsia" w:ascii="仿宋_GB2312" w:hAnsi="楷体"/>
          <w:szCs w:val="32"/>
          <w:lang w:val="en-US" w:eastAsia="zh-CN"/>
        </w:rPr>
        <w:t>206239</w:t>
      </w:r>
      <w:r>
        <w:rPr>
          <w:rFonts w:hint="eastAsia" w:ascii="仿宋_GB2312" w:hAnsi="楷体"/>
          <w:szCs w:val="32"/>
        </w:rPr>
        <w:t>人.次，广大老年群众得到了实惠，对政府的惠民政策纷纷表示感谢。</w:t>
      </w:r>
    </w:p>
    <w:p>
      <w:pPr>
        <w:topLinePunct/>
        <w:ind w:firstLine="632" w:firstLineChars="200"/>
        <w:rPr>
          <w:rFonts w:ascii="仿宋_GB2312" w:hAnsi="楷体"/>
          <w:szCs w:val="32"/>
        </w:rPr>
      </w:pPr>
      <w:r>
        <w:rPr>
          <w:rFonts w:hint="eastAsia" w:ascii="仿宋_GB2312" w:hAnsi="楷体"/>
          <w:szCs w:val="32"/>
        </w:rPr>
        <w:t>每年均由财政预算安排80万元定补实施企业,确保符合条件老年人都能乘坐上免费公交，为老年人出行带来便利。</w:t>
      </w:r>
    </w:p>
    <w:p>
      <w:pPr>
        <w:topLinePunct/>
        <w:spacing w:line="540" w:lineRule="exact"/>
        <w:ind w:firstLine="790" w:firstLineChars="250"/>
        <w:rPr>
          <w:rFonts w:ascii="仿宋_GB2312" w:hAnsi="楷体"/>
          <w:szCs w:val="32"/>
        </w:rPr>
      </w:pPr>
      <w:r>
        <w:rPr>
          <w:rFonts w:hint="eastAsia" w:ascii="仿宋_GB2312" w:hAnsi="楷体"/>
          <w:szCs w:val="32"/>
        </w:rPr>
        <w:t>2.项目实施情况。</w:t>
      </w:r>
    </w:p>
    <w:p>
      <w:pPr>
        <w:topLinePunct/>
        <w:ind w:firstLine="790" w:firstLineChars="250"/>
        <w:rPr>
          <w:rFonts w:ascii="仿宋_GB2312" w:hAnsi="楷体"/>
          <w:szCs w:val="32"/>
        </w:rPr>
      </w:pPr>
      <w:r>
        <w:rPr>
          <w:rFonts w:hint="eastAsia" w:ascii="仿宋_GB2312" w:hAnsi="楷体"/>
          <w:szCs w:val="32"/>
        </w:rPr>
        <w:t>管理制度健全，分工明确，严格按计划完成项目。</w:t>
      </w:r>
    </w:p>
    <w:p>
      <w:pPr>
        <w:topLinePunct/>
        <w:ind w:firstLine="790" w:firstLineChars="250"/>
        <w:rPr>
          <w:rFonts w:ascii="仿宋_GB2312" w:hAnsi="楷体"/>
          <w:szCs w:val="32"/>
        </w:rPr>
      </w:pPr>
      <w:r>
        <w:rPr>
          <w:rFonts w:hint="eastAsia" w:ascii="仿宋_GB2312" w:hAnsi="楷体"/>
          <w:szCs w:val="32"/>
        </w:rPr>
        <w:t>3.资金来源及使用情况。</w:t>
      </w:r>
    </w:p>
    <w:p>
      <w:pPr>
        <w:topLinePunct/>
        <w:ind w:firstLine="790" w:firstLineChars="250"/>
        <w:rPr>
          <w:rFonts w:ascii="仿宋_GB2312" w:hAnsi="楷体"/>
          <w:szCs w:val="32"/>
        </w:rPr>
      </w:pPr>
      <w:r>
        <w:rPr>
          <w:rFonts w:hint="eastAsia" w:ascii="仿宋_GB2312" w:hAnsi="楷体"/>
          <w:szCs w:val="32"/>
          <w:lang w:val="en-US" w:eastAsia="zh-CN"/>
        </w:rPr>
        <w:t>2020年初下达该项目预算</w:t>
      </w:r>
      <w:r>
        <w:rPr>
          <w:rFonts w:hint="eastAsia" w:ascii="仿宋_GB2312" w:hAnsi="楷体"/>
          <w:szCs w:val="32"/>
        </w:rPr>
        <w:t>资金</w:t>
      </w:r>
      <w:r>
        <w:rPr>
          <w:rFonts w:hint="eastAsia" w:ascii="仿宋_GB2312" w:hAnsi="楷体"/>
          <w:szCs w:val="32"/>
          <w:lang w:val="en-US" w:eastAsia="zh-CN"/>
        </w:rPr>
        <w:t>80万元，实际收到财政拨款80万元，其中</w:t>
      </w:r>
      <w:r>
        <w:rPr>
          <w:rFonts w:hint="eastAsia" w:ascii="仿宋_GB2312" w:hAnsi="楷体"/>
          <w:szCs w:val="32"/>
        </w:rPr>
        <w:t>一般公共财政预算拨款7</w:t>
      </w:r>
      <w:r>
        <w:rPr>
          <w:rFonts w:hint="eastAsia" w:ascii="仿宋_GB2312" w:hAnsi="楷体"/>
          <w:szCs w:val="32"/>
          <w:lang w:val="en-US" w:eastAsia="zh-CN"/>
        </w:rPr>
        <w:t>3.1</w:t>
      </w:r>
      <w:r>
        <w:rPr>
          <w:rFonts w:hint="eastAsia" w:ascii="仿宋_GB2312" w:hAnsi="楷体"/>
          <w:szCs w:val="32"/>
        </w:rPr>
        <w:t>万元</w:t>
      </w:r>
      <w:r>
        <w:rPr>
          <w:rFonts w:hint="eastAsia" w:ascii="仿宋_GB2312" w:hAnsi="楷体"/>
          <w:szCs w:val="32"/>
          <w:lang w:eastAsia="zh-CN"/>
        </w:rPr>
        <w:t>，</w:t>
      </w:r>
      <w:r>
        <w:rPr>
          <w:rFonts w:hint="eastAsia" w:ascii="仿宋_GB2312" w:hAnsi="楷体"/>
          <w:szCs w:val="32"/>
        </w:rPr>
        <w:t>政府性基金预算拨款</w:t>
      </w:r>
      <w:r>
        <w:rPr>
          <w:rFonts w:hint="eastAsia" w:ascii="仿宋_GB2312" w:hAnsi="楷体"/>
          <w:szCs w:val="32"/>
          <w:lang w:val="en-US" w:eastAsia="zh-CN"/>
        </w:rPr>
        <w:t>6.9</w:t>
      </w:r>
      <w:r>
        <w:rPr>
          <w:rFonts w:hint="eastAsia" w:ascii="仿宋_GB2312" w:hAnsi="楷体"/>
          <w:szCs w:val="32"/>
        </w:rPr>
        <w:t>万元。资金到位及时，及时拨付，使用率达100%。</w:t>
      </w:r>
    </w:p>
    <w:p>
      <w:pPr>
        <w:topLinePunct/>
        <w:ind w:firstLine="790" w:firstLineChars="250"/>
        <w:rPr>
          <w:rFonts w:ascii="仿宋_GB2312" w:hAnsi="楷体"/>
          <w:szCs w:val="32"/>
        </w:rPr>
      </w:pPr>
      <w:r>
        <w:rPr>
          <w:rFonts w:hint="eastAsia" w:ascii="仿宋_GB2312" w:hAnsi="楷体"/>
          <w:szCs w:val="32"/>
        </w:rPr>
        <w:t>4.组织及管理情况。包括项目组织情况、项目实施流程、资金拨付流程。</w:t>
      </w:r>
    </w:p>
    <w:p>
      <w:pPr>
        <w:topLinePunct/>
        <w:ind w:firstLine="790" w:firstLineChars="250"/>
        <w:rPr>
          <w:rFonts w:hint="eastAsia" w:ascii="仿宋_GB2312" w:hAnsi="楷体" w:eastAsia="仿宋_GB2312"/>
          <w:szCs w:val="32"/>
          <w:lang w:val="en-US" w:eastAsia="zh-CN"/>
        </w:rPr>
      </w:pPr>
      <w:r>
        <w:rPr>
          <w:rFonts w:hint="eastAsia" w:ascii="仿宋_GB2312" w:hAnsi="楷体"/>
          <w:szCs w:val="32"/>
        </w:rPr>
        <w:t>20</w:t>
      </w:r>
      <w:r>
        <w:rPr>
          <w:rFonts w:hint="eastAsia" w:ascii="仿宋_GB2312" w:hAnsi="楷体"/>
          <w:szCs w:val="32"/>
          <w:lang w:val="en-US" w:eastAsia="zh-CN"/>
        </w:rPr>
        <w:t>20</w:t>
      </w:r>
      <w:r>
        <w:rPr>
          <w:rFonts w:hint="eastAsia" w:ascii="仿宋_GB2312" w:hAnsi="楷体"/>
          <w:szCs w:val="32"/>
        </w:rPr>
        <w:t>年累计安排老年公交补贴</w:t>
      </w:r>
      <w:r>
        <w:rPr>
          <w:rFonts w:hint="eastAsia" w:ascii="仿宋_GB2312" w:hAnsi="楷体"/>
          <w:szCs w:val="32"/>
          <w:lang w:val="en-US" w:eastAsia="zh-CN"/>
        </w:rPr>
        <w:t>80</w:t>
      </w:r>
      <w:r>
        <w:rPr>
          <w:rFonts w:hint="eastAsia" w:ascii="仿宋_GB2312" w:hAnsi="楷体"/>
          <w:szCs w:val="32"/>
        </w:rPr>
        <w:t>万元，用于20</w:t>
      </w:r>
      <w:r>
        <w:rPr>
          <w:rFonts w:hint="eastAsia" w:ascii="仿宋_GB2312" w:hAnsi="楷体"/>
          <w:szCs w:val="32"/>
          <w:lang w:val="en-US" w:eastAsia="zh-CN"/>
        </w:rPr>
        <w:t>20</w:t>
      </w:r>
      <w:r>
        <w:rPr>
          <w:rFonts w:hint="eastAsia" w:ascii="仿宋_GB2312" w:hAnsi="楷体"/>
          <w:szCs w:val="32"/>
        </w:rPr>
        <w:t>年老年人免费乘坐公交车的专项资金。其中</w:t>
      </w:r>
      <w:r>
        <w:rPr>
          <w:rFonts w:hint="eastAsia" w:ascii="仿宋_GB2312" w:hAnsi="楷体"/>
          <w:szCs w:val="32"/>
          <w:lang w:val="en-US" w:eastAsia="zh-CN"/>
        </w:rPr>
        <w:t>73.1</w:t>
      </w:r>
      <w:r>
        <w:rPr>
          <w:rFonts w:hint="eastAsia" w:ascii="仿宋_GB2312" w:hAnsi="楷体"/>
          <w:szCs w:val="32"/>
        </w:rPr>
        <w:t>万元于20</w:t>
      </w:r>
      <w:r>
        <w:rPr>
          <w:rFonts w:hint="eastAsia" w:ascii="仿宋_GB2312" w:hAnsi="楷体"/>
          <w:szCs w:val="32"/>
          <w:lang w:val="en-US" w:eastAsia="zh-CN"/>
        </w:rPr>
        <w:t>20</w:t>
      </w:r>
      <w:r>
        <w:rPr>
          <w:rFonts w:hint="eastAsia" w:ascii="仿宋_GB2312" w:hAnsi="楷体"/>
          <w:szCs w:val="32"/>
        </w:rPr>
        <w:t>年1</w:t>
      </w:r>
      <w:r>
        <w:rPr>
          <w:rFonts w:hint="eastAsia" w:ascii="仿宋_GB2312" w:hAnsi="楷体"/>
          <w:szCs w:val="32"/>
          <w:lang w:val="en-US" w:eastAsia="zh-CN"/>
        </w:rPr>
        <w:t>1</w:t>
      </w:r>
      <w:r>
        <w:rPr>
          <w:rFonts w:hint="eastAsia" w:ascii="仿宋_GB2312" w:hAnsi="楷体"/>
          <w:szCs w:val="32"/>
        </w:rPr>
        <w:t>月到位并经局务会研究决定20</w:t>
      </w:r>
      <w:r>
        <w:rPr>
          <w:rFonts w:hint="eastAsia" w:ascii="仿宋_GB2312" w:hAnsi="楷体"/>
          <w:szCs w:val="32"/>
          <w:lang w:val="en-US" w:eastAsia="zh-CN"/>
        </w:rPr>
        <w:t>20</w:t>
      </w:r>
      <w:r>
        <w:rPr>
          <w:rFonts w:hint="eastAsia" w:ascii="仿宋_GB2312" w:hAnsi="楷体"/>
          <w:szCs w:val="32"/>
        </w:rPr>
        <w:t>年</w:t>
      </w:r>
      <w:r>
        <w:rPr>
          <w:rFonts w:hint="eastAsia" w:ascii="仿宋_GB2312" w:hAnsi="楷体"/>
          <w:szCs w:val="32"/>
          <w:lang w:val="en-US" w:eastAsia="zh-CN"/>
        </w:rPr>
        <w:t>12</w:t>
      </w:r>
      <w:r>
        <w:rPr>
          <w:rFonts w:hint="eastAsia" w:ascii="仿宋_GB2312" w:hAnsi="楷体"/>
          <w:szCs w:val="32"/>
        </w:rPr>
        <w:t>月拨付实施企业,</w:t>
      </w:r>
      <w:r>
        <w:rPr>
          <w:rFonts w:hint="eastAsia" w:ascii="仿宋_GB2312" w:hAnsi="楷体"/>
          <w:szCs w:val="32"/>
          <w:lang w:val="en-US" w:eastAsia="zh-CN"/>
        </w:rPr>
        <w:t>6.9</w:t>
      </w:r>
      <w:r>
        <w:rPr>
          <w:rFonts w:hint="eastAsia" w:ascii="仿宋_GB2312" w:hAnsi="楷体"/>
          <w:szCs w:val="32"/>
        </w:rPr>
        <w:t>万元于20</w:t>
      </w:r>
      <w:r>
        <w:rPr>
          <w:rFonts w:hint="eastAsia" w:ascii="仿宋_GB2312" w:hAnsi="楷体"/>
          <w:szCs w:val="32"/>
          <w:lang w:val="en-US" w:eastAsia="zh-CN"/>
        </w:rPr>
        <w:t>20</w:t>
      </w:r>
      <w:r>
        <w:rPr>
          <w:rFonts w:hint="eastAsia" w:ascii="仿宋_GB2312" w:hAnsi="楷体"/>
          <w:szCs w:val="32"/>
        </w:rPr>
        <w:t>年1</w:t>
      </w:r>
      <w:r>
        <w:rPr>
          <w:rFonts w:hint="eastAsia" w:ascii="仿宋_GB2312" w:hAnsi="楷体"/>
          <w:szCs w:val="32"/>
          <w:lang w:val="en-US" w:eastAsia="zh-CN"/>
        </w:rPr>
        <w:t>12</w:t>
      </w:r>
      <w:r>
        <w:rPr>
          <w:rFonts w:hint="eastAsia" w:ascii="仿宋_GB2312" w:hAnsi="楷体"/>
          <w:szCs w:val="32"/>
        </w:rPr>
        <w:t>月到位并于20</w:t>
      </w:r>
      <w:r>
        <w:rPr>
          <w:rFonts w:hint="eastAsia" w:ascii="仿宋_GB2312" w:hAnsi="楷体"/>
          <w:szCs w:val="32"/>
          <w:lang w:val="en-US" w:eastAsia="zh-CN"/>
        </w:rPr>
        <w:t>20</w:t>
      </w:r>
      <w:r>
        <w:rPr>
          <w:rFonts w:hint="eastAsia" w:ascii="仿宋_GB2312" w:hAnsi="楷体"/>
          <w:szCs w:val="32"/>
        </w:rPr>
        <w:t>年12月拨付实施企业</w:t>
      </w:r>
      <w:r>
        <w:rPr>
          <w:rFonts w:hint="eastAsia" w:ascii="仿宋_GB2312" w:hAnsi="楷体"/>
          <w:szCs w:val="32"/>
          <w:lang w:eastAsia="zh-CN"/>
        </w:rPr>
        <w:t>。</w:t>
      </w:r>
    </w:p>
    <w:p>
      <w:pPr>
        <w:topLinePunct/>
        <w:ind w:firstLine="790" w:firstLineChars="250"/>
        <w:rPr>
          <w:rFonts w:ascii="仿宋_GB2312" w:hAnsi="仿宋"/>
        </w:rPr>
      </w:pPr>
      <w:r>
        <w:rPr>
          <w:rFonts w:hint="eastAsia" w:ascii="仿宋_GB2312" w:hAnsi="仿宋"/>
        </w:rPr>
        <w:t>（二）绩效目标。</w:t>
      </w:r>
    </w:p>
    <w:p>
      <w:pPr>
        <w:topLinePunct/>
        <w:ind w:firstLine="790" w:firstLineChars="250"/>
        <w:rPr>
          <w:rFonts w:ascii="仿宋_GB2312" w:hAnsi="仿宋"/>
        </w:rPr>
      </w:pPr>
      <w:r>
        <w:rPr>
          <w:rFonts w:hint="eastAsia" w:ascii="仿宋_GB2312" w:hAnsi="仿宋"/>
        </w:rPr>
        <w:t>1.总目标。</w:t>
      </w:r>
    </w:p>
    <w:p>
      <w:pPr>
        <w:topLinePunct/>
        <w:ind w:firstLine="790" w:firstLineChars="250"/>
        <w:rPr>
          <w:rFonts w:ascii="仿宋_GB2312" w:hAnsi="仿宋"/>
        </w:rPr>
      </w:pPr>
      <w:r>
        <w:rPr>
          <w:rFonts w:hint="eastAsia" w:ascii="仿宋_GB2312" w:hAnsi="仿宋"/>
        </w:rPr>
        <w:t>确保符合条件老年人都能乘坐上免费公交，为老年人出行带来便利。</w:t>
      </w:r>
    </w:p>
    <w:p>
      <w:pPr>
        <w:topLinePunct/>
        <w:ind w:firstLine="790" w:firstLineChars="250"/>
        <w:rPr>
          <w:rFonts w:ascii="仿宋_GB2312" w:hAnsi="仿宋"/>
        </w:rPr>
      </w:pPr>
      <w:r>
        <w:rPr>
          <w:rFonts w:hint="eastAsia" w:ascii="仿宋_GB2312" w:hAnsi="仿宋"/>
        </w:rPr>
        <w:t>2.年度目标。</w:t>
      </w:r>
    </w:p>
    <w:p>
      <w:pPr>
        <w:topLinePunct/>
        <w:ind w:firstLine="790" w:firstLineChars="250"/>
        <w:rPr>
          <w:rFonts w:ascii="仿宋_GB2312" w:hAnsi="仿宋"/>
        </w:rPr>
      </w:pPr>
      <w:r>
        <w:rPr>
          <w:rFonts w:hint="eastAsia" w:ascii="仿宋_GB2312" w:hAnsi="仿宋"/>
        </w:rPr>
        <w:t>100%覆盖符合条件人员全，建立管理、运行、服务、出行一体的城乡公共交通服务体系，为广大老年人提供安全、便捷、优质服务。</w:t>
      </w:r>
    </w:p>
    <w:p>
      <w:pPr>
        <w:topLinePunct/>
        <w:ind w:firstLine="790" w:firstLineChars="250"/>
        <w:rPr>
          <w:rFonts w:ascii="仿宋_GB2312" w:hAnsi="仿宋"/>
        </w:rPr>
      </w:pPr>
      <w:r>
        <w:rPr>
          <w:rFonts w:hint="eastAsia" w:ascii="仿宋_GB2312" w:hAnsi="仿宋"/>
        </w:rPr>
        <w:t>二、绩效评价工作情况</w:t>
      </w:r>
    </w:p>
    <w:p>
      <w:pPr>
        <w:topLinePunct/>
        <w:ind w:firstLine="790" w:firstLineChars="250"/>
        <w:rPr>
          <w:rFonts w:ascii="仿宋_GB2312" w:hAnsi="仿宋"/>
        </w:rPr>
      </w:pPr>
      <w:r>
        <w:rPr>
          <w:rFonts w:hint="eastAsia" w:ascii="仿宋_GB2312" w:hAnsi="仿宋"/>
        </w:rPr>
        <w:t>（一）绩效评价目的。</w:t>
      </w:r>
    </w:p>
    <w:p>
      <w:pPr>
        <w:ind w:firstLine="632" w:firstLineChars="200"/>
        <w:rPr>
          <w:rFonts w:ascii="仿宋_GB2312" w:hAnsi="仿宋"/>
        </w:rPr>
      </w:pPr>
      <w:r>
        <w:rPr>
          <w:rFonts w:hint="eastAsia" w:ascii="仿宋_GB2312" w:hAnsi="仿宋"/>
        </w:rPr>
        <w:t>通过绩效评价达到对老年公交项目资金的全程监督，保证事前、事中、事后控制，科学、高效、合理安排资金使用情况，提高资金使用效率并符合国家法律法规，符合财政规章制度。</w:t>
      </w:r>
    </w:p>
    <w:p>
      <w:pPr>
        <w:topLinePunct/>
        <w:ind w:firstLine="790" w:firstLineChars="250"/>
        <w:rPr>
          <w:rFonts w:ascii="仿宋_GB2312" w:hAnsi="仿宋"/>
        </w:rPr>
      </w:pPr>
      <w:r>
        <w:rPr>
          <w:rFonts w:hint="eastAsia" w:ascii="仿宋_GB2312" w:hAnsi="仿宋"/>
        </w:rPr>
        <w:t>（二）绩效评价工作方案制定过程。</w:t>
      </w:r>
    </w:p>
    <w:p>
      <w:pPr>
        <w:topLinePunct/>
        <w:ind w:firstLine="790" w:firstLineChars="250"/>
        <w:rPr>
          <w:rFonts w:ascii="仿宋_GB2312" w:hAnsi="仿宋"/>
        </w:rPr>
      </w:pPr>
      <w:r>
        <w:rPr>
          <w:rFonts w:hint="eastAsia" w:ascii="仿宋_GB2312" w:hAnsi="仿宋"/>
        </w:rPr>
        <w:t>1.前期调研。</w:t>
      </w:r>
    </w:p>
    <w:p>
      <w:pPr>
        <w:topLinePunct/>
        <w:ind w:firstLine="790" w:firstLineChars="250"/>
        <w:rPr>
          <w:rFonts w:ascii="仿宋_GB2312" w:hAnsi="仿宋"/>
        </w:rPr>
      </w:pPr>
      <w:r>
        <w:rPr>
          <w:rFonts w:hint="eastAsia" w:ascii="仿宋_GB2312" w:hAnsi="仿宋"/>
        </w:rPr>
        <w:t>到各城乡汽车客运站、汽车公交公司走访、考察及检查台账和报表，在区域内听取和征集群众意见，按照财政预算拨款结合实际情况制定用款计划。</w:t>
      </w:r>
    </w:p>
    <w:p>
      <w:pPr>
        <w:topLinePunct/>
        <w:ind w:firstLine="790" w:firstLineChars="250"/>
        <w:rPr>
          <w:rFonts w:ascii="仿宋_GB2312" w:hAnsi="仿宋"/>
        </w:rPr>
      </w:pPr>
      <w:r>
        <w:rPr>
          <w:rFonts w:hint="eastAsia" w:ascii="仿宋_GB2312" w:hAnsi="仿宋"/>
        </w:rPr>
        <w:t>2.研究文件。</w:t>
      </w:r>
    </w:p>
    <w:p>
      <w:pPr>
        <w:topLinePunct/>
        <w:ind w:firstLine="790" w:firstLineChars="250"/>
        <w:rPr>
          <w:rFonts w:ascii="仿宋_GB2312" w:hAnsi="仿宋"/>
        </w:rPr>
      </w:pPr>
      <w:r>
        <w:rPr>
          <w:rFonts w:hint="eastAsia" w:ascii="仿宋_GB2312" w:hAnsi="仿宋"/>
        </w:rPr>
        <w:t>根据2009年11月9日第六十二期《昆明市东川区人民政府会议纪要》</w:t>
      </w:r>
    </w:p>
    <w:p>
      <w:pPr>
        <w:topLinePunct/>
        <w:ind w:firstLine="790" w:firstLineChars="250"/>
        <w:rPr>
          <w:rFonts w:ascii="仿宋_GB2312" w:hAnsi="仿宋"/>
        </w:rPr>
      </w:pPr>
      <w:r>
        <w:rPr>
          <w:rFonts w:hint="eastAsia" w:ascii="仿宋_GB2312" w:hAnsi="仿宋"/>
        </w:rPr>
        <w:t>3.绩效评价指标体系及工作方案的设计。</w:t>
      </w:r>
    </w:p>
    <w:p>
      <w:pPr>
        <w:topLinePunct/>
        <w:ind w:firstLine="790" w:firstLineChars="250"/>
        <w:rPr>
          <w:rFonts w:ascii="仿宋_GB2312" w:hAnsi="仿宋"/>
        </w:rPr>
      </w:pPr>
      <w:r>
        <w:rPr>
          <w:rFonts w:hint="eastAsia" w:ascii="仿宋_GB2312" w:hAnsi="仿宋"/>
        </w:rPr>
        <w:t>根据绩效评价方法制定评价指标体系，进一步完善财务制度。做到与部门中长期规划目标相匹配，与市政府相关规划、决策相匹配。</w:t>
      </w:r>
    </w:p>
    <w:p>
      <w:pPr>
        <w:topLinePunct/>
        <w:ind w:firstLine="790" w:firstLineChars="250"/>
        <w:rPr>
          <w:rFonts w:ascii="仿宋_GB2312" w:hAnsi="仿宋"/>
        </w:rPr>
      </w:pPr>
      <w:r>
        <w:rPr>
          <w:rFonts w:hint="eastAsia" w:ascii="仿宋_GB2312" w:hAnsi="仿宋"/>
        </w:rPr>
        <w:t>（三）绩效评价原则、评价方法</w:t>
      </w:r>
    </w:p>
    <w:p>
      <w:pPr>
        <w:topLinePunct/>
        <w:ind w:firstLine="790" w:firstLineChars="250"/>
        <w:rPr>
          <w:rFonts w:ascii="仿宋_GB2312" w:hAnsi="仿宋"/>
        </w:rPr>
      </w:pPr>
      <w:r>
        <w:rPr>
          <w:rFonts w:hint="eastAsia" w:ascii="仿宋_GB2312" w:hAnsi="仿宋"/>
        </w:rPr>
        <w:t>1.绩效评价原则。包括科学规范、公开公正、绩效相关等原则。</w:t>
      </w:r>
    </w:p>
    <w:p>
      <w:pPr>
        <w:topLinePunct/>
        <w:ind w:firstLine="790" w:firstLineChars="250"/>
        <w:rPr>
          <w:rFonts w:ascii="仿宋_GB2312" w:hAnsi="仿宋"/>
        </w:rPr>
      </w:pPr>
      <w:r>
        <w:rPr>
          <w:rFonts w:hint="eastAsia" w:ascii="仿宋_GB2312" w:hAnsi="仿宋"/>
        </w:rPr>
        <w:t>坚持科学规范、公开公正、绩效相关，目标完整的原则。</w:t>
      </w:r>
    </w:p>
    <w:p>
      <w:pPr>
        <w:topLinePunct/>
        <w:ind w:firstLine="790" w:firstLineChars="250"/>
        <w:rPr>
          <w:rFonts w:ascii="仿宋_GB2312" w:hAnsi="仿宋"/>
        </w:rPr>
      </w:pPr>
      <w:r>
        <w:rPr>
          <w:rFonts w:hint="eastAsia" w:ascii="仿宋_GB2312" w:hAnsi="仿宋"/>
        </w:rPr>
        <w:t>2.绩效评价方法。包括指标评价、数据采集和社会调查中所采用的方法。</w:t>
      </w:r>
    </w:p>
    <w:p>
      <w:pPr>
        <w:topLinePunct/>
        <w:ind w:firstLine="790" w:firstLineChars="250"/>
        <w:rPr>
          <w:rFonts w:ascii="仿宋_GB2312" w:hAnsi="仿宋"/>
        </w:rPr>
      </w:pPr>
      <w:r>
        <w:rPr>
          <w:rFonts w:hint="eastAsia" w:ascii="仿宋_GB2312" w:hAnsi="仿宋"/>
        </w:rPr>
        <w:t>采用“描述表格法”和“关键事件法”等绩效评价方法设计评价指标，制定评价项目。</w:t>
      </w:r>
    </w:p>
    <w:p>
      <w:pPr>
        <w:topLinePunct/>
        <w:ind w:firstLine="790" w:firstLineChars="250"/>
        <w:rPr>
          <w:rFonts w:ascii="仿宋_GB2312" w:hAnsi="仿宋"/>
        </w:rPr>
      </w:pPr>
      <w:r>
        <w:rPr>
          <w:rFonts w:hint="eastAsia" w:ascii="仿宋_GB2312" w:hAnsi="仿宋"/>
        </w:rPr>
        <w:t>（四）绩效评价实施过程</w:t>
      </w:r>
    </w:p>
    <w:p>
      <w:pPr>
        <w:topLinePunct/>
        <w:ind w:firstLine="790" w:firstLineChars="250"/>
        <w:rPr>
          <w:rFonts w:ascii="仿宋_GB2312" w:hAnsi="仿宋"/>
        </w:rPr>
      </w:pPr>
      <w:r>
        <w:rPr>
          <w:rFonts w:hint="eastAsia" w:ascii="仿宋_GB2312" w:hAnsi="仿宋"/>
        </w:rPr>
        <w:t>1.数据填报和采集。</w:t>
      </w:r>
    </w:p>
    <w:p>
      <w:pPr>
        <w:topLinePunct/>
        <w:ind w:firstLine="790" w:firstLineChars="250"/>
        <w:rPr>
          <w:rFonts w:ascii="仿宋_GB2312" w:hAnsi="仿宋"/>
        </w:rPr>
      </w:pPr>
      <w:r>
        <w:rPr>
          <w:rFonts w:hint="eastAsia" w:ascii="仿宋_GB2312" w:hAnsi="仿宋"/>
        </w:rPr>
        <w:t>安排项目专项人员负责数信息的采集、填报。</w:t>
      </w:r>
    </w:p>
    <w:p>
      <w:pPr>
        <w:topLinePunct/>
        <w:ind w:firstLine="790" w:firstLineChars="250"/>
        <w:rPr>
          <w:rFonts w:ascii="仿宋_GB2312" w:hAnsi="仿宋"/>
        </w:rPr>
      </w:pPr>
      <w:r>
        <w:rPr>
          <w:rFonts w:hint="eastAsia" w:ascii="仿宋_GB2312" w:hAnsi="仿宋"/>
        </w:rPr>
        <w:t>安排安排项目专项人员走访、采集信息。</w:t>
      </w:r>
    </w:p>
    <w:p>
      <w:pPr>
        <w:topLinePunct/>
        <w:ind w:firstLine="790" w:firstLineChars="250"/>
        <w:rPr>
          <w:rFonts w:ascii="仿宋_GB2312" w:hAnsi="仿宋"/>
        </w:rPr>
      </w:pPr>
      <w:r>
        <w:rPr>
          <w:rFonts w:hint="eastAsia" w:ascii="仿宋_GB2312" w:hAnsi="仿宋"/>
        </w:rPr>
        <w:t>2.社会调查。</w:t>
      </w:r>
    </w:p>
    <w:p>
      <w:pPr>
        <w:topLinePunct/>
        <w:ind w:firstLine="790" w:firstLineChars="250"/>
        <w:rPr>
          <w:rFonts w:ascii="仿宋_GB2312" w:hAnsi="仿宋"/>
        </w:rPr>
      </w:pPr>
      <w:r>
        <w:rPr>
          <w:rFonts w:hint="eastAsia" w:ascii="仿宋_GB2312" w:hAnsi="仿宋"/>
        </w:rPr>
        <w:t>安排安排项目专项人员走访、采集信息。</w:t>
      </w:r>
    </w:p>
    <w:p>
      <w:pPr>
        <w:topLinePunct/>
        <w:ind w:firstLine="790" w:firstLineChars="250"/>
        <w:rPr>
          <w:rFonts w:ascii="仿宋_GB2312" w:hAnsi="仿宋"/>
        </w:rPr>
      </w:pPr>
      <w:r>
        <w:rPr>
          <w:rFonts w:hint="eastAsia" w:ascii="仿宋_GB2312" w:hAnsi="仿宋"/>
        </w:rPr>
        <w:t>3.数据分析和撰写报告。</w:t>
      </w:r>
    </w:p>
    <w:p>
      <w:pPr>
        <w:topLinePunct/>
        <w:ind w:firstLine="790" w:firstLineChars="250"/>
        <w:rPr>
          <w:rFonts w:ascii="仿宋_GB2312" w:hAnsi="仿宋"/>
        </w:rPr>
      </w:pPr>
      <w:r>
        <w:rPr>
          <w:rFonts w:hint="eastAsia" w:ascii="仿宋_GB2312" w:hAnsi="仿宋"/>
        </w:rPr>
        <w:t>安排安排项目专项人员根据采集信息资料等进行汇总，并对数据进行分析、整合，编制完整的报表报告。</w:t>
      </w:r>
    </w:p>
    <w:p>
      <w:pPr>
        <w:topLinePunct/>
        <w:spacing w:line="540" w:lineRule="exact"/>
        <w:ind w:firstLine="790" w:firstLineChars="250"/>
        <w:rPr>
          <w:rFonts w:ascii="仿宋_GB2312" w:hAnsi="仿宋"/>
        </w:rPr>
      </w:pPr>
      <w:r>
        <w:rPr>
          <w:rFonts w:hint="eastAsia" w:ascii="仿宋_GB2312" w:hAnsi="仿宋"/>
        </w:rPr>
        <w:t>（五）本次绩效评价的局限性。</w:t>
      </w:r>
    </w:p>
    <w:p>
      <w:pPr>
        <w:topLinePunct/>
        <w:spacing w:line="540" w:lineRule="exact"/>
        <w:ind w:firstLine="790" w:firstLineChars="250"/>
        <w:rPr>
          <w:rFonts w:ascii="仿宋_GB2312" w:hAnsi="仿宋"/>
        </w:rPr>
      </w:pPr>
      <w:r>
        <w:rPr>
          <w:rFonts w:hint="eastAsia" w:ascii="仿宋_GB2312" w:hAnsi="仿宋"/>
        </w:rPr>
        <w:t>无</w:t>
      </w:r>
    </w:p>
    <w:p>
      <w:pPr>
        <w:topLinePunct/>
        <w:spacing w:line="540" w:lineRule="exact"/>
        <w:ind w:firstLine="790" w:firstLineChars="250"/>
        <w:rPr>
          <w:rFonts w:ascii="仿宋_GB2312" w:hAnsi="仿宋"/>
        </w:rPr>
      </w:pPr>
      <w:r>
        <w:rPr>
          <w:rFonts w:hint="eastAsia" w:ascii="仿宋_GB2312" w:hAnsi="仿宋"/>
        </w:rPr>
        <w:t>三、评价结论和绩效分析</w:t>
      </w:r>
    </w:p>
    <w:p>
      <w:pPr>
        <w:topLinePunct/>
        <w:spacing w:line="540" w:lineRule="exact"/>
        <w:ind w:firstLine="790" w:firstLineChars="250"/>
        <w:rPr>
          <w:rFonts w:ascii="仿宋_GB2312" w:hAnsi="仿宋"/>
        </w:rPr>
      </w:pPr>
      <w:r>
        <w:rPr>
          <w:rFonts w:hint="eastAsia" w:ascii="仿宋_GB2312" w:hAnsi="仿宋"/>
        </w:rPr>
        <w:t>（一）评价结论。</w:t>
      </w:r>
    </w:p>
    <w:p>
      <w:pPr>
        <w:topLinePunct/>
        <w:spacing w:line="540" w:lineRule="exact"/>
        <w:ind w:firstLine="790" w:firstLineChars="250"/>
        <w:rPr>
          <w:rFonts w:ascii="仿宋_GB2312" w:hAnsi="仿宋"/>
        </w:rPr>
      </w:pPr>
      <w:r>
        <w:rPr>
          <w:rFonts w:hint="eastAsia" w:ascii="仿宋_GB2312" w:hAnsi="仿宋"/>
        </w:rPr>
        <w:t>1.评价结果。</w:t>
      </w:r>
    </w:p>
    <w:p>
      <w:pPr>
        <w:topLinePunct/>
        <w:spacing w:line="360" w:lineRule="auto"/>
        <w:ind w:firstLine="790" w:firstLineChars="250"/>
        <w:rPr>
          <w:rFonts w:ascii="仿宋_GB2312" w:hAnsi="仿宋"/>
        </w:rPr>
      </w:pPr>
      <w:r>
        <w:rPr>
          <w:rFonts w:hint="eastAsia" w:ascii="仿宋_GB2312" w:hAnsi="仿宋"/>
        </w:rPr>
        <w:t>各指标均达标，满分100分，得分</w:t>
      </w:r>
      <w:r>
        <w:rPr>
          <w:rFonts w:hint="eastAsia" w:ascii="仿宋_GB2312" w:hAnsi="仿宋"/>
          <w:lang w:val="en-US" w:eastAsia="zh-CN"/>
        </w:rPr>
        <w:t>98.75</w:t>
      </w:r>
      <w:r>
        <w:rPr>
          <w:rFonts w:hint="eastAsia" w:ascii="仿宋_GB2312" w:hAnsi="仿宋"/>
        </w:rPr>
        <w:t>分。</w:t>
      </w:r>
    </w:p>
    <w:p>
      <w:pPr>
        <w:topLinePunct/>
        <w:spacing w:line="540" w:lineRule="exact"/>
        <w:ind w:firstLine="790" w:firstLineChars="250"/>
        <w:rPr>
          <w:rFonts w:ascii="仿宋_GB2312" w:hAnsi="仿宋"/>
        </w:rPr>
      </w:pPr>
      <w:r>
        <w:rPr>
          <w:rFonts w:hint="eastAsia" w:ascii="仿宋_GB2312" w:hAnsi="仿宋"/>
        </w:rPr>
        <w:t>2.主要绩效。</w:t>
      </w:r>
    </w:p>
    <w:p>
      <w:pPr>
        <w:topLinePunct/>
        <w:spacing w:line="540" w:lineRule="exact"/>
        <w:ind w:firstLine="790" w:firstLineChars="250"/>
        <w:rPr>
          <w:rFonts w:ascii="仿宋_GB2312" w:hAnsi="仿宋"/>
        </w:rPr>
      </w:pPr>
      <w:r>
        <w:rPr>
          <w:rFonts w:hint="eastAsia" w:ascii="仿宋_GB2312" w:hAnsi="仿宋"/>
        </w:rPr>
        <w:t>（二）具体绩效分析。</w:t>
      </w:r>
    </w:p>
    <w:p>
      <w:pPr>
        <w:topLinePunct/>
        <w:spacing w:line="540" w:lineRule="exact"/>
        <w:ind w:firstLine="790" w:firstLineChars="250"/>
        <w:rPr>
          <w:rFonts w:hint="default" w:ascii="仿宋_GB2312" w:hAnsi="仿宋" w:eastAsia="仿宋_GB2312"/>
          <w:lang w:val="en-US" w:eastAsia="zh-CN"/>
        </w:rPr>
      </w:pPr>
      <w:r>
        <w:rPr>
          <w:rFonts w:hint="eastAsia" w:ascii="仿宋_GB2312" w:hAnsi="仿宋"/>
        </w:rPr>
        <w:t>对照绩效评价指标体系打分</w:t>
      </w:r>
      <w:r>
        <w:rPr>
          <w:rFonts w:hint="eastAsia" w:ascii="仿宋_GB2312" w:hAnsi="仿宋"/>
          <w:lang w:val="en-US" w:eastAsia="zh-CN"/>
        </w:rPr>
        <w:t>,主要原因是由于社会效益指标扣分1.25。</w:t>
      </w:r>
    </w:p>
    <w:p>
      <w:pPr>
        <w:topLinePunct/>
        <w:spacing w:line="540" w:lineRule="exact"/>
        <w:ind w:firstLine="790" w:firstLineChars="250"/>
        <w:rPr>
          <w:rFonts w:hint="eastAsia" w:ascii="黑体" w:hAnsi="黑体" w:eastAsia="黑体"/>
          <w:szCs w:val="32"/>
          <w:lang w:eastAsia="zh-CN"/>
        </w:rPr>
      </w:pPr>
      <w:r>
        <w:rPr>
          <w:rFonts w:hint="eastAsia" w:ascii="黑体" w:hAnsi="黑体" w:eastAsia="黑体"/>
          <w:szCs w:val="32"/>
        </w:rPr>
        <w:t>四、成本效益分析。</w:t>
      </w:r>
    </w:p>
    <w:p>
      <w:pPr>
        <w:topLinePunct/>
        <w:spacing w:line="540" w:lineRule="exact"/>
        <w:ind w:firstLine="790" w:firstLineChars="250"/>
        <w:rPr>
          <w:rFonts w:hint="eastAsia" w:ascii="仿宋_GB2312" w:hAnsi="仿宋"/>
        </w:rPr>
      </w:pPr>
      <w:r>
        <w:rPr>
          <w:rFonts w:hint="eastAsia" w:ascii="仿宋_GB2312" w:hAnsi="仿宋"/>
        </w:rPr>
        <w:t>该项目资金主要用于对65周岁以上老人免费乘公交的补贴款，本年共收到财政划拨资金</w:t>
      </w:r>
      <w:r>
        <w:rPr>
          <w:rFonts w:hint="eastAsia" w:ascii="仿宋_GB2312" w:hAnsi="仿宋"/>
          <w:lang w:val="en-US" w:eastAsia="zh-CN"/>
        </w:rPr>
        <w:t>80</w:t>
      </w:r>
      <w:r>
        <w:rPr>
          <w:rFonts w:hint="eastAsia" w:ascii="仿宋_GB2312" w:hAnsi="仿宋"/>
        </w:rPr>
        <w:t>万元，并将</w:t>
      </w:r>
      <w:r>
        <w:rPr>
          <w:rFonts w:hint="eastAsia" w:ascii="仿宋_GB2312" w:hAnsi="仿宋"/>
          <w:lang w:val="en-US" w:eastAsia="zh-CN"/>
        </w:rPr>
        <w:t>80</w:t>
      </w:r>
      <w:r>
        <w:rPr>
          <w:rFonts w:hint="eastAsia" w:ascii="仿宋_GB2312" w:hAnsi="仿宋"/>
        </w:rPr>
        <w:t>万元资金全部划拨云南昆明交通运输集团有限公司东川分公司，此项目确保了老年人的出行方便，这</w:t>
      </w:r>
      <w:bookmarkStart w:id="0" w:name="_GoBack"/>
      <w:bookmarkEnd w:id="0"/>
      <w:r>
        <w:rPr>
          <w:rFonts w:hint="eastAsia" w:ascii="仿宋_GB2312" w:hAnsi="仿宋"/>
        </w:rPr>
        <w:t>也确实达成了我单位开展此次项目的预期效果，即让老人出行方便，享受切实优惠。</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（一）主要经验及做法；</w:t>
      </w:r>
    </w:p>
    <w:p>
      <w:pPr>
        <w:topLinePunct/>
        <w:spacing w:line="540" w:lineRule="exact"/>
        <w:ind w:firstLine="790" w:firstLineChars="250"/>
        <w:rPr>
          <w:rFonts w:ascii="仿宋_GB2312" w:hAnsi="仿宋"/>
        </w:rPr>
      </w:pPr>
      <w:r>
        <w:rPr>
          <w:rFonts w:hint="eastAsia" w:ascii="仿宋_GB2312" w:hAnsi="仿宋"/>
        </w:rPr>
        <w:t>提高单位工作效率，加快资金拨付进度的同时确保对下拨资金的管控，确保区级下拨资金用在实处；</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（二）存在的问题；</w:t>
      </w:r>
    </w:p>
    <w:p>
      <w:pPr>
        <w:spacing w:line="600" w:lineRule="exact"/>
        <w:ind w:firstLine="632" w:firstLineChars="200"/>
        <w:rPr>
          <w:rFonts w:ascii="仿宋_GB2312" w:hAnsi="仿宋"/>
        </w:rPr>
      </w:pPr>
      <w:r>
        <w:rPr>
          <w:rFonts w:hint="eastAsia" w:ascii="仿宋_GB2312" w:hAnsi="仿宋"/>
        </w:rPr>
        <w:t>由于今年人工工资及汽车零配件价格比2010年时大幅上涨，给公交客运企业带来了巨大的压力。现又对持老年爱心IC卡及残疾人优惠卡的人群实行免费乘坐城市空调公交车，加之逐年增加的老年人经常乘坐公交车客伤事故时有发生，每年80万元的财政补助几乎不够赔付伤者，对东川汽车公司的经营更是雪上加霜，现在已属于亏损经营，很难承担每年200多万人次老年人免费乘坐公交车的经济负担。</w:t>
      </w:r>
    </w:p>
    <w:p>
      <w:pPr>
        <w:spacing w:line="440" w:lineRule="exact"/>
        <w:ind w:firstLine="600"/>
        <w:rPr>
          <w:rFonts w:ascii="仿宋_GB2312" w:hAnsi="仿宋"/>
        </w:rPr>
      </w:pPr>
      <w:r>
        <w:rPr>
          <w:rFonts w:hint="eastAsia" w:ascii="仿宋_GB2312" w:hAnsi="仿宋"/>
        </w:rPr>
        <w:t>加之为响应国家推广和使用新能源车及提升东川城市形象，使广大人民群众乘坐舒适、清爽的公交车，汽车公司新购了40辆带空调的纯电动公交车，满足东川城区广大人民群众生活工作及学生上、下学的乘车需求，由于这40公交车辆均为新购置的，用去大笔资金，给公司经营运转带来了较大的困难，现已拖欠东川石油公司的柴油货款。</w:t>
      </w:r>
    </w:p>
    <w:p>
      <w:pPr>
        <w:topLinePunct/>
        <w:spacing w:line="540" w:lineRule="exact"/>
        <w:ind w:firstLine="790" w:firstLineChars="250"/>
        <w:rPr>
          <w:rFonts w:ascii="楷体" w:hAnsi="楷体" w:eastAsia="楷体"/>
          <w:szCs w:val="32"/>
        </w:rPr>
      </w:pPr>
      <w:r>
        <w:rPr>
          <w:rFonts w:hint="eastAsia" w:ascii="楷体" w:hAnsi="楷体" w:eastAsia="楷体"/>
          <w:szCs w:val="32"/>
        </w:rPr>
        <w:t>（三）建议和改进措施。</w:t>
      </w:r>
    </w:p>
    <w:p>
      <w:pPr>
        <w:spacing w:line="600" w:lineRule="exact"/>
        <w:ind w:firstLine="632" w:firstLineChars="200"/>
        <w:rPr>
          <w:rFonts w:ascii="仿宋_GB2312" w:hAnsi="仿宋"/>
        </w:rPr>
      </w:pPr>
      <w:r>
        <w:rPr>
          <w:rFonts w:hint="eastAsia" w:ascii="仿宋_GB2312" w:hAnsi="仿宋"/>
        </w:rPr>
        <w:t>政府对老年人免费乘坐公交车项目加大财政补贴，使东川公共汽车分公司能够得到良性发展，继续把这项惠民利民的工作继续开展下去。</w:t>
      </w:r>
    </w:p>
    <w:p>
      <w:pPr>
        <w:spacing w:line="540" w:lineRule="exact"/>
        <w:rPr>
          <w:rFonts w:eastAsia="黑体"/>
        </w:rPr>
      </w:pPr>
    </w:p>
    <w:p>
      <w:pPr>
        <w:spacing w:line="540" w:lineRule="exact"/>
        <w:jc w:val="center"/>
        <w:rPr>
          <w:rFonts w:hint="eastAsia" w:ascii="方正小标宋_GBK" w:eastAsia="方正小标宋_GBK"/>
        </w:rPr>
      </w:pPr>
    </w:p>
    <w:p>
      <w:pPr>
        <w:spacing w:line="540" w:lineRule="exact"/>
        <w:jc w:val="center"/>
        <w:rPr>
          <w:rFonts w:hint="eastAsia" w:ascii="方正小标宋_GBK" w:eastAsia="方正小标宋_GBK"/>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firstLine="650"/>
        <w:jc w:val="left"/>
        <w:rPr>
          <w:rFonts w:ascii="仿宋_GB2312" w:hAnsi="仿宋"/>
        </w:rPr>
      </w:pPr>
      <w:r>
        <w:rPr>
          <w:rFonts w:hint="eastAsia" w:ascii="仿宋_GB2312" w:hAnsi="仿宋"/>
        </w:rPr>
        <w:t>1.绩效评价指标体系；</w:t>
      </w:r>
    </w:p>
    <w:p>
      <w:pPr>
        <w:spacing w:line="540" w:lineRule="exact"/>
        <w:ind w:left="-10" w:firstLine="650"/>
        <w:jc w:val="left"/>
        <w:rPr>
          <w:rFonts w:ascii="仿宋_GB2312" w:hAnsi="仿宋"/>
        </w:rPr>
      </w:pPr>
      <w:r>
        <w:rPr>
          <w:rFonts w:hint="eastAsia" w:ascii="仿宋_GB2312" w:hAnsi="仿宋"/>
        </w:rPr>
        <w:t>2.基础数据表（进行成本效益分析需采集的数据）；</w:t>
      </w:r>
    </w:p>
    <w:p>
      <w:pPr>
        <w:spacing w:line="540" w:lineRule="exact"/>
        <w:ind w:left="-10" w:firstLine="650"/>
        <w:jc w:val="left"/>
        <w:rPr>
          <w:rFonts w:ascii="仿宋_GB2312" w:hAnsi="仿宋"/>
        </w:rPr>
      </w:pPr>
      <w:r>
        <w:rPr>
          <w:rFonts w:hint="eastAsia" w:ascii="仿宋_GB2312" w:hAnsi="仿宋"/>
        </w:rPr>
        <w:t>3.访谈分析报告；</w:t>
      </w:r>
    </w:p>
    <w:p>
      <w:pPr>
        <w:spacing w:line="540" w:lineRule="exact"/>
        <w:ind w:left="-10" w:firstLine="650"/>
        <w:jc w:val="left"/>
        <w:rPr>
          <w:rFonts w:ascii="仿宋_GB2312" w:hAnsi="仿宋"/>
        </w:rPr>
      </w:pPr>
      <w:r>
        <w:rPr>
          <w:rFonts w:hint="eastAsia" w:ascii="仿宋_GB2312" w:hAnsi="仿宋"/>
        </w:rPr>
        <w:t>4.社会调查问卷分析报告；</w:t>
      </w:r>
    </w:p>
    <w:p>
      <w:pPr>
        <w:spacing w:line="540" w:lineRule="exact"/>
        <w:ind w:left="-10" w:firstLine="650"/>
        <w:rPr>
          <w:rFonts w:ascii="仿宋_GB2312" w:hAnsi="仿宋"/>
        </w:rPr>
      </w:pPr>
      <w:r>
        <w:rPr>
          <w:rFonts w:hint="eastAsia" w:ascii="仿宋_GB2312" w:hAnsi="仿宋"/>
        </w:rPr>
        <w:t>5.①区政府相关规划、决策、批复；②立项申请、批复文件；③绩效目标申报表；</w:t>
      </w:r>
      <w:r>
        <w:rPr>
          <w:rFonts w:hint="eastAsia" w:ascii="仿宋_GB2312" w:hAnsi="仿宋_GB2312" w:cs="仿宋_GB2312"/>
        </w:rPr>
        <w:t>④</w:t>
      </w:r>
      <w:r>
        <w:rPr>
          <w:rFonts w:hint="eastAsia" w:ascii="仿宋_GB2312" w:hAnsi="仿宋"/>
        </w:rPr>
        <w:t>项目竣工验收报告、审计报告等。</w:t>
      </w:r>
    </w:p>
    <w:p>
      <w:pPr>
        <w:spacing w:line="540" w:lineRule="exact"/>
        <w:ind w:left="-10" w:firstLine="650"/>
        <w:rPr>
          <w:rFonts w:ascii="仿宋_GB2312" w:hAnsi="仿宋"/>
        </w:rPr>
      </w:pPr>
    </w:p>
    <w:p>
      <w:pPr>
        <w:spacing w:line="540" w:lineRule="exact"/>
        <w:ind w:left="-10" w:firstLine="650"/>
        <w:rPr>
          <w:rFonts w:ascii="仿宋_GB2312" w:hAnsi="仿宋"/>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7</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8</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91C53"/>
    <w:rsid w:val="000952FB"/>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655B"/>
    <w:rsid w:val="00197124"/>
    <w:rsid w:val="001B5425"/>
    <w:rsid w:val="001C5CB9"/>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379E"/>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05663"/>
    <w:rsid w:val="00623770"/>
    <w:rsid w:val="00634A37"/>
    <w:rsid w:val="0067583F"/>
    <w:rsid w:val="00684F23"/>
    <w:rsid w:val="00691838"/>
    <w:rsid w:val="0069429D"/>
    <w:rsid w:val="006A6EB6"/>
    <w:rsid w:val="006B11BB"/>
    <w:rsid w:val="0070331B"/>
    <w:rsid w:val="00711838"/>
    <w:rsid w:val="007347E8"/>
    <w:rsid w:val="00752484"/>
    <w:rsid w:val="00767A70"/>
    <w:rsid w:val="007740E0"/>
    <w:rsid w:val="007E48FF"/>
    <w:rsid w:val="007F24E4"/>
    <w:rsid w:val="007F5BD0"/>
    <w:rsid w:val="0080354F"/>
    <w:rsid w:val="008052BB"/>
    <w:rsid w:val="008273F9"/>
    <w:rsid w:val="008452A9"/>
    <w:rsid w:val="0086384F"/>
    <w:rsid w:val="00885932"/>
    <w:rsid w:val="00896C1C"/>
    <w:rsid w:val="008D4DFD"/>
    <w:rsid w:val="008F3154"/>
    <w:rsid w:val="009156B6"/>
    <w:rsid w:val="00932C9A"/>
    <w:rsid w:val="009511E2"/>
    <w:rsid w:val="00960202"/>
    <w:rsid w:val="00971ACC"/>
    <w:rsid w:val="00984AA9"/>
    <w:rsid w:val="009A7D6B"/>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0A8C"/>
    <w:rsid w:val="00C126D1"/>
    <w:rsid w:val="00C145B3"/>
    <w:rsid w:val="00C21CDB"/>
    <w:rsid w:val="00C40EC7"/>
    <w:rsid w:val="00C647AA"/>
    <w:rsid w:val="00CD2387"/>
    <w:rsid w:val="00D16944"/>
    <w:rsid w:val="00D20768"/>
    <w:rsid w:val="00D4728C"/>
    <w:rsid w:val="00D60CF2"/>
    <w:rsid w:val="00D611EB"/>
    <w:rsid w:val="00D77134"/>
    <w:rsid w:val="00D87244"/>
    <w:rsid w:val="00D96174"/>
    <w:rsid w:val="00DA3649"/>
    <w:rsid w:val="00DD46DD"/>
    <w:rsid w:val="00E0768F"/>
    <w:rsid w:val="00E124FB"/>
    <w:rsid w:val="00E219E0"/>
    <w:rsid w:val="00E355E2"/>
    <w:rsid w:val="00E44E53"/>
    <w:rsid w:val="00E60A47"/>
    <w:rsid w:val="00E627D0"/>
    <w:rsid w:val="00E75F2E"/>
    <w:rsid w:val="00EB1222"/>
    <w:rsid w:val="00EB5E95"/>
    <w:rsid w:val="00F2469B"/>
    <w:rsid w:val="00F40020"/>
    <w:rsid w:val="00F525BE"/>
    <w:rsid w:val="00F613AB"/>
    <w:rsid w:val="00F8179E"/>
    <w:rsid w:val="00FB0339"/>
    <w:rsid w:val="0D7003B9"/>
    <w:rsid w:val="1D0B0F18"/>
    <w:rsid w:val="226E02DE"/>
    <w:rsid w:val="24C14377"/>
    <w:rsid w:val="24ED6F9D"/>
    <w:rsid w:val="2EFB69EF"/>
    <w:rsid w:val="38031D6D"/>
    <w:rsid w:val="3BCA4F11"/>
    <w:rsid w:val="477C14A3"/>
    <w:rsid w:val="4F7370ED"/>
    <w:rsid w:val="4FB02522"/>
    <w:rsid w:val="56C42A1B"/>
    <w:rsid w:val="5E914308"/>
    <w:rsid w:val="70BA2008"/>
    <w:rsid w:val="77C45AD1"/>
    <w:rsid w:val="7B2753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rPr>
      <w:kern w:val="0"/>
    </w:rPr>
  </w:style>
  <w:style w:type="paragraph" w:styleId="4">
    <w:name w:val="Date"/>
    <w:basedOn w:val="1"/>
    <w:next w:val="1"/>
    <w:link w:val="13"/>
    <w:qFormat/>
    <w:uiPriority w:val="99"/>
    <w:pPr>
      <w:ind w:left="100" w:leftChars="2500"/>
    </w:pPr>
    <w:rPr>
      <w:kern w:val="0"/>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qFormat/>
    <w:uiPriority w:val="99"/>
    <w:rPr>
      <w:rFonts w:eastAsia="仿宋_GB2312"/>
      <w:sz w:val="18"/>
      <w:szCs w:val="18"/>
    </w:rPr>
  </w:style>
  <w:style w:type="character" w:customStyle="1" w:styleId="13">
    <w:name w:val="日期 Char"/>
    <w:link w:val="4"/>
    <w:semiHidden/>
    <w:qFormat/>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qFormat/>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8</Pages>
  <Words>480</Words>
  <Characters>2742</Characters>
  <Lines>22</Lines>
  <Paragraphs>6</Paragraphs>
  <TotalTime>94</TotalTime>
  <ScaleCrop>false</ScaleCrop>
  <LinksUpToDate>false</LinksUpToDate>
  <CharactersWithSpaces>3216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2021-04-23T03:25:10Z</dcterms:modified>
  <dc:title>益财会〔2002〕4号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