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firstLine="0" w:firstLineChars="0"/>
        <w:rPr>
          <w:highlight w:val="none"/>
        </w:rPr>
      </w:pPr>
      <w:bookmarkStart w:id="45" w:name="_GoBack"/>
    </w:p>
    <w:p>
      <w:pPr>
        <w:jc w:val="center"/>
        <w:rPr>
          <w:rFonts w:ascii="黑体" w:hAnsi="黑体" w:eastAsia="黑体" w:cs="黑体"/>
          <w:bCs/>
          <w:sz w:val="52"/>
          <w:szCs w:val="52"/>
          <w:highlight w:val="none"/>
        </w:rPr>
      </w:pPr>
      <w:r>
        <w:rPr>
          <w:rFonts w:hint="eastAsia" w:ascii="黑体" w:hAnsi="黑体" w:eastAsia="黑体" w:cs="黑体"/>
          <w:bCs/>
          <w:sz w:val="52"/>
          <w:szCs w:val="52"/>
          <w:highlight w:val="none"/>
        </w:rPr>
        <w:t>昆明市东川区铜都街道</w:t>
      </w:r>
    </w:p>
    <w:p>
      <w:pPr>
        <w:jc w:val="center"/>
        <w:rPr>
          <w:rFonts w:ascii="黑体" w:hAnsi="黑体" w:eastAsia="黑体" w:cs="黑体"/>
          <w:bCs/>
          <w:sz w:val="52"/>
          <w:szCs w:val="52"/>
          <w:highlight w:val="none"/>
        </w:rPr>
      </w:pPr>
      <w:r>
        <w:rPr>
          <w:rFonts w:ascii="黑体" w:hAnsi="黑体" w:eastAsia="黑体"/>
          <w:bCs/>
          <w:sz w:val="52"/>
          <w:szCs w:val="52"/>
          <w:highlight w:val="none"/>
        </w:rPr>
        <w:t>20</w:t>
      </w:r>
      <w:r>
        <w:rPr>
          <w:rFonts w:hint="eastAsia" w:ascii="黑体" w:hAnsi="黑体" w:eastAsia="黑体"/>
          <w:bCs/>
          <w:sz w:val="52"/>
          <w:szCs w:val="52"/>
          <w:highlight w:val="none"/>
          <w:lang w:val="en-US" w:eastAsia="zh-CN"/>
        </w:rPr>
        <w:t>20</w:t>
      </w:r>
      <w:r>
        <w:rPr>
          <w:rFonts w:hint="eastAsia" w:ascii="黑体" w:hAnsi="黑体" w:eastAsia="黑体"/>
          <w:bCs/>
          <w:sz w:val="52"/>
          <w:szCs w:val="52"/>
          <w:highlight w:val="none"/>
        </w:rPr>
        <w:t>年</w:t>
      </w:r>
      <w:r>
        <w:rPr>
          <w:rFonts w:hint="eastAsia" w:ascii="黑体" w:hAnsi="黑体" w:eastAsia="黑体" w:cs="黑体"/>
          <w:bCs/>
          <w:sz w:val="52"/>
          <w:szCs w:val="52"/>
          <w:highlight w:val="none"/>
          <w:lang w:val="en-US" w:eastAsia="zh-CN"/>
        </w:rPr>
        <w:t>基层环境保护专项经费</w:t>
      </w:r>
      <w:r>
        <w:rPr>
          <w:rFonts w:hint="eastAsia" w:ascii="黑体" w:hAnsi="黑体" w:eastAsia="黑体" w:cs="黑体"/>
          <w:bCs/>
          <w:sz w:val="52"/>
          <w:szCs w:val="52"/>
          <w:highlight w:val="none"/>
        </w:rPr>
        <w:t>支出</w:t>
      </w:r>
    </w:p>
    <w:p>
      <w:pPr>
        <w:jc w:val="center"/>
        <w:rPr>
          <w:rFonts w:ascii="黑体" w:hAnsi="黑体" w:eastAsia="黑体"/>
          <w:bCs/>
          <w:sz w:val="52"/>
          <w:szCs w:val="52"/>
          <w:highlight w:val="none"/>
        </w:rPr>
      </w:pPr>
      <w:r>
        <w:rPr>
          <w:rFonts w:hint="eastAsia" w:ascii="黑体" w:hAnsi="黑体" w:eastAsia="黑体" w:cs="黑体"/>
          <w:bCs/>
          <w:sz w:val="52"/>
          <w:szCs w:val="52"/>
          <w:highlight w:val="none"/>
        </w:rPr>
        <w:t>绩效评价报告</w:t>
      </w:r>
    </w:p>
    <w:p>
      <w:pPr>
        <w:spacing w:before="120" w:after="120" w:line="480" w:lineRule="auto"/>
        <w:jc w:val="center"/>
        <w:rPr>
          <w:rFonts w:ascii="Times New Roman" w:hAnsi="Times New Roman" w:eastAsia="黑体"/>
          <w:b/>
          <w:bCs/>
          <w:sz w:val="52"/>
          <w:szCs w:val="52"/>
          <w:highlight w:val="none"/>
        </w:rPr>
      </w:pPr>
    </w:p>
    <w:p>
      <w:pPr>
        <w:spacing w:before="120" w:after="120" w:line="480" w:lineRule="auto"/>
        <w:jc w:val="center"/>
        <w:rPr>
          <w:rFonts w:ascii="Times New Roman" w:hAnsi="Times New Roman"/>
          <w:b/>
          <w:bCs/>
          <w:sz w:val="44"/>
          <w:szCs w:val="44"/>
          <w:highlight w:val="none"/>
        </w:rPr>
      </w:pPr>
    </w:p>
    <w:p>
      <w:pPr>
        <w:spacing w:before="120" w:after="120" w:line="480" w:lineRule="auto"/>
        <w:jc w:val="center"/>
        <w:rPr>
          <w:rFonts w:ascii="Times New Roman" w:hAnsi="Times New Roman"/>
          <w:b/>
          <w:bCs/>
          <w:sz w:val="44"/>
          <w:szCs w:val="44"/>
          <w:highlight w:val="none"/>
        </w:rPr>
      </w:pPr>
    </w:p>
    <w:p>
      <w:pPr>
        <w:spacing w:before="120" w:after="120" w:line="480" w:lineRule="auto"/>
        <w:jc w:val="center"/>
        <w:rPr>
          <w:rFonts w:ascii="Times New Roman" w:hAnsi="Times New Roman" w:eastAsia="黑体"/>
          <w:b/>
          <w:bCs/>
          <w:sz w:val="44"/>
          <w:szCs w:val="44"/>
          <w:highlight w:val="none"/>
        </w:rPr>
      </w:pPr>
    </w:p>
    <w:p>
      <w:pPr>
        <w:adjustRightInd w:val="0"/>
        <w:snapToGrid w:val="0"/>
        <w:spacing w:line="360" w:lineRule="auto"/>
        <w:ind w:left="1260" w:leftChars="600"/>
        <w:rPr>
          <w:rFonts w:ascii="Times New Roman" w:hAnsi="Times New Roman" w:eastAsia="黑体"/>
          <w:b/>
          <w:bCs/>
          <w:sz w:val="28"/>
          <w:szCs w:val="28"/>
          <w:highlight w:val="none"/>
        </w:rPr>
      </w:pPr>
    </w:p>
    <w:p>
      <w:pPr>
        <w:spacing w:line="360" w:lineRule="auto"/>
        <w:ind w:left="1218" w:leftChars="580"/>
        <w:rPr>
          <w:rFonts w:ascii="Times New Roman" w:hAnsi="Times New Roman" w:eastAsia="黑体"/>
          <w:b/>
          <w:bCs/>
          <w:sz w:val="28"/>
          <w:szCs w:val="28"/>
          <w:highlight w:val="none"/>
        </w:rPr>
      </w:pPr>
    </w:p>
    <w:p>
      <w:pPr>
        <w:jc w:val="center"/>
        <w:rPr>
          <w:rFonts w:ascii="Times New Roman" w:hAnsi="Times New Roman" w:eastAsia="黑体"/>
          <w:b/>
          <w:bCs/>
          <w:sz w:val="28"/>
          <w:szCs w:val="28"/>
          <w:highlight w:val="none"/>
        </w:rPr>
      </w:pPr>
    </w:p>
    <w:p>
      <w:pPr>
        <w:jc w:val="center"/>
        <w:rPr>
          <w:rFonts w:ascii="Times New Roman" w:hAnsi="Times New Roman" w:eastAsia="黑体"/>
          <w:b/>
          <w:bCs/>
          <w:sz w:val="28"/>
          <w:szCs w:val="28"/>
          <w:highlight w:val="none"/>
        </w:rPr>
      </w:pPr>
    </w:p>
    <w:p>
      <w:pPr>
        <w:jc w:val="center"/>
        <w:rPr>
          <w:rFonts w:ascii="Times New Roman" w:hAnsi="Times New Roman" w:eastAsia="黑体"/>
          <w:b/>
          <w:bCs/>
          <w:sz w:val="28"/>
          <w:szCs w:val="28"/>
          <w:highlight w:val="none"/>
        </w:rPr>
      </w:pPr>
    </w:p>
    <w:p>
      <w:pPr>
        <w:jc w:val="center"/>
        <w:rPr>
          <w:rFonts w:ascii="Times New Roman" w:hAnsi="Times New Roman" w:eastAsia="黑体"/>
          <w:b/>
          <w:bCs/>
          <w:sz w:val="28"/>
          <w:szCs w:val="28"/>
          <w:highlight w:val="none"/>
        </w:rPr>
      </w:pPr>
    </w:p>
    <w:p>
      <w:pPr>
        <w:jc w:val="center"/>
        <w:rPr>
          <w:rFonts w:ascii="Times New Roman" w:hAnsi="Times New Roman" w:eastAsia="黑体"/>
          <w:b/>
          <w:bCs/>
          <w:sz w:val="28"/>
          <w:szCs w:val="28"/>
          <w:highlight w:val="none"/>
        </w:rPr>
      </w:pPr>
    </w:p>
    <w:p>
      <w:pPr>
        <w:jc w:val="center"/>
        <w:rPr>
          <w:rFonts w:hint="default" w:ascii="Times New Roman" w:hAnsi="Times New Roman" w:eastAsia="黑体"/>
          <w:b/>
          <w:bCs/>
          <w:sz w:val="28"/>
          <w:szCs w:val="28"/>
          <w:highlight w:val="none"/>
          <w:lang w:val="en-US" w:eastAsia="zh-CN"/>
        </w:rPr>
      </w:pPr>
      <w:r>
        <w:rPr>
          <w:rFonts w:hint="eastAsia" w:ascii="Times New Roman" w:hAnsi="Times New Roman" w:eastAsia="黑体"/>
          <w:b/>
          <w:bCs/>
          <w:sz w:val="28"/>
          <w:szCs w:val="28"/>
          <w:highlight w:val="none"/>
          <w:lang w:val="en-US" w:eastAsia="zh-CN"/>
        </w:rPr>
        <w:t xml:space="preserve">                           昆明市东川区铜都街道</w:t>
      </w:r>
    </w:p>
    <w:p>
      <w:pPr>
        <w:jc w:val="center"/>
        <w:rPr>
          <w:rFonts w:ascii="Times New Roman" w:hAnsi="Times New Roman" w:eastAsia="黑体" w:cs="黑体"/>
          <w:b/>
          <w:bCs/>
          <w:sz w:val="28"/>
          <w:szCs w:val="28"/>
          <w:highlight w:val="none"/>
        </w:rPr>
      </w:pPr>
      <w:r>
        <w:rPr>
          <w:rFonts w:hint="eastAsia" w:ascii="Times New Roman" w:hAnsi="Times New Roman" w:eastAsia="黑体"/>
          <w:b/>
          <w:bCs/>
          <w:sz w:val="28"/>
          <w:szCs w:val="28"/>
          <w:highlight w:val="none"/>
          <w:lang w:val="en-US" w:eastAsia="zh-CN"/>
        </w:rPr>
        <w:t xml:space="preserve">                          </w:t>
      </w:r>
      <w:r>
        <w:rPr>
          <w:rFonts w:ascii="Times New Roman" w:hAnsi="Times New Roman" w:eastAsia="黑体"/>
          <w:b/>
          <w:bCs/>
          <w:sz w:val="28"/>
          <w:szCs w:val="28"/>
          <w:highlight w:val="none"/>
        </w:rPr>
        <w:t>20</w:t>
      </w:r>
      <w:r>
        <w:rPr>
          <w:rFonts w:hint="eastAsia" w:ascii="Times New Roman" w:hAnsi="Times New Roman" w:eastAsia="黑体"/>
          <w:b/>
          <w:bCs/>
          <w:sz w:val="28"/>
          <w:szCs w:val="28"/>
          <w:highlight w:val="none"/>
        </w:rPr>
        <w:t>2</w:t>
      </w:r>
      <w:r>
        <w:rPr>
          <w:rFonts w:hint="eastAsia" w:ascii="Times New Roman" w:hAnsi="Times New Roman" w:eastAsia="黑体"/>
          <w:b/>
          <w:bCs/>
          <w:sz w:val="28"/>
          <w:szCs w:val="28"/>
          <w:highlight w:val="none"/>
          <w:lang w:val="en-US" w:eastAsia="zh-CN"/>
        </w:rPr>
        <w:t>1</w:t>
      </w:r>
      <w:r>
        <w:rPr>
          <w:rFonts w:hint="eastAsia" w:ascii="Times New Roman" w:hAnsi="Times New Roman" w:eastAsia="黑体" w:cs="黑体"/>
          <w:b/>
          <w:bCs/>
          <w:sz w:val="28"/>
          <w:szCs w:val="28"/>
          <w:highlight w:val="none"/>
        </w:rPr>
        <w:t>年</w:t>
      </w:r>
      <w:r>
        <w:rPr>
          <w:rFonts w:hint="eastAsia" w:ascii="Times New Roman" w:hAnsi="Times New Roman" w:eastAsia="黑体"/>
          <w:b/>
          <w:bCs/>
          <w:sz w:val="28"/>
          <w:szCs w:val="28"/>
          <w:highlight w:val="none"/>
          <w:lang w:val="en-US" w:eastAsia="zh-CN"/>
        </w:rPr>
        <w:t>05</w:t>
      </w:r>
      <w:r>
        <w:rPr>
          <w:rFonts w:hint="eastAsia" w:ascii="Times New Roman" w:hAnsi="Times New Roman" w:eastAsia="黑体" w:cs="黑体"/>
          <w:b/>
          <w:bCs/>
          <w:sz w:val="28"/>
          <w:szCs w:val="28"/>
          <w:highlight w:val="none"/>
        </w:rPr>
        <w:t>月</w:t>
      </w:r>
    </w:p>
    <w:p>
      <w:pPr>
        <w:jc w:val="center"/>
        <w:rPr>
          <w:rFonts w:ascii="Times New Roman" w:hAnsi="Times New Roman" w:eastAsia="黑体" w:cs="黑体"/>
          <w:b/>
          <w:bCs/>
          <w:sz w:val="28"/>
          <w:szCs w:val="28"/>
          <w:highlight w:val="none"/>
        </w:rPr>
      </w:pPr>
      <w:r>
        <w:rPr>
          <w:rFonts w:ascii="Times New Roman" w:hAnsi="Times New Roman" w:eastAsia="黑体" w:cs="黑体"/>
          <w:b/>
          <w:bCs/>
          <w:sz w:val="28"/>
          <w:szCs w:val="28"/>
          <w:highlight w:val="none"/>
        </w:rPr>
        <w:br w:type="page"/>
      </w:r>
    </w:p>
    <w:p>
      <w:pPr>
        <w:jc w:val="center"/>
        <w:rPr>
          <w:rFonts w:hint="eastAsia" w:ascii="黑体" w:hAnsi="黑体" w:eastAsia="黑体"/>
          <w:sz w:val="36"/>
          <w:szCs w:val="36"/>
          <w:highlight w:val="none"/>
        </w:rPr>
      </w:pPr>
      <w:r>
        <w:rPr>
          <w:rFonts w:hint="eastAsia" w:ascii="黑体" w:hAnsi="黑体" w:eastAsia="黑体"/>
          <w:sz w:val="36"/>
          <w:szCs w:val="36"/>
          <w:highlight w:val="none"/>
        </w:rPr>
        <w:t>昆明市东川区铜都街道</w:t>
      </w:r>
    </w:p>
    <w:p>
      <w:pPr>
        <w:jc w:val="center"/>
        <w:rPr>
          <w:rFonts w:hint="eastAsia" w:ascii="黑体" w:hAnsi="黑体" w:eastAsia="黑体"/>
          <w:sz w:val="36"/>
          <w:szCs w:val="36"/>
          <w:highlight w:val="none"/>
        </w:rPr>
      </w:pPr>
      <w:r>
        <w:rPr>
          <w:rFonts w:hint="eastAsia" w:ascii="黑体" w:hAnsi="黑体" w:eastAsia="黑体"/>
          <w:sz w:val="36"/>
          <w:szCs w:val="36"/>
          <w:highlight w:val="none"/>
        </w:rPr>
        <w:t>2020年基层环境保护专项经费支出</w:t>
      </w:r>
    </w:p>
    <w:p>
      <w:pPr>
        <w:jc w:val="center"/>
        <w:rPr>
          <w:rFonts w:ascii="黑体" w:hAnsi="黑体" w:eastAsia="黑体"/>
          <w:sz w:val="36"/>
          <w:szCs w:val="36"/>
          <w:highlight w:val="none"/>
        </w:rPr>
      </w:pPr>
      <w:r>
        <w:rPr>
          <w:rFonts w:hint="eastAsia" w:ascii="黑体" w:hAnsi="黑体" w:eastAsia="黑体"/>
          <w:sz w:val="36"/>
          <w:szCs w:val="36"/>
          <w:highlight w:val="none"/>
        </w:rPr>
        <w:t>绩效评价报告</w:t>
      </w:r>
    </w:p>
    <w:p>
      <w:pPr>
        <w:adjustRightInd w:val="0"/>
        <w:snapToGrid w:val="0"/>
        <w:spacing w:line="600" w:lineRule="exact"/>
        <w:ind w:firstLine="640" w:firstLineChars="200"/>
        <w:rPr>
          <w:rFonts w:ascii="仿宋_GB2312" w:eastAsia="仿宋_GB2312"/>
          <w:sz w:val="32"/>
          <w:szCs w:val="32"/>
          <w:highlight w:val="none"/>
        </w:rPr>
      </w:pPr>
    </w:p>
    <w:p>
      <w:pPr>
        <w:adjustRightInd w:val="0"/>
        <w:snapToGrid w:val="0"/>
        <w:spacing w:line="6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为全面检验财政资金使用绩效，考核资金预期绩效目标的实现程度、支出效率和综合效果，进一步提高财政支出管理水平，根据《中华人民共和国预算法》、</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昆明市东川区财政局关于开展东川区2020年度绩效自评工作的通知</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（东财绩〔2021〕4号）文件规定，昆明市东川区铜都街道（以下简称“铜都街道”）对20</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年度部门整体支出绩效进行自评，现将有关情况报告如下:</w:t>
      </w:r>
    </w:p>
    <w:p>
      <w:pPr>
        <w:pStyle w:val="2"/>
        <w:keepNext w:val="0"/>
        <w:keepLines w:val="0"/>
        <w:adjustRightInd w:val="0"/>
        <w:snapToGrid w:val="0"/>
        <w:spacing w:before="0" w:after="0" w:line="600" w:lineRule="exact"/>
        <w:ind w:firstLine="640" w:firstLineChars="200"/>
        <w:rPr>
          <w:rFonts w:ascii="黑体" w:hAnsi="黑体" w:eastAsia="黑体"/>
          <w:b w:val="0"/>
          <w:bCs w:val="0"/>
          <w:sz w:val="32"/>
          <w:szCs w:val="32"/>
          <w:highlight w:val="none"/>
        </w:rPr>
      </w:pPr>
      <w:bookmarkStart w:id="0" w:name="_Toc57188358"/>
      <w:bookmarkStart w:id="1" w:name="_Toc54348628"/>
      <w:r>
        <w:rPr>
          <w:rFonts w:hint="eastAsia" w:ascii="黑体" w:hAnsi="黑体" w:eastAsia="黑体"/>
          <w:b w:val="0"/>
          <w:bCs w:val="0"/>
          <w:sz w:val="32"/>
          <w:szCs w:val="32"/>
          <w:highlight w:val="none"/>
        </w:rPr>
        <w:t>一、基本情况</w:t>
      </w:r>
      <w:bookmarkEnd w:id="0"/>
      <w:bookmarkEnd w:id="1"/>
    </w:p>
    <w:p>
      <w:pPr>
        <w:pStyle w:val="3"/>
        <w:keepNext w:val="0"/>
        <w:keepLines w:val="0"/>
        <w:adjustRightInd w:val="0"/>
        <w:snapToGrid w:val="0"/>
        <w:spacing w:before="0" w:after="0" w:line="600" w:lineRule="exact"/>
        <w:ind w:firstLine="640" w:firstLineChars="200"/>
        <w:rPr>
          <w:rFonts w:ascii="楷体_GB2312" w:eastAsia="楷体_GB2312"/>
          <w:b w:val="0"/>
          <w:bCs w:val="0"/>
          <w:highlight w:val="none"/>
        </w:rPr>
      </w:pPr>
      <w:bookmarkStart w:id="2" w:name="_Toc54348629"/>
      <w:bookmarkStart w:id="3" w:name="_Toc57188359"/>
      <w:r>
        <w:rPr>
          <w:rFonts w:hint="eastAsia" w:ascii="楷体_GB2312" w:eastAsia="楷体_GB2312"/>
          <w:b w:val="0"/>
          <w:bCs w:val="0"/>
          <w:highlight w:val="none"/>
        </w:rPr>
        <w:t>（一）项目概况</w:t>
      </w:r>
      <w:bookmarkEnd w:id="2"/>
      <w:bookmarkEnd w:id="3"/>
    </w:p>
    <w:p>
      <w:pPr>
        <w:pStyle w:val="5"/>
        <w:adjustRightInd w:val="0"/>
        <w:snapToGrid w:val="0"/>
        <w:spacing w:line="600" w:lineRule="exact"/>
        <w:ind w:left="136" w:firstLine="640" w:firstLineChars="200"/>
        <w:jc w:val="both"/>
        <w:rPr>
          <w:rFonts w:ascii="仿宋_GB2312" w:eastAsia="仿宋_GB2312"/>
          <w:highlight w:val="none"/>
        </w:rPr>
      </w:pPr>
      <w:r>
        <w:rPr>
          <w:rFonts w:hint="eastAsia" w:ascii="仿宋_GB2312" w:eastAsia="仿宋_GB2312"/>
          <w:highlight w:val="none"/>
        </w:rPr>
        <w:t>1.项目背景</w:t>
      </w:r>
    </w:p>
    <w:p>
      <w:pPr>
        <w:pStyle w:val="11"/>
        <w:widowControl w:val="0"/>
        <w:adjustRightInd w:val="0"/>
        <w:snapToGrid w:val="0"/>
        <w:spacing w:line="600" w:lineRule="exact"/>
        <w:ind w:firstLine="640" w:firstLineChars="200"/>
        <w:jc w:val="both"/>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pPr>
      <w:r>
        <w:rPr>
          <w:rFonts w:hint="eastAsia" w:ascii="仿宋_GB2312" w:eastAsia="仿宋_GB2312"/>
          <w:sz w:val="32"/>
          <w:szCs w:val="32"/>
          <w:highlight w:val="none"/>
          <w:lang w:val="en-US" w:eastAsia="zh-CN"/>
        </w:rPr>
        <w:t>2020年严谨的疫情防控局势，村容村貌和环境卫生秩序整治刻不容缓，</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农村生活垃圾治理</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势在必行，</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各种动物防疫工作</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也需要高度重视，通过加大环境保护的管理及宣传工作，改善环境质量，提高居民环保意识。</w:t>
      </w:r>
    </w:p>
    <w:p>
      <w:pPr>
        <w:pStyle w:val="5"/>
        <w:adjustRightInd w:val="0"/>
        <w:snapToGrid w:val="0"/>
        <w:spacing w:line="600" w:lineRule="exact"/>
        <w:ind w:firstLine="640" w:firstLineChars="200"/>
        <w:jc w:val="both"/>
        <w:rPr>
          <w:rFonts w:ascii="仿宋_GB2312" w:hAnsi="宋体" w:eastAsia="仿宋_GB2312" w:cs="宋体"/>
          <w:highlight w:val="none"/>
          <w:lang w:val="en-US" w:bidi="ar-SA"/>
        </w:rPr>
      </w:pPr>
      <w:r>
        <w:rPr>
          <w:rFonts w:hint="eastAsia" w:ascii="仿宋_GB2312" w:hAnsi="宋体" w:eastAsia="仿宋_GB2312" w:cs="宋体"/>
          <w:highlight w:val="none"/>
          <w:lang w:val="en-US" w:bidi="ar-SA"/>
        </w:rPr>
        <w:t>2.项目内容</w:t>
      </w:r>
    </w:p>
    <w:p>
      <w:pPr>
        <w:pStyle w:val="11"/>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rPr>
        <w:t>2020年的环保工作，任务重、压力大、矛盾多，在街道环保工作人员的扎实工作下，通过正确引导、疏导、综合协调，及时解决存在问题，化解矛盾，维护社会稳定，实现了环境保护与经济建设协调发展；通过加大环境保护的管理，环境质量得到改善，健全适应铜都环境保护管理体系。</w:t>
      </w:r>
    </w:p>
    <w:p>
      <w:pPr>
        <w:pStyle w:val="5"/>
        <w:numPr>
          <w:ilvl w:val="0"/>
          <w:numId w:val="1"/>
        </w:numPr>
        <w:adjustRightInd w:val="0"/>
        <w:snapToGrid w:val="0"/>
        <w:spacing w:line="600" w:lineRule="exact"/>
        <w:ind w:firstLine="640" w:firstLineChars="200"/>
        <w:jc w:val="both"/>
        <w:rPr>
          <w:rFonts w:hint="eastAsia" w:ascii="仿宋_GB2312" w:hAnsi="宋体" w:eastAsia="仿宋_GB2312" w:cs="宋体"/>
          <w:highlight w:val="none"/>
          <w:lang w:val="en-US" w:bidi="ar-SA"/>
        </w:rPr>
      </w:pPr>
      <w:r>
        <w:rPr>
          <w:rFonts w:hint="eastAsia" w:ascii="仿宋_GB2312" w:hAnsi="宋体" w:eastAsia="仿宋_GB2312" w:cs="宋体"/>
          <w:highlight w:val="none"/>
          <w:lang w:val="en-US" w:bidi="ar-SA"/>
        </w:rPr>
        <w:t>项目实施情况</w:t>
      </w:r>
    </w:p>
    <w:p>
      <w:pPr>
        <w:pStyle w:val="5"/>
        <w:adjustRightInd w:val="0"/>
        <w:snapToGrid w:val="0"/>
        <w:spacing w:line="600" w:lineRule="exact"/>
        <w:ind w:left="136"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制定《铜都街道2020年安全生产监管工作计划》，明确责任目标和检查方法，指导各村（社区）、各办（中心）所按照安全生产“一岗双责”原则开展工作；对工程建设、交通、消防、安全生产监督管理职责的部门监管的企业（行业）进行抽查，督促其贯彻落实安全生产“党政同责、一岗双责、失职追责”的责任体系建设，提高各级各部门“依法监管、责任法定”的法制意识。对全街道非煤矿山、烟花爆竹、冶金、工贸、建材等行业（领域）的生产经营单位进行全面检查，依法严厉打击各类非法违法生产经营建设行为。</w:t>
      </w:r>
    </w:p>
    <w:p>
      <w:pPr>
        <w:pStyle w:val="5"/>
        <w:adjustRightInd w:val="0"/>
        <w:snapToGrid w:val="0"/>
        <w:spacing w:line="600" w:lineRule="exact"/>
        <w:ind w:left="136" w:firstLine="640" w:firstLineChars="200"/>
        <w:jc w:val="both"/>
        <w:rPr>
          <w:rFonts w:ascii="仿宋_GB2312" w:eastAsia="仿宋_GB2312"/>
          <w:highlight w:val="none"/>
        </w:rPr>
      </w:pPr>
      <w:r>
        <w:rPr>
          <w:rFonts w:hint="eastAsia" w:ascii="仿宋_GB2312" w:eastAsia="仿宋_GB2312"/>
          <w:highlight w:val="none"/>
          <w:lang w:val="en-US"/>
        </w:rPr>
        <w:t>4</w:t>
      </w:r>
      <w:r>
        <w:rPr>
          <w:rFonts w:hint="eastAsia" w:ascii="仿宋_GB2312" w:eastAsia="仿宋_GB2312"/>
          <w:highlight w:val="none"/>
        </w:rPr>
        <w:t>.资金投入和使用情况</w:t>
      </w:r>
    </w:p>
    <w:p>
      <w:pPr>
        <w:topLinePunct/>
        <w:adjustRightInd w:val="0"/>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区财政安排20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年预算资金</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用于</w:t>
      </w:r>
      <w:r>
        <w:rPr>
          <w:rFonts w:hint="eastAsia" w:ascii="仿宋_GB2312" w:hAnsi="仿宋_GB2312" w:eastAsia="仿宋_GB2312" w:cs="仿宋_GB2312"/>
          <w:sz w:val="32"/>
          <w:szCs w:val="32"/>
          <w:highlight w:val="none"/>
        </w:rPr>
        <w:t>环境保护宣传</w:t>
      </w:r>
      <w:r>
        <w:rPr>
          <w:rFonts w:hint="eastAsia" w:ascii="仿宋_GB2312" w:hAnsi="仿宋_GB2312" w:eastAsia="仿宋_GB2312" w:cs="仿宋_GB2312"/>
          <w:sz w:val="32"/>
          <w:szCs w:val="32"/>
          <w:highlight w:val="none"/>
          <w:lang w:eastAsia="zh-CN"/>
        </w:rPr>
        <w:t>、培训、日常检查巡查、环境综合治理、兼职环保管理人员劳务费、办公用品采购</w:t>
      </w:r>
      <w:r>
        <w:rPr>
          <w:rFonts w:hint="eastAsia" w:ascii="仿宋_GB2312" w:hAnsi="仿宋_GB2312" w:eastAsia="仿宋_GB2312" w:cs="仿宋_GB2312"/>
          <w:sz w:val="32"/>
          <w:szCs w:val="32"/>
          <w:highlight w:val="none"/>
          <w:lang w:val="en-US" w:eastAsia="zh-CN"/>
        </w:rPr>
        <w:t>等支出</w:t>
      </w:r>
      <w:r>
        <w:rPr>
          <w:rFonts w:hint="eastAsia" w:ascii="仿宋_GB2312" w:hAnsi="仿宋_GB2312" w:eastAsia="仿宋_GB2312" w:cs="仿宋_GB2312"/>
          <w:sz w:val="32"/>
          <w:szCs w:val="32"/>
          <w:highlight w:val="none"/>
        </w:rPr>
        <w:t>，截至202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年绩效评价阶段，已</w:t>
      </w:r>
      <w:r>
        <w:rPr>
          <w:rFonts w:hint="eastAsia" w:ascii="仿宋_GB2312" w:hAnsi="仿宋_GB2312" w:eastAsia="仿宋_GB2312" w:cs="仿宋_GB2312"/>
          <w:sz w:val="32"/>
          <w:szCs w:val="32"/>
          <w:highlight w:val="none"/>
          <w:lang w:val="en-US" w:eastAsia="zh-CN"/>
        </w:rPr>
        <w:t>使用2.6</w:t>
      </w:r>
      <w:r>
        <w:rPr>
          <w:rFonts w:hint="eastAsia" w:ascii="仿宋_GB2312" w:hAnsi="仿宋_GB2312" w:eastAsia="仿宋_GB2312" w:cs="仿宋_GB2312"/>
          <w:sz w:val="32"/>
          <w:szCs w:val="32"/>
          <w:highlight w:val="none"/>
        </w:rPr>
        <w:t>万元，结转</w:t>
      </w:r>
      <w:r>
        <w:rPr>
          <w:rFonts w:hint="eastAsia" w:ascii="仿宋_GB2312" w:hAnsi="仿宋_GB2312" w:eastAsia="仿宋_GB2312" w:cs="仿宋_GB2312"/>
          <w:sz w:val="32"/>
          <w:szCs w:val="32"/>
          <w:highlight w:val="none"/>
          <w:lang w:val="en-US" w:eastAsia="zh-CN"/>
        </w:rPr>
        <w:t>6.4</w:t>
      </w:r>
      <w:r>
        <w:rPr>
          <w:rFonts w:hint="eastAsia" w:ascii="仿宋_GB2312" w:hAnsi="仿宋_GB2312" w:eastAsia="仿宋_GB2312" w:cs="仿宋_GB2312"/>
          <w:sz w:val="32"/>
          <w:szCs w:val="32"/>
          <w:highlight w:val="none"/>
        </w:rPr>
        <w:t>万元。</w:t>
      </w:r>
    </w:p>
    <w:p>
      <w:pPr>
        <w:pStyle w:val="3"/>
        <w:keepNext w:val="0"/>
        <w:keepLines w:val="0"/>
        <w:adjustRightInd w:val="0"/>
        <w:snapToGrid w:val="0"/>
        <w:spacing w:before="0" w:after="0" w:line="600" w:lineRule="exact"/>
        <w:ind w:firstLine="640" w:firstLineChars="200"/>
        <w:rPr>
          <w:rFonts w:ascii="楷体_GB2312" w:eastAsia="楷体_GB2312"/>
          <w:b w:val="0"/>
          <w:bCs w:val="0"/>
          <w:highlight w:val="none"/>
        </w:rPr>
      </w:pPr>
      <w:bookmarkStart w:id="4" w:name="_Toc54348630"/>
      <w:bookmarkStart w:id="5" w:name="_Toc57188360"/>
      <w:r>
        <w:rPr>
          <w:rFonts w:hint="eastAsia" w:ascii="楷体_GB2312" w:eastAsia="楷体_GB2312"/>
          <w:b w:val="0"/>
          <w:bCs w:val="0"/>
          <w:highlight w:val="none"/>
        </w:rPr>
        <w:t>（二）项目绩效目标</w:t>
      </w:r>
      <w:bookmarkEnd w:id="4"/>
      <w:bookmarkEnd w:id="5"/>
    </w:p>
    <w:p>
      <w:pPr>
        <w:pStyle w:val="5"/>
        <w:adjustRightInd w:val="0"/>
        <w:snapToGrid w:val="0"/>
        <w:spacing w:line="600" w:lineRule="exact"/>
        <w:ind w:left="136" w:firstLine="640" w:firstLineChars="200"/>
        <w:jc w:val="both"/>
        <w:rPr>
          <w:rFonts w:ascii="仿宋_GB2312" w:eastAsia="仿宋_GB2312"/>
          <w:highlight w:val="none"/>
        </w:rPr>
      </w:pPr>
      <w:r>
        <w:rPr>
          <w:rFonts w:hint="eastAsia" w:ascii="仿宋_GB2312" w:eastAsia="仿宋_GB2312"/>
          <w:highlight w:val="none"/>
        </w:rPr>
        <w:t>1.总体目标</w:t>
      </w:r>
    </w:p>
    <w:p>
      <w:pPr>
        <w:pStyle w:val="11"/>
        <w:widowControl w:val="0"/>
        <w:adjustRightInd w:val="0"/>
        <w:snapToGrid w:val="0"/>
        <w:spacing w:line="600" w:lineRule="exact"/>
        <w:ind w:firstLine="645"/>
        <w:jc w:val="both"/>
        <w:rPr>
          <w:rFonts w:ascii="仿宋_GB2312" w:eastAsia="仿宋_GB2312"/>
          <w:sz w:val="32"/>
          <w:szCs w:val="32"/>
          <w:highlight w:val="none"/>
        </w:rPr>
      </w:pPr>
      <w:r>
        <w:rPr>
          <w:rFonts w:hint="eastAsia" w:ascii="仿宋_GB2312" w:eastAsia="仿宋_GB2312"/>
          <w:sz w:val="32"/>
          <w:szCs w:val="32"/>
          <w:highlight w:val="none"/>
        </w:rPr>
        <w:t>通过加大环境保护的管理，环境质量得到改善，健全适应铜都环境保护管理体系。</w:t>
      </w:r>
    </w:p>
    <w:p>
      <w:pPr>
        <w:pStyle w:val="5"/>
        <w:adjustRightInd w:val="0"/>
        <w:snapToGrid w:val="0"/>
        <w:spacing w:line="600" w:lineRule="exact"/>
        <w:ind w:left="136" w:firstLine="640" w:firstLineChars="200"/>
        <w:jc w:val="both"/>
        <w:rPr>
          <w:rFonts w:hint="eastAsia" w:ascii="仿宋_GB2312" w:eastAsia="仿宋_GB2312"/>
          <w:highlight w:val="none"/>
        </w:rPr>
      </w:pPr>
      <w:r>
        <w:rPr>
          <w:rFonts w:hint="eastAsia" w:ascii="仿宋_GB2312" w:eastAsia="仿宋_GB2312"/>
          <w:highlight w:val="none"/>
          <w:lang w:val="en-US" w:eastAsia="zh-CN"/>
        </w:rPr>
        <w:t>2.</w:t>
      </w:r>
      <w:r>
        <w:rPr>
          <w:rFonts w:hint="eastAsia" w:ascii="仿宋_GB2312" w:eastAsia="仿宋_GB2312"/>
          <w:highlight w:val="none"/>
        </w:rPr>
        <w:t>年度目标</w:t>
      </w:r>
    </w:p>
    <w:p>
      <w:pPr>
        <w:pStyle w:val="11"/>
        <w:widowControl w:val="0"/>
        <w:adjustRightInd w:val="0"/>
        <w:snapToGrid w:val="0"/>
        <w:spacing w:line="600" w:lineRule="exact"/>
        <w:ind w:firstLine="645"/>
        <w:jc w:val="both"/>
        <w:rPr>
          <w:rFonts w:hint="eastAsia" w:ascii="仿宋_GB2312" w:eastAsia="仿宋_GB2312"/>
          <w:sz w:val="32"/>
          <w:szCs w:val="32"/>
          <w:highlight w:val="none"/>
        </w:rPr>
      </w:pPr>
      <w:r>
        <w:rPr>
          <w:rFonts w:hint="eastAsia" w:ascii="仿宋_GB2312" w:eastAsia="仿宋_GB2312"/>
          <w:sz w:val="32"/>
          <w:szCs w:val="32"/>
          <w:highlight w:val="none"/>
        </w:rPr>
        <w:t>通过安全环保队伍的建设及安全隐患整改，力争年铜都街道不发生安全事故及尽可能减少安全事故，确保全街道安全形势平稳。监管辖区内所有企业，对企业人员进行安全生产培训，培训一支专业的安全环保工作队伍，做好安全生产宣传工作，每年至少搞一次应急演练。</w:t>
      </w:r>
    </w:p>
    <w:p>
      <w:pPr>
        <w:pStyle w:val="2"/>
        <w:keepNext w:val="0"/>
        <w:keepLines w:val="0"/>
        <w:adjustRightInd w:val="0"/>
        <w:snapToGrid w:val="0"/>
        <w:spacing w:before="0" w:after="0" w:line="600" w:lineRule="exact"/>
        <w:ind w:firstLine="640" w:firstLineChars="200"/>
        <w:rPr>
          <w:rFonts w:ascii="黑体" w:hAnsi="黑体" w:eastAsia="黑体"/>
          <w:b w:val="0"/>
          <w:bCs w:val="0"/>
          <w:sz w:val="32"/>
          <w:szCs w:val="32"/>
          <w:highlight w:val="none"/>
        </w:rPr>
      </w:pPr>
      <w:bookmarkStart w:id="6" w:name="_Toc57188361"/>
      <w:bookmarkStart w:id="7" w:name="_Toc54348631"/>
      <w:r>
        <w:rPr>
          <w:rFonts w:hint="eastAsia" w:ascii="黑体" w:hAnsi="黑体" w:eastAsia="黑体"/>
          <w:b w:val="0"/>
          <w:bCs w:val="0"/>
          <w:sz w:val="32"/>
          <w:szCs w:val="32"/>
          <w:highlight w:val="none"/>
        </w:rPr>
        <w:t>二、绩效评价工作开展情况</w:t>
      </w:r>
      <w:bookmarkEnd w:id="6"/>
      <w:bookmarkEnd w:id="7"/>
    </w:p>
    <w:p>
      <w:pPr>
        <w:pStyle w:val="3"/>
        <w:keepNext w:val="0"/>
        <w:keepLines w:val="0"/>
        <w:adjustRightInd w:val="0"/>
        <w:snapToGrid w:val="0"/>
        <w:spacing w:before="0" w:after="0" w:line="600" w:lineRule="exact"/>
        <w:ind w:firstLine="640" w:firstLineChars="200"/>
        <w:rPr>
          <w:rFonts w:ascii="楷体_GB2312" w:eastAsia="楷体_GB2312"/>
          <w:b w:val="0"/>
          <w:bCs w:val="0"/>
          <w:highlight w:val="none"/>
        </w:rPr>
      </w:pPr>
      <w:bookmarkStart w:id="8" w:name="_Toc57188362"/>
      <w:bookmarkStart w:id="9" w:name="_Toc54348632"/>
      <w:r>
        <w:rPr>
          <w:rFonts w:hint="eastAsia" w:ascii="楷体_GB2312" w:eastAsia="楷体_GB2312"/>
          <w:b w:val="0"/>
          <w:bCs w:val="0"/>
          <w:highlight w:val="none"/>
        </w:rPr>
        <w:t>（一）绩效评价目的、对象和范围</w:t>
      </w:r>
      <w:bookmarkEnd w:id="8"/>
      <w:bookmarkEnd w:id="9"/>
    </w:p>
    <w:p>
      <w:pPr>
        <w:pStyle w:val="5"/>
        <w:adjustRightInd w:val="0"/>
        <w:snapToGrid w:val="0"/>
        <w:spacing w:line="600" w:lineRule="exact"/>
        <w:ind w:left="136" w:firstLine="640" w:firstLineChars="200"/>
        <w:jc w:val="both"/>
        <w:rPr>
          <w:rFonts w:ascii="仿宋_GB2312" w:eastAsia="仿宋_GB2312"/>
          <w:highlight w:val="none"/>
        </w:rPr>
      </w:pPr>
      <w:r>
        <w:rPr>
          <w:rFonts w:hint="eastAsia" w:ascii="仿宋_GB2312" w:eastAsia="仿宋_GB2312"/>
          <w:highlight w:val="none"/>
        </w:rPr>
        <w:t>1.评价目的</w:t>
      </w:r>
    </w:p>
    <w:p>
      <w:pPr>
        <w:pStyle w:val="5"/>
        <w:adjustRightInd w:val="0"/>
        <w:snapToGrid w:val="0"/>
        <w:spacing w:line="600" w:lineRule="exact"/>
        <w:ind w:left="136" w:firstLine="640" w:firstLineChars="200"/>
        <w:jc w:val="both"/>
        <w:rPr>
          <w:rFonts w:ascii="仿宋_GB2312" w:eastAsia="仿宋_GB2312"/>
          <w:highlight w:val="none"/>
        </w:rPr>
      </w:pPr>
      <w:r>
        <w:rPr>
          <w:rFonts w:hint="eastAsia" w:ascii="仿宋_GB2312" w:eastAsia="仿宋_GB2312"/>
          <w:highlight w:val="none"/>
        </w:rPr>
        <w:t>全面了解项目管理过程是否规范、产出目标是否完成以及效果目标是否实现等方面，总结经验，查找不足，为项目在以后年度的开展提供可行性参考建议。在此基础上，重点分析项目预算编制的合理性、成本支出的真实性和控制的有效性，评价财政资金的使用效率和效果，为以后年度编制项目预算、选择项目实施主体等提供参考依据。</w:t>
      </w:r>
    </w:p>
    <w:p>
      <w:pPr>
        <w:pStyle w:val="5"/>
        <w:adjustRightInd w:val="0"/>
        <w:snapToGrid w:val="0"/>
        <w:spacing w:line="600" w:lineRule="exact"/>
        <w:ind w:left="136" w:firstLine="640" w:firstLineChars="200"/>
        <w:jc w:val="both"/>
        <w:rPr>
          <w:rFonts w:ascii="仿宋_GB2312" w:eastAsia="仿宋_GB2312"/>
          <w:highlight w:val="none"/>
        </w:rPr>
      </w:pPr>
      <w:r>
        <w:rPr>
          <w:rFonts w:hint="eastAsia" w:ascii="仿宋_GB2312" w:eastAsia="仿宋_GB2312"/>
          <w:highlight w:val="none"/>
        </w:rPr>
        <w:t>2.评价对象和范围</w:t>
      </w:r>
    </w:p>
    <w:p>
      <w:pPr>
        <w:pStyle w:val="5"/>
        <w:adjustRightInd w:val="0"/>
        <w:snapToGrid w:val="0"/>
        <w:spacing w:line="600" w:lineRule="exact"/>
        <w:ind w:left="136" w:firstLine="640" w:firstLineChars="200"/>
        <w:jc w:val="both"/>
        <w:rPr>
          <w:rFonts w:ascii="仿宋_GB2312" w:eastAsia="仿宋_GB2312"/>
          <w:highlight w:val="none"/>
        </w:rPr>
      </w:pPr>
      <w:r>
        <w:rPr>
          <w:rFonts w:hint="eastAsia" w:ascii="仿宋_GB2312" w:eastAsia="仿宋_GB2312"/>
          <w:highlight w:val="none"/>
        </w:rPr>
        <w:t>评价对象和范围为下达</w:t>
      </w:r>
      <w:r>
        <w:rPr>
          <w:rFonts w:hint="eastAsia" w:ascii="仿宋_GB2312" w:eastAsia="仿宋_GB2312"/>
          <w:highlight w:val="none"/>
          <w:lang w:val="en-US"/>
        </w:rPr>
        <w:t>的</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年基层环境保护</w:t>
      </w:r>
      <w:r>
        <w:rPr>
          <w:rFonts w:hint="eastAsia" w:ascii="仿宋_GB2312" w:hAnsi="仿宋_GB2312" w:eastAsia="仿宋_GB2312" w:cs="仿宋_GB2312"/>
          <w:sz w:val="32"/>
          <w:szCs w:val="32"/>
          <w:highlight w:val="none"/>
          <w:lang w:val="en-US" w:eastAsia="zh-CN"/>
        </w:rPr>
        <w:t>专项经费9</w:t>
      </w:r>
      <w:r>
        <w:rPr>
          <w:rFonts w:hint="eastAsia" w:ascii="仿宋_GB2312" w:hAnsi="仿宋_GB2312" w:eastAsia="仿宋_GB2312" w:cs="仿宋_GB2312"/>
          <w:sz w:val="32"/>
          <w:szCs w:val="32"/>
          <w:highlight w:val="none"/>
        </w:rPr>
        <w:t>万元</w:t>
      </w:r>
      <w:r>
        <w:rPr>
          <w:rFonts w:hint="eastAsia" w:ascii="仿宋_GB2312" w:eastAsia="仿宋_GB2312"/>
          <w:highlight w:val="none"/>
        </w:rPr>
        <w:t>的项目决策、过程和产出、效益情况。</w:t>
      </w:r>
    </w:p>
    <w:p>
      <w:pPr>
        <w:pStyle w:val="3"/>
        <w:keepNext w:val="0"/>
        <w:keepLines w:val="0"/>
        <w:adjustRightInd w:val="0"/>
        <w:snapToGrid w:val="0"/>
        <w:spacing w:before="0" w:after="0" w:line="600" w:lineRule="exact"/>
        <w:ind w:firstLine="640" w:firstLineChars="200"/>
        <w:rPr>
          <w:rFonts w:ascii="楷体_GB2312" w:eastAsia="楷体_GB2312"/>
          <w:b w:val="0"/>
          <w:bCs w:val="0"/>
          <w:highlight w:val="none"/>
        </w:rPr>
      </w:pPr>
      <w:bookmarkStart w:id="10" w:name="_Toc54348633"/>
      <w:bookmarkStart w:id="11" w:name="_Toc57188363"/>
      <w:r>
        <w:rPr>
          <w:rFonts w:hint="eastAsia" w:ascii="楷体_GB2312" w:eastAsia="楷体_GB2312"/>
          <w:b w:val="0"/>
          <w:bCs w:val="0"/>
          <w:highlight w:val="none"/>
        </w:rPr>
        <w:t>（二）绩效评价原则、评价指标体系、评价方法和标准</w:t>
      </w:r>
      <w:bookmarkEnd w:id="10"/>
      <w:bookmarkEnd w:id="11"/>
    </w:p>
    <w:p>
      <w:pPr>
        <w:pStyle w:val="5"/>
        <w:adjustRightInd w:val="0"/>
        <w:snapToGrid w:val="0"/>
        <w:spacing w:line="600" w:lineRule="exact"/>
        <w:ind w:left="136" w:firstLine="640" w:firstLineChars="200"/>
        <w:jc w:val="both"/>
        <w:rPr>
          <w:rFonts w:ascii="仿宋_GB2312" w:eastAsia="仿宋_GB2312"/>
          <w:highlight w:val="none"/>
        </w:rPr>
      </w:pPr>
      <w:r>
        <w:rPr>
          <w:rFonts w:hint="eastAsia" w:ascii="仿宋_GB2312" w:eastAsia="仿宋_GB2312"/>
          <w:highlight w:val="none"/>
        </w:rPr>
        <w:t>1.绩效评价原则</w:t>
      </w:r>
    </w:p>
    <w:p>
      <w:pPr>
        <w:pStyle w:val="5"/>
        <w:adjustRightInd w:val="0"/>
        <w:snapToGrid w:val="0"/>
        <w:spacing w:line="600" w:lineRule="exact"/>
        <w:ind w:left="136" w:firstLine="640" w:firstLineChars="200"/>
        <w:jc w:val="both"/>
        <w:rPr>
          <w:rFonts w:ascii="仿宋_GB2312" w:eastAsia="仿宋_GB2312"/>
          <w:highlight w:val="none"/>
        </w:rPr>
      </w:pPr>
      <w:r>
        <w:rPr>
          <w:rFonts w:hint="eastAsia" w:ascii="仿宋_GB2312" w:eastAsia="仿宋_GB2312"/>
          <w:highlight w:val="none"/>
        </w:rPr>
        <w:t>科学公正。绩效评价应当运用科学合理的方法，按照规范的程序，对项目绩效进行客观、公正的反映。</w:t>
      </w:r>
    </w:p>
    <w:p>
      <w:pPr>
        <w:pStyle w:val="5"/>
        <w:adjustRightInd w:val="0"/>
        <w:snapToGrid w:val="0"/>
        <w:spacing w:line="600" w:lineRule="exact"/>
        <w:ind w:left="136" w:firstLine="640" w:firstLineChars="200"/>
        <w:jc w:val="both"/>
        <w:rPr>
          <w:rFonts w:ascii="仿宋_GB2312" w:eastAsia="仿宋_GB2312"/>
          <w:highlight w:val="none"/>
        </w:rPr>
      </w:pPr>
      <w:r>
        <w:rPr>
          <w:rFonts w:hint="eastAsia" w:ascii="仿宋_GB2312" w:eastAsia="仿宋_GB2312"/>
          <w:highlight w:val="none"/>
        </w:rPr>
        <w:t>统筹兼顾。单位自评、部门评价和财政评价应职责明确，各有侧重，相互衔接。</w:t>
      </w:r>
    </w:p>
    <w:p>
      <w:pPr>
        <w:pStyle w:val="5"/>
        <w:adjustRightInd w:val="0"/>
        <w:snapToGrid w:val="0"/>
        <w:spacing w:line="600" w:lineRule="exact"/>
        <w:ind w:left="136" w:firstLine="640" w:firstLineChars="200"/>
        <w:jc w:val="both"/>
        <w:rPr>
          <w:rFonts w:ascii="仿宋_GB2312" w:eastAsia="仿宋_GB2312"/>
          <w:highlight w:val="none"/>
        </w:rPr>
      </w:pPr>
      <w:r>
        <w:rPr>
          <w:rFonts w:hint="eastAsia" w:ascii="仿宋_GB2312" w:eastAsia="仿宋_GB2312"/>
          <w:highlight w:val="none"/>
        </w:rPr>
        <w:t>激励约束。绩效评价结果应与预算安排、政策调整、改进管理实质性挂钩，体现奖优罚劣和激励相容导向，有效要安排、低效要压减、无效要问责。</w:t>
      </w:r>
    </w:p>
    <w:p>
      <w:pPr>
        <w:pStyle w:val="5"/>
        <w:adjustRightInd w:val="0"/>
        <w:snapToGrid w:val="0"/>
        <w:spacing w:line="600" w:lineRule="exact"/>
        <w:ind w:left="136" w:firstLine="640" w:firstLineChars="200"/>
        <w:jc w:val="both"/>
        <w:rPr>
          <w:rFonts w:ascii="仿宋_GB2312" w:eastAsia="仿宋_GB2312"/>
          <w:highlight w:val="none"/>
        </w:rPr>
      </w:pPr>
      <w:r>
        <w:rPr>
          <w:rFonts w:hint="eastAsia" w:ascii="仿宋_GB2312" w:eastAsia="仿宋_GB2312"/>
          <w:highlight w:val="none"/>
        </w:rPr>
        <w:t>公开透明。绩效评价结果应依法依规公开，并自觉接受社会监督。</w:t>
      </w:r>
    </w:p>
    <w:p>
      <w:pPr>
        <w:pStyle w:val="5"/>
        <w:adjustRightInd w:val="0"/>
        <w:snapToGrid w:val="0"/>
        <w:spacing w:line="600" w:lineRule="exact"/>
        <w:ind w:left="136" w:firstLine="640" w:firstLineChars="200"/>
        <w:jc w:val="both"/>
        <w:rPr>
          <w:rFonts w:ascii="仿宋_GB2312" w:eastAsia="仿宋_GB2312"/>
          <w:highlight w:val="none"/>
        </w:rPr>
      </w:pPr>
      <w:r>
        <w:rPr>
          <w:rFonts w:hint="eastAsia" w:ascii="仿宋_GB2312" w:eastAsia="仿宋_GB2312"/>
          <w:highlight w:val="none"/>
        </w:rPr>
        <w:t>2.评价指标体系</w:t>
      </w:r>
    </w:p>
    <w:p>
      <w:pPr>
        <w:pStyle w:val="5"/>
        <w:adjustRightInd w:val="0"/>
        <w:snapToGrid w:val="0"/>
        <w:spacing w:line="600" w:lineRule="exact"/>
        <w:ind w:left="136" w:firstLine="640" w:firstLineChars="200"/>
        <w:jc w:val="both"/>
        <w:rPr>
          <w:rFonts w:ascii="仿宋_GB2312" w:eastAsia="仿宋_GB2312"/>
          <w:highlight w:val="none"/>
        </w:rPr>
      </w:pPr>
      <w:r>
        <w:rPr>
          <w:rFonts w:hint="eastAsia" w:ascii="仿宋_GB2312" w:eastAsia="仿宋_GB2312"/>
          <w:highlight w:val="none"/>
          <w:lang w:val="en-US"/>
        </w:rPr>
        <w:t>绩效评价指标体系共设一级指标</w:t>
      </w:r>
      <w:r>
        <w:rPr>
          <w:rFonts w:hint="eastAsia" w:ascii="仿宋_GB2312" w:eastAsia="仿宋_GB2312"/>
          <w:highlight w:val="none"/>
          <w:lang w:val="en-US" w:eastAsia="zh-CN"/>
        </w:rPr>
        <w:t>3</w:t>
      </w:r>
      <w:r>
        <w:rPr>
          <w:rFonts w:hint="eastAsia" w:ascii="仿宋_GB2312" w:eastAsia="仿宋_GB2312"/>
          <w:highlight w:val="none"/>
          <w:lang w:val="en-US"/>
        </w:rPr>
        <w:t>个，分别为项目决策（20%）、项目</w:t>
      </w:r>
      <w:r>
        <w:rPr>
          <w:rFonts w:hint="eastAsia" w:ascii="仿宋_GB2312" w:eastAsia="仿宋_GB2312"/>
          <w:highlight w:val="none"/>
          <w:lang w:val="en-US" w:eastAsia="zh-CN"/>
        </w:rPr>
        <w:t>管理</w:t>
      </w:r>
      <w:r>
        <w:rPr>
          <w:rFonts w:hint="eastAsia" w:ascii="仿宋_GB2312" w:eastAsia="仿宋_GB2312"/>
          <w:highlight w:val="none"/>
          <w:lang w:val="en-US"/>
        </w:rPr>
        <w:t>（20%）、项目</w:t>
      </w:r>
      <w:r>
        <w:rPr>
          <w:rFonts w:hint="eastAsia" w:ascii="仿宋_GB2312" w:eastAsia="仿宋_GB2312"/>
          <w:highlight w:val="none"/>
          <w:lang w:val="en-US" w:eastAsia="zh-CN"/>
        </w:rPr>
        <w:t>绩效</w:t>
      </w:r>
      <w:r>
        <w:rPr>
          <w:rFonts w:hint="eastAsia" w:ascii="仿宋_GB2312" w:eastAsia="仿宋_GB2312"/>
          <w:highlight w:val="none"/>
          <w:lang w:val="en-US"/>
        </w:rPr>
        <w:t>（</w:t>
      </w:r>
      <w:r>
        <w:rPr>
          <w:rFonts w:hint="eastAsia" w:ascii="仿宋_GB2312" w:eastAsia="仿宋_GB2312"/>
          <w:highlight w:val="none"/>
          <w:lang w:val="en-US" w:eastAsia="zh-CN"/>
        </w:rPr>
        <w:t>6</w:t>
      </w:r>
      <w:r>
        <w:rPr>
          <w:rFonts w:hint="eastAsia" w:ascii="仿宋_GB2312" w:eastAsia="仿宋_GB2312"/>
          <w:highlight w:val="none"/>
          <w:lang w:val="en-US"/>
        </w:rPr>
        <w:t>0%）</w:t>
      </w:r>
      <w:r>
        <w:rPr>
          <w:rFonts w:hint="eastAsia" w:ascii="仿宋_GB2312" w:eastAsia="仿宋_GB2312"/>
          <w:highlight w:val="none"/>
          <w:lang w:val="en-US" w:eastAsia="zh-CN"/>
        </w:rPr>
        <w:t>，</w:t>
      </w:r>
      <w:r>
        <w:rPr>
          <w:rFonts w:hint="eastAsia" w:ascii="仿宋_GB2312" w:eastAsia="仿宋_GB2312"/>
          <w:highlight w:val="none"/>
          <w:lang w:val="en-US"/>
        </w:rPr>
        <w:t>其中：项目决策设项目立项（</w:t>
      </w:r>
      <w:r>
        <w:rPr>
          <w:rFonts w:hint="eastAsia" w:ascii="仿宋_GB2312" w:eastAsia="仿宋_GB2312"/>
          <w:highlight w:val="none"/>
          <w:lang w:val="en-US" w:eastAsia="zh-CN"/>
        </w:rPr>
        <w:t>8</w:t>
      </w:r>
      <w:r>
        <w:rPr>
          <w:rFonts w:hint="eastAsia" w:ascii="仿宋_GB2312" w:eastAsia="仿宋_GB2312"/>
          <w:highlight w:val="none"/>
          <w:lang w:val="en-US"/>
        </w:rPr>
        <w:t>%）、</w:t>
      </w:r>
      <w:r>
        <w:rPr>
          <w:rFonts w:hint="eastAsia" w:ascii="仿宋_GB2312" w:eastAsia="仿宋_GB2312"/>
          <w:highlight w:val="none"/>
          <w:lang w:val="en-US" w:eastAsia="zh-CN"/>
        </w:rPr>
        <w:t>项目</w:t>
      </w:r>
      <w:r>
        <w:rPr>
          <w:rFonts w:hint="eastAsia" w:ascii="仿宋_GB2312" w:eastAsia="仿宋_GB2312"/>
          <w:highlight w:val="none"/>
          <w:lang w:val="en-US"/>
        </w:rPr>
        <w:t>目标（</w:t>
      </w:r>
      <w:r>
        <w:rPr>
          <w:rFonts w:hint="eastAsia" w:ascii="仿宋_GB2312" w:eastAsia="仿宋_GB2312"/>
          <w:highlight w:val="none"/>
          <w:lang w:val="en-US" w:eastAsia="zh-CN"/>
        </w:rPr>
        <w:t>12</w:t>
      </w:r>
      <w:r>
        <w:rPr>
          <w:rFonts w:hint="eastAsia" w:ascii="仿宋_GB2312" w:eastAsia="仿宋_GB2312"/>
          <w:highlight w:val="none"/>
          <w:lang w:val="en-US"/>
        </w:rPr>
        <w:t>%）二级指标</w:t>
      </w:r>
      <w:r>
        <w:rPr>
          <w:rFonts w:hint="eastAsia" w:ascii="仿宋_GB2312" w:eastAsia="仿宋_GB2312"/>
          <w:highlight w:val="none"/>
          <w:lang w:val="en-US" w:eastAsia="zh-CN"/>
        </w:rPr>
        <w:t>2</w:t>
      </w:r>
      <w:r>
        <w:rPr>
          <w:rFonts w:hint="eastAsia" w:ascii="仿宋_GB2312" w:eastAsia="仿宋_GB2312"/>
          <w:highlight w:val="none"/>
          <w:lang w:val="en-US"/>
        </w:rPr>
        <w:t>个；项目</w:t>
      </w:r>
      <w:r>
        <w:rPr>
          <w:rFonts w:hint="eastAsia" w:ascii="仿宋_GB2312" w:eastAsia="仿宋_GB2312"/>
          <w:highlight w:val="none"/>
          <w:lang w:val="en-US" w:eastAsia="zh-CN"/>
        </w:rPr>
        <w:t>管理</w:t>
      </w:r>
      <w:r>
        <w:rPr>
          <w:rFonts w:hint="eastAsia" w:ascii="仿宋_GB2312" w:eastAsia="仿宋_GB2312"/>
          <w:highlight w:val="none"/>
          <w:lang w:val="en-US"/>
        </w:rPr>
        <w:t>设</w:t>
      </w:r>
      <w:r>
        <w:rPr>
          <w:rFonts w:hint="eastAsia" w:ascii="仿宋_GB2312" w:eastAsia="仿宋_GB2312"/>
          <w:highlight w:val="none"/>
          <w:lang w:val="en-US" w:eastAsia="zh-CN"/>
        </w:rPr>
        <w:t>投入</w:t>
      </w:r>
      <w:r>
        <w:rPr>
          <w:rFonts w:hint="eastAsia" w:ascii="仿宋_GB2312" w:eastAsia="仿宋_GB2312"/>
          <w:highlight w:val="none"/>
          <w:lang w:val="en-US"/>
        </w:rPr>
        <w:t>管理（</w:t>
      </w:r>
      <w:r>
        <w:rPr>
          <w:rFonts w:hint="eastAsia" w:ascii="仿宋_GB2312" w:eastAsia="仿宋_GB2312"/>
          <w:highlight w:val="none"/>
          <w:lang w:val="en-US" w:eastAsia="zh-CN"/>
        </w:rPr>
        <w:t>4</w:t>
      </w:r>
      <w:r>
        <w:rPr>
          <w:rFonts w:hint="eastAsia" w:ascii="仿宋_GB2312" w:eastAsia="仿宋_GB2312"/>
          <w:highlight w:val="none"/>
          <w:lang w:val="en-US"/>
        </w:rPr>
        <w:t>%）、财务管理（6%）</w:t>
      </w:r>
      <w:r>
        <w:rPr>
          <w:rFonts w:hint="eastAsia" w:ascii="仿宋_GB2312" w:eastAsia="仿宋_GB2312"/>
          <w:highlight w:val="none"/>
          <w:lang w:val="en-US" w:eastAsia="zh-CN"/>
        </w:rPr>
        <w:t>、项目实施（10%）</w:t>
      </w:r>
      <w:r>
        <w:rPr>
          <w:rFonts w:hint="eastAsia" w:ascii="仿宋_GB2312" w:eastAsia="仿宋_GB2312"/>
          <w:highlight w:val="none"/>
          <w:lang w:val="en-US"/>
        </w:rPr>
        <w:t>二级指标</w:t>
      </w:r>
      <w:r>
        <w:rPr>
          <w:rFonts w:hint="eastAsia" w:ascii="仿宋_GB2312" w:eastAsia="仿宋_GB2312"/>
          <w:highlight w:val="none"/>
          <w:lang w:val="en-US" w:eastAsia="zh-CN"/>
        </w:rPr>
        <w:t>3</w:t>
      </w:r>
      <w:r>
        <w:rPr>
          <w:rFonts w:hint="eastAsia" w:ascii="仿宋_GB2312" w:eastAsia="仿宋_GB2312"/>
          <w:highlight w:val="none"/>
          <w:lang w:val="en-US"/>
        </w:rPr>
        <w:t>个；项目</w:t>
      </w:r>
      <w:r>
        <w:rPr>
          <w:rFonts w:hint="eastAsia" w:ascii="仿宋_GB2312" w:eastAsia="仿宋_GB2312"/>
          <w:highlight w:val="none"/>
          <w:lang w:val="en-US" w:eastAsia="zh-CN"/>
        </w:rPr>
        <w:t>绩效</w:t>
      </w:r>
      <w:r>
        <w:rPr>
          <w:rFonts w:hint="eastAsia" w:ascii="仿宋_GB2312" w:eastAsia="仿宋_GB2312"/>
          <w:highlight w:val="none"/>
          <w:lang w:val="en-US"/>
        </w:rPr>
        <w:t>设项目产出（30%）、.项目效益（30%）</w:t>
      </w:r>
      <w:r>
        <w:rPr>
          <w:rFonts w:hint="eastAsia" w:ascii="仿宋_GB2312" w:eastAsia="仿宋_GB2312"/>
          <w:highlight w:val="none"/>
          <w:lang w:val="en-US" w:eastAsia="zh-CN"/>
        </w:rPr>
        <w:t>、</w:t>
      </w:r>
      <w:r>
        <w:rPr>
          <w:rFonts w:hint="eastAsia" w:ascii="仿宋_GB2312" w:eastAsia="仿宋_GB2312"/>
          <w:highlight w:val="none"/>
          <w:lang w:val="en-US"/>
        </w:rPr>
        <w:t>二级指标</w:t>
      </w:r>
      <w:r>
        <w:rPr>
          <w:rFonts w:hint="eastAsia" w:ascii="仿宋_GB2312" w:eastAsia="仿宋_GB2312"/>
          <w:highlight w:val="none"/>
          <w:lang w:val="en-US" w:eastAsia="zh-CN"/>
        </w:rPr>
        <w:t>2</w:t>
      </w:r>
      <w:r>
        <w:rPr>
          <w:rFonts w:hint="eastAsia" w:ascii="仿宋_GB2312" w:eastAsia="仿宋_GB2312"/>
          <w:highlight w:val="none"/>
          <w:lang w:val="en-US"/>
        </w:rPr>
        <w:t>个。二级指标根据项目具体情况细化为</w:t>
      </w:r>
      <w:r>
        <w:rPr>
          <w:rFonts w:hint="eastAsia" w:ascii="仿宋_GB2312" w:eastAsia="仿宋_GB2312"/>
          <w:highlight w:val="none"/>
        </w:rPr>
        <w:t>三级指标</w:t>
      </w:r>
      <w:r>
        <w:rPr>
          <w:rFonts w:hint="eastAsia" w:ascii="仿宋_GB2312" w:eastAsia="仿宋_GB2312"/>
          <w:highlight w:val="none"/>
          <w:lang w:val="en-US" w:eastAsia="zh-CN"/>
        </w:rPr>
        <w:t>23</w:t>
      </w:r>
      <w:r>
        <w:rPr>
          <w:rFonts w:hint="eastAsia" w:ascii="仿宋_GB2312" w:eastAsia="仿宋_GB2312"/>
          <w:highlight w:val="none"/>
        </w:rPr>
        <w:t>个、四级指标3</w:t>
      </w:r>
      <w:r>
        <w:rPr>
          <w:rFonts w:hint="eastAsia" w:ascii="仿宋_GB2312" w:eastAsia="仿宋_GB2312"/>
          <w:highlight w:val="none"/>
          <w:lang w:val="en-US" w:eastAsia="zh-CN"/>
        </w:rPr>
        <w:t>4</w:t>
      </w:r>
      <w:r>
        <w:rPr>
          <w:rFonts w:hint="eastAsia" w:ascii="仿宋_GB2312" w:eastAsia="仿宋_GB2312"/>
          <w:highlight w:val="none"/>
        </w:rPr>
        <w:t>个。</w:t>
      </w:r>
    </w:p>
    <w:p>
      <w:pPr>
        <w:pStyle w:val="5"/>
        <w:adjustRightInd w:val="0"/>
        <w:snapToGrid w:val="0"/>
        <w:spacing w:line="600" w:lineRule="exact"/>
        <w:ind w:left="136" w:firstLine="640" w:firstLineChars="200"/>
        <w:jc w:val="both"/>
        <w:rPr>
          <w:rFonts w:ascii="仿宋_GB2312" w:eastAsia="仿宋_GB2312"/>
          <w:highlight w:val="none"/>
          <w:lang w:val="en-US"/>
        </w:rPr>
      </w:pPr>
      <w:r>
        <w:rPr>
          <w:rFonts w:hint="eastAsia" w:ascii="仿宋_GB2312" w:eastAsia="仿宋_GB2312"/>
          <w:highlight w:val="none"/>
          <w:lang w:val="en-US"/>
        </w:rPr>
        <w:t>3.评价方法</w:t>
      </w:r>
    </w:p>
    <w:p>
      <w:pPr>
        <w:pStyle w:val="5"/>
        <w:adjustRightInd w:val="0"/>
        <w:snapToGrid w:val="0"/>
        <w:spacing w:line="600" w:lineRule="exact"/>
        <w:ind w:left="136" w:firstLine="640" w:firstLineChars="200"/>
        <w:jc w:val="both"/>
        <w:rPr>
          <w:rFonts w:ascii="仿宋_GB2312" w:eastAsia="仿宋_GB2312"/>
          <w:highlight w:val="none"/>
          <w:lang w:val="en-US"/>
        </w:rPr>
      </w:pPr>
      <w:r>
        <w:rPr>
          <w:rFonts w:hint="eastAsia" w:ascii="仿宋_GB2312" w:eastAsia="仿宋_GB2312"/>
          <w:highlight w:val="none"/>
          <w:lang w:val="en-US"/>
        </w:rPr>
        <w:t>根据《昆明市东川区财政局关于开展东川区2020年度绩效自评工作的通知》（东财绩〔2021〕4号）文件要求，采用成本效益分析法、比较法、公众评判法相结合，对项目的决策、过程、产出、效益进行评价。</w:t>
      </w:r>
    </w:p>
    <w:p>
      <w:pPr>
        <w:pStyle w:val="5"/>
        <w:adjustRightInd w:val="0"/>
        <w:snapToGrid w:val="0"/>
        <w:spacing w:line="600" w:lineRule="exact"/>
        <w:ind w:left="136" w:firstLine="640" w:firstLineChars="200"/>
        <w:jc w:val="both"/>
        <w:rPr>
          <w:rFonts w:ascii="仿宋_GB2312" w:eastAsia="仿宋_GB2312"/>
          <w:highlight w:val="none"/>
          <w:lang w:val="en-US"/>
        </w:rPr>
      </w:pPr>
      <w:r>
        <w:rPr>
          <w:rFonts w:hint="eastAsia" w:ascii="仿宋_GB2312" w:eastAsia="仿宋_GB2312"/>
          <w:highlight w:val="none"/>
          <w:lang w:val="en-US"/>
        </w:rPr>
        <w:t>4.评价标准</w:t>
      </w:r>
    </w:p>
    <w:p>
      <w:pPr>
        <w:pStyle w:val="5"/>
        <w:adjustRightInd w:val="0"/>
        <w:snapToGrid w:val="0"/>
        <w:spacing w:line="600" w:lineRule="exact"/>
        <w:ind w:left="136" w:firstLine="640" w:firstLineChars="200"/>
        <w:jc w:val="both"/>
        <w:rPr>
          <w:rFonts w:ascii="仿宋_GB2312" w:eastAsia="仿宋_GB2312"/>
          <w:highlight w:val="none"/>
          <w:lang w:val="en-US"/>
        </w:rPr>
      </w:pPr>
      <w:r>
        <w:rPr>
          <w:rFonts w:hint="eastAsia" w:ascii="仿宋_GB2312" w:eastAsia="仿宋_GB2312"/>
          <w:highlight w:val="none"/>
          <w:lang w:val="en-US"/>
        </w:rPr>
        <w:t>评价标准使用计划标准，即以预先制定的目标、计划、预算、定额等进行评判。</w:t>
      </w:r>
    </w:p>
    <w:p>
      <w:pPr>
        <w:pStyle w:val="3"/>
        <w:keepNext w:val="0"/>
        <w:keepLines w:val="0"/>
        <w:adjustRightInd w:val="0"/>
        <w:snapToGrid w:val="0"/>
        <w:spacing w:before="0" w:after="0" w:line="600" w:lineRule="exact"/>
        <w:ind w:firstLine="640" w:firstLineChars="200"/>
        <w:rPr>
          <w:rFonts w:ascii="楷体_GB2312" w:eastAsia="楷体_GB2312"/>
          <w:b w:val="0"/>
          <w:bCs w:val="0"/>
          <w:highlight w:val="none"/>
        </w:rPr>
      </w:pPr>
      <w:bookmarkStart w:id="12" w:name="_Toc54348634"/>
      <w:bookmarkStart w:id="13" w:name="_Toc57188364"/>
      <w:r>
        <w:rPr>
          <w:rFonts w:hint="eastAsia" w:ascii="楷体_GB2312" w:eastAsia="楷体_GB2312"/>
          <w:b w:val="0"/>
          <w:bCs w:val="0"/>
          <w:highlight w:val="none"/>
        </w:rPr>
        <w:t>（三）绩效评价工作过程</w:t>
      </w:r>
      <w:bookmarkEnd w:id="12"/>
      <w:bookmarkEnd w:id="13"/>
    </w:p>
    <w:p>
      <w:pPr>
        <w:pStyle w:val="5"/>
        <w:adjustRightInd w:val="0"/>
        <w:snapToGrid w:val="0"/>
        <w:spacing w:line="600" w:lineRule="exact"/>
        <w:ind w:left="136" w:firstLine="640" w:firstLineChars="200"/>
        <w:jc w:val="both"/>
        <w:rPr>
          <w:rFonts w:ascii="仿宋_GB2312" w:eastAsia="仿宋_GB2312"/>
          <w:highlight w:val="none"/>
          <w:lang w:val="en-US"/>
        </w:rPr>
      </w:pPr>
      <w:r>
        <w:rPr>
          <w:rFonts w:hint="eastAsia" w:ascii="仿宋_GB2312" w:eastAsia="仿宋_GB2312"/>
          <w:highlight w:val="none"/>
          <w:lang w:val="en-US"/>
        </w:rPr>
        <w:t>1.前期调研及政策研究</w:t>
      </w:r>
    </w:p>
    <w:p>
      <w:pPr>
        <w:pStyle w:val="5"/>
        <w:adjustRightInd w:val="0"/>
        <w:snapToGrid w:val="0"/>
        <w:spacing w:line="600" w:lineRule="exact"/>
        <w:ind w:left="136" w:firstLine="640" w:firstLineChars="200"/>
        <w:jc w:val="both"/>
        <w:rPr>
          <w:rFonts w:ascii="仿宋_GB2312" w:eastAsia="仿宋_GB2312"/>
          <w:highlight w:val="none"/>
        </w:rPr>
      </w:pPr>
      <w:r>
        <w:rPr>
          <w:rFonts w:hint="eastAsia" w:ascii="仿宋_GB2312" w:eastAsia="仿宋_GB2312"/>
          <w:highlight w:val="none"/>
          <w:lang w:val="en-US" w:eastAsia="zh-CN"/>
        </w:rPr>
        <w:t>铜都街道办事处</w:t>
      </w:r>
      <w:r>
        <w:rPr>
          <w:rFonts w:hint="eastAsia" w:ascii="仿宋_GB2312" w:eastAsia="仿宋_GB2312"/>
          <w:highlight w:val="none"/>
        </w:rPr>
        <w:t>成立绩效评价工作小组（以下简称“绩效评价工作小组”），根据《中华人民共和国预算法》、《财政部关于印发项目支出绩效评价管理办法的通知》（财预〔2020〕10号）、《昆明市本级部门预算绩效自评管理暂行办法》（昆财绩〔2018〕60号）、《昆明市东川区财政局关于开展东川区2020年度绩效自评工作的通知》（东财绩〔2021〕4号）等相关规定，查看部门年度工作任务目标及中长期规划、工作总结、项目实施方案、资金及业务管理制度文件、绩效目标申报表，研究项目政策文件，进行分析整理，为绩效评价工作奠定基础。</w:t>
      </w:r>
    </w:p>
    <w:p>
      <w:pPr>
        <w:pStyle w:val="5"/>
        <w:adjustRightInd w:val="0"/>
        <w:snapToGrid w:val="0"/>
        <w:spacing w:line="600" w:lineRule="exact"/>
        <w:ind w:left="136" w:firstLine="640" w:firstLineChars="200"/>
        <w:jc w:val="both"/>
        <w:rPr>
          <w:rFonts w:ascii="仿宋_GB2312" w:eastAsia="仿宋_GB2312"/>
          <w:highlight w:val="none"/>
          <w:lang w:val="en-US"/>
        </w:rPr>
      </w:pPr>
      <w:r>
        <w:rPr>
          <w:rFonts w:hint="eastAsia" w:ascii="仿宋_GB2312" w:eastAsia="仿宋_GB2312"/>
          <w:highlight w:val="none"/>
          <w:lang w:val="en-US"/>
        </w:rPr>
        <w:t>2.制定绩效评价工作方案</w:t>
      </w:r>
    </w:p>
    <w:p>
      <w:pPr>
        <w:pStyle w:val="5"/>
        <w:adjustRightInd w:val="0"/>
        <w:snapToGrid w:val="0"/>
        <w:spacing w:line="600" w:lineRule="exact"/>
        <w:ind w:left="136" w:firstLine="640" w:firstLineChars="200"/>
        <w:jc w:val="both"/>
        <w:rPr>
          <w:rFonts w:ascii="仿宋_GB2312" w:eastAsia="仿宋_GB2312"/>
          <w:highlight w:val="none"/>
        </w:rPr>
      </w:pPr>
      <w:r>
        <w:rPr>
          <w:rFonts w:hint="eastAsia" w:ascii="仿宋_GB2312" w:eastAsia="仿宋_GB2312"/>
          <w:highlight w:val="none"/>
        </w:rPr>
        <w:t>为进一步规范财政资金管理，强化财政支出绩效理念，加强部门责任意识，及时总结经验，分析存在问题及原因，采取切实措施进一步改进和加强财政专项资金管理，不断提高财政专项资金管理水平和使用效益。绩效评价工作小组对本次项目资金使用的绩效评价工作进行了组织和布置，收集整理、审查核实，汇总分析项目资金使用绩效评价基础信息和其他资料。组织召开绩效评价会议，确定绩效评价重点，选取适合的绩效评价方式，客观、公正地对所有自评材料进行评审，并对出具的绩效评价报告的客观性、真实性负责。制定绩效评价指标体系，明确绩效评价标准和评分标准，核查落实项目指标完成情况，对社会公众进行满意度调查，对产生的社会效益进行调研分析，编制基础数据表，对成本效益进行分析，最终得出绩效得分，并形成绩效评价报告。</w:t>
      </w:r>
    </w:p>
    <w:p>
      <w:pPr>
        <w:pStyle w:val="4"/>
        <w:adjustRightInd w:val="0"/>
        <w:snapToGrid w:val="0"/>
        <w:spacing w:line="600" w:lineRule="exact"/>
        <w:ind w:firstLine="640" w:firstLineChars="200"/>
        <w:jc w:val="both"/>
        <w:rPr>
          <w:rFonts w:ascii="仿宋_GB2312" w:hAnsi="仿宋" w:eastAsia="仿宋_GB2312" w:cs="仿宋"/>
          <w:kern w:val="0"/>
          <w:sz w:val="32"/>
          <w:szCs w:val="32"/>
          <w:highlight w:val="none"/>
          <w:lang w:bidi="zh-CN"/>
        </w:rPr>
      </w:pPr>
      <w:r>
        <w:rPr>
          <w:rFonts w:hint="eastAsia" w:ascii="仿宋_GB2312" w:hAnsi="仿宋" w:eastAsia="仿宋_GB2312" w:cs="仿宋"/>
          <w:kern w:val="0"/>
          <w:sz w:val="32"/>
          <w:szCs w:val="32"/>
          <w:highlight w:val="none"/>
          <w:lang w:bidi="zh-CN"/>
        </w:rPr>
        <w:t>3.现场抽查及社会调查、效益访谈</w:t>
      </w:r>
    </w:p>
    <w:p>
      <w:pPr>
        <w:pStyle w:val="4"/>
        <w:adjustRightInd w:val="0"/>
        <w:snapToGrid w:val="0"/>
        <w:spacing w:line="600" w:lineRule="exact"/>
        <w:ind w:firstLine="640" w:firstLineChars="200"/>
        <w:jc w:val="both"/>
        <w:rPr>
          <w:rFonts w:ascii="仿宋_GB2312" w:hAnsi="仿宋" w:eastAsia="仿宋_GB2312" w:cs="仿宋"/>
          <w:kern w:val="0"/>
          <w:sz w:val="32"/>
          <w:szCs w:val="32"/>
          <w:highlight w:val="none"/>
          <w:lang w:bidi="zh-CN"/>
        </w:rPr>
      </w:pPr>
      <w:r>
        <w:rPr>
          <w:rFonts w:hint="eastAsia" w:ascii="仿宋_GB2312" w:hAnsi="仿宋" w:eastAsia="仿宋_GB2312" w:cs="仿宋"/>
          <w:kern w:val="0"/>
          <w:sz w:val="32"/>
          <w:szCs w:val="32"/>
          <w:highlight w:val="none"/>
          <w:lang w:bidi="zh-CN"/>
        </w:rPr>
        <w:t>现场抽查。</w:t>
      </w:r>
      <w:r>
        <w:rPr>
          <w:rFonts w:hint="eastAsia" w:ascii="仿宋_GB2312" w:hAnsi="仿宋" w:eastAsia="仿宋_GB2312" w:cs="仿宋"/>
          <w:kern w:val="0"/>
          <w:sz w:val="32"/>
          <w:szCs w:val="32"/>
          <w:highlight w:val="none"/>
          <w:lang w:val="zh-CN" w:bidi="zh-CN"/>
        </w:rPr>
        <w:t>绩效评价工作小组按照抽查面不低于30%的</w:t>
      </w:r>
      <w:r>
        <w:rPr>
          <w:rFonts w:hint="eastAsia" w:ascii="仿宋_GB2312" w:hAnsi="仿宋" w:eastAsia="仿宋_GB2312" w:cs="仿宋"/>
          <w:kern w:val="0"/>
          <w:sz w:val="32"/>
          <w:szCs w:val="32"/>
          <w:highlight w:val="none"/>
          <w:lang w:val="zh-CN" w:bidi="zh-CN"/>
        </w:rPr>
        <w:t>要求，于202</w:t>
      </w:r>
      <w:r>
        <w:rPr>
          <w:rFonts w:hint="eastAsia" w:ascii="仿宋_GB2312" w:hAnsi="仿宋" w:eastAsia="仿宋_GB2312" w:cs="仿宋"/>
          <w:kern w:val="0"/>
          <w:sz w:val="32"/>
          <w:szCs w:val="32"/>
          <w:highlight w:val="none"/>
          <w:lang w:val="en-US" w:bidi="zh-CN"/>
        </w:rPr>
        <w:t>1</w:t>
      </w:r>
      <w:r>
        <w:rPr>
          <w:rFonts w:hint="eastAsia" w:ascii="仿宋_GB2312" w:hAnsi="仿宋" w:eastAsia="仿宋_GB2312" w:cs="仿宋"/>
          <w:kern w:val="0"/>
          <w:sz w:val="32"/>
          <w:szCs w:val="32"/>
          <w:highlight w:val="none"/>
          <w:lang w:val="zh-CN" w:bidi="zh-CN"/>
        </w:rPr>
        <w:t>年</w:t>
      </w:r>
      <w:r>
        <w:rPr>
          <w:rFonts w:hint="eastAsia" w:ascii="仿宋_GB2312" w:hAnsi="仿宋" w:eastAsia="仿宋_GB2312" w:cs="仿宋"/>
          <w:kern w:val="0"/>
          <w:sz w:val="32"/>
          <w:szCs w:val="32"/>
          <w:highlight w:val="none"/>
          <w:lang w:val="en-US" w:bidi="zh-CN"/>
        </w:rPr>
        <w:t>4</w:t>
      </w:r>
      <w:r>
        <w:rPr>
          <w:rFonts w:hint="eastAsia" w:ascii="仿宋_GB2312" w:hAnsi="仿宋" w:eastAsia="仿宋_GB2312" w:cs="仿宋"/>
          <w:kern w:val="0"/>
          <w:sz w:val="32"/>
          <w:szCs w:val="32"/>
          <w:highlight w:val="none"/>
          <w:lang w:val="zh-CN" w:bidi="zh-CN"/>
        </w:rPr>
        <w:t>月</w:t>
      </w:r>
      <w:r>
        <w:rPr>
          <w:rFonts w:hint="eastAsia" w:ascii="仿宋_GB2312" w:hAnsi="仿宋" w:eastAsia="仿宋_GB2312" w:cs="仿宋"/>
          <w:kern w:val="0"/>
          <w:sz w:val="32"/>
          <w:szCs w:val="32"/>
          <w:highlight w:val="none"/>
          <w:lang w:val="en-US" w:bidi="zh-CN"/>
        </w:rPr>
        <w:t>25</w:t>
      </w:r>
      <w:r>
        <w:rPr>
          <w:rFonts w:hint="eastAsia" w:ascii="仿宋_GB2312" w:hAnsi="仿宋" w:eastAsia="仿宋_GB2312" w:cs="仿宋"/>
          <w:kern w:val="0"/>
          <w:sz w:val="32"/>
          <w:szCs w:val="32"/>
          <w:highlight w:val="none"/>
          <w:lang w:bidi="zh-CN"/>
        </w:rPr>
        <w:t>日对</w:t>
      </w:r>
      <w:r>
        <w:rPr>
          <w:rFonts w:hint="eastAsia" w:ascii="仿宋_GB2312" w:hAnsi="仿宋" w:eastAsia="仿宋_GB2312" w:cs="仿宋"/>
          <w:kern w:val="0"/>
          <w:sz w:val="32"/>
          <w:szCs w:val="32"/>
          <w:highlight w:val="none"/>
          <w:lang w:val="en-US" w:bidi="zh-CN"/>
        </w:rPr>
        <w:t>安全环保</w:t>
      </w:r>
      <w:r>
        <w:rPr>
          <w:rFonts w:hint="eastAsia" w:ascii="仿宋_GB2312" w:hAnsi="仿宋" w:eastAsia="仿宋_GB2312" w:cs="仿宋"/>
          <w:kern w:val="0"/>
          <w:sz w:val="32"/>
          <w:szCs w:val="32"/>
          <w:highlight w:val="none"/>
          <w:lang w:bidi="zh-CN"/>
        </w:rPr>
        <w:t>实地考察，查看了</w:t>
      </w:r>
      <w:r>
        <w:rPr>
          <w:rFonts w:hint="eastAsia" w:ascii="仿宋_GB2312" w:hAnsi="仿宋" w:eastAsia="仿宋_GB2312" w:cs="仿宋"/>
          <w:kern w:val="0"/>
          <w:sz w:val="32"/>
          <w:szCs w:val="32"/>
          <w:highlight w:val="none"/>
          <w:lang w:val="en-US" w:bidi="zh-CN"/>
        </w:rPr>
        <w:t>安环中心相关工作记录</w:t>
      </w:r>
      <w:r>
        <w:rPr>
          <w:rFonts w:hint="eastAsia" w:ascii="仿宋_GB2312" w:hAnsi="仿宋" w:eastAsia="仿宋_GB2312" w:cs="仿宋"/>
          <w:kern w:val="0"/>
          <w:sz w:val="32"/>
          <w:szCs w:val="32"/>
          <w:highlight w:val="none"/>
          <w:lang w:bidi="zh-CN"/>
        </w:rPr>
        <w:t>。</w:t>
      </w:r>
    </w:p>
    <w:p>
      <w:pPr>
        <w:pStyle w:val="5"/>
        <w:adjustRightInd w:val="0"/>
        <w:snapToGrid w:val="0"/>
        <w:spacing w:line="600" w:lineRule="exact"/>
        <w:ind w:left="136" w:firstLine="640" w:firstLineChars="200"/>
        <w:jc w:val="both"/>
        <w:rPr>
          <w:rFonts w:ascii="仿宋_GB2312" w:eastAsia="仿宋_GB2312"/>
          <w:highlight w:val="none"/>
          <w:lang w:val="en-US"/>
        </w:rPr>
      </w:pPr>
      <w:r>
        <w:rPr>
          <w:rFonts w:hint="eastAsia" w:ascii="仿宋_GB2312" w:eastAsia="仿宋_GB2312"/>
          <w:highlight w:val="none"/>
        </w:rPr>
        <w:t>社会调查。</w:t>
      </w:r>
      <w:r>
        <w:rPr>
          <w:rFonts w:hint="eastAsia" w:ascii="仿宋_GB2312" w:eastAsia="仿宋_GB2312"/>
          <w:highlight w:val="none"/>
          <w:lang w:val="en-US"/>
        </w:rPr>
        <w:t>绩效评价工作小组根据</w:t>
      </w:r>
      <w:r>
        <w:rPr>
          <w:rFonts w:hint="eastAsia" w:ascii="仿宋_GB2312" w:eastAsia="仿宋_GB2312"/>
          <w:highlight w:val="none"/>
          <w:lang w:val="en-US" w:eastAsia="zh-CN"/>
        </w:rPr>
        <w:t>安全环保项目</w:t>
      </w:r>
      <w:r>
        <w:rPr>
          <w:rFonts w:hint="eastAsia" w:ascii="仿宋_GB2312" w:eastAsia="仿宋_GB2312"/>
          <w:highlight w:val="none"/>
          <w:lang w:val="en-US"/>
        </w:rPr>
        <w:t>特点</w:t>
      </w:r>
      <w:r>
        <w:rPr>
          <w:rFonts w:hint="eastAsia" w:ascii="仿宋_GB2312" w:eastAsia="仿宋_GB2312"/>
          <w:highlight w:val="none"/>
        </w:rPr>
        <w:t>，</w:t>
      </w:r>
      <w:r>
        <w:rPr>
          <w:rFonts w:hint="eastAsia" w:ascii="仿宋_GB2312" w:eastAsia="仿宋_GB2312"/>
          <w:highlight w:val="none"/>
          <w:lang w:val="en-US"/>
        </w:rPr>
        <w:t>设计了相关的调查问卷，并面向受益对象及社会公众发放50份问卷进行满意度调查，并对调查结果进行统计分析，形成满意度评价结果；并根据项目完成情况，结合项目实施方案制定的效益绩效目标，进行对比，得出项目效益评价结果。</w:t>
      </w:r>
    </w:p>
    <w:p>
      <w:pPr>
        <w:pStyle w:val="5"/>
        <w:adjustRightInd w:val="0"/>
        <w:snapToGrid w:val="0"/>
        <w:spacing w:line="600" w:lineRule="exact"/>
        <w:ind w:left="136" w:firstLine="640" w:firstLineChars="200"/>
        <w:jc w:val="both"/>
        <w:rPr>
          <w:rFonts w:ascii="仿宋_GB2312" w:eastAsia="仿宋_GB2312"/>
          <w:highlight w:val="none"/>
        </w:rPr>
      </w:pPr>
      <w:r>
        <w:rPr>
          <w:rFonts w:hint="eastAsia" w:ascii="仿宋_GB2312" w:eastAsia="仿宋_GB2312"/>
          <w:highlight w:val="none"/>
        </w:rPr>
        <w:t>效益访谈。绩效评价工作小组对项目主管部门和实施单位负责项目的业务科室主要人员进行访谈，了解项目的立项、管理、实施、产出和最终形成的效果效益。</w:t>
      </w:r>
    </w:p>
    <w:p>
      <w:pPr>
        <w:pStyle w:val="5"/>
        <w:adjustRightInd w:val="0"/>
        <w:snapToGrid w:val="0"/>
        <w:spacing w:line="600" w:lineRule="exact"/>
        <w:ind w:left="136" w:firstLine="640" w:firstLineChars="200"/>
        <w:jc w:val="both"/>
        <w:rPr>
          <w:rFonts w:ascii="仿宋_GB2312" w:eastAsia="仿宋_GB2312"/>
          <w:highlight w:val="none"/>
          <w:lang w:val="en-US"/>
        </w:rPr>
      </w:pPr>
      <w:r>
        <w:rPr>
          <w:rFonts w:hint="eastAsia" w:ascii="仿宋_GB2312" w:eastAsia="仿宋_GB2312"/>
          <w:highlight w:val="none"/>
          <w:lang w:val="en-US"/>
        </w:rPr>
        <w:t>4.数据分析和撰写报告</w:t>
      </w:r>
    </w:p>
    <w:p>
      <w:pPr>
        <w:pStyle w:val="5"/>
        <w:adjustRightInd w:val="0"/>
        <w:snapToGrid w:val="0"/>
        <w:spacing w:line="600" w:lineRule="exact"/>
        <w:ind w:left="136" w:firstLine="640" w:firstLineChars="200"/>
        <w:jc w:val="both"/>
        <w:rPr>
          <w:rFonts w:ascii="仿宋_GB2312" w:eastAsia="仿宋_GB2312"/>
          <w:highlight w:val="none"/>
        </w:rPr>
      </w:pPr>
      <w:r>
        <w:rPr>
          <w:rFonts w:hint="eastAsia" w:ascii="仿宋_GB2312" w:eastAsia="仿宋_GB2312"/>
          <w:highlight w:val="none"/>
        </w:rPr>
        <w:t>项目决策方面，对项目立项依据的充分性、程序的规范性，绩效目标的合理性、指标的明确性，以及预算编制的科学性、资金分配的合理性进行分析评价，确定项目决策得分；</w:t>
      </w:r>
    </w:p>
    <w:p>
      <w:pPr>
        <w:pStyle w:val="5"/>
        <w:adjustRightInd w:val="0"/>
        <w:snapToGrid w:val="0"/>
        <w:spacing w:line="600" w:lineRule="exact"/>
        <w:ind w:left="136" w:firstLine="640" w:firstLineChars="200"/>
        <w:jc w:val="both"/>
        <w:rPr>
          <w:rFonts w:ascii="仿宋_GB2312" w:eastAsia="仿宋_GB2312"/>
          <w:highlight w:val="none"/>
        </w:rPr>
      </w:pPr>
      <w:r>
        <w:rPr>
          <w:rFonts w:hint="eastAsia" w:ascii="仿宋_GB2312" w:eastAsia="仿宋_GB2312"/>
          <w:highlight w:val="none"/>
        </w:rPr>
        <w:t>项目</w:t>
      </w:r>
      <w:r>
        <w:rPr>
          <w:rFonts w:hint="eastAsia" w:ascii="仿宋_GB2312" w:eastAsia="仿宋_GB2312"/>
          <w:highlight w:val="none"/>
          <w:lang w:val="en-US" w:eastAsia="zh-CN"/>
        </w:rPr>
        <w:t>管理</w:t>
      </w:r>
      <w:r>
        <w:rPr>
          <w:rFonts w:hint="eastAsia" w:ascii="仿宋_GB2312" w:eastAsia="仿宋_GB2312"/>
          <w:highlight w:val="none"/>
        </w:rPr>
        <w:t>方面，对资金到位率、预算执行率、资金使用合规性，以及管理制度的健全性、执行的有效性进行分析评价，确定项目过程得分；</w:t>
      </w:r>
    </w:p>
    <w:p>
      <w:pPr>
        <w:pStyle w:val="5"/>
        <w:adjustRightInd w:val="0"/>
        <w:snapToGrid w:val="0"/>
        <w:spacing w:line="600" w:lineRule="exact"/>
        <w:ind w:left="136" w:firstLine="640" w:firstLineChars="200"/>
        <w:jc w:val="both"/>
        <w:rPr>
          <w:rFonts w:ascii="仿宋_GB2312" w:eastAsia="仿宋_GB2312"/>
          <w:highlight w:val="none"/>
        </w:rPr>
      </w:pPr>
      <w:r>
        <w:rPr>
          <w:rFonts w:hint="eastAsia" w:ascii="仿宋_GB2312" w:eastAsia="仿宋_GB2312"/>
          <w:highlight w:val="none"/>
        </w:rPr>
        <w:t>项目</w:t>
      </w:r>
      <w:r>
        <w:rPr>
          <w:rFonts w:hint="eastAsia" w:ascii="仿宋_GB2312" w:eastAsia="仿宋_GB2312"/>
          <w:highlight w:val="none"/>
          <w:lang w:val="en-US" w:eastAsia="zh-CN"/>
        </w:rPr>
        <w:t>绩效</w:t>
      </w:r>
      <w:r>
        <w:rPr>
          <w:rFonts w:hint="eastAsia" w:ascii="仿宋_GB2312" w:eastAsia="仿宋_GB2312"/>
          <w:highlight w:val="none"/>
        </w:rPr>
        <w:t>方面，对产出数量、产出质量、产出时效</w:t>
      </w:r>
      <w:r>
        <w:rPr>
          <w:rFonts w:hint="eastAsia" w:ascii="仿宋_GB2312" w:eastAsia="仿宋_GB2312"/>
          <w:highlight w:val="none"/>
          <w:lang w:eastAsia="zh-CN"/>
        </w:rPr>
        <w:t>、</w:t>
      </w:r>
      <w:r>
        <w:rPr>
          <w:rFonts w:hint="eastAsia" w:ascii="仿宋_GB2312" w:eastAsia="仿宋_GB2312"/>
          <w:highlight w:val="none"/>
        </w:rPr>
        <w:t>实施的效益及社会公众、受益对象的满意度及访谈结果进行分析评价，确定项目产出得分；</w:t>
      </w:r>
    </w:p>
    <w:p>
      <w:pPr>
        <w:pStyle w:val="5"/>
        <w:adjustRightInd w:val="0"/>
        <w:snapToGrid w:val="0"/>
        <w:spacing w:line="600" w:lineRule="exact"/>
        <w:ind w:left="136" w:firstLine="640" w:firstLineChars="200"/>
        <w:jc w:val="both"/>
        <w:rPr>
          <w:rFonts w:ascii="仿宋_GB2312" w:eastAsia="仿宋_GB2312"/>
          <w:highlight w:val="none"/>
        </w:rPr>
      </w:pPr>
      <w:r>
        <w:rPr>
          <w:rFonts w:hint="eastAsia" w:ascii="仿宋_GB2312" w:eastAsia="仿宋_GB2312"/>
          <w:highlight w:val="none"/>
        </w:rPr>
        <w:t>最终，汇总各项指标评价结果及得分，确定绩效评价报告总得分和优秀评级，以及项目完成取得的主要绩效、经验做法、存在问题及相关建议。</w:t>
      </w:r>
    </w:p>
    <w:p>
      <w:pPr>
        <w:pStyle w:val="2"/>
        <w:keepNext w:val="0"/>
        <w:keepLines w:val="0"/>
        <w:adjustRightInd w:val="0"/>
        <w:snapToGrid w:val="0"/>
        <w:spacing w:before="0" w:after="0" w:line="600" w:lineRule="exact"/>
        <w:ind w:firstLine="640" w:firstLineChars="200"/>
        <w:rPr>
          <w:rFonts w:ascii="黑体" w:hAnsi="黑体" w:eastAsia="黑体"/>
          <w:b w:val="0"/>
          <w:bCs w:val="0"/>
          <w:sz w:val="32"/>
          <w:szCs w:val="32"/>
          <w:highlight w:val="none"/>
        </w:rPr>
      </w:pPr>
      <w:bookmarkStart w:id="14" w:name="_Toc54348635"/>
      <w:bookmarkStart w:id="15" w:name="_Toc57188365"/>
      <w:r>
        <w:rPr>
          <w:rFonts w:hint="eastAsia" w:ascii="黑体" w:hAnsi="黑体" w:eastAsia="黑体"/>
          <w:b w:val="0"/>
          <w:bCs w:val="0"/>
          <w:sz w:val="32"/>
          <w:szCs w:val="32"/>
          <w:highlight w:val="none"/>
        </w:rPr>
        <w:t>三、</w:t>
      </w:r>
      <w:bookmarkStart w:id="16" w:name="_Hlk50058879"/>
      <w:r>
        <w:rPr>
          <w:rFonts w:hint="eastAsia" w:ascii="黑体" w:hAnsi="黑体" w:eastAsia="黑体"/>
          <w:b w:val="0"/>
          <w:bCs w:val="0"/>
          <w:sz w:val="32"/>
          <w:szCs w:val="32"/>
          <w:highlight w:val="none"/>
        </w:rPr>
        <w:t>综合评价情况</w:t>
      </w:r>
      <w:bookmarkEnd w:id="16"/>
      <w:r>
        <w:rPr>
          <w:rFonts w:hint="eastAsia" w:ascii="黑体" w:hAnsi="黑体" w:eastAsia="黑体"/>
          <w:b w:val="0"/>
          <w:bCs w:val="0"/>
          <w:sz w:val="32"/>
          <w:szCs w:val="32"/>
          <w:highlight w:val="none"/>
        </w:rPr>
        <w:t>及评价结论</w:t>
      </w:r>
      <w:bookmarkEnd w:id="14"/>
      <w:bookmarkEnd w:id="15"/>
    </w:p>
    <w:p>
      <w:pPr>
        <w:pStyle w:val="3"/>
        <w:adjustRightInd w:val="0"/>
        <w:snapToGrid w:val="0"/>
        <w:spacing w:before="0" w:after="0" w:line="600" w:lineRule="exact"/>
        <w:ind w:firstLine="640" w:firstLineChars="200"/>
        <w:rPr>
          <w:rFonts w:ascii="楷体_GB2312" w:eastAsia="楷体_GB2312"/>
          <w:b w:val="0"/>
          <w:bCs w:val="0"/>
          <w:highlight w:val="none"/>
        </w:rPr>
      </w:pPr>
      <w:bookmarkStart w:id="17" w:name="_Toc54348636"/>
      <w:bookmarkStart w:id="18" w:name="_Toc57188366"/>
      <w:r>
        <w:rPr>
          <w:rFonts w:hint="eastAsia" w:ascii="楷体_GB2312" w:eastAsia="楷体_GB2312"/>
          <w:b w:val="0"/>
          <w:bCs w:val="0"/>
          <w:highlight w:val="none"/>
        </w:rPr>
        <w:t>（一）综合评价情况</w:t>
      </w:r>
      <w:bookmarkEnd w:id="17"/>
      <w:bookmarkEnd w:id="18"/>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074" w:type="dxa"/>
            <w:vAlign w:val="center"/>
          </w:tcPr>
          <w:p>
            <w:pPr>
              <w:pStyle w:val="5"/>
              <w:adjustRightInd w:val="0"/>
              <w:snapToGrid w:val="0"/>
              <w:spacing w:line="600" w:lineRule="exact"/>
              <w:ind w:left="0"/>
              <w:jc w:val="center"/>
              <w:rPr>
                <w:rFonts w:ascii="仿宋_GB2312" w:eastAsia="仿宋_GB2312"/>
                <w:sz w:val="28"/>
                <w:szCs w:val="28"/>
                <w:highlight w:val="none"/>
                <w:lang w:val="en-US"/>
              </w:rPr>
            </w:pPr>
            <w:r>
              <w:rPr>
                <w:rFonts w:hint="eastAsia" w:ascii="仿宋_GB2312" w:eastAsia="仿宋_GB2312"/>
                <w:sz w:val="28"/>
                <w:szCs w:val="28"/>
                <w:highlight w:val="none"/>
                <w:lang w:val="en-US"/>
              </w:rPr>
              <w:t>评价指标</w:t>
            </w:r>
          </w:p>
        </w:tc>
        <w:tc>
          <w:tcPr>
            <w:tcW w:w="2074" w:type="dxa"/>
            <w:vAlign w:val="center"/>
          </w:tcPr>
          <w:p>
            <w:pPr>
              <w:pStyle w:val="5"/>
              <w:adjustRightInd w:val="0"/>
              <w:snapToGrid w:val="0"/>
              <w:spacing w:line="600" w:lineRule="exact"/>
              <w:ind w:left="0"/>
              <w:jc w:val="center"/>
              <w:rPr>
                <w:rFonts w:ascii="仿宋_GB2312" w:eastAsia="仿宋_GB2312"/>
                <w:sz w:val="28"/>
                <w:szCs w:val="28"/>
                <w:highlight w:val="none"/>
                <w:lang w:val="en-US"/>
              </w:rPr>
            </w:pPr>
            <w:r>
              <w:rPr>
                <w:rFonts w:hint="eastAsia" w:ascii="仿宋_GB2312" w:eastAsia="仿宋_GB2312"/>
                <w:sz w:val="28"/>
                <w:szCs w:val="28"/>
                <w:highlight w:val="none"/>
                <w:lang w:val="en-US"/>
              </w:rPr>
              <w:t>指标分值</w:t>
            </w:r>
          </w:p>
        </w:tc>
        <w:tc>
          <w:tcPr>
            <w:tcW w:w="2074" w:type="dxa"/>
            <w:vAlign w:val="center"/>
          </w:tcPr>
          <w:p>
            <w:pPr>
              <w:pStyle w:val="5"/>
              <w:adjustRightInd w:val="0"/>
              <w:snapToGrid w:val="0"/>
              <w:spacing w:line="600" w:lineRule="exact"/>
              <w:ind w:left="0"/>
              <w:jc w:val="center"/>
              <w:rPr>
                <w:rFonts w:ascii="仿宋_GB2312" w:eastAsia="仿宋_GB2312"/>
                <w:sz w:val="28"/>
                <w:szCs w:val="28"/>
                <w:highlight w:val="none"/>
                <w:lang w:val="en-US"/>
              </w:rPr>
            </w:pPr>
            <w:r>
              <w:rPr>
                <w:rFonts w:hint="eastAsia" w:ascii="仿宋_GB2312" w:eastAsia="仿宋_GB2312"/>
                <w:sz w:val="28"/>
                <w:szCs w:val="28"/>
                <w:highlight w:val="none"/>
                <w:lang w:val="en-US"/>
              </w:rPr>
              <w:t>评价得分</w:t>
            </w:r>
          </w:p>
        </w:tc>
        <w:tc>
          <w:tcPr>
            <w:tcW w:w="2074" w:type="dxa"/>
            <w:vAlign w:val="center"/>
          </w:tcPr>
          <w:p>
            <w:pPr>
              <w:pStyle w:val="5"/>
              <w:adjustRightInd w:val="0"/>
              <w:snapToGrid w:val="0"/>
              <w:spacing w:line="600" w:lineRule="exact"/>
              <w:ind w:left="0"/>
              <w:jc w:val="center"/>
              <w:rPr>
                <w:rFonts w:ascii="仿宋_GB2312" w:eastAsia="仿宋_GB2312"/>
                <w:sz w:val="28"/>
                <w:szCs w:val="28"/>
                <w:highlight w:val="none"/>
                <w:lang w:val="en-US"/>
              </w:rPr>
            </w:pPr>
            <w:r>
              <w:rPr>
                <w:rFonts w:hint="eastAsia" w:ascii="仿宋_GB2312" w:eastAsia="仿宋_GB2312"/>
                <w:sz w:val="28"/>
                <w:szCs w:val="28"/>
                <w:highlight w:val="none"/>
                <w:lang w:val="en-US"/>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5"/>
              <w:adjustRightInd w:val="0"/>
              <w:snapToGrid w:val="0"/>
              <w:spacing w:line="600" w:lineRule="exact"/>
              <w:ind w:left="0"/>
              <w:jc w:val="center"/>
              <w:rPr>
                <w:rFonts w:ascii="仿宋_GB2312" w:eastAsia="仿宋_GB2312"/>
                <w:sz w:val="28"/>
                <w:szCs w:val="28"/>
                <w:highlight w:val="none"/>
                <w:lang w:val="en-US"/>
              </w:rPr>
            </w:pPr>
            <w:r>
              <w:rPr>
                <w:rFonts w:hint="eastAsia" w:ascii="仿宋_GB2312" w:eastAsia="仿宋_GB2312"/>
                <w:sz w:val="28"/>
                <w:szCs w:val="28"/>
                <w:highlight w:val="none"/>
                <w:lang w:val="en-US"/>
              </w:rPr>
              <w:t>一、项目决策</w:t>
            </w:r>
          </w:p>
        </w:tc>
        <w:tc>
          <w:tcPr>
            <w:tcW w:w="2074" w:type="dxa"/>
            <w:vAlign w:val="center"/>
          </w:tcPr>
          <w:p>
            <w:pPr>
              <w:pStyle w:val="5"/>
              <w:adjustRightInd w:val="0"/>
              <w:snapToGrid w:val="0"/>
              <w:spacing w:line="600" w:lineRule="exact"/>
              <w:ind w:left="0"/>
              <w:jc w:val="center"/>
              <w:rPr>
                <w:rFonts w:ascii="仿宋_GB2312" w:eastAsia="仿宋_GB2312"/>
                <w:sz w:val="28"/>
                <w:szCs w:val="28"/>
                <w:highlight w:val="none"/>
                <w:lang w:val="en-US"/>
              </w:rPr>
            </w:pPr>
            <w:r>
              <w:rPr>
                <w:rFonts w:hint="eastAsia" w:ascii="仿宋_GB2312" w:eastAsia="仿宋_GB2312"/>
                <w:sz w:val="28"/>
                <w:szCs w:val="28"/>
                <w:highlight w:val="none"/>
                <w:lang w:val="en-US"/>
              </w:rPr>
              <w:t>20</w:t>
            </w:r>
          </w:p>
        </w:tc>
        <w:tc>
          <w:tcPr>
            <w:tcW w:w="2074" w:type="dxa"/>
            <w:vAlign w:val="center"/>
          </w:tcPr>
          <w:p>
            <w:pPr>
              <w:pStyle w:val="5"/>
              <w:adjustRightInd w:val="0"/>
              <w:snapToGrid w:val="0"/>
              <w:spacing w:line="600" w:lineRule="exact"/>
              <w:ind w:left="0"/>
              <w:jc w:val="center"/>
              <w:rPr>
                <w:rFonts w:ascii="仿宋_GB2312" w:eastAsia="仿宋_GB2312"/>
                <w:sz w:val="28"/>
                <w:szCs w:val="28"/>
                <w:highlight w:val="none"/>
                <w:lang w:val="en-US"/>
              </w:rPr>
            </w:pPr>
            <w:r>
              <w:rPr>
                <w:rFonts w:hint="eastAsia" w:ascii="仿宋_GB2312" w:eastAsia="仿宋_GB2312"/>
                <w:sz w:val="28"/>
                <w:szCs w:val="28"/>
                <w:highlight w:val="none"/>
                <w:lang w:val="en-US"/>
              </w:rPr>
              <w:t>20</w:t>
            </w:r>
          </w:p>
        </w:tc>
        <w:tc>
          <w:tcPr>
            <w:tcW w:w="2074" w:type="dxa"/>
            <w:vAlign w:val="center"/>
          </w:tcPr>
          <w:p>
            <w:pPr>
              <w:pStyle w:val="5"/>
              <w:adjustRightInd w:val="0"/>
              <w:snapToGrid w:val="0"/>
              <w:spacing w:line="600" w:lineRule="exact"/>
              <w:ind w:left="0"/>
              <w:jc w:val="center"/>
              <w:rPr>
                <w:rFonts w:ascii="仿宋_GB2312" w:eastAsia="仿宋_GB2312"/>
                <w:sz w:val="28"/>
                <w:szCs w:val="28"/>
                <w:highlight w:val="none"/>
                <w:lang w:val="en-US"/>
              </w:rPr>
            </w:pPr>
            <w:r>
              <w:rPr>
                <w:rFonts w:hint="eastAsia" w:ascii="仿宋_GB2312" w:eastAsia="仿宋_GB2312"/>
                <w:sz w:val="28"/>
                <w:szCs w:val="28"/>
                <w:highlight w:val="none"/>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5"/>
              <w:adjustRightInd w:val="0"/>
              <w:snapToGrid w:val="0"/>
              <w:spacing w:line="600" w:lineRule="exact"/>
              <w:ind w:left="0"/>
              <w:jc w:val="center"/>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rPr>
              <w:t>二、项目</w:t>
            </w:r>
            <w:r>
              <w:rPr>
                <w:rFonts w:hint="eastAsia" w:ascii="仿宋_GB2312" w:eastAsia="仿宋_GB2312"/>
                <w:sz w:val="28"/>
                <w:szCs w:val="28"/>
                <w:highlight w:val="none"/>
                <w:lang w:val="en-US" w:eastAsia="zh-CN"/>
              </w:rPr>
              <w:t>管理</w:t>
            </w:r>
          </w:p>
        </w:tc>
        <w:tc>
          <w:tcPr>
            <w:tcW w:w="2074" w:type="dxa"/>
            <w:vAlign w:val="center"/>
          </w:tcPr>
          <w:p>
            <w:pPr>
              <w:pStyle w:val="5"/>
              <w:adjustRightInd w:val="0"/>
              <w:snapToGrid w:val="0"/>
              <w:spacing w:line="600" w:lineRule="exact"/>
              <w:ind w:left="0"/>
              <w:jc w:val="center"/>
              <w:rPr>
                <w:rFonts w:ascii="仿宋_GB2312" w:eastAsia="仿宋_GB2312"/>
                <w:sz w:val="28"/>
                <w:szCs w:val="28"/>
                <w:highlight w:val="none"/>
                <w:lang w:val="en-US"/>
              </w:rPr>
            </w:pPr>
            <w:r>
              <w:rPr>
                <w:rFonts w:hint="eastAsia" w:ascii="仿宋_GB2312" w:eastAsia="仿宋_GB2312"/>
                <w:sz w:val="28"/>
                <w:szCs w:val="28"/>
                <w:highlight w:val="none"/>
                <w:lang w:val="en-US"/>
              </w:rPr>
              <w:t>20</w:t>
            </w:r>
          </w:p>
        </w:tc>
        <w:tc>
          <w:tcPr>
            <w:tcW w:w="2074" w:type="dxa"/>
            <w:vAlign w:val="center"/>
          </w:tcPr>
          <w:p>
            <w:pPr>
              <w:pStyle w:val="5"/>
              <w:adjustRightInd w:val="0"/>
              <w:snapToGrid w:val="0"/>
              <w:spacing w:line="600" w:lineRule="exact"/>
              <w:ind w:left="0"/>
              <w:jc w:val="center"/>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12</w:t>
            </w:r>
          </w:p>
        </w:tc>
        <w:tc>
          <w:tcPr>
            <w:tcW w:w="2074" w:type="dxa"/>
            <w:vAlign w:val="center"/>
          </w:tcPr>
          <w:p>
            <w:pPr>
              <w:pStyle w:val="5"/>
              <w:adjustRightInd w:val="0"/>
              <w:snapToGrid w:val="0"/>
              <w:spacing w:line="600" w:lineRule="exact"/>
              <w:ind w:left="0"/>
              <w:jc w:val="center"/>
              <w:rPr>
                <w:rFonts w:ascii="仿宋_GB2312" w:eastAsia="仿宋_GB2312"/>
                <w:sz w:val="28"/>
                <w:szCs w:val="28"/>
                <w:highlight w:val="none"/>
                <w:lang w:val="en-US"/>
              </w:rPr>
            </w:pPr>
            <w:r>
              <w:rPr>
                <w:rFonts w:hint="eastAsia" w:ascii="仿宋_GB2312" w:eastAsia="仿宋_GB2312"/>
                <w:sz w:val="28"/>
                <w:szCs w:val="28"/>
                <w:highlight w:val="none"/>
                <w:lang w:val="en-US" w:eastAsia="zh-CN"/>
              </w:rPr>
              <w:t>60</w:t>
            </w:r>
            <w:r>
              <w:rPr>
                <w:rFonts w:hint="eastAsia" w:ascii="仿宋_GB2312" w:eastAsia="仿宋_GB2312"/>
                <w:sz w:val="28"/>
                <w:szCs w:val="28"/>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5"/>
              <w:adjustRightInd w:val="0"/>
              <w:snapToGrid w:val="0"/>
              <w:spacing w:line="600" w:lineRule="exact"/>
              <w:ind w:left="0"/>
              <w:jc w:val="center"/>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rPr>
              <w:t>三、项目</w:t>
            </w:r>
            <w:r>
              <w:rPr>
                <w:rFonts w:hint="eastAsia" w:ascii="仿宋_GB2312" w:eastAsia="仿宋_GB2312"/>
                <w:sz w:val="28"/>
                <w:szCs w:val="28"/>
                <w:highlight w:val="none"/>
                <w:lang w:val="en-US" w:eastAsia="zh-CN"/>
              </w:rPr>
              <w:t>绩效</w:t>
            </w:r>
          </w:p>
        </w:tc>
        <w:tc>
          <w:tcPr>
            <w:tcW w:w="2074" w:type="dxa"/>
            <w:vAlign w:val="center"/>
          </w:tcPr>
          <w:p>
            <w:pPr>
              <w:pStyle w:val="5"/>
              <w:adjustRightInd w:val="0"/>
              <w:snapToGrid w:val="0"/>
              <w:spacing w:line="600" w:lineRule="exact"/>
              <w:ind w:left="0"/>
              <w:jc w:val="center"/>
              <w:rPr>
                <w:rFonts w:ascii="仿宋_GB2312" w:eastAsia="仿宋_GB2312"/>
                <w:sz w:val="28"/>
                <w:szCs w:val="28"/>
                <w:highlight w:val="none"/>
                <w:lang w:val="en-US"/>
              </w:rPr>
            </w:pPr>
            <w:r>
              <w:rPr>
                <w:rFonts w:hint="eastAsia" w:ascii="仿宋_GB2312" w:eastAsia="仿宋_GB2312"/>
                <w:sz w:val="28"/>
                <w:szCs w:val="28"/>
                <w:highlight w:val="none"/>
                <w:lang w:val="en-US" w:eastAsia="zh-CN"/>
              </w:rPr>
              <w:t>6</w:t>
            </w:r>
            <w:r>
              <w:rPr>
                <w:rFonts w:hint="eastAsia" w:ascii="仿宋_GB2312" w:eastAsia="仿宋_GB2312"/>
                <w:sz w:val="28"/>
                <w:szCs w:val="28"/>
                <w:highlight w:val="none"/>
                <w:lang w:val="en-US"/>
              </w:rPr>
              <w:t>0</w:t>
            </w:r>
          </w:p>
        </w:tc>
        <w:tc>
          <w:tcPr>
            <w:tcW w:w="2074" w:type="dxa"/>
            <w:vAlign w:val="center"/>
          </w:tcPr>
          <w:p>
            <w:pPr>
              <w:pStyle w:val="5"/>
              <w:adjustRightInd w:val="0"/>
              <w:snapToGrid w:val="0"/>
              <w:spacing w:line="600" w:lineRule="exact"/>
              <w:ind w:left="0"/>
              <w:jc w:val="center"/>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58.5</w:t>
            </w:r>
          </w:p>
        </w:tc>
        <w:tc>
          <w:tcPr>
            <w:tcW w:w="2074" w:type="dxa"/>
            <w:vAlign w:val="center"/>
          </w:tcPr>
          <w:p>
            <w:pPr>
              <w:pStyle w:val="5"/>
              <w:adjustRightInd w:val="0"/>
              <w:snapToGrid w:val="0"/>
              <w:spacing w:line="600" w:lineRule="exact"/>
              <w:ind w:left="0"/>
              <w:jc w:val="center"/>
              <w:rPr>
                <w:rFonts w:ascii="仿宋_GB2312" w:eastAsia="仿宋_GB2312"/>
                <w:sz w:val="28"/>
                <w:szCs w:val="28"/>
                <w:highlight w:val="none"/>
                <w:lang w:val="en-US"/>
              </w:rPr>
            </w:pPr>
            <w:r>
              <w:rPr>
                <w:rFonts w:hint="eastAsia" w:ascii="仿宋_GB2312" w:eastAsia="仿宋_GB2312"/>
                <w:sz w:val="28"/>
                <w:szCs w:val="28"/>
                <w:highlight w:val="none"/>
                <w:lang w:val="en-US" w:eastAsia="zh-CN"/>
              </w:rPr>
              <w:t>97.5</w:t>
            </w:r>
            <w:r>
              <w:rPr>
                <w:rFonts w:hint="eastAsia" w:ascii="仿宋_GB2312" w:eastAsia="仿宋_GB2312"/>
                <w:sz w:val="28"/>
                <w:szCs w:val="28"/>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5"/>
              <w:adjustRightInd w:val="0"/>
              <w:snapToGrid w:val="0"/>
              <w:spacing w:line="600" w:lineRule="exact"/>
              <w:ind w:left="0"/>
              <w:jc w:val="center"/>
              <w:rPr>
                <w:rFonts w:ascii="仿宋_GB2312" w:eastAsia="仿宋_GB2312"/>
                <w:sz w:val="28"/>
                <w:szCs w:val="28"/>
                <w:highlight w:val="none"/>
                <w:lang w:val="en-US"/>
              </w:rPr>
            </w:pPr>
            <w:r>
              <w:rPr>
                <w:rFonts w:hint="eastAsia" w:ascii="仿宋_GB2312" w:eastAsia="仿宋_GB2312"/>
                <w:sz w:val="28"/>
                <w:szCs w:val="28"/>
                <w:highlight w:val="none"/>
                <w:lang w:val="en-US"/>
              </w:rPr>
              <w:t>总得分</w:t>
            </w:r>
          </w:p>
        </w:tc>
        <w:tc>
          <w:tcPr>
            <w:tcW w:w="2074" w:type="dxa"/>
            <w:vAlign w:val="center"/>
          </w:tcPr>
          <w:p>
            <w:pPr>
              <w:pStyle w:val="5"/>
              <w:adjustRightInd w:val="0"/>
              <w:snapToGrid w:val="0"/>
              <w:spacing w:line="600" w:lineRule="exact"/>
              <w:ind w:left="0"/>
              <w:jc w:val="center"/>
              <w:rPr>
                <w:rFonts w:ascii="仿宋_GB2312" w:eastAsia="仿宋_GB2312"/>
                <w:b/>
                <w:bCs/>
                <w:sz w:val="28"/>
                <w:szCs w:val="28"/>
                <w:highlight w:val="none"/>
                <w:lang w:val="en-US"/>
              </w:rPr>
            </w:pPr>
            <w:r>
              <w:rPr>
                <w:rFonts w:hint="eastAsia" w:ascii="仿宋_GB2312" w:eastAsia="仿宋_GB2312"/>
                <w:b/>
                <w:bCs/>
                <w:sz w:val="28"/>
                <w:szCs w:val="28"/>
                <w:highlight w:val="none"/>
                <w:lang w:val="en-US"/>
              </w:rPr>
              <w:t>100</w:t>
            </w:r>
          </w:p>
        </w:tc>
        <w:tc>
          <w:tcPr>
            <w:tcW w:w="2074" w:type="dxa"/>
            <w:vAlign w:val="center"/>
          </w:tcPr>
          <w:p>
            <w:pPr>
              <w:pStyle w:val="5"/>
              <w:adjustRightInd w:val="0"/>
              <w:snapToGrid w:val="0"/>
              <w:spacing w:line="600" w:lineRule="exact"/>
              <w:ind w:left="0"/>
              <w:jc w:val="center"/>
              <w:rPr>
                <w:rFonts w:hint="default" w:ascii="仿宋_GB2312" w:eastAsia="仿宋_GB2312"/>
                <w:b/>
                <w:bCs/>
                <w:sz w:val="28"/>
                <w:szCs w:val="28"/>
                <w:highlight w:val="none"/>
                <w:lang w:val="en-US" w:eastAsia="zh-CN"/>
              </w:rPr>
            </w:pPr>
            <w:r>
              <w:rPr>
                <w:rFonts w:hint="eastAsia" w:ascii="仿宋_GB2312" w:eastAsia="仿宋_GB2312"/>
                <w:b/>
                <w:bCs/>
                <w:sz w:val="28"/>
                <w:szCs w:val="28"/>
                <w:highlight w:val="none"/>
                <w:lang w:val="en-US" w:eastAsia="zh-CN"/>
              </w:rPr>
              <w:t>90.5</w:t>
            </w:r>
          </w:p>
        </w:tc>
        <w:tc>
          <w:tcPr>
            <w:tcW w:w="2074" w:type="dxa"/>
            <w:vAlign w:val="center"/>
          </w:tcPr>
          <w:p>
            <w:pPr>
              <w:pStyle w:val="5"/>
              <w:adjustRightInd w:val="0"/>
              <w:snapToGrid w:val="0"/>
              <w:spacing w:line="600" w:lineRule="exact"/>
              <w:ind w:left="0"/>
              <w:jc w:val="center"/>
              <w:rPr>
                <w:rFonts w:ascii="仿宋_GB2312" w:eastAsia="仿宋_GB2312"/>
                <w:b/>
                <w:bCs/>
                <w:sz w:val="28"/>
                <w:szCs w:val="28"/>
                <w:highlight w:val="none"/>
                <w:lang w:val="en-US"/>
              </w:rPr>
            </w:pPr>
            <w:r>
              <w:rPr>
                <w:rFonts w:hint="eastAsia" w:ascii="仿宋_GB2312" w:eastAsia="仿宋_GB2312"/>
                <w:b/>
                <w:bCs/>
                <w:sz w:val="28"/>
                <w:szCs w:val="28"/>
                <w:highlight w:val="none"/>
                <w:lang w:val="en-US" w:eastAsia="zh-CN"/>
              </w:rPr>
              <w:t>90</w:t>
            </w:r>
            <w:r>
              <w:rPr>
                <w:rFonts w:hint="eastAsia" w:ascii="仿宋_GB2312" w:eastAsia="仿宋_GB2312"/>
                <w:b/>
                <w:bCs/>
                <w:sz w:val="28"/>
                <w:szCs w:val="28"/>
                <w:highlight w:val="none"/>
                <w:lang w:val="en-US"/>
              </w:rPr>
              <w:t>.</w:t>
            </w:r>
            <w:r>
              <w:rPr>
                <w:rFonts w:hint="eastAsia" w:ascii="仿宋_GB2312" w:eastAsia="仿宋_GB2312"/>
                <w:b/>
                <w:bCs/>
                <w:sz w:val="28"/>
                <w:szCs w:val="28"/>
                <w:highlight w:val="none"/>
                <w:lang w:val="en-US" w:eastAsia="zh-CN"/>
              </w:rPr>
              <w:t>5</w:t>
            </w:r>
            <w:r>
              <w:rPr>
                <w:rFonts w:hint="eastAsia" w:ascii="仿宋_GB2312" w:eastAsia="仿宋_GB2312"/>
                <w:b/>
                <w:bCs/>
                <w:sz w:val="28"/>
                <w:szCs w:val="28"/>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5"/>
              <w:adjustRightInd w:val="0"/>
              <w:snapToGrid w:val="0"/>
              <w:spacing w:line="600" w:lineRule="exact"/>
              <w:ind w:left="0"/>
              <w:jc w:val="center"/>
              <w:rPr>
                <w:rFonts w:ascii="仿宋_GB2312" w:eastAsia="仿宋_GB2312"/>
                <w:sz w:val="28"/>
                <w:szCs w:val="28"/>
                <w:highlight w:val="none"/>
                <w:lang w:val="en-US"/>
              </w:rPr>
            </w:pPr>
            <w:r>
              <w:rPr>
                <w:rFonts w:hint="eastAsia" w:ascii="仿宋_GB2312" w:eastAsia="仿宋_GB2312"/>
                <w:sz w:val="28"/>
                <w:szCs w:val="28"/>
                <w:highlight w:val="none"/>
                <w:lang w:val="en-US"/>
              </w:rPr>
              <w:t>评价等级</w:t>
            </w:r>
          </w:p>
        </w:tc>
        <w:tc>
          <w:tcPr>
            <w:tcW w:w="6222" w:type="dxa"/>
            <w:gridSpan w:val="3"/>
            <w:vAlign w:val="center"/>
          </w:tcPr>
          <w:p>
            <w:pPr>
              <w:pStyle w:val="5"/>
              <w:adjustRightInd w:val="0"/>
              <w:snapToGrid w:val="0"/>
              <w:spacing w:line="600" w:lineRule="exact"/>
              <w:ind w:left="0"/>
              <w:jc w:val="center"/>
              <w:rPr>
                <w:rFonts w:hint="eastAsia" w:ascii="仿宋_GB2312" w:eastAsia="仿宋_GB2312"/>
                <w:b/>
                <w:bCs/>
                <w:sz w:val="28"/>
                <w:szCs w:val="28"/>
                <w:highlight w:val="none"/>
                <w:lang w:val="en-US" w:eastAsia="zh-CN"/>
              </w:rPr>
            </w:pPr>
            <w:r>
              <w:rPr>
                <w:rFonts w:hint="eastAsia" w:ascii="仿宋_GB2312" w:eastAsia="仿宋_GB2312"/>
                <w:b/>
                <w:bCs/>
                <w:sz w:val="28"/>
                <w:szCs w:val="28"/>
                <w:highlight w:val="none"/>
                <w:lang w:val="en-US" w:eastAsia="zh-CN"/>
              </w:rPr>
              <w:t>优</w:t>
            </w:r>
          </w:p>
        </w:tc>
      </w:tr>
    </w:tbl>
    <w:p>
      <w:pPr>
        <w:pStyle w:val="3"/>
        <w:numPr>
          <w:ilvl w:val="0"/>
          <w:numId w:val="2"/>
        </w:numPr>
        <w:adjustRightInd w:val="0"/>
        <w:snapToGrid w:val="0"/>
        <w:spacing w:before="0" w:after="0" w:line="600" w:lineRule="exact"/>
        <w:ind w:firstLine="640" w:firstLineChars="200"/>
        <w:rPr>
          <w:rFonts w:ascii="楷体_GB2312" w:eastAsia="楷体_GB2312"/>
          <w:b w:val="0"/>
          <w:bCs w:val="0"/>
          <w:highlight w:val="none"/>
        </w:rPr>
      </w:pPr>
      <w:bookmarkStart w:id="19" w:name="_Toc54348637"/>
      <w:bookmarkStart w:id="20" w:name="_Toc57188367"/>
      <w:r>
        <w:rPr>
          <w:rFonts w:hint="eastAsia" w:ascii="楷体_GB2312" w:eastAsia="楷体_GB2312"/>
          <w:b w:val="0"/>
          <w:bCs w:val="0"/>
          <w:highlight w:val="none"/>
        </w:rPr>
        <w:t>评价结论</w:t>
      </w:r>
      <w:bookmarkEnd w:id="19"/>
      <w:bookmarkEnd w:id="20"/>
    </w:p>
    <w:p>
      <w:pPr>
        <w:pStyle w:val="5"/>
        <w:adjustRightInd w:val="0"/>
        <w:snapToGrid w:val="0"/>
        <w:spacing w:line="600" w:lineRule="exact"/>
        <w:ind w:left="136" w:firstLine="640" w:firstLineChars="200"/>
        <w:jc w:val="both"/>
        <w:rPr>
          <w:rFonts w:ascii="仿宋_GB2312" w:eastAsia="仿宋_GB2312"/>
          <w:highlight w:val="none"/>
          <w:lang w:val="en-US"/>
        </w:rPr>
      </w:pPr>
      <w:r>
        <w:rPr>
          <w:rFonts w:hint="eastAsia" w:ascii="仿宋_GB2312" w:eastAsia="仿宋_GB2312"/>
          <w:highlight w:val="none"/>
          <w:lang w:val="en-US" w:eastAsia="zh-CN"/>
        </w:rPr>
        <w:t>铜都街道2020年安全环保</w:t>
      </w:r>
      <w:r>
        <w:rPr>
          <w:rFonts w:hint="eastAsia" w:ascii="仿宋_GB2312" w:eastAsia="仿宋_GB2312"/>
          <w:highlight w:val="none"/>
          <w:lang w:val="en-US"/>
        </w:rPr>
        <w:t>项目严格执行了</w:t>
      </w:r>
      <w:r>
        <w:rPr>
          <w:rFonts w:hint="eastAsia" w:ascii="仿宋_GB2312" w:eastAsia="仿宋_GB2312"/>
          <w:highlight w:val="none"/>
          <w:lang w:val="en-US" w:eastAsia="zh-CN"/>
        </w:rPr>
        <w:t>区财政局的预算批复</w:t>
      </w:r>
      <w:r>
        <w:rPr>
          <w:rFonts w:hint="eastAsia" w:ascii="仿宋_GB2312" w:eastAsia="仿宋_GB2312"/>
          <w:highlight w:val="none"/>
          <w:lang w:val="en-US"/>
        </w:rPr>
        <w:t>，基本达到了项目的预期目标。但项目存在</w:t>
      </w:r>
      <w:r>
        <w:rPr>
          <w:rFonts w:hint="eastAsia" w:ascii="仿宋_GB2312" w:eastAsia="仿宋_GB2312"/>
          <w:highlight w:val="none"/>
          <w:lang w:val="en-US" w:eastAsia="zh-CN"/>
        </w:rPr>
        <w:t>相关管理办法不明确、预算执行率低</w:t>
      </w:r>
      <w:r>
        <w:rPr>
          <w:rFonts w:hint="eastAsia" w:ascii="仿宋_GB2312" w:eastAsia="仿宋_GB2312"/>
          <w:highlight w:val="none"/>
          <w:lang w:val="en-US"/>
        </w:rPr>
        <w:t>等问题。经评价，</w:t>
      </w:r>
      <w:r>
        <w:rPr>
          <w:rFonts w:hint="eastAsia" w:ascii="仿宋_GB2312" w:eastAsia="仿宋_GB2312"/>
          <w:highlight w:val="none"/>
          <w:lang w:val="en-US" w:eastAsia="zh-CN"/>
        </w:rPr>
        <w:t>2020年安全环保</w:t>
      </w:r>
      <w:r>
        <w:rPr>
          <w:rFonts w:hint="eastAsia" w:ascii="仿宋_GB2312" w:eastAsia="仿宋_GB2312"/>
          <w:highlight w:val="none"/>
          <w:lang w:val="en-US"/>
        </w:rPr>
        <w:t>项目项目综合评价得分</w:t>
      </w:r>
      <w:r>
        <w:rPr>
          <w:rFonts w:hint="eastAsia" w:ascii="仿宋_GB2312" w:eastAsia="仿宋_GB2312"/>
          <w:highlight w:val="none"/>
          <w:lang w:val="en-US" w:eastAsia="zh-CN"/>
        </w:rPr>
        <w:t>90</w:t>
      </w:r>
      <w:r>
        <w:rPr>
          <w:rFonts w:hint="eastAsia" w:ascii="仿宋_GB2312" w:eastAsia="仿宋_GB2312"/>
          <w:highlight w:val="none"/>
          <w:lang w:val="en-US"/>
        </w:rPr>
        <w:t>.</w:t>
      </w:r>
      <w:r>
        <w:rPr>
          <w:rFonts w:hint="eastAsia" w:ascii="仿宋_GB2312" w:eastAsia="仿宋_GB2312"/>
          <w:highlight w:val="none"/>
          <w:lang w:val="en-US" w:eastAsia="zh-CN"/>
        </w:rPr>
        <w:t>5</w:t>
      </w:r>
      <w:r>
        <w:rPr>
          <w:rFonts w:hint="eastAsia" w:ascii="仿宋_GB2312" w:eastAsia="仿宋_GB2312"/>
          <w:highlight w:val="none"/>
          <w:lang w:val="en-US"/>
        </w:rPr>
        <w:t>分，评价等级为：“</w:t>
      </w:r>
      <w:r>
        <w:rPr>
          <w:rFonts w:hint="eastAsia" w:ascii="仿宋_GB2312" w:eastAsia="仿宋_GB2312"/>
          <w:highlight w:val="none"/>
          <w:lang w:val="en-US" w:eastAsia="zh-CN"/>
        </w:rPr>
        <w:t>优</w:t>
      </w:r>
      <w:r>
        <w:rPr>
          <w:rFonts w:hint="eastAsia" w:ascii="仿宋_GB2312" w:eastAsia="仿宋_GB2312"/>
          <w:highlight w:val="none"/>
          <w:lang w:val="en-US"/>
        </w:rPr>
        <w:t>”。</w:t>
      </w:r>
    </w:p>
    <w:p>
      <w:pPr>
        <w:pStyle w:val="2"/>
        <w:keepNext w:val="0"/>
        <w:keepLines w:val="0"/>
        <w:adjustRightInd w:val="0"/>
        <w:snapToGrid w:val="0"/>
        <w:spacing w:before="0" w:after="0" w:line="600" w:lineRule="exact"/>
        <w:ind w:firstLine="640" w:firstLineChars="200"/>
        <w:rPr>
          <w:rFonts w:ascii="黑体" w:hAnsi="黑体" w:eastAsia="黑体"/>
          <w:b w:val="0"/>
          <w:bCs w:val="0"/>
          <w:sz w:val="32"/>
          <w:szCs w:val="32"/>
          <w:highlight w:val="none"/>
        </w:rPr>
      </w:pPr>
      <w:bookmarkStart w:id="21" w:name="_Toc57188368"/>
      <w:bookmarkStart w:id="22" w:name="_Toc54348638"/>
      <w:r>
        <w:rPr>
          <w:rFonts w:hint="eastAsia" w:ascii="黑体" w:hAnsi="黑体" w:eastAsia="黑体"/>
          <w:b w:val="0"/>
          <w:bCs w:val="0"/>
          <w:sz w:val="32"/>
          <w:szCs w:val="32"/>
          <w:highlight w:val="none"/>
        </w:rPr>
        <w:t>四、绩效评价指标分析</w:t>
      </w:r>
      <w:bookmarkEnd w:id="21"/>
      <w:bookmarkEnd w:id="22"/>
    </w:p>
    <w:p>
      <w:pPr>
        <w:pStyle w:val="3"/>
        <w:keepNext w:val="0"/>
        <w:keepLines w:val="0"/>
        <w:adjustRightInd w:val="0"/>
        <w:snapToGrid w:val="0"/>
        <w:spacing w:before="0" w:after="0" w:line="600" w:lineRule="exact"/>
        <w:ind w:firstLine="640" w:firstLineChars="200"/>
        <w:rPr>
          <w:rFonts w:ascii="楷体_GB2312" w:eastAsia="楷体_GB2312"/>
          <w:b w:val="0"/>
          <w:bCs w:val="0"/>
          <w:highlight w:val="none"/>
        </w:rPr>
      </w:pPr>
      <w:bookmarkStart w:id="23" w:name="_Toc57188369"/>
      <w:bookmarkStart w:id="24" w:name="_Toc54348639"/>
      <w:r>
        <w:rPr>
          <w:rFonts w:hint="eastAsia" w:ascii="楷体_GB2312" w:eastAsia="楷体_GB2312"/>
          <w:b w:val="0"/>
          <w:bCs w:val="0"/>
          <w:highlight w:val="none"/>
        </w:rPr>
        <w:t>（一）项目决策情况</w:t>
      </w:r>
      <w:bookmarkEnd w:id="23"/>
      <w:bookmarkEnd w:id="24"/>
    </w:p>
    <w:p>
      <w:pPr>
        <w:pStyle w:val="5"/>
        <w:adjustRightInd w:val="0"/>
        <w:snapToGrid w:val="0"/>
        <w:spacing w:line="600" w:lineRule="exact"/>
        <w:ind w:left="136" w:firstLine="640" w:firstLineChars="200"/>
        <w:jc w:val="both"/>
        <w:rPr>
          <w:rFonts w:ascii="仿宋_GB2312" w:eastAsia="仿宋_GB2312"/>
          <w:highlight w:val="none"/>
          <w:lang w:val="en-US"/>
        </w:rPr>
      </w:pPr>
      <w:bookmarkStart w:id="25" w:name="_Toc13114"/>
      <w:bookmarkStart w:id="26" w:name="_Toc31571"/>
      <w:bookmarkStart w:id="27" w:name="_Toc27102"/>
      <w:r>
        <w:rPr>
          <w:rFonts w:hint="eastAsia" w:ascii="仿宋_GB2312" w:eastAsia="仿宋_GB2312"/>
          <w:highlight w:val="none"/>
          <w:lang w:val="en-US"/>
        </w:rPr>
        <w:t>项目决策指标分值20分，分别从项目立项、</w:t>
      </w:r>
      <w:r>
        <w:rPr>
          <w:rFonts w:hint="eastAsia" w:ascii="仿宋_GB2312" w:eastAsia="仿宋_GB2312"/>
          <w:highlight w:val="none"/>
          <w:lang w:val="en-US" w:eastAsia="zh-CN"/>
        </w:rPr>
        <w:t>项目</w:t>
      </w:r>
      <w:r>
        <w:rPr>
          <w:rFonts w:hint="eastAsia" w:ascii="仿宋_GB2312" w:eastAsia="仿宋_GB2312"/>
          <w:highlight w:val="none"/>
          <w:lang w:val="en-US"/>
        </w:rPr>
        <w:t>目标</w:t>
      </w:r>
      <w:r>
        <w:rPr>
          <w:rFonts w:hint="eastAsia" w:ascii="仿宋_GB2312" w:eastAsia="仿宋_GB2312"/>
          <w:highlight w:val="none"/>
          <w:lang w:val="en-US" w:eastAsia="zh-CN"/>
        </w:rPr>
        <w:t>两</w:t>
      </w:r>
      <w:r>
        <w:rPr>
          <w:rFonts w:hint="eastAsia" w:ascii="仿宋_GB2312" w:eastAsia="仿宋_GB2312"/>
          <w:highlight w:val="none"/>
          <w:lang w:val="en-US"/>
        </w:rPr>
        <w:t>个方面对项目的决策过程进行考核，20</w:t>
      </w:r>
      <w:r>
        <w:rPr>
          <w:rFonts w:hint="eastAsia" w:ascii="仿宋_GB2312" w:eastAsia="仿宋_GB2312"/>
          <w:highlight w:val="none"/>
          <w:lang w:val="en-US" w:eastAsia="zh-CN"/>
        </w:rPr>
        <w:t>20</w:t>
      </w:r>
      <w:r>
        <w:rPr>
          <w:rFonts w:hint="eastAsia" w:ascii="仿宋_GB2312" w:eastAsia="仿宋_GB2312"/>
          <w:highlight w:val="none"/>
          <w:lang w:val="en-US"/>
        </w:rPr>
        <w:t>年基层安全环保经费项目建设立项方面符合法律法规、相关政策、发展规划以及部门职责，立项依据充分；项目所设定的绩效目标符合客观实际，与项目具体实施情况相符，指标清晰、细化、可衡量</w:t>
      </w:r>
      <w:bookmarkEnd w:id="25"/>
      <w:bookmarkEnd w:id="26"/>
      <w:bookmarkEnd w:id="27"/>
      <w:r>
        <w:rPr>
          <w:rFonts w:hint="eastAsia" w:ascii="仿宋_GB2312" w:eastAsia="仿宋_GB2312"/>
          <w:highlight w:val="none"/>
          <w:lang w:val="en-US" w:eastAsia="zh-CN"/>
        </w:rPr>
        <w:t>。</w:t>
      </w:r>
      <w:r>
        <w:rPr>
          <w:rFonts w:hint="eastAsia" w:ascii="仿宋_GB2312" w:eastAsia="仿宋_GB2312"/>
          <w:highlight w:val="none"/>
          <w:lang w:val="en-US"/>
        </w:rPr>
        <w:t>综上，该指标评价得分20分，得分率100%。具体为：</w:t>
      </w:r>
    </w:p>
    <w:p>
      <w:pPr>
        <w:adjustRightInd w:val="0"/>
        <w:snapToGrid w:val="0"/>
        <w:spacing w:line="600" w:lineRule="exact"/>
        <w:ind w:firstLine="640" w:firstLineChars="200"/>
        <w:rPr>
          <w:highlight w:val="none"/>
        </w:rPr>
      </w:pPr>
      <w:r>
        <w:rPr>
          <w:rFonts w:hint="eastAsia" w:ascii="仿宋_GB2312" w:hAnsi="仿宋" w:eastAsia="仿宋_GB2312" w:cs="仿宋"/>
          <w:kern w:val="0"/>
          <w:sz w:val="32"/>
          <w:szCs w:val="32"/>
          <w:highlight w:val="none"/>
          <w:lang w:bidi="zh-CN"/>
        </w:rPr>
        <w:t>1.项目立项指标分值</w:t>
      </w:r>
      <w:r>
        <w:rPr>
          <w:rFonts w:hint="eastAsia" w:ascii="仿宋_GB2312" w:hAnsi="仿宋" w:eastAsia="仿宋_GB2312" w:cs="仿宋"/>
          <w:kern w:val="0"/>
          <w:sz w:val="32"/>
          <w:szCs w:val="32"/>
          <w:highlight w:val="none"/>
          <w:lang w:val="en-US" w:bidi="zh-CN"/>
        </w:rPr>
        <w:t>8</w:t>
      </w:r>
      <w:r>
        <w:rPr>
          <w:rFonts w:hint="eastAsia" w:ascii="仿宋_GB2312" w:hAnsi="仿宋" w:eastAsia="仿宋_GB2312" w:cs="仿宋"/>
          <w:kern w:val="0"/>
          <w:sz w:val="32"/>
          <w:szCs w:val="32"/>
          <w:highlight w:val="none"/>
          <w:lang w:bidi="zh-CN"/>
        </w:rPr>
        <w:t>分，评价得分</w:t>
      </w:r>
      <w:r>
        <w:rPr>
          <w:rFonts w:hint="eastAsia" w:ascii="仿宋_GB2312" w:hAnsi="仿宋" w:eastAsia="仿宋_GB2312" w:cs="仿宋"/>
          <w:kern w:val="0"/>
          <w:sz w:val="32"/>
          <w:szCs w:val="32"/>
          <w:highlight w:val="none"/>
          <w:lang w:val="en-US" w:bidi="zh-CN"/>
        </w:rPr>
        <w:t>8</w:t>
      </w:r>
      <w:r>
        <w:rPr>
          <w:rFonts w:hint="eastAsia" w:ascii="仿宋_GB2312" w:hAnsi="仿宋" w:eastAsia="仿宋_GB2312" w:cs="仿宋"/>
          <w:kern w:val="0"/>
          <w:sz w:val="32"/>
          <w:szCs w:val="32"/>
          <w:highlight w:val="none"/>
          <w:lang w:bidi="zh-CN"/>
        </w:rPr>
        <w:t>分，得分率100%。</w:t>
      </w:r>
    </w:p>
    <w:tbl>
      <w:tblPr>
        <w:tblStyle w:val="13"/>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09"/>
        <w:gridCol w:w="2268"/>
        <w:gridCol w:w="567"/>
        <w:gridCol w:w="2552"/>
        <w:gridCol w:w="2693"/>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9" w:type="dxa"/>
            <w:vAlign w:val="center"/>
          </w:tcPr>
          <w:p>
            <w:pPr>
              <w:widowControl/>
              <w:jc w:val="center"/>
              <w:textAlignment w:val="center"/>
              <w:rPr>
                <w:sz w:val="20"/>
                <w:szCs w:val="20"/>
                <w:highlight w:val="none"/>
              </w:rPr>
            </w:pPr>
            <w:r>
              <w:rPr>
                <w:rFonts w:hint="eastAsia" w:ascii="宋体" w:hAnsi="宋体" w:cs="宋体"/>
                <w:b/>
                <w:color w:val="000000"/>
                <w:kern w:val="0"/>
                <w:sz w:val="20"/>
                <w:szCs w:val="20"/>
                <w:highlight w:val="none"/>
                <w:lang w:bidi="ar"/>
              </w:rPr>
              <w:t>二级指标</w:t>
            </w:r>
          </w:p>
        </w:tc>
        <w:tc>
          <w:tcPr>
            <w:tcW w:w="709" w:type="dxa"/>
            <w:vAlign w:val="center"/>
          </w:tcPr>
          <w:p>
            <w:pPr>
              <w:widowControl/>
              <w:jc w:val="center"/>
              <w:textAlignment w:val="center"/>
              <w:rPr>
                <w:sz w:val="20"/>
                <w:szCs w:val="20"/>
                <w:highlight w:val="none"/>
              </w:rPr>
            </w:pPr>
            <w:r>
              <w:rPr>
                <w:rFonts w:hint="eastAsia" w:ascii="宋体" w:hAnsi="宋体" w:cs="宋体"/>
                <w:b/>
                <w:color w:val="000000"/>
                <w:kern w:val="0"/>
                <w:sz w:val="20"/>
                <w:szCs w:val="20"/>
                <w:highlight w:val="none"/>
                <w:lang w:bidi="ar"/>
              </w:rPr>
              <w:t>三级指标</w:t>
            </w:r>
          </w:p>
        </w:tc>
        <w:tc>
          <w:tcPr>
            <w:tcW w:w="2268" w:type="dxa"/>
            <w:vAlign w:val="center"/>
          </w:tcPr>
          <w:p>
            <w:pPr>
              <w:widowControl/>
              <w:jc w:val="center"/>
              <w:textAlignment w:val="center"/>
              <w:rPr>
                <w:sz w:val="20"/>
                <w:szCs w:val="20"/>
                <w:highlight w:val="none"/>
              </w:rPr>
            </w:pPr>
            <w:r>
              <w:rPr>
                <w:rFonts w:hint="eastAsia" w:ascii="宋体" w:hAnsi="宋体" w:cs="宋体"/>
                <w:b/>
                <w:color w:val="000000"/>
                <w:kern w:val="0"/>
                <w:sz w:val="20"/>
                <w:szCs w:val="20"/>
                <w:highlight w:val="none"/>
                <w:lang w:bidi="ar"/>
              </w:rPr>
              <w:t>四级指标</w:t>
            </w:r>
          </w:p>
        </w:tc>
        <w:tc>
          <w:tcPr>
            <w:tcW w:w="567" w:type="dxa"/>
            <w:vAlign w:val="center"/>
          </w:tcPr>
          <w:p>
            <w:pPr>
              <w:widowControl/>
              <w:jc w:val="center"/>
              <w:textAlignment w:val="center"/>
              <w:rPr>
                <w:sz w:val="20"/>
                <w:szCs w:val="20"/>
                <w:highlight w:val="none"/>
              </w:rPr>
            </w:pPr>
            <w:r>
              <w:rPr>
                <w:rFonts w:hint="eastAsia" w:ascii="宋体" w:hAnsi="宋体" w:cs="宋体"/>
                <w:b/>
                <w:color w:val="000000"/>
                <w:kern w:val="0"/>
                <w:sz w:val="20"/>
                <w:szCs w:val="20"/>
                <w:highlight w:val="none"/>
                <w:lang w:bidi="ar"/>
              </w:rPr>
              <w:t>分值</w:t>
            </w:r>
          </w:p>
        </w:tc>
        <w:tc>
          <w:tcPr>
            <w:tcW w:w="2552" w:type="dxa"/>
            <w:vAlign w:val="center"/>
          </w:tcPr>
          <w:p>
            <w:pPr>
              <w:widowControl/>
              <w:jc w:val="center"/>
              <w:textAlignment w:val="center"/>
              <w:rPr>
                <w:sz w:val="20"/>
                <w:szCs w:val="20"/>
                <w:highlight w:val="none"/>
              </w:rPr>
            </w:pPr>
            <w:r>
              <w:rPr>
                <w:rFonts w:hint="eastAsia" w:ascii="宋体" w:hAnsi="宋体" w:cs="宋体"/>
                <w:b/>
                <w:color w:val="000000"/>
                <w:kern w:val="0"/>
                <w:sz w:val="20"/>
                <w:szCs w:val="20"/>
                <w:highlight w:val="none"/>
                <w:lang w:bidi="ar"/>
              </w:rPr>
              <w:t>指标评分细则</w:t>
            </w:r>
          </w:p>
        </w:tc>
        <w:tc>
          <w:tcPr>
            <w:tcW w:w="2693" w:type="dxa"/>
            <w:vAlign w:val="center"/>
          </w:tcPr>
          <w:p>
            <w:pPr>
              <w:widowControl/>
              <w:jc w:val="center"/>
              <w:textAlignment w:val="center"/>
              <w:rPr>
                <w:sz w:val="20"/>
                <w:szCs w:val="20"/>
                <w:highlight w:val="none"/>
              </w:rPr>
            </w:pPr>
            <w:r>
              <w:rPr>
                <w:rFonts w:hint="eastAsia" w:ascii="宋体" w:hAnsi="宋体" w:cs="宋体"/>
                <w:b/>
                <w:color w:val="000000"/>
                <w:kern w:val="0"/>
                <w:sz w:val="20"/>
                <w:szCs w:val="20"/>
                <w:highlight w:val="none"/>
                <w:lang w:bidi="ar"/>
              </w:rPr>
              <w:t>评价情况</w:t>
            </w:r>
          </w:p>
        </w:tc>
        <w:tc>
          <w:tcPr>
            <w:tcW w:w="567" w:type="dxa"/>
            <w:vAlign w:val="center"/>
          </w:tcPr>
          <w:p>
            <w:pPr>
              <w:widowControl/>
              <w:jc w:val="center"/>
              <w:textAlignment w:val="center"/>
              <w:rPr>
                <w:sz w:val="20"/>
                <w:szCs w:val="20"/>
                <w:highlight w:val="none"/>
              </w:rPr>
            </w:pPr>
            <w:r>
              <w:rPr>
                <w:rFonts w:hint="eastAsia" w:ascii="宋体" w:hAnsi="宋体" w:cs="宋体"/>
                <w:b/>
                <w:color w:val="000000"/>
                <w:kern w:val="0"/>
                <w:sz w:val="20"/>
                <w:szCs w:val="20"/>
                <w:highlight w:val="none"/>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widowControl/>
              <w:jc w:val="center"/>
              <w:textAlignment w:val="center"/>
              <w:rPr>
                <w:rFonts w:ascii="宋体" w:hAnsi="宋体" w:cs="宋体"/>
                <w:b/>
                <w:color w:val="000000"/>
                <w:kern w:val="0"/>
                <w:sz w:val="20"/>
                <w:szCs w:val="20"/>
                <w:highlight w:val="none"/>
                <w:lang w:bidi="ar"/>
              </w:rPr>
            </w:pPr>
            <w:r>
              <w:rPr>
                <w:rFonts w:hint="eastAsia" w:ascii="宋体" w:hAnsi="宋体" w:cs="宋体"/>
                <w:color w:val="000000"/>
                <w:kern w:val="0"/>
                <w:sz w:val="20"/>
                <w:szCs w:val="20"/>
                <w:highlight w:val="none"/>
                <w:lang w:bidi="ar"/>
              </w:rPr>
              <w:t>A1项目立项（</w:t>
            </w:r>
            <w:r>
              <w:rPr>
                <w:rFonts w:hint="eastAsia" w:ascii="宋体" w:hAnsi="宋体" w:cs="宋体"/>
                <w:color w:val="000000"/>
                <w:kern w:val="0"/>
                <w:sz w:val="20"/>
                <w:szCs w:val="20"/>
                <w:highlight w:val="none"/>
                <w:lang w:val="en-US" w:eastAsia="zh-CN" w:bidi="ar"/>
              </w:rPr>
              <w:t>8</w:t>
            </w:r>
            <w:r>
              <w:rPr>
                <w:rFonts w:hint="eastAsia" w:ascii="宋体" w:hAnsi="宋体" w:cs="宋体"/>
                <w:color w:val="000000"/>
                <w:kern w:val="0"/>
                <w:sz w:val="20"/>
                <w:szCs w:val="20"/>
                <w:highlight w:val="none"/>
                <w:lang w:bidi="ar"/>
              </w:rPr>
              <w:t>分）</w:t>
            </w:r>
          </w:p>
        </w:tc>
        <w:tc>
          <w:tcPr>
            <w:tcW w:w="709" w:type="dxa"/>
            <w:vAlign w:val="center"/>
          </w:tcPr>
          <w:p>
            <w:pPr>
              <w:widowControl/>
              <w:jc w:val="left"/>
              <w:textAlignment w:val="center"/>
              <w:rPr>
                <w:rFonts w:hint="default" w:ascii="宋体" w:hAnsi="宋体" w:cs="宋体"/>
                <w:color w:val="000000"/>
                <w:kern w:val="0"/>
                <w:sz w:val="20"/>
                <w:szCs w:val="20"/>
                <w:highlight w:val="none"/>
                <w:lang w:val="en-US" w:bidi="ar"/>
              </w:rPr>
            </w:pPr>
            <w:r>
              <w:rPr>
                <w:rFonts w:hint="eastAsia" w:ascii="宋体" w:hAnsi="宋体" w:cs="宋体"/>
                <w:color w:val="000000"/>
                <w:kern w:val="0"/>
                <w:sz w:val="20"/>
                <w:szCs w:val="20"/>
                <w:highlight w:val="none"/>
                <w:lang w:val="en-US" w:eastAsia="zh-CN" w:bidi="ar"/>
              </w:rPr>
              <w:t>A11.与部门中长期规划目标适应性（1分）</w:t>
            </w:r>
          </w:p>
        </w:tc>
        <w:tc>
          <w:tcPr>
            <w:tcW w:w="2268"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A111.与部门中长期规划目标匹配性</w:t>
            </w:r>
          </w:p>
        </w:tc>
        <w:tc>
          <w:tcPr>
            <w:tcW w:w="567"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1</w:t>
            </w:r>
          </w:p>
        </w:tc>
        <w:tc>
          <w:tcPr>
            <w:tcW w:w="2552"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考察项目与部门中长期目标是否匹配，匹配，得满分；不匹配，不得分</w:t>
            </w:r>
          </w:p>
        </w:tc>
        <w:tc>
          <w:tcPr>
            <w:tcW w:w="2693"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项目与《东川区铜都街道国民经济和社会发展第十四个五年规划》中长期目标“保障和改善农村民生”相匹配，得1分。</w:t>
            </w:r>
          </w:p>
        </w:tc>
        <w:tc>
          <w:tcPr>
            <w:tcW w:w="567"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ascii="宋体" w:hAnsi="宋体" w:cs="宋体"/>
                <w:b/>
                <w:color w:val="000000"/>
                <w:kern w:val="0"/>
                <w:sz w:val="20"/>
                <w:szCs w:val="20"/>
                <w:highlight w:val="none"/>
                <w:lang w:bidi="ar"/>
              </w:rPr>
            </w:pPr>
          </w:p>
        </w:tc>
        <w:tc>
          <w:tcPr>
            <w:tcW w:w="709" w:type="dxa"/>
            <w:vMerge w:val="restart"/>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A12.立项依据充分性（3分）</w:t>
            </w:r>
          </w:p>
        </w:tc>
        <w:tc>
          <w:tcPr>
            <w:tcW w:w="2268"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A121.与区政府相关规划、决策匹配性</w:t>
            </w:r>
          </w:p>
        </w:tc>
        <w:tc>
          <w:tcPr>
            <w:tcW w:w="567"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2</w:t>
            </w:r>
          </w:p>
        </w:tc>
        <w:tc>
          <w:tcPr>
            <w:tcW w:w="2552"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考察项目是否符合区政府相关发展规划和政府决策，符合，得满分；不符合，不得分。</w:t>
            </w:r>
          </w:p>
        </w:tc>
        <w:tc>
          <w:tcPr>
            <w:tcW w:w="2693"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项目符合区政府相关发展规划和政府决策，得2分。</w:t>
            </w:r>
          </w:p>
        </w:tc>
        <w:tc>
          <w:tcPr>
            <w:tcW w:w="567"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ascii="宋体" w:hAnsi="宋体" w:cs="宋体"/>
                <w:b/>
                <w:color w:val="000000"/>
                <w:kern w:val="0"/>
                <w:sz w:val="20"/>
                <w:szCs w:val="20"/>
                <w:highlight w:val="none"/>
                <w:lang w:bidi="ar"/>
              </w:rPr>
            </w:pPr>
          </w:p>
        </w:tc>
        <w:tc>
          <w:tcPr>
            <w:tcW w:w="709" w:type="dxa"/>
            <w:vMerge w:val="continue"/>
            <w:vAlign w:val="center"/>
          </w:tcPr>
          <w:p>
            <w:pPr>
              <w:widowControl/>
              <w:jc w:val="left"/>
              <w:textAlignment w:val="center"/>
              <w:rPr>
                <w:rFonts w:hint="eastAsia" w:ascii="宋体" w:hAnsi="宋体" w:cs="宋体"/>
                <w:color w:val="000000"/>
                <w:kern w:val="0"/>
                <w:sz w:val="20"/>
                <w:szCs w:val="20"/>
                <w:highlight w:val="none"/>
                <w:lang w:bidi="ar"/>
              </w:rPr>
            </w:pPr>
          </w:p>
        </w:tc>
        <w:tc>
          <w:tcPr>
            <w:tcW w:w="2268"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A122.与部门职责适应性</w:t>
            </w:r>
          </w:p>
        </w:tc>
        <w:tc>
          <w:tcPr>
            <w:tcW w:w="567"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1</w:t>
            </w:r>
          </w:p>
        </w:tc>
        <w:tc>
          <w:tcPr>
            <w:tcW w:w="2552"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考察项目是否与部门职责密切相关，是，得满分；否，不得分。</w:t>
            </w:r>
          </w:p>
        </w:tc>
        <w:tc>
          <w:tcPr>
            <w:tcW w:w="2693"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项目与铜都街道职能部门安环中心职责密切相关，得1分。</w:t>
            </w:r>
          </w:p>
        </w:tc>
        <w:tc>
          <w:tcPr>
            <w:tcW w:w="567"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ascii="宋体" w:hAnsi="宋体" w:cs="宋体"/>
                <w:b/>
                <w:color w:val="000000"/>
                <w:kern w:val="0"/>
                <w:sz w:val="20"/>
                <w:szCs w:val="20"/>
                <w:highlight w:val="none"/>
                <w:lang w:bidi="ar"/>
              </w:rPr>
            </w:pPr>
          </w:p>
        </w:tc>
        <w:tc>
          <w:tcPr>
            <w:tcW w:w="709" w:type="dxa"/>
            <w:vMerge w:val="restart"/>
            <w:vAlign w:val="center"/>
          </w:tcPr>
          <w:p>
            <w:pPr>
              <w:widowControl/>
              <w:jc w:val="left"/>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A13.项目立项规范性（4分）</w:t>
            </w:r>
          </w:p>
        </w:tc>
        <w:tc>
          <w:tcPr>
            <w:tcW w:w="2268"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A131.前期调研情况</w:t>
            </w:r>
          </w:p>
        </w:tc>
        <w:tc>
          <w:tcPr>
            <w:tcW w:w="567"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2</w:t>
            </w:r>
          </w:p>
        </w:tc>
        <w:tc>
          <w:tcPr>
            <w:tcW w:w="2552"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考察项目立项是否经过前期调研，是，得满分；否，不得分。</w:t>
            </w:r>
          </w:p>
        </w:tc>
        <w:tc>
          <w:tcPr>
            <w:tcW w:w="2693"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项目经过前期申报后区财政局预算批复后执行，得2分。</w:t>
            </w:r>
          </w:p>
        </w:tc>
        <w:tc>
          <w:tcPr>
            <w:tcW w:w="567"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ascii="宋体" w:hAnsi="宋体" w:cs="宋体"/>
                <w:b/>
                <w:color w:val="000000"/>
                <w:kern w:val="0"/>
                <w:sz w:val="20"/>
                <w:szCs w:val="20"/>
                <w:highlight w:val="none"/>
                <w:lang w:bidi="ar"/>
              </w:rPr>
            </w:pPr>
          </w:p>
        </w:tc>
        <w:tc>
          <w:tcPr>
            <w:tcW w:w="709" w:type="dxa"/>
            <w:vMerge w:val="continue"/>
            <w:vAlign w:val="center"/>
          </w:tcPr>
          <w:p>
            <w:pPr>
              <w:jc w:val="center"/>
              <w:rPr>
                <w:rFonts w:ascii="宋体" w:hAnsi="宋体" w:cs="宋体"/>
                <w:b/>
                <w:color w:val="000000"/>
                <w:kern w:val="0"/>
                <w:sz w:val="20"/>
                <w:szCs w:val="20"/>
                <w:highlight w:val="none"/>
                <w:lang w:bidi="ar"/>
              </w:rPr>
            </w:pPr>
          </w:p>
        </w:tc>
        <w:tc>
          <w:tcPr>
            <w:tcW w:w="2268"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A132.立项程序规范性</w:t>
            </w:r>
          </w:p>
        </w:tc>
        <w:tc>
          <w:tcPr>
            <w:tcW w:w="567"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2</w:t>
            </w:r>
          </w:p>
        </w:tc>
        <w:tc>
          <w:tcPr>
            <w:tcW w:w="2552"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考察项目的申请、设立过程是否符合相关要求，是，得满分；否，不得分。</w:t>
            </w:r>
          </w:p>
        </w:tc>
        <w:tc>
          <w:tcPr>
            <w:tcW w:w="2693"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项目根据区财政相关要求，结合铜都街道十三五规划、东办发【2015】3号文件、铜都街道安环中心2019年工作总结、铜都街道安环中心2020年工作计划，安环中心2020年监管计划表、安环中心安全生产专项资金实施方案进行了充分论证，得2分。</w:t>
            </w:r>
          </w:p>
        </w:tc>
        <w:tc>
          <w:tcPr>
            <w:tcW w:w="567" w:type="dxa"/>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val="en-US" w:eastAsia="zh-CN" w:bidi="ar"/>
              </w:rPr>
              <w:t>2</w:t>
            </w:r>
          </w:p>
        </w:tc>
      </w:tr>
    </w:tbl>
    <w:p>
      <w:pPr>
        <w:rPr>
          <w:rFonts w:ascii="仿宋_GB2312" w:hAnsi="仿宋" w:eastAsia="仿宋_GB2312" w:cs="仿宋"/>
          <w:kern w:val="0"/>
          <w:sz w:val="32"/>
          <w:szCs w:val="32"/>
          <w:highlight w:val="none"/>
          <w:lang w:bidi="zh-CN"/>
        </w:rPr>
      </w:pPr>
      <w:r>
        <w:rPr>
          <w:rFonts w:hint="eastAsia" w:ascii="仿宋_GB2312" w:hAnsi="仿宋" w:eastAsia="仿宋_GB2312" w:cs="仿宋"/>
          <w:kern w:val="0"/>
          <w:sz w:val="32"/>
          <w:szCs w:val="32"/>
          <w:highlight w:val="none"/>
          <w:lang w:bidi="zh-CN"/>
        </w:rPr>
        <w:t>2.项目目标指标分值</w:t>
      </w:r>
      <w:r>
        <w:rPr>
          <w:rFonts w:hint="eastAsia" w:ascii="仿宋_GB2312" w:hAnsi="仿宋" w:eastAsia="仿宋_GB2312" w:cs="仿宋"/>
          <w:kern w:val="0"/>
          <w:sz w:val="32"/>
          <w:szCs w:val="32"/>
          <w:highlight w:val="none"/>
          <w:lang w:val="en-US" w:bidi="zh-CN"/>
        </w:rPr>
        <w:t>12</w:t>
      </w:r>
      <w:r>
        <w:rPr>
          <w:rFonts w:hint="eastAsia" w:ascii="仿宋_GB2312" w:hAnsi="仿宋" w:eastAsia="仿宋_GB2312" w:cs="仿宋"/>
          <w:kern w:val="0"/>
          <w:sz w:val="32"/>
          <w:szCs w:val="32"/>
          <w:highlight w:val="none"/>
          <w:lang w:bidi="zh-CN"/>
        </w:rPr>
        <w:t>分，评价得分</w:t>
      </w:r>
      <w:r>
        <w:rPr>
          <w:rFonts w:hint="eastAsia" w:ascii="仿宋_GB2312" w:hAnsi="仿宋" w:eastAsia="仿宋_GB2312" w:cs="仿宋"/>
          <w:kern w:val="0"/>
          <w:sz w:val="32"/>
          <w:szCs w:val="32"/>
          <w:highlight w:val="none"/>
          <w:lang w:val="en-US" w:bidi="zh-CN"/>
        </w:rPr>
        <w:t>12</w:t>
      </w:r>
      <w:r>
        <w:rPr>
          <w:rFonts w:hint="eastAsia" w:ascii="仿宋_GB2312" w:hAnsi="仿宋" w:eastAsia="仿宋_GB2312" w:cs="仿宋"/>
          <w:kern w:val="0"/>
          <w:sz w:val="32"/>
          <w:szCs w:val="32"/>
          <w:highlight w:val="none"/>
          <w:lang w:bidi="zh-CN"/>
        </w:rPr>
        <w:t>分，得分率100%。</w:t>
      </w:r>
    </w:p>
    <w:tbl>
      <w:tblPr>
        <w:tblStyle w:val="13"/>
        <w:tblW w:w="989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09"/>
        <w:gridCol w:w="2410"/>
        <w:gridCol w:w="567"/>
        <w:gridCol w:w="2552"/>
        <w:gridCol w:w="2470"/>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jc w:val="left"/>
              <w:textAlignment w:val="center"/>
              <w:rPr>
                <w:sz w:val="20"/>
                <w:szCs w:val="20"/>
                <w:highlight w:val="none"/>
              </w:rPr>
            </w:pPr>
            <w:r>
              <w:rPr>
                <w:rFonts w:hint="eastAsia" w:ascii="宋体" w:hAnsi="宋体" w:cs="宋体"/>
                <w:b/>
                <w:color w:val="000000"/>
                <w:kern w:val="0"/>
                <w:sz w:val="20"/>
                <w:szCs w:val="20"/>
                <w:highlight w:val="none"/>
                <w:lang w:bidi="ar"/>
              </w:rPr>
              <w:t>二级指标</w:t>
            </w:r>
          </w:p>
        </w:tc>
        <w:tc>
          <w:tcPr>
            <w:tcW w:w="709" w:type="dxa"/>
            <w:vAlign w:val="center"/>
          </w:tcPr>
          <w:p>
            <w:pPr>
              <w:widowControl/>
              <w:jc w:val="left"/>
              <w:textAlignment w:val="center"/>
              <w:rPr>
                <w:sz w:val="20"/>
                <w:szCs w:val="20"/>
                <w:highlight w:val="none"/>
              </w:rPr>
            </w:pPr>
            <w:r>
              <w:rPr>
                <w:rFonts w:hint="eastAsia" w:ascii="宋体" w:hAnsi="宋体" w:cs="宋体"/>
                <w:b/>
                <w:color w:val="000000"/>
                <w:kern w:val="0"/>
                <w:sz w:val="20"/>
                <w:szCs w:val="20"/>
                <w:highlight w:val="none"/>
                <w:lang w:bidi="ar"/>
              </w:rPr>
              <w:t>三级指标</w:t>
            </w:r>
          </w:p>
        </w:tc>
        <w:tc>
          <w:tcPr>
            <w:tcW w:w="2410" w:type="dxa"/>
            <w:vAlign w:val="center"/>
          </w:tcPr>
          <w:p>
            <w:pPr>
              <w:widowControl/>
              <w:jc w:val="left"/>
              <w:textAlignment w:val="center"/>
              <w:rPr>
                <w:sz w:val="20"/>
                <w:szCs w:val="20"/>
                <w:highlight w:val="none"/>
              </w:rPr>
            </w:pPr>
            <w:r>
              <w:rPr>
                <w:rFonts w:hint="eastAsia" w:ascii="宋体" w:hAnsi="宋体" w:cs="宋体"/>
                <w:b/>
                <w:color w:val="000000"/>
                <w:kern w:val="0"/>
                <w:sz w:val="20"/>
                <w:szCs w:val="20"/>
                <w:highlight w:val="none"/>
                <w:lang w:bidi="ar"/>
              </w:rPr>
              <w:t>四级指标</w:t>
            </w:r>
          </w:p>
        </w:tc>
        <w:tc>
          <w:tcPr>
            <w:tcW w:w="567" w:type="dxa"/>
            <w:vAlign w:val="center"/>
          </w:tcPr>
          <w:p>
            <w:pPr>
              <w:widowControl/>
              <w:jc w:val="left"/>
              <w:textAlignment w:val="center"/>
              <w:rPr>
                <w:sz w:val="20"/>
                <w:szCs w:val="20"/>
                <w:highlight w:val="none"/>
              </w:rPr>
            </w:pPr>
            <w:r>
              <w:rPr>
                <w:rFonts w:hint="eastAsia" w:ascii="宋体" w:hAnsi="宋体" w:cs="宋体"/>
                <w:b/>
                <w:color w:val="000000"/>
                <w:kern w:val="0"/>
                <w:sz w:val="20"/>
                <w:szCs w:val="20"/>
                <w:highlight w:val="none"/>
                <w:lang w:bidi="ar"/>
              </w:rPr>
              <w:t>分值</w:t>
            </w:r>
          </w:p>
        </w:tc>
        <w:tc>
          <w:tcPr>
            <w:tcW w:w="2552" w:type="dxa"/>
            <w:vAlign w:val="center"/>
          </w:tcPr>
          <w:p>
            <w:pPr>
              <w:widowControl/>
              <w:jc w:val="left"/>
              <w:textAlignment w:val="center"/>
              <w:rPr>
                <w:sz w:val="20"/>
                <w:szCs w:val="20"/>
                <w:highlight w:val="none"/>
              </w:rPr>
            </w:pPr>
            <w:r>
              <w:rPr>
                <w:rFonts w:hint="eastAsia" w:ascii="宋体" w:hAnsi="宋体" w:cs="宋体"/>
                <w:b/>
                <w:color w:val="000000"/>
                <w:kern w:val="0"/>
                <w:sz w:val="20"/>
                <w:szCs w:val="20"/>
                <w:highlight w:val="none"/>
                <w:lang w:bidi="ar"/>
              </w:rPr>
              <w:t>指标评分细则</w:t>
            </w:r>
          </w:p>
        </w:tc>
        <w:tc>
          <w:tcPr>
            <w:tcW w:w="2470" w:type="dxa"/>
            <w:vAlign w:val="center"/>
          </w:tcPr>
          <w:p>
            <w:pPr>
              <w:widowControl/>
              <w:jc w:val="left"/>
              <w:textAlignment w:val="center"/>
              <w:rPr>
                <w:sz w:val="20"/>
                <w:szCs w:val="20"/>
                <w:highlight w:val="none"/>
              </w:rPr>
            </w:pPr>
            <w:r>
              <w:rPr>
                <w:rFonts w:hint="eastAsia" w:ascii="宋体" w:hAnsi="宋体" w:cs="宋体"/>
                <w:b/>
                <w:color w:val="000000"/>
                <w:kern w:val="0"/>
                <w:sz w:val="20"/>
                <w:szCs w:val="20"/>
                <w:highlight w:val="none"/>
                <w:lang w:bidi="ar"/>
              </w:rPr>
              <w:t>评价情况</w:t>
            </w:r>
          </w:p>
        </w:tc>
        <w:tc>
          <w:tcPr>
            <w:tcW w:w="480" w:type="dxa"/>
            <w:vAlign w:val="center"/>
          </w:tcPr>
          <w:p>
            <w:pPr>
              <w:widowControl/>
              <w:jc w:val="left"/>
              <w:textAlignment w:val="center"/>
              <w:rPr>
                <w:sz w:val="20"/>
                <w:szCs w:val="20"/>
                <w:highlight w:val="none"/>
              </w:rPr>
            </w:pPr>
            <w:r>
              <w:rPr>
                <w:rFonts w:hint="eastAsia" w:ascii="宋体" w:hAnsi="宋体" w:cs="宋体"/>
                <w:b/>
                <w:color w:val="000000"/>
                <w:kern w:val="0"/>
                <w:sz w:val="20"/>
                <w:szCs w:val="20"/>
                <w:highlight w:val="none"/>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widowControl/>
              <w:jc w:val="center"/>
              <w:textAlignment w:val="center"/>
              <w:rPr>
                <w:rFonts w:ascii="宋体" w:hAnsi="宋体" w:cs="宋体"/>
                <w:b/>
                <w:color w:val="000000"/>
                <w:kern w:val="0"/>
                <w:sz w:val="20"/>
                <w:szCs w:val="20"/>
                <w:highlight w:val="none"/>
                <w:lang w:bidi="ar"/>
              </w:rPr>
            </w:pPr>
            <w:r>
              <w:rPr>
                <w:rFonts w:hint="eastAsia" w:ascii="宋体" w:hAnsi="宋体" w:cs="宋体"/>
                <w:color w:val="000000"/>
                <w:kern w:val="0"/>
                <w:sz w:val="20"/>
                <w:szCs w:val="20"/>
                <w:highlight w:val="none"/>
                <w:lang w:bidi="ar"/>
              </w:rPr>
              <w:t>A2</w:t>
            </w:r>
            <w:r>
              <w:rPr>
                <w:rFonts w:hint="eastAsia" w:ascii="宋体" w:hAnsi="宋体" w:cs="宋体"/>
                <w:color w:val="000000"/>
                <w:kern w:val="0"/>
                <w:sz w:val="20"/>
                <w:szCs w:val="20"/>
                <w:highlight w:val="none"/>
                <w:lang w:eastAsia="zh-CN" w:bidi="ar"/>
              </w:rPr>
              <w:t>项目</w:t>
            </w:r>
            <w:r>
              <w:rPr>
                <w:rFonts w:hint="eastAsia" w:ascii="宋体" w:hAnsi="宋体" w:cs="宋体"/>
                <w:color w:val="000000"/>
                <w:kern w:val="0"/>
                <w:sz w:val="20"/>
                <w:szCs w:val="20"/>
                <w:highlight w:val="none"/>
                <w:lang w:bidi="ar"/>
              </w:rPr>
              <w:t>目标（</w:t>
            </w:r>
            <w:r>
              <w:rPr>
                <w:rFonts w:hint="eastAsia" w:ascii="宋体" w:hAnsi="宋体" w:cs="宋体"/>
                <w:color w:val="000000"/>
                <w:kern w:val="0"/>
                <w:sz w:val="20"/>
                <w:szCs w:val="20"/>
                <w:highlight w:val="none"/>
                <w:lang w:val="en-US" w:eastAsia="zh-CN" w:bidi="ar"/>
              </w:rPr>
              <w:t>12</w:t>
            </w:r>
            <w:r>
              <w:rPr>
                <w:rFonts w:hint="eastAsia" w:ascii="宋体" w:hAnsi="宋体" w:cs="宋体"/>
                <w:color w:val="000000"/>
                <w:kern w:val="0"/>
                <w:sz w:val="20"/>
                <w:szCs w:val="20"/>
                <w:highlight w:val="none"/>
                <w:lang w:bidi="ar"/>
              </w:rPr>
              <w:t>分）</w:t>
            </w:r>
          </w:p>
        </w:tc>
        <w:tc>
          <w:tcPr>
            <w:tcW w:w="709" w:type="dxa"/>
            <w:vMerge w:val="restart"/>
            <w:vAlign w:val="center"/>
          </w:tcPr>
          <w:p>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A21.绩效目标设定的合理性</w:t>
            </w:r>
          </w:p>
        </w:tc>
        <w:tc>
          <w:tcPr>
            <w:tcW w:w="2410" w:type="dxa"/>
            <w:vAlign w:val="center"/>
          </w:tcPr>
          <w:p>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A211.绩效目标相关性</w:t>
            </w:r>
          </w:p>
        </w:tc>
        <w:tc>
          <w:tcPr>
            <w:tcW w:w="567" w:type="dxa"/>
            <w:vAlign w:val="center"/>
          </w:tcPr>
          <w:p>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w:t>
            </w:r>
          </w:p>
        </w:tc>
        <w:tc>
          <w:tcPr>
            <w:tcW w:w="2552" w:type="dxa"/>
            <w:vAlign w:val="center"/>
          </w:tcPr>
          <w:p>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考察设定的绩效目标是否与事业发展规划相关，是，得满分；否，不得分。</w:t>
            </w:r>
          </w:p>
        </w:tc>
        <w:tc>
          <w:tcPr>
            <w:tcW w:w="2470" w:type="dxa"/>
            <w:vAlign w:val="center"/>
          </w:tcPr>
          <w:p>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项目绩效目标与《东川区铜都街道国民经济和社会发展第十四个五年规划》中“保障和改善农村民生”发展规划相关，得2分。</w:t>
            </w:r>
          </w:p>
        </w:tc>
        <w:tc>
          <w:tcPr>
            <w:tcW w:w="480" w:type="dxa"/>
            <w:vAlign w:val="center"/>
          </w:tcPr>
          <w:p>
            <w:pPr>
              <w:widowControl/>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ascii="宋体" w:hAnsi="宋体" w:cs="宋体"/>
                <w:b/>
                <w:color w:val="000000"/>
                <w:kern w:val="0"/>
                <w:sz w:val="20"/>
                <w:szCs w:val="20"/>
                <w:highlight w:val="none"/>
                <w:lang w:bidi="ar"/>
              </w:rPr>
            </w:pPr>
          </w:p>
        </w:tc>
        <w:tc>
          <w:tcPr>
            <w:tcW w:w="709"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2410"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A212.绩效目标完整性</w:t>
            </w:r>
          </w:p>
        </w:tc>
        <w:tc>
          <w:tcPr>
            <w:tcW w:w="567"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2</w:t>
            </w:r>
          </w:p>
        </w:tc>
        <w:tc>
          <w:tcPr>
            <w:tcW w:w="2552"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考察设定的绩效目标是否完整地反应预期产出和效果，是，得满分；否，不得分。</w:t>
            </w:r>
          </w:p>
        </w:tc>
        <w:tc>
          <w:tcPr>
            <w:tcW w:w="2470"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项目绩效目标完整地反应预期产出和效果，包括：1.着力从宣传和预防来实现零事故，确保安全生产，2.着力隐患整治，加强城市精细化管理，持续提升城市功能品质，3.着力实施村（社区）安全管理，激发村社区新活力，推动街道安全融合发展；得2分。</w:t>
            </w:r>
          </w:p>
        </w:tc>
        <w:tc>
          <w:tcPr>
            <w:tcW w:w="480"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ascii="宋体" w:hAnsi="宋体" w:cs="宋体"/>
                <w:b/>
                <w:color w:val="000000"/>
                <w:kern w:val="0"/>
                <w:sz w:val="20"/>
                <w:szCs w:val="20"/>
                <w:highlight w:val="none"/>
                <w:lang w:bidi="ar"/>
              </w:rPr>
            </w:pPr>
          </w:p>
        </w:tc>
        <w:tc>
          <w:tcPr>
            <w:tcW w:w="709"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2410"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A213.目标与预算的匹配性</w:t>
            </w:r>
          </w:p>
        </w:tc>
        <w:tc>
          <w:tcPr>
            <w:tcW w:w="567"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2</w:t>
            </w:r>
          </w:p>
        </w:tc>
        <w:tc>
          <w:tcPr>
            <w:tcW w:w="2552"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考察设定的绩效目标是否与年度预算相匹配，是，得满分；否，不得分。</w:t>
            </w:r>
          </w:p>
        </w:tc>
        <w:tc>
          <w:tcPr>
            <w:tcW w:w="2470"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绩效目标为15万元，预算批复15万元，铜都街道析置分6万元至碧谷街道后余9万元，与绩效目标匹配，得2分。</w:t>
            </w:r>
          </w:p>
        </w:tc>
        <w:tc>
          <w:tcPr>
            <w:tcW w:w="480"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ascii="宋体" w:hAnsi="宋体" w:cs="宋体"/>
                <w:b/>
                <w:color w:val="000000"/>
                <w:kern w:val="0"/>
                <w:sz w:val="20"/>
                <w:szCs w:val="20"/>
                <w:highlight w:val="none"/>
                <w:lang w:bidi="ar"/>
              </w:rPr>
            </w:pPr>
          </w:p>
        </w:tc>
        <w:tc>
          <w:tcPr>
            <w:tcW w:w="709" w:type="dxa"/>
            <w:vMerge w:val="restart"/>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A22.绩效指标设定的明确性</w:t>
            </w:r>
          </w:p>
        </w:tc>
        <w:tc>
          <w:tcPr>
            <w:tcW w:w="2410" w:type="dxa"/>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A221.指标细化分解情况</w:t>
            </w:r>
          </w:p>
        </w:tc>
        <w:tc>
          <w:tcPr>
            <w:tcW w:w="567" w:type="dxa"/>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3</w:t>
            </w:r>
          </w:p>
        </w:tc>
        <w:tc>
          <w:tcPr>
            <w:tcW w:w="2552" w:type="dxa"/>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考察是否将绩效目标细化分解为清晰、可衡量的绩效指标，是，得满分；否，不得分。</w:t>
            </w:r>
          </w:p>
        </w:tc>
        <w:tc>
          <w:tcPr>
            <w:tcW w:w="2470" w:type="dxa"/>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绩效目标已细化分解为可衡量的绩效指标，得3分。</w:t>
            </w:r>
          </w:p>
        </w:tc>
        <w:tc>
          <w:tcPr>
            <w:tcW w:w="480" w:type="dxa"/>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ascii="宋体" w:hAnsi="宋体" w:cs="宋体"/>
                <w:b/>
                <w:color w:val="000000"/>
                <w:kern w:val="0"/>
                <w:sz w:val="20"/>
                <w:szCs w:val="20"/>
                <w:highlight w:val="none"/>
                <w:lang w:bidi="ar"/>
              </w:rPr>
            </w:pPr>
          </w:p>
        </w:tc>
        <w:tc>
          <w:tcPr>
            <w:tcW w:w="709"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2410"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A222.指标与目标的匹配性</w:t>
            </w:r>
          </w:p>
        </w:tc>
        <w:tc>
          <w:tcPr>
            <w:tcW w:w="567"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3</w:t>
            </w:r>
          </w:p>
        </w:tc>
        <w:tc>
          <w:tcPr>
            <w:tcW w:w="2552"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考察设定的绩效指标是否与年度工作任务相对应，是，得满分；否，不得分。</w:t>
            </w:r>
          </w:p>
        </w:tc>
        <w:tc>
          <w:tcPr>
            <w:tcW w:w="2470"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绩效指标是否与年度工作任务相对应，得3分。</w:t>
            </w:r>
          </w:p>
        </w:tc>
        <w:tc>
          <w:tcPr>
            <w:tcW w:w="480"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3</w:t>
            </w:r>
          </w:p>
        </w:tc>
      </w:tr>
    </w:tbl>
    <w:p>
      <w:pPr>
        <w:pStyle w:val="3"/>
        <w:adjustRightInd w:val="0"/>
        <w:snapToGrid w:val="0"/>
        <w:spacing w:before="0" w:after="0" w:line="600" w:lineRule="atLeast"/>
        <w:ind w:firstLine="640" w:firstLineChars="200"/>
        <w:rPr>
          <w:rFonts w:ascii="楷体_GB2312" w:eastAsia="楷体_GB2312"/>
          <w:b w:val="0"/>
          <w:bCs w:val="0"/>
          <w:highlight w:val="none"/>
        </w:rPr>
      </w:pPr>
      <w:bookmarkStart w:id="28" w:name="_Toc57188370"/>
      <w:bookmarkStart w:id="29" w:name="_Toc54348640"/>
      <w:r>
        <w:rPr>
          <w:rFonts w:hint="eastAsia" w:ascii="楷体_GB2312" w:eastAsia="楷体_GB2312"/>
          <w:b w:val="0"/>
          <w:bCs w:val="0"/>
          <w:highlight w:val="none"/>
        </w:rPr>
        <w:t>（二）项目</w:t>
      </w:r>
      <w:r>
        <w:rPr>
          <w:rFonts w:hint="eastAsia" w:ascii="楷体_GB2312" w:eastAsia="楷体_GB2312"/>
          <w:b w:val="0"/>
          <w:bCs w:val="0"/>
          <w:highlight w:val="none"/>
          <w:lang w:eastAsia="zh-CN"/>
        </w:rPr>
        <w:t>管理</w:t>
      </w:r>
      <w:r>
        <w:rPr>
          <w:rFonts w:hint="eastAsia" w:ascii="楷体_GB2312" w:eastAsia="楷体_GB2312"/>
          <w:b w:val="0"/>
          <w:bCs w:val="0"/>
          <w:highlight w:val="none"/>
        </w:rPr>
        <w:t>情况</w:t>
      </w:r>
      <w:bookmarkEnd w:id="28"/>
      <w:bookmarkEnd w:id="29"/>
    </w:p>
    <w:p>
      <w:pPr>
        <w:adjustRightInd w:val="0"/>
        <w:snapToGrid w:val="0"/>
        <w:spacing w:line="600" w:lineRule="atLeast"/>
        <w:ind w:firstLine="640" w:firstLineChars="200"/>
        <w:rPr>
          <w:rFonts w:ascii="仿宋_GB2312" w:hAnsi="仿宋" w:eastAsia="仿宋_GB2312" w:cs="仿宋"/>
          <w:kern w:val="0"/>
          <w:sz w:val="32"/>
          <w:szCs w:val="32"/>
          <w:highlight w:val="none"/>
          <w:lang w:bidi="zh-CN"/>
        </w:rPr>
      </w:pPr>
      <w:r>
        <w:rPr>
          <w:rFonts w:hint="eastAsia" w:ascii="仿宋_GB2312" w:hAnsi="仿宋" w:eastAsia="仿宋_GB2312" w:cs="仿宋"/>
          <w:kern w:val="0"/>
          <w:sz w:val="32"/>
          <w:szCs w:val="32"/>
          <w:highlight w:val="none"/>
          <w:lang w:bidi="zh-CN"/>
        </w:rPr>
        <w:t>项目管理指标分值20分，分别从投入管理、财务管理、项目实施三个方面对项目的管理过程进行考核：20</w:t>
      </w:r>
      <w:r>
        <w:rPr>
          <w:rFonts w:hint="eastAsia" w:ascii="仿宋_GB2312" w:hAnsi="仿宋" w:eastAsia="仿宋_GB2312" w:cs="仿宋"/>
          <w:kern w:val="0"/>
          <w:sz w:val="32"/>
          <w:szCs w:val="32"/>
          <w:highlight w:val="none"/>
          <w:lang w:val="en-US" w:bidi="zh-CN"/>
        </w:rPr>
        <w:t>20</w:t>
      </w:r>
      <w:r>
        <w:rPr>
          <w:rFonts w:hint="eastAsia" w:ascii="仿宋_GB2312" w:hAnsi="仿宋" w:eastAsia="仿宋_GB2312" w:cs="仿宋"/>
          <w:kern w:val="0"/>
          <w:sz w:val="32"/>
          <w:szCs w:val="32"/>
          <w:highlight w:val="none"/>
          <w:lang w:bidi="zh-CN"/>
        </w:rPr>
        <w:t>年基层安全环保经费项目重点绩效评价资金存在执行进度偏低的问题，为</w:t>
      </w:r>
      <w:r>
        <w:rPr>
          <w:rFonts w:hint="eastAsia" w:ascii="仿宋_GB2312" w:hAnsi="仿宋" w:eastAsia="仿宋_GB2312" w:cs="仿宋"/>
          <w:kern w:val="0"/>
          <w:sz w:val="32"/>
          <w:szCs w:val="32"/>
          <w:highlight w:val="none"/>
          <w:lang w:val="en-US" w:bidi="zh-CN"/>
        </w:rPr>
        <w:t>29.04</w:t>
      </w:r>
      <w:r>
        <w:rPr>
          <w:rFonts w:hint="eastAsia" w:ascii="仿宋_GB2312" w:hAnsi="仿宋" w:eastAsia="仿宋_GB2312" w:cs="仿宋"/>
          <w:kern w:val="0"/>
          <w:sz w:val="32"/>
          <w:szCs w:val="32"/>
          <w:highlight w:val="none"/>
          <w:lang w:bidi="zh-CN"/>
        </w:rPr>
        <w:t>%，；项目资金使用方面符合国家财经法规和财务管理制度，资金拨付具有完整的审批程序和手续；项目已制定或具有相应的财务和业务管理制度，但无项目的财务管理办法；项目实施过程管理资料保存齐全，但在项目合同订立方面存在约定事项不完整的情况。综上，该指标评价得分</w:t>
      </w:r>
      <w:r>
        <w:rPr>
          <w:rFonts w:hint="eastAsia" w:ascii="仿宋_GB2312" w:hAnsi="仿宋" w:eastAsia="仿宋_GB2312" w:cs="仿宋"/>
          <w:kern w:val="0"/>
          <w:sz w:val="32"/>
          <w:szCs w:val="32"/>
          <w:highlight w:val="none"/>
          <w:lang w:val="en-US" w:bidi="zh-CN"/>
        </w:rPr>
        <w:t>12</w:t>
      </w:r>
      <w:r>
        <w:rPr>
          <w:rFonts w:hint="eastAsia" w:ascii="仿宋_GB2312" w:hAnsi="仿宋" w:eastAsia="仿宋_GB2312" w:cs="仿宋"/>
          <w:kern w:val="0"/>
          <w:sz w:val="32"/>
          <w:szCs w:val="32"/>
          <w:highlight w:val="none"/>
          <w:lang w:bidi="zh-CN"/>
        </w:rPr>
        <w:t>分，得分率为</w:t>
      </w:r>
      <w:r>
        <w:rPr>
          <w:rFonts w:hint="eastAsia" w:ascii="仿宋_GB2312" w:hAnsi="仿宋" w:eastAsia="仿宋_GB2312" w:cs="仿宋"/>
          <w:kern w:val="0"/>
          <w:sz w:val="32"/>
          <w:szCs w:val="32"/>
          <w:highlight w:val="none"/>
          <w:lang w:val="en-US" w:bidi="zh-CN"/>
        </w:rPr>
        <w:t>60</w:t>
      </w:r>
      <w:r>
        <w:rPr>
          <w:rFonts w:hint="eastAsia" w:ascii="仿宋_GB2312" w:hAnsi="仿宋" w:eastAsia="仿宋_GB2312" w:cs="仿宋"/>
          <w:kern w:val="0"/>
          <w:sz w:val="32"/>
          <w:szCs w:val="32"/>
          <w:highlight w:val="none"/>
          <w:lang w:bidi="zh-CN"/>
        </w:rPr>
        <w:t>%。具体为：</w:t>
      </w:r>
    </w:p>
    <w:p>
      <w:pPr>
        <w:adjustRightInd w:val="0"/>
        <w:snapToGrid w:val="0"/>
        <w:spacing w:line="600" w:lineRule="atLeast"/>
        <w:ind w:firstLine="640" w:firstLineChars="200"/>
        <w:rPr>
          <w:rFonts w:ascii="仿宋_GB2312" w:hAnsi="仿宋" w:eastAsia="仿宋_GB2312" w:cs="仿宋"/>
          <w:kern w:val="0"/>
          <w:sz w:val="32"/>
          <w:szCs w:val="32"/>
          <w:highlight w:val="none"/>
          <w:lang w:bidi="zh-CN"/>
        </w:rPr>
      </w:pPr>
      <w:r>
        <w:rPr>
          <w:rFonts w:hint="eastAsia" w:ascii="仿宋_GB2312" w:hAnsi="仿宋" w:eastAsia="仿宋_GB2312" w:cs="仿宋"/>
          <w:kern w:val="0"/>
          <w:sz w:val="32"/>
          <w:szCs w:val="32"/>
          <w:highlight w:val="none"/>
          <w:lang w:bidi="zh-CN"/>
        </w:rPr>
        <w:t>1.投入管理指标分值</w:t>
      </w:r>
      <w:r>
        <w:rPr>
          <w:rFonts w:hint="eastAsia" w:ascii="仿宋_GB2312" w:hAnsi="仿宋" w:eastAsia="仿宋_GB2312" w:cs="仿宋"/>
          <w:kern w:val="0"/>
          <w:sz w:val="32"/>
          <w:szCs w:val="32"/>
          <w:highlight w:val="none"/>
          <w:lang w:val="en-US" w:bidi="zh-CN"/>
        </w:rPr>
        <w:t>4</w:t>
      </w:r>
      <w:r>
        <w:rPr>
          <w:rFonts w:hint="eastAsia" w:ascii="仿宋_GB2312" w:hAnsi="仿宋" w:eastAsia="仿宋_GB2312" w:cs="仿宋"/>
          <w:kern w:val="0"/>
          <w:sz w:val="32"/>
          <w:szCs w:val="32"/>
          <w:highlight w:val="none"/>
          <w:lang w:bidi="zh-CN"/>
        </w:rPr>
        <w:t>分，评价得分</w:t>
      </w:r>
      <w:r>
        <w:rPr>
          <w:rFonts w:hint="eastAsia" w:ascii="仿宋_GB2312" w:hAnsi="仿宋" w:eastAsia="仿宋_GB2312" w:cs="仿宋"/>
          <w:kern w:val="0"/>
          <w:sz w:val="32"/>
          <w:szCs w:val="32"/>
          <w:highlight w:val="none"/>
          <w:lang w:val="en-US" w:bidi="zh-CN"/>
        </w:rPr>
        <w:t>2</w:t>
      </w:r>
      <w:r>
        <w:rPr>
          <w:rFonts w:hint="eastAsia" w:ascii="仿宋_GB2312" w:hAnsi="仿宋" w:eastAsia="仿宋_GB2312" w:cs="仿宋"/>
          <w:kern w:val="0"/>
          <w:sz w:val="32"/>
          <w:szCs w:val="32"/>
          <w:highlight w:val="none"/>
          <w:lang w:bidi="zh-CN"/>
        </w:rPr>
        <w:t>分，得分率</w:t>
      </w:r>
      <w:r>
        <w:rPr>
          <w:rFonts w:hint="eastAsia" w:ascii="仿宋_GB2312" w:hAnsi="仿宋" w:eastAsia="仿宋_GB2312" w:cs="仿宋"/>
          <w:kern w:val="0"/>
          <w:sz w:val="32"/>
          <w:szCs w:val="32"/>
          <w:highlight w:val="none"/>
          <w:lang w:val="en-US" w:bidi="zh-CN"/>
        </w:rPr>
        <w:t>50</w:t>
      </w:r>
      <w:r>
        <w:rPr>
          <w:rFonts w:hint="eastAsia" w:ascii="仿宋_GB2312" w:hAnsi="仿宋" w:eastAsia="仿宋_GB2312" w:cs="仿宋"/>
          <w:kern w:val="0"/>
          <w:sz w:val="32"/>
          <w:szCs w:val="32"/>
          <w:highlight w:val="none"/>
          <w:lang w:bidi="zh-CN"/>
        </w:rPr>
        <w:t>%，扣分项主要原因为预算执行率偏低。</w:t>
      </w:r>
    </w:p>
    <w:tbl>
      <w:tblPr>
        <w:tblStyle w:val="13"/>
        <w:tblW w:w="989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88"/>
        <w:gridCol w:w="962"/>
        <w:gridCol w:w="367"/>
        <w:gridCol w:w="3366"/>
        <w:gridCol w:w="3067"/>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9" w:type="dxa"/>
            <w:vAlign w:val="center"/>
          </w:tcPr>
          <w:p>
            <w:pPr>
              <w:widowControl/>
              <w:jc w:val="center"/>
              <w:textAlignment w:val="center"/>
              <w:rPr>
                <w:sz w:val="20"/>
                <w:szCs w:val="20"/>
                <w:highlight w:val="none"/>
              </w:rPr>
            </w:pPr>
            <w:r>
              <w:rPr>
                <w:rFonts w:hint="eastAsia" w:ascii="宋体" w:hAnsi="宋体" w:cs="宋体"/>
                <w:b/>
                <w:color w:val="000000"/>
                <w:kern w:val="0"/>
                <w:sz w:val="20"/>
                <w:szCs w:val="20"/>
                <w:highlight w:val="none"/>
                <w:lang w:bidi="ar"/>
              </w:rPr>
              <w:t>二级指标</w:t>
            </w:r>
          </w:p>
        </w:tc>
        <w:tc>
          <w:tcPr>
            <w:tcW w:w="988" w:type="dxa"/>
            <w:vAlign w:val="center"/>
          </w:tcPr>
          <w:p>
            <w:pPr>
              <w:widowControl/>
              <w:jc w:val="center"/>
              <w:textAlignment w:val="center"/>
              <w:rPr>
                <w:sz w:val="20"/>
                <w:szCs w:val="20"/>
                <w:highlight w:val="none"/>
              </w:rPr>
            </w:pPr>
            <w:r>
              <w:rPr>
                <w:rFonts w:hint="eastAsia" w:ascii="宋体" w:hAnsi="宋体" w:cs="宋体"/>
                <w:b/>
                <w:color w:val="000000"/>
                <w:kern w:val="0"/>
                <w:sz w:val="20"/>
                <w:szCs w:val="20"/>
                <w:highlight w:val="none"/>
                <w:lang w:bidi="ar"/>
              </w:rPr>
              <w:t>三级指标</w:t>
            </w:r>
          </w:p>
        </w:tc>
        <w:tc>
          <w:tcPr>
            <w:tcW w:w="962" w:type="dxa"/>
            <w:vAlign w:val="center"/>
          </w:tcPr>
          <w:p>
            <w:pPr>
              <w:widowControl/>
              <w:jc w:val="center"/>
              <w:textAlignment w:val="center"/>
              <w:rPr>
                <w:sz w:val="20"/>
                <w:szCs w:val="20"/>
                <w:highlight w:val="none"/>
              </w:rPr>
            </w:pPr>
            <w:r>
              <w:rPr>
                <w:rFonts w:hint="eastAsia" w:ascii="宋体" w:hAnsi="宋体" w:cs="宋体"/>
                <w:b/>
                <w:color w:val="000000"/>
                <w:kern w:val="0"/>
                <w:sz w:val="20"/>
                <w:szCs w:val="20"/>
                <w:highlight w:val="none"/>
                <w:lang w:bidi="ar"/>
              </w:rPr>
              <w:t>四级指标</w:t>
            </w:r>
          </w:p>
        </w:tc>
        <w:tc>
          <w:tcPr>
            <w:tcW w:w="367" w:type="dxa"/>
            <w:vAlign w:val="center"/>
          </w:tcPr>
          <w:p>
            <w:pPr>
              <w:widowControl/>
              <w:jc w:val="center"/>
              <w:textAlignment w:val="center"/>
              <w:rPr>
                <w:sz w:val="20"/>
                <w:szCs w:val="20"/>
                <w:highlight w:val="none"/>
              </w:rPr>
            </w:pPr>
            <w:r>
              <w:rPr>
                <w:rFonts w:hint="eastAsia" w:ascii="宋体" w:hAnsi="宋体" w:cs="宋体"/>
                <w:b/>
                <w:color w:val="000000"/>
                <w:kern w:val="0"/>
                <w:sz w:val="20"/>
                <w:szCs w:val="20"/>
                <w:highlight w:val="none"/>
                <w:lang w:bidi="ar"/>
              </w:rPr>
              <w:t>分值</w:t>
            </w:r>
          </w:p>
        </w:tc>
        <w:tc>
          <w:tcPr>
            <w:tcW w:w="3366" w:type="dxa"/>
            <w:vAlign w:val="center"/>
          </w:tcPr>
          <w:p>
            <w:pPr>
              <w:widowControl/>
              <w:jc w:val="center"/>
              <w:textAlignment w:val="center"/>
              <w:rPr>
                <w:sz w:val="20"/>
                <w:szCs w:val="20"/>
                <w:highlight w:val="none"/>
              </w:rPr>
            </w:pPr>
            <w:r>
              <w:rPr>
                <w:rFonts w:hint="eastAsia" w:ascii="宋体" w:hAnsi="宋体" w:cs="宋体"/>
                <w:b/>
                <w:color w:val="000000"/>
                <w:kern w:val="0"/>
                <w:sz w:val="20"/>
                <w:szCs w:val="20"/>
                <w:highlight w:val="none"/>
                <w:lang w:bidi="ar"/>
              </w:rPr>
              <w:t>指标评分细则</w:t>
            </w:r>
          </w:p>
        </w:tc>
        <w:tc>
          <w:tcPr>
            <w:tcW w:w="3067" w:type="dxa"/>
            <w:vAlign w:val="center"/>
          </w:tcPr>
          <w:p>
            <w:pPr>
              <w:widowControl/>
              <w:jc w:val="center"/>
              <w:textAlignment w:val="center"/>
              <w:rPr>
                <w:sz w:val="20"/>
                <w:szCs w:val="20"/>
                <w:highlight w:val="none"/>
              </w:rPr>
            </w:pPr>
            <w:r>
              <w:rPr>
                <w:rFonts w:hint="eastAsia" w:ascii="宋体" w:hAnsi="宋体" w:cs="宋体"/>
                <w:b/>
                <w:color w:val="000000"/>
                <w:kern w:val="0"/>
                <w:sz w:val="20"/>
                <w:szCs w:val="20"/>
                <w:highlight w:val="none"/>
                <w:lang w:bidi="ar"/>
              </w:rPr>
              <w:t>评价情况</w:t>
            </w:r>
          </w:p>
        </w:tc>
        <w:tc>
          <w:tcPr>
            <w:tcW w:w="438" w:type="dxa"/>
            <w:vAlign w:val="center"/>
          </w:tcPr>
          <w:p>
            <w:pPr>
              <w:widowControl/>
              <w:jc w:val="center"/>
              <w:textAlignment w:val="center"/>
              <w:rPr>
                <w:sz w:val="20"/>
                <w:szCs w:val="20"/>
                <w:highlight w:val="none"/>
              </w:rPr>
            </w:pPr>
            <w:r>
              <w:rPr>
                <w:rFonts w:hint="eastAsia" w:ascii="宋体" w:hAnsi="宋体" w:cs="宋体"/>
                <w:b/>
                <w:color w:val="000000"/>
                <w:kern w:val="0"/>
                <w:sz w:val="20"/>
                <w:szCs w:val="20"/>
                <w:highlight w:val="none"/>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B1.投入管理（4%）</w:t>
            </w:r>
          </w:p>
        </w:tc>
        <w:tc>
          <w:tcPr>
            <w:tcW w:w="988"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B11.预算编制合理性</w:t>
            </w:r>
          </w:p>
        </w:tc>
        <w:tc>
          <w:tcPr>
            <w:tcW w:w="962"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p>
        </w:tc>
        <w:tc>
          <w:tcPr>
            <w:tcW w:w="367"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w:t>
            </w:r>
          </w:p>
        </w:tc>
        <w:tc>
          <w:tcPr>
            <w:tcW w:w="3366"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考察预算编制是否充分、合理的预计项目支出并完整反应，合理得满分；存在一项不合理，扣0.5分，扣完为止</w:t>
            </w:r>
          </w:p>
        </w:tc>
        <w:tc>
          <w:tcPr>
            <w:tcW w:w="3067"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预算编制充分、合理的预计项目支出并完整反应，得1分。</w:t>
            </w:r>
          </w:p>
        </w:tc>
        <w:tc>
          <w:tcPr>
            <w:tcW w:w="438"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988"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B12.预算调整规范性</w:t>
            </w:r>
          </w:p>
        </w:tc>
        <w:tc>
          <w:tcPr>
            <w:tcW w:w="962" w:type="dxa"/>
            <w:vAlign w:val="center"/>
          </w:tcPr>
          <w:p>
            <w:pPr>
              <w:jc w:val="left"/>
              <w:rPr>
                <w:rFonts w:hint="eastAsia" w:ascii="宋体" w:hAnsi="宋体" w:eastAsia="宋体" w:cs="宋体"/>
                <w:color w:val="000000"/>
                <w:kern w:val="0"/>
                <w:sz w:val="20"/>
                <w:szCs w:val="20"/>
                <w:highlight w:val="none"/>
                <w:lang w:val="en-US" w:eastAsia="zh-CN" w:bidi="ar"/>
              </w:rPr>
            </w:pPr>
          </w:p>
        </w:tc>
        <w:tc>
          <w:tcPr>
            <w:tcW w:w="367"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w:t>
            </w:r>
          </w:p>
        </w:tc>
        <w:tc>
          <w:tcPr>
            <w:tcW w:w="3366"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考察存在预算调整时是否按照相关规定执行调整程序，规范，得满分；部分规范，得一分；不规范，不得分。</w:t>
            </w:r>
          </w:p>
        </w:tc>
        <w:tc>
          <w:tcPr>
            <w:tcW w:w="3067"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预算调整时已按照相关析置规定执行调整程序，得1分。</w:t>
            </w:r>
          </w:p>
        </w:tc>
        <w:tc>
          <w:tcPr>
            <w:tcW w:w="438"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988"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B13.预算执行率</w:t>
            </w:r>
          </w:p>
        </w:tc>
        <w:tc>
          <w:tcPr>
            <w:tcW w:w="962" w:type="dxa"/>
            <w:vAlign w:val="center"/>
          </w:tcPr>
          <w:p>
            <w:pPr>
              <w:jc w:val="left"/>
              <w:rPr>
                <w:rFonts w:hint="eastAsia" w:ascii="宋体" w:hAnsi="宋体" w:eastAsia="宋体" w:cs="宋体"/>
                <w:color w:val="000000"/>
                <w:kern w:val="0"/>
                <w:sz w:val="20"/>
                <w:szCs w:val="20"/>
                <w:highlight w:val="none"/>
                <w:lang w:val="en-US" w:eastAsia="zh-CN" w:bidi="ar"/>
              </w:rPr>
            </w:pPr>
          </w:p>
        </w:tc>
        <w:tc>
          <w:tcPr>
            <w:tcW w:w="367"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2</w:t>
            </w:r>
          </w:p>
        </w:tc>
        <w:tc>
          <w:tcPr>
            <w:tcW w:w="3366"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考察项目预算执行的进度。预算执行率=实际支出金额/项目预算金额×100%，预算执行率95%以上，得满分；低于95%，每下降1%扣权重的1%；预算执行率60%以下，不计分。</w:t>
            </w:r>
          </w:p>
        </w:tc>
        <w:tc>
          <w:tcPr>
            <w:tcW w:w="3067"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预算执行率=实际支出金额/项目预算金额×100%=26137.26/90000×100%=29.04%，不得分。</w:t>
            </w:r>
          </w:p>
        </w:tc>
        <w:tc>
          <w:tcPr>
            <w:tcW w:w="438"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0</w:t>
            </w:r>
          </w:p>
        </w:tc>
      </w:tr>
    </w:tbl>
    <w:p>
      <w:pPr>
        <w:adjustRightInd w:val="0"/>
        <w:snapToGrid w:val="0"/>
        <w:spacing w:line="600" w:lineRule="atLeast"/>
        <w:ind w:firstLine="640" w:firstLineChars="200"/>
        <w:rPr>
          <w:rFonts w:ascii="仿宋_GB2312" w:hAnsi="仿宋" w:eastAsia="仿宋_GB2312" w:cs="仿宋"/>
          <w:kern w:val="0"/>
          <w:sz w:val="32"/>
          <w:szCs w:val="32"/>
          <w:highlight w:val="none"/>
          <w:lang w:bidi="zh-CN"/>
        </w:rPr>
      </w:pPr>
      <w:r>
        <w:rPr>
          <w:rFonts w:hint="eastAsia" w:ascii="仿宋_GB2312" w:hAnsi="仿宋" w:eastAsia="仿宋_GB2312" w:cs="仿宋"/>
          <w:kern w:val="0"/>
          <w:sz w:val="32"/>
          <w:szCs w:val="32"/>
          <w:highlight w:val="none"/>
          <w:lang w:bidi="zh-CN"/>
        </w:rPr>
        <w:t>2.财务管理指标分值</w:t>
      </w:r>
      <w:r>
        <w:rPr>
          <w:rFonts w:hint="eastAsia" w:ascii="仿宋_GB2312" w:hAnsi="仿宋" w:eastAsia="仿宋_GB2312" w:cs="仿宋"/>
          <w:kern w:val="0"/>
          <w:sz w:val="32"/>
          <w:szCs w:val="32"/>
          <w:highlight w:val="none"/>
          <w:lang w:val="en-US" w:bidi="zh-CN"/>
        </w:rPr>
        <w:t>6</w:t>
      </w:r>
      <w:r>
        <w:rPr>
          <w:rFonts w:hint="eastAsia" w:ascii="仿宋_GB2312" w:hAnsi="仿宋" w:eastAsia="仿宋_GB2312" w:cs="仿宋"/>
          <w:kern w:val="0"/>
          <w:sz w:val="32"/>
          <w:szCs w:val="32"/>
          <w:highlight w:val="none"/>
          <w:lang w:bidi="zh-CN"/>
        </w:rPr>
        <w:t>分，评价得分</w:t>
      </w:r>
      <w:r>
        <w:rPr>
          <w:rFonts w:hint="eastAsia" w:ascii="仿宋_GB2312" w:hAnsi="仿宋" w:eastAsia="仿宋_GB2312" w:cs="仿宋"/>
          <w:kern w:val="0"/>
          <w:sz w:val="32"/>
          <w:szCs w:val="32"/>
          <w:highlight w:val="none"/>
          <w:lang w:val="en-US" w:bidi="zh-CN"/>
        </w:rPr>
        <w:t>5</w:t>
      </w:r>
      <w:r>
        <w:rPr>
          <w:rFonts w:hint="eastAsia" w:ascii="仿宋_GB2312" w:hAnsi="仿宋" w:eastAsia="仿宋_GB2312" w:cs="仿宋"/>
          <w:kern w:val="0"/>
          <w:sz w:val="32"/>
          <w:szCs w:val="32"/>
          <w:highlight w:val="none"/>
          <w:lang w:bidi="zh-CN"/>
        </w:rPr>
        <w:t>分，得分率</w:t>
      </w:r>
      <w:r>
        <w:rPr>
          <w:rFonts w:hint="eastAsia" w:ascii="仿宋_GB2312" w:hAnsi="仿宋" w:eastAsia="仿宋_GB2312" w:cs="仿宋"/>
          <w:kern w:val="0"/>
          <w:sz w:val="32"/>
          <w:szCs w:val="32"/>
          <w:highlight w:val="none"/>
          <w:lang w:val="en-US" w:bidi="zh-CN"/>
        </w:rPr>
        <w:t>83.33</w:t>
      </w:r>
      <w:r>
        <w:rPr>
          <w:rFonts w:hint="eastAsia" w:ascii="仿宋_GB2312" w:hAnsi="仿宋" w:eastAsia="仿宋_GB2312" w:cs="仿宋"/>
          <w:kern w:val="0"/>
          <w:sz w:val="32"/>
          <w:szCs w:val="32"/>
          <w:highlight w:val="none"/>
          <w:lang w:bidi="zh-CN"/>
        </w:rPr>
        <w:t>%，扣分项在于无项目的财务管理办法。</w:t>
      </w:r>
    </w:p>
    <w:p>
      <w:pPr>
        <w:rPr>
          <w:highlight w:val="none"/>
        </w:rPr>
      </w:pPr>
    </w:p>
    <w:tbl>
      <w:tblPr>
        <w:tblStyle w:val="13"/>
        <w:tblW w:w="989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88"/>
        <w:gridCol w:w="962"/>
        <w:gridCol w:w="367"/>
        <w:gridCol w:w="3366"/>
        <w:gridCol w:w="3067"/>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B2.财务管理（6%）</w:t>
            </w:r>
          </w:p>
        </w:tc>
        <w:tc>
          <w:tcPr>
            <w:tcW w:w="988"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B21.资金使用情况</w:t>
            </w:r>
          </w:p>
        </w:tc>
        <w:tc>
          <w:tcPr>
            <w:tcW w:w="962"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p>
        </w:tc>
        <w:tc>
          <w:tcPr>
            <w:tcW w:w="367"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2</w:t>
            </w:r>
          </w:p>
        </w:tc>
        <w:tc>
          <w:tcPr>
            <w:tcW w:w="3366"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考察项目资金使用是否符合预算批复的用途，是否存在截留、挤占、挪用、虚列支出等情况，合规，得满分；存在一项不合规，扣1分，扣完为止。</w:t>
            </w:r>
          </w:p>
        </w:tc>
        <w:tc>
          <w:tcPr>
            <w:tcW w:w="3067"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项目资金使用符合预算批复的用途，不存在截留、挤占、挪用、虚列支出等情况，得2分。</w:t>
            </w:r>
          </w:p>
        </w:tc>
        <w:tc>
          <w:tcPr>
            <w:tcW w:w="438"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988"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B22.财务管理制度健全性</w:t>
            </w:r>
          </w:p>
        </w:tc>
        <w:tc>
          <w:tcPr>
            <w:tcW w:w="962" w:type="dxa"/>
            <w:vAlign w:val="center"/>
          </w:tcPr>
          <w:p>
            <w:pPr>
              <w:jc w:val="left"/>
              <w:rPr>
                <w:rFonts w:hint="eastAsia" w:ascii="宋体" w:hAnsi="宋体" w:eastAsia="宋体" w:cs="宋体"/>
                <w:color w:val="000000"/>
                <w:kern w:val="0"/>
                <w:sz w:val="20"/>
                <w:szCs w:val="20"/>
                <w:highlight w:val="none"/>
                <w:lang w:val="en-US" w:eastAsia="zh-CN" w:bidi="ar"/>
              </w:rPr>
            </w:pPr>
          </w:p>
        </w:tc>
        <w:tc>
          <w:tcPr>
            <w:tcW w:w="367"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w:t>
            </w:r>
          </w:p>
        </w:tc>
        <w:tc>
          <w:tcPr>
            <w:tcW w:w="3366"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考察项目的财务制度是否健全、完善、有效，a.是否已制定或具有相应的财务管理办法；                         b.项目财务管理办法是否符合相关财务会计制度的规定；                                              c.是否存在需要完善的风险控制环节。                            符合所有条件，得满分； 一项不符合，扣1分，扣完为止。</w:t>
            </w:r>
          </w:p>
        </w:tc>
        <w:tc>
          <w:tcPr>
            <w:tcW w:w="3067"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根据《昆明市东川区人民政府关于印发东川区（乡镇）财政管理体制方案（试行）等九个文件的通知》（东政发【2009】309号）制定了《铜都街道财务管理制度》、《铜都街道内部控制制度》等制度，无项目的财务管理办法，不得分。</w:t>
            </w:r>
          </w:p>
        </w:tc>
        <w:tc>
          <w:tcPr>
            <w:tcW w:w="438"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988" w:type="dxa"/>
            <w:vMerge w:val="restart"/>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B23.财务监控有效性</w:t>
            </w:r>
          </w:p>
        </w:tc>
        <w:tc>
          <w:tcPr>
            <w:tcW w:w="962"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B231.资金拨付程序完整性</w:t>
            </w:r>
          </w:p>
        </w:tc>
        <w:tc>
          <w:tcPr>
            <w:tcW w:w="367"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w:t>
            </w:r>
          </w:p>
        </w:tc>
        <w:tc>
          <w:tcPr>
            <w:tcW w:w="3366"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考察资金拨付是否具有完整的审批程序和手续，是否符合相关制度规定，资金拨付申请、审批手续完整，得满分；存在一例手续不完整，不得分。</w:t>
            </w:r>
          </w:p>
        </w:tc>
        <w:tc>
          <w:tcPr>
            <w:tcW w:w="3067"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资金拨付均具有完整的审批程序和手续，都符合相关制度规定，资金拨付申请、审批手续完整，得1分。</w:t>
            </w:r>
          </w:p>
        </w:tc>
        <w:tc>
          <w:tcPr>
            <w:tcW w:w="438"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left"/>
              <w:rPr>
                <w:rFonts w:hint="eastAsia" w:ascii="宋体" w:hAnsi="宋体" w:eastAsia="宋体" w:cs="宋体"/>
                <w:color w:val="000000"/>
                <w:kern w:val="0"/>
                <w:sz w:val="20"/>
                <w:szCs w:val="20"/>
                <w:highlight w:val="none"/>
                <w:lang w:val="en-US" w:eastAsia="zh-CN" w:bidi="ar"/>
              </w:rPr>
            </w:pPr>
            <w:bookmarkStart w:id="30" w:name="_Toc29220"/>
            <w:bookmarkStart w:id="31" w:name="_Toc4338"/>
          </w:p>
        </w:tc>
        <w:tc>
          <w:tcPr>
            <w:tcW w:w="988"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962"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B232财务制度执行有效性</w:t>
            </w:r>
          </w:p>
        </w:tc>
        <w:tc>
          <w:tcPr>
            <w:tcW w:w="367"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2</w:t>
            </w:r>
          </w:p>
        </w:tc>
        <w:tc>
          <w:tcPr>
            <w:tcW w:w="3366"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考察是否存在违反相关财务管理制度的情况，不存在，得满分；存在1例，不得分。</w:t>
            </w:r>
          </w:p>
        </w:tc>
        <w:tc>
          <w:tcPr>
            <w:tcW w:w="3067"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财务制度执行有效，不存在违反相关财务管理制度的情况，得2分。</w:t>
            </w:r>
          </w:p>
        </w:tc>
        <w:tc>
          <w:tcPr>
            <w:tcW w:w="438"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2</w:t>
            </w:r>
          </w:p>
        </w:tc>
      </w:tr>
    </w:tbl>
    <w:p>
      <w:pPr>
        <w:adjustRightInd w:val="0"/>
        <w:snapToGrid w:val="0"/>
        <w:spacing w:line="600" w:lineRule="atLeast"/>
        <w:ind w:firstLine="640" w:firstLineChars="200"/>
        <w:rPr>
          <w:rFonts w:hint="default" w:ascii="仿宋_GB2312" w:hAnsi="仿宋" w:eastAsia="仿宋_GB2312" w:cs="仿宋"/>
          <w:kern w:val="0"/>
          <w:sz w:val="32"/>
          <w:szCs w:val="32"/>
          <w:highlight w:val="none"/>
          <w:lang w:val="en-US" w:eastAsia="zh-CN" w:bidi="zh-CN"/>
        </w:rPr>
      </w:pPr>
      <w:r>
        <w:rPr>
          <w:rFonts w:hint="eastAsia" w:ascii="仿宋_GB2312" w:hAnsi="仿宋" w:eastAsia="仿宋_GB2312" w:cs="仿宋"/>
          <w:kern w:val="0"/>
          <w:sz w:val="32"/>
          <w:szCs w:val="32"/>
          <w:highlight w:val="none"/>
          <w:lang w:val="en-US" w:eastAsia="zh-CN" w:bidi="zh-CN"/>
        </w:rPr>
        <w:t>3.项目实施指标分值10份，评价得分5分，得分率50%，扣分项在于未制订的与项目直接相关的业务管理制度、安环中心未建立相关台账记录。</w:t>
      </w:r>
    </w:p>
    <w:tbl>
      <w:tblPr>
        <w:tblStyle w:val="13"/>
        <w:tblW w:w="989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88"/>
        <w:gridCol w:w="962"/>
        <w:gridCol w:w="367"/>
        <w:gridCol w:w="3366"/>
        <w:gridCol w:w="3067"/>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B3.项目实施（10%）</w:t>
            </w:r>
          </w:p>
        </w:tc>
        <w:tc>
          <w:tcPr>
            <w:tcW w:w="988" w:type="dxa"/>
            <w:vMerge w:val="restart"/>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B31.项目管理制度健全性</w:t>
            </w:r>
          </w:p>
        </w:tc>
        <w:tc>
          <w:tcPr>
            <w:tcW w:w="962"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B311.项目实施单位管理制度健全性</w:t>
            </w:r>
          </w:p>
        </w:tc>
        <w:tc>
          <w:tcPr>
            <w:tcW w:w="367"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w:t>
            </w:r>
          </w:p>
        </w:tc>
        <w:tc>
          <w:tcPr>
            <w:tcW w:w="3366"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项目实施单位为保障项目顺利实施制订的与项目直接相关的业务管理制度是否健全、完善和有效，制订相关制度或采取措施，得满分；制度不完善或者措施不明确，得权重的60%；没有相关制度或措施，不得分。</w:t>
            </w:r>
          </w:p>
        </w:tc>
        <w:tc>
          <w:tcPr>
            <w:tcW w:w="3067"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铜都街道办未制订的与项目直接相关的业务管理制度，不得分。</w:t>
            </w:r>
          </w:p>
        </w:tc>
        <w:tc>
          <w:tcPr>
            <w:tcW w:w="438"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988"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962"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B312.管理方监管措施健全性</w:t>
            </w:r>
          </w:p>
        </w:tc>
        <w:tc>
          <w:tcPr>
            <w:tcW w:w="367"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w:t>
            </w:r>
          </w:p>
        </w:tc>
        <w:tc>
          <w:tcPr>
            <w:tcW w:w="3366"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考察项目主管部门为保障项目顺利实施采取的监管措施是否明确，是否存在需要完善的风险控制环节，监管措施明确、完善，得满分；每存在一项需要完善的风险控制点，扣权重的30%，扣完为止。</w:t>
            </w:r>
          </w:p>
        </w:tc>
        <w:tc>
          <w:tcPr>
            <w:tcW w:w="3067"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铜都街道办为保障项目顺利实施采取的监管措施明确，审批支出程序完整，得1分。</w:t>
            </w:r>
          </w:p>
        </w:tc>
        <w:tc>
          <w:tcPr>
            <w:tcW w:w="438"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988" w:type="dxa"/>
            <w:vMerge w:val="restart"/>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B32.项目管理制度执行有效性</w:t>
            </w:r>
          </w:p>
        </w:tc>
        <w:tc>
          <w:tcPr>
            <w:tcW w:w="962"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B321.项目实施单位管理制度执行情况</w:t>
            </w:r>
          </w:p>
        </w:tc>
        <w:tc>
          <w:tcPr>
            <w:tcW w:w="367"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w:t>
            </w:r>
          </w:p>
        </w:tc>
        <w:tc>
          <w:tcPr>
            <w:tcW w:w="3366"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考察项目实施单位制订的管理制度是否有效执行，有效执行，得满分；部分执行，得权重的60%；未执行，不得分。</w:t>
            </w:r>
          </w:p>
        </w:tc>
        <w:tc>
          <w:tcPr>
            <w:tcW w:w="3067"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铜都街道办未制订的与项目直接相关的业务管理制度，不得分。</w:t>
            </w:r>
          </w:p>
        </w:tc>
        <w:tc>
          <w:tcPr>
            <w:tcW w:w="438"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988"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962"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B322.监管措施执行情况</w:t>
            </w:r>
          </w:p>
        </w:tc>
        <w:tc>
          <w:tcPr>
            <w:tcW w:w="367"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w:t>
            </w:r>
          </w:p>
        </w:tc>
        <w:tc>
          <w:tcPr>
            <w:tcW w:w="3366"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项目主管部门所制订的监管措施是否有效执行，有效执行，得满分；部分执行，得权重的60%；未执行，不得分。</w:t>
            </w:r>
          </w:p>
        </w:tc>
        <w:tc>
          <w:tcPr>
            <w:tcW w:w="3067"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铜都街道办未制订的与项目直接相关的业务管理制度，不得分。</w:t>
            </w:r>
          </w:p>
        </w:tc>
        <w:tc>
          <w:tcPr>
            <w:tcW w:w="438"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988"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962"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B323.合同执行情况</w:t>
            </w:r>
          </w:p>
        </w:tc>
        <w:tc>
          <w:tcPr>
            <w:tcW w:w="367"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2</w:t>
            </w:r>
          </w:p>
        </w:tc>
        <w:tc>
          <w:tcPr>
            <w:tcW w:w="3366"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考察与项目相关的合同是否有效执行，有效执行，得满分；部分执行，得权重的60%；未执行，不得分。</w:t>
            </w:r>
          </w:p>
        </w:tc>
        <w:tc>
          <w:tcPr>
            <w:tcW w:w="3067"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项目相关的合同得到有效执行，得2分。</w:t>
            </w:r>
          </w:p>
        </w:tc>
        <w:tc>
          <w:tcPr>
            <w:tcW w:w="438"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988"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962"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B324.台账记录规范性</w:t>
            </w:r>
          </w:p>
        </w:tc>
        <w:tc>
          <w:tcPr>
            <w:tcW w:w="367"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2</w:t>
            </w:r>
          </w:p>
        </w:tc>
        <w:tc>
          <w:tcPr>
            <w:tcW w:w="3366"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考察项目实施过程中的相关台账记录是否完整，并符合要求，规范，得满分；部分规范，得权重的60%；不规范，不得分。</w:t>
            </w:r>
          </w:p>
        </w:tc>
        <w:tc>
          <w:tcPr>
            <w:tcW w:w="3067"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实施过程中铜都街道安环中心未建立相关台账记录，不得分。</w:t>
            </w:r>
          </w:p>
        </w:tc>
        <w:tc>
          <w:tcPr>
            <w:tcW w:w="438"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988" w:type="dxa"/>
            <w:vMerge w:val="restart"/>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B33.政府采购规范性</w:t>
            </w:r>
          </w:p>
        </w:tc>
        <w:tc>
          <w:tcPr>
            <w:tcW w:w="962"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B331.采购方式合规性</w:t>
            </w:r>
          </w:p>
        </w:tc>
        <w:tc>
          <w:tcPr>
            <w:tcW w:w="367"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w:t>
            </w:r>
          </w:p>
        </w:tc>
        <w:tc>
          <w:tcPr>
            <w:tcW w:w="3366"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考察采购方式是否符合国家、本市的相关要求，符合相关要求，得满分；一项不符合，不得分。</w:t>
            </w:r>
          </w:p>
        </w:tc>
        <w:tc>
          <w:tcPr>
            <w:tcW w:w="3067"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需采购的相关支出均已采购，且采购程序符合区政府的相关要求，得1分。</w:t>
            </w:r>
          </w:p>
        </w:tc>
        <w:tc>
          <w:tcPr>
            <w:tcW w:w="438"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988"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962"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B332.采购流程规范性</w:t>
            </w:r>
          </w:p>
        </w:tc>
        <w:tc>
          <w:tcPr>
            <w:tcW w:w="367"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w:t>
            </w:r>
          </w:p>
        </w:tc>
        <w:tc>
          <w:tcPr>
            <w:tcW w:w="3366"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考察采购流程是否符合相关规定，符合相关要求，得满分；一项不符合，不得分。</w:t>
            </w:r>
          </w:p>
        </w:tc>
        <w:tc>
          <w:tcPr>
            <w:tcW w:w="3067"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需采购的相关支出均已采购，且采购程序符合区政府的相关要求，得1分。</w:t>
            </w:r>
          </w:p>
        </w:tc>
        <w:tc>
          <w:tcPr>
            <w:tcW w:w="438"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w:t>
            </w:r>
          </w:p>
        </w:tc>
      </w:tr>
      <w:bookmarkEnd w:id="30"/>
      <w:bookmarkEnd w:id="31"/>
    </w:tbl>
    <w:p>
      <w:pPr>
        <w:pStyle w:val="3"/>
        <w:adjustRightInd w:val="0"/>
        <w:snapToGrid w:val="0"/>
        <w:spacing w:before="0" w:after="0" w:line="600" w:lineRule="exact"/>
        <w:ind w:firstLine="640" w:firstLineChars="200"/>
        <w:rPr>
          <w:rFonts w:ascii="楷体_GB2312" w:eastAsia="楷体_GB2312"/>
          <w:b w:val="0"/>
          <w:bCs w:val="0"/>
          <w:highlight w:val="none"/>
        </w:rPr>
      </w:pPr>
      <w:bookmarkStart w:id="32" w:name="_Toc54348641"/>
      <w:bookmarkStart w:id="33" w:name="_Toc57188371"/>
      <w:r>
        <w:rPr>
          <w:rFonts w:hint="eastAsia" w:ascii="楷体_GB2312" w:eastAsia="楷体_GB2312"/>
          <w:b w:val="0"/>
          <w:bCs w:val="0"/>
          <w:highlight w:val="none"/>
        </w:rPr>
        <w:t>（三）项目</w:t>
      </w:r>
      <w:r>
        <w:rPr>
          <w:rFonts w:hint="eastAsia" w:ascii="楷体_GB2312" w:eastAsia="楷体_GB2312"/>
          <w:b w:val="0"/>
          <w:bCs w:val="0"/>
          <w:highlight w:val="none"/>
          <w:lang w:eastAsia="zh-CN"/>
        </w:rPr>
        <w:t>绩效</w:t>
      </w:r>
      <w:r>
        <w:rPr>
          <w:rFonts w:hint="eastAsia" w:ascii="楷体_GB2312" w:eastAsia="楷体_GB2312"/>
          <w:b w:val="0"/>
          <w:bCs w:val="0"/>
          <w:highlight w:val="none"/>
        </w:rPr>
        <w:t>情况</w:t>
      </w:r>
      <w:bookmarkEnd w:id="32"/>
      <w:bookmarkEnd w:id="33"/>
    </w:p>
    <w:p>
      <w:pPr>
        <w:ind w:firstLine="640" w:firstLineChars="200"/>
        <w:rPr>
          <w:rFonts w:ascii="仿宋_GB2312" w:hAnsi="仿宋" w:eastAsia="仿宋_GB2312" w:cs="仿宋"/>
          <w:kern w:val="0"/>
          <w:sz w:val="32"/>
          <w:szCs w:val="32"/>
          <w:highlight w:val="none"/>
          <w:lang w:bidi="zh-CN"/>
        </w:rPr>
      </w:pPr>
      <w:r>
        <w:rPr>
          <w:rFonts w:hint="eastAsia" w:ascii="仿宋_GB2312" w:hAnsi="仿宋" w:eastAsia="仿宋_GB2312" w:cs="仿宋"/>
          <w:kern w:val="0"/>
          <w:sz w:val="32"/>
          <w:szCs w:val="32"/>
          <w:highlight w:val="none"/>
          <w:lang w:bidi="zh-CN"/>
        </w:rPr>
        <w:t>项目绩效指标分值</w:t>
      </w:r>
      <w:r>
        <w:rPr>
          <w:rFonts w:hint="eastAsia" w:ascii="仿宋_GB2312" w:hAnsi="仿宋" w:eastAsia="仿宋_GB2312" w:cs="仿宋"/>
          <w:kern w:val="0"/>
          <w:sz w:val="32"/>
          <w:szCs w:val="32"/>
          <w:highlight w:val="none"/>
          <w:lang w:val="en-US" w:bidi="zh-CN"/>
        </w:rPr>
        <w:t>60</w:t>
      </w:r>
      <w:r>
        <w:rPr>
          <w:rFonts w:hint="eastAsia" w:ascii="仿宋_GB2312" w:hAnsi="仿宋" w:eastAsia="仿宋_GB2312" w:cs="仿宋"/>
          <w:kern w:val="0"/>
          <w:sz w:val="32"/>
          <w:szCs w:val="32"/>
          <w:highlight w:val="none"/>
          <w:lang w:bidi="zh-CN"/>
        </w:rPr>
        <w:t>分，分别从产出数量、产出质量、产出时效、产出成本控制情况四个方面对项目的具体绩效进行考核：2020年基层安全环保经费项目在年度时间内较好的完成了安全环保运的考察、宣传、应急演练、培训的数量指标值，以及安全生产培训人员的执法检查率和应急演练完成率等质量指标值。综上，该指标评价得分</w:t>
      </w:r>
      <w:r>
        <w:rPr>
          <w:rFonts w:hint="eastAsia" w:ascii="仿宋_GB2312" w:hAnsi="仿宋" w:eastAsia="仿宋_GB2312" w:cs="仿宋"/>
          <w:kern w:val="0"/>
          <w:sz w:val="32"/>
          <w:szCs w:val="32"/>
          <w:highlight w:val="none"/>
          <w:lang w:val="en-US" w:bidi="zh-CN"/>
        </w:rPr>
        <w:t>58.5</w:t>
      </w:r>
      <w:r>
        <w:rPr>
          <w:rFonts w:hint="eastAsia" w:ascii="仿宋_GB2312" w:hAnsi="仿宋" w:eastAsia="仿宋_GB2312" w:cs="仿宋"/>
          <w:kern w:val="0"/>
          <w:sz w:val="32"/>
          <w:szCs w:val="32"/>
          <w:highlight w:val="none"/>
          <w:lang w:bidi="zh-CN"/>
        </w:rPr>
        <w:t>分，得分率为</w:t>
      </w:r>
      <w:r>
        <w:rPr>
          <w:rFonts w:hint="eastAsia" w:ascii="仿宋_GB2312" w:hAnsi="仿宋" w:eastAsia="仿宋_GB2312" w:cs="仿宋"/>
          <w:kern w:val="0"/>
          <w:sz w:val="32"/>
          <w:szCs w:val="32"/>
          <w:highlight w:val="none"/>
          <w:lang w:val="en-US" w:bidi="zh-CN"/>
        </w:rPr>
        <w:t>97.5</w:t>
      </w:r>
      <w:r>
        <w:rPr>
          <w:rFonts w:hint="eastAsia" w:ascii="仿宋_GB2312" w:hAnsi="仿宋" w:eastAsia="仿宋_GB2312" w:cs="仿宋"/>
          <w:kern w:val="0"/>
          <w:sz w:val="32"/>
          <w:szCs w:val="32"/>
          <w:highlight w:val="none"/>
          <w:lang w:bidi="zh-CN"/>
        </w:rPr>
        <w:t>%。具体为：</w:t>
      </w:r>
    </w:p>
    <w:p>
      <w:pPr>
        <w:ind w:firstLine="640" w:firstLineChars="200"/>
        <w:rPr>
          <w:rFonts w:ascii="仿宋_GB2312" w:hAnsi="仿宋" w:eastAsia="仿宋_GB2312" w:cs="仿宋"/>
          <w:kern w:val="0"/>
          <w:sz w:val="32"/>
          <w:szCs w:val="32"/>
          <w:highlight w:val="none"/>
          <w:lang w:bidi="zh-CN"/>
        </w:rPr>
      </w:pPr>
      <w:r>
        <w:rPr>
          <w:rFonts w:hint="eastAsia" w:ascii="仿宋_GB2312" w:hAnsi="仿宋" w:eastAsia="仿宋_GB2312" w:cs="仿宋"/>
          <w:kern w:val="0"/>
          <w:sz w:val="32"/>
          <w:szCs w:val="32"/>
          <w:highlight w:val="none"/>
          <w:lang w:bidi="zh-CN"/>
        </w:rPr>
        <w:t>1.产出数量指标分值</w:t>
      </w:r>
      <w:r>
        <w:rPr>
          <w:rFonts w:hint="eastAsia" w:ascii="仿宋_GB2312" w:hAnsi="仿宋" w:eastAsia="仿宋_GB2312" w:cs="仿宋"/>
          <w:kern w:val="0"/>
          <w:sz w:val="32"/>
          <w:szCs w:val="32"/>
          <w:highlight w:val="none"/>
          <w:lang w:val="en-US" w:bidi="zh-CN"/>
        </w:rPr>
        <w:t>30</w:t>
      </w:r>
      <w:r>
        <w:rPr>
          <w:rFonts w:hint="eastAsia" w:ascii="仿宋_GB2312" w:hAnsi="仿宋" w:eastAsia="仿宋_GB2312" w:cs="仿宋"/>
          <w:kern w:val="0"/>
          <w:sz w:val="32"/>
          <w:szCs w:val="32"/>
          <w:highlight w:val="none"/>
          <w:lang w:bidi="zh-CN"/>
        </w:rPr>
        <w:t>分，评价得分</w:t>
      </w:r>
      <w:r>
        <w:rPr>
          <w:rFonts w:hint="eastAsia" w:ascii="仿宋_GB2312" w:hAnsi="仿宋" w:eastAsia="仿宋_GB2312" w:cs="仿宋"/>
          <w:kern w:val="0"/>
          <w:sz w:val="32"/>
          <w:szCs w:val="32"/>
          <w:highlight w:val="none"/>
          <w:lang w:val="en-US" w:bidi="zh-CN"/>
        </w:rPr>
        <w:t>28.5</w:t>
      </w:r>
      <w:r>
        <w:rPr>
          <w:rFonts w:hint="eastAsia" w:ascii="仿宋_GB2312" w:hAnsi="仿宋" w:eastAsia="仿宋_GB2312" w:cs="仿宋"/>
          <w:kern w:val="0"/>
          <w:sz w:val="32"/>
          <w:szCs w:val="32"/>
          <w:highlight w:val="none"/>
          <w:lang w:bidi="zh-CN"/>
        </w:rPr>
        <w:t>分，得分率</w:t>
      </w:r>
      <w:r>
        <w:rPr>
          <w:rFonts w:hint="eastAsia" w:ascii="仿宋_GB2312" w:hAnsi="仿宋" w:eastAsia="仿宋_GB2312" w:cs="仿宋"/>
          <w:kern w:val="0"/>
          <w:sz w:val="32"/>
          <w:szCs w:val="32"/>
          <w:highlight w:val="none"/>
          <w:lang w:val="en-US" w:bidi="zh-CN"/>
        </w:rPr>
        <w:t>95</w:t>
      </w:r>
      <w:r>
        <w:rPr>
          <w:rFonts w:hint="eastAsia" w:ascii="仿宋_GB2312" w:hAnsi="仿宋" w:eastAsia="仿宋_GB2312" w:cs="仿宋"/>
          <w:kern w:val="0"/>
          <w:sz w:val="32"/>
          <w:szCs w:val="32"/>
          <w:highlight w:val="none"/>
          <w:lang w:bidi="zh-CN"/>
        </w:rPr>
        <w:t>%，扣分项在于2020年只进行了一次安全培训。</w:t>
      </w:r>
    </w:p>
    <w:tbl>
      <w:tblPr>
        <w:tblStyle w:val="13"/>
        <w:tblW w:w="10120" w:type="dxa"/>
        <w:tblInd w:w="-1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757"/>
        <w:gridCol w:w="1061"/>
        <w:gridCol w:w="424"/>
        <w:gridCol w:w="2165"/>
        <w:gridCol w:w="4244"/>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30" w:type="dxa"/>
            <w:vAlign w:val="center"/>
          </w:tcPr>
          <w:p>
            <w:pPr>
              <w:widowControl/>
              <w:jc w:val="center"/>
              <w:textAlignment w:val="center"/>
              <w:rPr>
                <w:sz w:val="20"/>
                <w:szCs w:val="20"/>
                <w:highlight w:val="none"/>
              </w:rPr>
            </w:pPr>
            <w:r>
              <w:rPr>
                <w:rFonts w:hint="eastAsia" w:ascii="宋体" w:hAnsi="宋体" w:cs="宋体"/>
                <w:b/>
                <w:color w:val="000000"/>
                <w:kern w:val="0"/>
                <w:sz w:val="20"/>
                <w:szCs w:val="20"/>
                <w:highlight w:val="none"/>
                <w:lang w:bidi="ar"/>
              </w:rPr>
              <w:t>二级指标</w:t>
            </w:r>
          </w:p>
        </w:tc>
        <w:tc>
          <w:tcPr>
            <w:tcW w:w="770" w:type="dxa"/>
            <w:vAlign w:val="center"/>
          </w:tcPr>
          <w:p>
            <w:pPr>
              <w:widowControl/>
              <w:jc w:val="center"/>
              <w:textAlignment w:val="center"/>
              <w:rPr>
                <w:sz w:val="20"/>
                <w:szCs w:val="20"/>
                <w:highlight w:val="none"/>
              </w:rPr>
            </w:pPr>
            <w:r>
              <w:rPr>
                <w:rFonts w:hint="eastAsia" w:ascii="宋体" w:hAnsi="宋体" w:cs="宋体"/>
                <w:b/>
                <w:color w:val="000000"/>
                <w:kern w:val="0"/>
                <w:sz w:val="20"/>
                <w:szCs w:val="20"/>
                <w:highlight w:val="none"/>
                <w:lang w:bidi="ar"/>
              </w:rPr>
              <w:t>三级指标</w:t>
            </w:r>
          </w:p>
        </w:tc>
        <w:tc>
          <w:tcPr>
            <w:tcW w:w="1092" w:type="dxa"/>
            <w:vAlign w:val="center"/>
          </w:tcPr>
          <w:p>
            <w:pPr>
              <w:widowControl/>
              <w:jc w:val="center"/>
              <w:textAlignment w:val="center"/>
              <w:rPr>
                <w:sz w:val="20"/>
                <w:szCs w:val="20"/>
                <w:highlight w:val="none"/>
              </w:rPr>
            </w:pPr>
            <w:r>
              <w:rPr>
                <w:rFonts w:hint="eastAsia" w:ascii="宋体" w:hAnsi="宋体" w:cs="宋体"/>
                <w:b/>
                <w:color w:val="000000"/>
                <w:kern w:val="0"/>
                <w:sz w:val="20"/>
                <w:szCs w:val="20"/>
                <w:highlight w:val="none"/>
                <w:lang w:bidi="ar"/>
              </w:rPr>
              <w:t>四级指标</w:t>
            </w:r>
          </w:p>
        </w:tc>
        <w:tc>
          <w:tcPr>
            <w:tcW w:w="425" w:type="dxa"/>
            <w:vAlign w:val="center"/>
          </w:tcPr>
          <w:p>
            <w:pPr>
              <w:widowControl/>
              <w:jc w:val="center"/>
              <w:textAlignment w:val="center"/>
              <w:rPr>
                <w:sz w:val="20"/>
                <w:szCs w:val="20"/>
                <w:highlight w:val="none"/>
              </w:rPr>
            </w:pPr>
            <w:r>
              <w:rPr>
                <w:rFonts w:hint="eastAsia" w:ascii="宋体" w:hAnsi="宋体" w:cs="宋体"/>
                <w:b/>
                <w:color w:val="000000"/>
                <w:kern w:val="0"/>
                <w:sz w:val="20"/>
                <w:szCs w:val="20"/>
                <w:highlight w:val="none"/>
                <w:lang w:bidi="ar"/>
              </w:rPr>
              <w:t>分值</w:t>
            </w:r>
          </w:p>
        </w:tc>
        <w:tc>
          <w:tcPr>
            <w:tcW w:w="2268" w:type="dxa"/>
            <w:vAlign w:val="center"/>
          </w:tcPr>
          <w:p>
            <w:pPr>
              <w:widowControl/>
              <w:jc w:val="center"/>
              <w:textAlignment w:val="center"/>
              <w:rPr>
                <w:sz w:val="20"/>
                <w:szCs w:val="20"/>
                <w:highlight w:val="none"/>
              </w:rPr>
            </w:pPr>
            <w:r>
              <w:rPr>
                <w:rFonts w:hint="eastAsia" w:ascii="宋体" w:hAnsi="宋体" w:cs="宋体"/>
                <w:b/>
                <w:color w:val="000000"/>
                <w:kern w:val="0"/>
                <w:sz w:val="20"/>
                <w:szCs w:val="20"/>
                <w:highlight w:val="none"/>
                <w:lang w:bidi="ar"/>
              </w:rPr>
              <w:t>指标评分细则</w:t>
            </w:r>
          </w:p>
        </w:tc>
        <w:tc>
          <w:tcPr>
            <w:tcW w:w="4380" w:type="dxa"/>
            <w:vAlign w:val="center"/>
          </w:tcPr>
          <w:p>
            <w:pPr>
              <w:widowControl/>
              <w:jc w:val="center"/>
              <w:textAlignment w:val="center"/>
              <w:rPr>
                <w:sz w:val="20"/>
                <w:szCs w:val="20"/>
                <w:highlight w:val="none"/>
              </w:rPr>
            </w:pPr>
            <w:r>
              <w:rPr>
                <w:rFonts w:hint="eastAsia" w:ascii="宋体" w:hAnsi="宋体" w:cs="宋体"/>
                <w:b/>
                <w:color w:val="000000"/>
                <w:kern w:val="0"/>
                <w:sz w:val="20"/>
                <w:szCs w:val="20"/>
                <w:highlight w:val="none"/>
                <w:lang w:bidi="ar"/>
              </w:rPr>
              <w:t>评价情况</w:t>
            </w:r>
          </w:p>
        </w:tc>
        <w:tc>
          <w:tcPr>
            <w:tcW w:w="555" w:type="dxa"/>
            <w:vAlign w:val="center"/>
          </w:tcPr>
          <w:p>
            <w:pPr>
              <w:widowControl/>
              <w:jc w:val="center"/>
              <w:textAlignment w:val="center"/>
              <w:rPr>
                <w:sz w:val="20"/>
                <w:szCs w:val="20"/>
                <w:highlight w:val="none"/>
              </w:rPr>
            </w:pPr>
            <w:r>
              <w:rPr>
                <w:rFonts w:hint="eastAsia" w:ascii="宋体" w:hAnsi="宋体" w:cs="宋体"/>
                <w:b/>
                <w:color w:val="000000"/>
                <w:kern w:val="0"/>
                <w:sz w:val="20"/>
                <w:szCs w:val="20"/>
                <w:highlight w:val="none"/>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widowControl/>
              <w:jc w:val="center"/>
              <w:textAlignment w:val="center"/>
              <w:rPr>
                <w:rFonts w:ascii="宋体" w:hAnsi="宋体" w:cs="宋体"/>
                <w:b/>
                <w:color w:val="000000"/>
                <w:kern w:val="0"/>
                <w:sz w:val="20"/>
                <w:szCs w:val="20"/>
                <w:highlight w:val="none"/>
                <w:lang w:bidi="ar"/>
              </w:rPr>
            </w:pPr>
            <w:r>
              <w:rPr>
                <w:rFonts w:hint="eastAsia" w:ascii="宋体" w:hAnsi="宋体" w:cs="宋体"/>
                <w:color w:val="000000"/>
                <w:kern w:val="0"/>
                <w:sz w:val="20"/>
                <w:szCs w:val="20"/>
                <w:highlight w:val="none"/>
                <w:lang w:bidi="ar"/>
              </w:rPr>
              <w:t>C1.项目产出（</w:t>
            </w:r>
            <w:r>
              <w:rPr>
                <w:rFonts w:hint="eastAsia" w:ascii="宋体" w:hAnsi="宋体" w:cs="宋体"/>
                <w:color w:val="000000"/>
                <w:kern w:val="0"/>
                <w:sz w:val="20"/>
                <w:szCs w:val="20"/>
                <w:highlight w:val="none"/>
                <w:lang w:val="en-US" w:eastAsia="zh-CN" w:bidi="ar"/>
              </w:rPr>
              <w:t>30%）</w:t>
            </w:r>
          </w:p>
        </w:tc>
        <w:tc>
          <w:tcPr>
            <w:tcW w:w="770" w:type="dxa"/>
            <w:vMerge w:val="restart"/>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C11.产出数量</w:t>
            </w:r>
          </w:p>
        </w:tc>
        <w:tc>
          <w:tcPr>
            <w:tcW w:w="1092"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C111.安全环保工作队伍建设情况</w:t>
            </w:r>
          </w:p>
        </w:tc>
        <w:tc>
          <w:tcPr>
            <w:tcW w:w="425"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4</w:t>
            </w:r>
          </w:p>
        </w:tc>
        <w:tc>
          <w:tcPr>
            <w:tcW w:w="2268"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考察是否培养出一支专业的安全环保工作队伍，到达指标，得满分，未达到，不得分。</w:t>
            </w:r>
          </w:p>
        </w:tc>
        <w:tc>
          <w:tcPr>
            <w:tcW w:w="4380"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已有一批由7人组成的安全环保工作队伍，得4分。</w:t>
            </w:r>
          </w:p>
        </w:tc>
        <w:tc>
          <w:tcPr>
            <w:tcW w:w="555"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widowControl/>
              <w:jc w:val="center"/>
              <w:textAlignment w:val="center"/>
              <w:rPr>
                <w:rFonts w:hint="eastAsia" w:ascii="宋体" w:hAnsi="宋体" w:cs="宋体"/>
                <w:color w:val="000000"/>
                <w:kern w:val="0"/>
                <w:sz w:val="20"/>
                <w:szCs w:val="20"/>
                <w:highlight w:val="none"/>
                <w:lang w:bidi="ar"/>
              </w:rPr>
            </w:pPr>
          </w:p>
        </w:tc>
        <w:tc>
          <w:tcPr>
            <w:tcW w:w="770"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1092"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C112.安全生产宣传情况</w:t>
            </w:r>
          </w:p>
        </w:tc>
        <w:tc>
          <w:tcPr>
            <w:tcW w:w="425"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3</w:t>
            </w:r>
          </w:p>
        </w:tc>
        <w:tc>
          <w:tcPr>
            <w:tcW w:w="2268"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考察是否定期进行安全宣传，一年1次以上得满分，未宣传，不得分。</w:t>
            </w:r>
          </w:p>
        </w:tc>
        <w:tc>
          <w:tcPr>
            <w:tcW w:w="4380"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2020年6月5日开展环境日宣传2次，得3分。</w:t>
            </w:r>
          </w:p>
        </w:tc>
        <w:tc>
          <w:tcPr>
            <w:tcW w:w="555"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widowControl/>
              <w:jc w:val="center"/>
              <w:textAlignment w:val="center"/>
              <w:rPr>
                <w:rFonts w:hint="eastAsia" w:ascii="宋体" w:hAnsi="宋体" w:cs="宋体"/>
                <w:color w:val="000000"/>
                <w:kern w:val="0"/>
                <w:sz w:val="20"/>
                <w:szCs w:val="20"/>
                <w:highlight w:val="none"/>
                <w:lang w:bidi="ar"/>
              </w:rPr>
            </w:pPr>
          </w:p>
        </w:tc>
        <w:tc>
          <w:tcPr>
            <w:tcW w:w="770"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1092"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C113.应急演练情况</w:t>
            </w:r>
          </w:p>
        </w:tc>
        <w:tc>
          <w:tcPr>
            <w:tcW w:w="425"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3</w:t>
            </w:r>
          </w:p>
        </w:tc>
        <w:tc>
          <w:tcPr>
            <w:tcW w:w="2268"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考察是否定期组织应急演练，一年演练1次以上得满分，未演练，不得分。</w:t>
            </w:r>
          </w:p>
        </w:tc>
        <w:tc>
          <w:tcPr>
            <w:tcW w:w="4380"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2020年进行消防演练15次，得3分。</w:t>
            </w:r>
          </w:p>
        </w:tc>
        <w:tc>
          <w:tcPr>
            <w:tcW w:w="555"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widowControl/>
              <w:jc w:val="center"/>
              <w:textAlignment w:val="center"/>
              <w:rPr>
                <w:rFonts w:hint="eastAsia" w:ascii="宋体" w:hAnsi="宋体" w:cs="宋体"/>
                <w:color w:val="000000"/>
                <w:kern w:val="0"/>
                <w:sz w:val="20"/>
                <w:szCs w:val="20"/>
                <w:highlight w:val="none"/>
                <w:lang w:bidi="ar"/>
              </w:rPr>
            </w:pPr>
          </w:p>
        </w:tc>
        <w:tc>
          <w:tcPr>
            <w:tcW w:w="770"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1092"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C114.安全培训情况</w:t>
            </w:r>
          </w:p>
        </w:tc>
        <w:tc>
          <w:tcPr>
            <w:tcW w:w="425"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3</w:t>
            </w:r>
          </w:p>
        </w:tc>
        <w:tc>
          <w:tcPr>
            <w:tcW w:w="2268"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考察是否定期组织应急队伍安全培训，一年培训2次以上得满分，培训一次，得1.5分，未培训，不得分。</w:t>
            </w:r>
          </w:p>
        </w:tc>
        <w:tc>
          <w:tcPr>
            <w:tcW w:w="4380"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2020年只进行了一次安全培训，得1.5分。</w:t>
            </w:r>
          </w:p>
        </w:tc>
        <w:tc>
          <w:tcPr>
            <w:tcW w:w="555"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widowControl/>
              <w:jc w:val="center"/>
              <w:textAlignment w:val="center"/>
              <w:rPr>
                <w:rFonts w:hint="eastAsia" w:ascii="宋体" w:hAnsi="宋体" w:cs="宋体"/>
                <w:color w:val="000000"/>
                <w:kern w:val="0"/>
                <w:sz w:val="20"/>
                <w:szCs w:val="20"/>
                <w:highlight w:val="none"/>
                <w:lang w:bidi="ar"/>
              </w:rPr>
            </w:pPr>
          </w:p>
        </w:tc>
        <w:tc>
          <w:tcPr>
            <w:tcW w:w="770"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1092"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C115.辖区内企业监管情况</w:t>
            </w:r>
          </w:p>
        </w:tc>
        <w:tc>
          <w:tcPr>
            <w:tcW w:w="425"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3</w:t>
            </w:r>
          </w:p>
        </w:tc>
        <w:tc>
          <w:tcPr>
            <w:tcW w:w="2268"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考察是否对辖区内企业进行有效监管，一年监管82家企业及以上得满分，监管达到60%至100%得1.5分，60%以下，不得分。</w:t>
            </w:r>
          </w:p>
        </w:tc>
        <w:tc>
          <w:tcPr>
            <w:tcW w:w="4380" w:type="dxa"/>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2020年对辖区内700多家工贸企业进行摸底排查，督促相关企业实时注册登录云南省应急管理综合运用平台，配合上级部门健全完善安全监管基础数据库，得3分。</w:t>
            </w:r>
          </w:p>
        </w:tc>
        <w:tc>
          <w:tcPr>
            <w:tcW w:w="555"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widowControl/>
              <w:jc w:val="center"/>
              <w:textAlignment w:val="center"/>
              <w:rPr>
                <w:rFonts w:ascii="宋体" w:hAnsi="宋体" w:cs="宋体"/>
                <w:b/>
                <w:color w:val="000000"/>
                <w:kern w:val="0"/>
                <w:sz w:val="20"/>
                <w:szCs w:val="20"/>
                <w:highlight w:val="none"/>
                <w:lang w:bidi="ar"/>
              </w:rPr>
            </w:pPr>
          </w:p>
        </w:tc>
        <w:tc>
          <w:tcPr>
            <w:tcW w:w="770" w:type="dxa"/>
            <w:vMerge w:val="restart"/>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C12.产出质量</w:t>
            </w:r>
          </w:p>
        </w:tc>
        <w:tc>
          <w:tcPr>
            <w:tcW w:w="1092" w:type="dxa"/>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C121.安全生产培训人员执法检查率</w:t>
            </w:r>
          </w:p>
        </w:tc>
        <w:tc>
          <w:tcPr>
            <w:tcW w:w="425" w:type="dxa"/>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5</w:t>
            </w:r>
          </w:p>
        </w:tc>
        <w:tc>
          <w:tcPr>
            <w:tcW w:w="2268" w:type="dxa"/>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考察安全生产培训人员执法检查率是否达标，达到100%，得满分，60%至100%得1.5分，60%以下，不得分。</w:t>
            </w:r>
          </w:p>
        </w:tc>
        <w:tc>
          <w:tcPr>
            <w:tcW w:w="4380" w:type="dxa"/>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根据以上产出指标安全生产队伍检查率已达100%，得5分。</w:t>
            </w:r>
          </w:p>
        </w:tc>
        <w:tc>
          <w:tcPr>
            <w:tcW w:w="555" w:type="dxa"/>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widowControl/>
              <w:jc w:val="center"/>
              <w:textAlignment w:val="center"/>
              <w:rPr>
                <w:rFonts w:hint="eastAsia" w:ascii="宋体" w:hAnsi="宋体" w:cs="宋体"/>
                <w:color w:val="000000"/>
                <w:kern w:val="0"/>
                <w:sz w:val="20"/>
                <w:szCs w:val="20"/>
                <w:highlight w:val="none"/>
                <w:lang w:bidi="ar"/>
              </w:rPr>
            </w:pPr>
          </w:p>
        </w:tc>
        <w:tc>
          <w:tcPr>
            <w:tcW w:w="770" w:type="dxa"/>
            <w:vMerge w:val="continue"/>
            <w:vAlign w:val="center"/>
          </w:tcPr>
          <w:p>
            <w:pPr>
              <w:jc w:val="left"/>
              <w:rPr>
                <w:rFonts w:hint="eastAsia" w:ascii="宋体" w:hAnsi="宋体" w:eastAsia="宋体" w:cs="宋体"/>
                <w:color w:val="000000"/>
                <w:kern w:val="0"/>
                <w:sz w:val="20"/>
                <w:szCs w:val="20"/>
                <w:highlight w:val="none"/>
                <w:lang w:val="en-US" w:eastAsia="zh-CN" w:bidi="ar"/>
              </w:rPr>
            </w:pPr>
          </w:p>
        </w:tc>
        <w:tc>
          <w:tcPr>
            <w:tcW w:w="1092" w:type="dxa"/>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C122.应急演练完成率</w:t>
            </w:r>
          </w:p>
        </w:tc>
        <w:tc>
          <w:tcPr>
            <w:tcW w:w="425" w:type="dxa"/>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3</w:t>
            </w:r>
          </w:p>
        </w:tc>
        <w:tc>
          <w:tcPr>
            <w:tcW w:w="2268" w:type="dxa"/>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考察应急演练率是否达标，应急演练率=实际演练次数/预计演练次数×100%，达到100%，得满分，60%至100%得1.5分，60%以下，不得分。</w:t>
            </w:r>
          </w:p>
        </w:tc>
        <w:tc>
          <w:tcPr>
            <w:tcW w:w="4380" w:type="dxa"/>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2020年应急演练率=实际演练次数/预计演练次数×100%=15/1×100%=1500%，得3分。</w:t>
            </w:r>
          </w:p>
        </w:tc>
        <w:tc>
          <w:tcPr>
            <w:tcW w:w="555" w:type="dxa"/>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widowControl/>
              <w:jc w:val="center"/>
              <w:textAlignment w:val="center"/>
              <w:rPr>
                <w:rFonts w:hint="eastAsia" w:ascii="宋体" w:hAnsi="宋体" w:cs="宋体"/>
                <w:color w:val="000000"/>
                <w:kern w:val="0"/>
                <w:sz w:val="20"/>
                <w:szCs w:val="20"/>
                <w:highlight w:val="none"/>
                <w:lang w:bidi="ar"/>
              </w:rPr>
            </w:pPr>
          </w:p>
        </w:tc>
        <w:tc>
          <w:tcPr>
            <w:tcW w:w="770" w:type="dxa"/>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C13.产出时效</w:t>
            </w:r>
          </w:p>
        </w:tc>
        <w:tc>
          <w:tcPr>
            <w:tcW w:w="1092" w:type="dxa"/>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C131.安全生产监管工作完成及时性</w:t>
            </w:r>
          </w:p>
        </w:tc>
        <w:tc>
          <w:tcPr>
            <w:tcW w:w="425" w:type="dxa"/>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w:t>
            </w:r>
          </w:p>
        </w:tc>
        <w:tc>
          <w:tcPr>
            <w:tcW w:w="2268" w:type="dxa"/>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考察安全生产监管工作完成是否及时完成，及时完成的满分，未及时完成视情况得0-1分。</w:t>
            </w:r>
          </w:p>
        </w:tc>
        <w:tc>
          <w:tcPr>
            <w:tcW w:w="4380" w:type="dxa"/>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已及时组织召开安全生产工作会，安排部署安全生产工作。签订安全生产责任书193份，得1分。</w:t>
            </w:r>
          </w:p>
        </w:tc>
        <w:tc>
          <w:tcPr>
            <w:tcW w:w="555" w:type="dxa"/>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widowControl/>
              <w:jc w:val="center"/>
              <w:textAlignment w:val="center"/>
              <w:rPr>
                <w:rFonts w:hint="eastAsia" w:ascii="宋体" w:hAnsi="宋体" w:cs="宋体"/>
                <w:color w:val="000000"/>
                <w:kern w:val="0"/>
                <w:sz w:val="20"/>
                <w:szCs w:val="20"/>
                <w:highlight w:val="none"/>
                <w:lang w:bidi="ar"/>
              </w:rPr>
            </w:pPr>
          </w:p>
        </w:tc>
        <w:tc>
          <w:tcPr>
            <w:tcW w:w="770" w:type="dxa"/>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C14.产出成本控制情况</w:t>
            </w:r>
          </w:p>
        </w:tc>
        <w:tc>
          <w:tcPr>
            <w:tcW w:w="1092" w:type="dxa"/>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C141.安全生产监管成本节约率</w:t>
            </w:r>
          </w:p>
        </w:tc>
        <w:tc>
          <w:tcPr>
            <w:tcW w:w="425" w:type="dxa"/>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5</w:t>
            </w:r>
          </w:p>
        </w:tc>
        <w:tc>
          <w:tcPr>
            <w:tcW w:w="2268" w:type="dxa"/>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考察当年安全生产监管成本工作的成本是否得到有效节约，节约50%及以上，得满分，节约50%以下，不得分。</w:t>
            </w:r>
          </w:p>
        </w:tc>
        <w:tc>
          <w:tcPr>
            <w:tcW w:w="4380" w:type="dxa"/>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实际到位资金90000元，本年实际使用26137.26元，节约率29.04%，得5分。</w:t>
            </w:r>
          </w:p>
        </w:tc>
        <w:tc>
          <w:tcPr>
            <w:tcW w:w="555" w:type="dxa"/>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5</w:t>
            </w:r>
          </w:p>
        </w:tc>
      </w:tr>
    </w:tbl>
    <w:p>
      <w:pPr>
        <w:ind w:firstLine="640" w:firstLineChars="200"/>
        <w:rPr>
          <w:rFonts w:ascii="仿宋_GB2312" w:hAnsi="仿宋" w:eastAsia="仿宋_GB2312" w:cs="仿宋"/>
          <w:kern w:val="0"/>
          <w:sz w:val="32"/>
          <w:szCs w:val="32"/>
          <w:highlight w:val="none"/>
          <w:lang w:bidi="zh-CN"/>
        </w:rPr>
      </w:pPr>
      <w:r>
        <w:rPr>
          <w:rFonts w:hint="eastAsia" w:ascii="仿宋_GB2312" w:hAnsi="仿宋" w:eastAsia="仿宋_GB2312" w:cs="仿宋"/>
          <w:kern w:val="0"/>
          <w:sz w:val="32"/>
          <w:szCs w:val="32"/>
          <w:highlight w:val="none"/>
          <w:lang w:val="en-US" w:bidi="zh-CN"/>
        </w:rPr>
        <w:t>2</w:t>
      </w:r>
      <w:r>
        <w:rPr>
          <w:rFonts w:hint="eastAsia" w:ascii="仿宋_GB2312" w:hAnsi="仿宋" w:eastAsia="仿宋_GB2312" w:cs="仿宋"/>
          <w:kern w:val="0"/>
          <w:sz w:val="32"/>
          <w:szCs w:val="32"/>
          <w:highlight w:val="none"/>
          <w:lang w:bidi="zh-CN"/>
        </w:rPr>
        <w:t>.项目效益指标分值</w:t>
      </w:r>
      <w:r>
        <w:rPr>
          <w:rFonts w:hint="eastAsia" w:ascii="仿宋_GB2312" w:hAnsi="仿宋" w:eastAsia="仿宋_GB2312" w:cs="仿宋"/>
          <w:kern w:val="0"/>
          <w:sz w:val="32"/>
          <w:szCs w:val="32"/>
          <w:highlight w:val="none"/>
          <w:lang w:val="en-US" w:bidi="zh-CN"/>
        </w:rPr>
        <w:t>30</w:t>
      </w:r>
      <w:r>
        <w:rPr>
          <w:rFonts w:hint="eastAsia" w:ascii="仿宋_GB2312" w:hAnsi="仿宋" w:eastAsia="仿宋_GB2312" w:cs="仿宋"/>
          <w:kern w:val="0"/>
          <w:sz w:val="32"/>
          <w:szCs w:val="32"/>
          <w:highlight w:val="none"/>
          <w:lang w:bidi="zh-CN"/>
        </w:rPr>
        <w:t>分，评价得分</w:t>
      </w:r>
      <w:r>
        <w:rPr>
          <w:rFonts w:hint="eastAsia" w:ascii="仿宋_GB2312" w:hAnsi="仿宋" w:eastAsia="仿宋_GB2312" w:cs="仿宋"/>
          <w:kern w:val="0"/>
          <w:sz w:val="32"/>
          <w:szCs w:val="32"/>
          <w:highlight w:val="none"/>
          <w:lang w:val="en-US" w:bidi="zh-CN"/>
        </w:rPr>
        <w:t>30</w:t>
      </w:r>
      <w:r>
        <w:rPr>
          <w:rFonts w:hint="eastAsia" w:ascii="仿宋_GB2312" w:hAnsi="仿宋" w:eastAsia="仿宋_GB2312" w:cs="仿宋"/>
          <w:kern w:val="0"/>
          <w:sz w:val="32"/>
          <w:szCs w:val="32"/>
          <w:highlight w:val="none"/>
          <w:lang w:bidi="zh-CN"/>
        </w:rPr>
        <w:t>分，得分率</w:t>
      </w:r>
      <w:r>
        <w:rPr>
          <w:rFonts w:hint="eastAsia" w:ascii="仿宋_GB2312" w:hAnsi="仿宋" w:eastAsia="仿宋_GB2312" w:cs="仿宋"/>
          <w:kern w:val="0"/>
          <w:sz w:val="32"/>
          <w:szCs w:val="32"/>
          <w:highlight w:val="none"/>
          <w:lang w:val="en-US" w:bidi="zh-CN"/>
        </w:rPr>
        <w:t>100</w:t>
      </w:r>
      <w:r>
        <w:rPr>
          <w:rFonts w:hint="eastAsia" w:ascii="仿宋_GB2312" w:hAnsi="仿宋" w:eastAsia="仿宋_GB2312" w:cs="仿宋"/>
          <w:kern w:val="0"/>
          <w:sz w:val="32"/>
          <w:szCs w:val="32"/>
          <w:highlight w:val="none"/>
          <w:lang w:bidi="zh-CN"/>
        </w:rPr>
        <w:t>%。</w:t>
      </w:r>
    </w:p>
    <w:tbl>
      <w:tblPr>
        <w:tblStyle w:val="13"/>
        <w:tblW w:w="10120" w:type="dxa"/>
        <w:tblInd w:w="-1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762"/>
        <w:gridCol w:w="1073"/>
        <w:gridCol w:w="559"/>
        <w:gridCol w:w="2446"/>
        <w:gridCol w:w="3815"/>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30" w:type="dxa"/>
            <w:shd w:val="clear" w:color="auto" w:fill="auto"/>
            <w:vAlign w:val="center"/>
          </w:tcPr>
          <w:p>
            <w:pPr>
              <w:widowControl/>
              <w:jc w:val="center"/>
              <w:textAlignment w:val="center"/>
              <w:rPr>
                <w:rFonts w:ascii="宋体" w:hAnsi="宋体" w:cs="宋体"/>
                <w:color w:val="000000"/>
                <w:kern w:val="0"/>
                <w:sz w:val="20"/>
                <w:szCs w:val="20"/>
                <w:highlight w:val="none"/>
                <w:lang w:bidi="ar"/>
              </w:rPr>
            </w:pPr>
            <w:r>
              <w:rPr>
                <w:rFonts w:hint="eastAsia" w:ascii="宋体" w:hAnsi="宋体" w:cs="宋体"/>
                <w:b/>
                <w:color w:val="000000"/>
                <w:kern w:val="0"/>
                <w:sz w:val="20"/>
                <w:szCs w:val="20"/>
                <w:highlight w:val="none"/>
                <w:lang w:bidi="ar"/>
              </w:rPr>
              <w:t>二级指标</w:t>
            </w:r>
          </w:p>
        </w:tc>
        <w:tc>
          <w:tcPr>
            <w:tcW w:w="770" w:type="dxa"/>
            <w:shd w:val="clear" w:color="auto" w:fill="auto"/>
            <w:vAlign w:val="center"/>
          </w:tcPr>
          <w:p>
            <w:pPr>
              <w:widowControl/>
              <w:jc w:val="center"/>
              <w:textAlignment w:val="center"/>
              <w:rPr>
                <w:rFonts w:ascii="宋体" w:hAnsi="宋体" w:cs="宋体"/>
                <w:color w:val="000000"/>
                <w:kern w:val="0"/>
                <w:sz w:val="20"/>
                <w:szCs w:val="20"/>
                <w:highlight w:val="none"/>
                <w:lang w:bidi="ar"/>
              </w:rPr>
            </w:pPr>
            <w:r>
              <w:rPr>
                <w:rFonts w:hint="eastAsia" w:ascii="宋体" w:hAnsi="宋体" w:cs="宋体"/>
                <w:b/>
                <w:color w:val="000000"/>
                <w:kern w:val="0"/>
                <w:sz w:val="20"/>
                <w:szCs w:val="20"/>
                <w:highlight w:val="none"/>
                <w:lang w:bidi="ar"/>
              </w:rPr>
              <w:t>三级指标</w:t>
            </w:r>
          </w:p>
        </w:tc>
        <w:tc>
          <w:tcPr>
            <w:tcW w:w="1092" w:type="dxa"/>
            <w:shd w:val="clear" w:color="auto" w:fill="auto"/>
            <w:vAlign w:val="center"/>
          </w:tcPr>
          <w:p>
            <w:pPr>
              <w:widowControl/>
              <w:jc w:val="center"/>
              <w:textAlignment w:val="center"/>
              <w:rPr>
                <w:rFonts w:ascii="宋体" w:hAnsi="宋体" w:cs="宋体"/>
                <w:color w:val="000000"/>
                <w:kern w:val="0"/>
                <w:sz w:val="20"/>
                <w:szCs w:val="20"/>
                <w:highlight w:val="none"/>
                <w:lang w:bidi="ar"/>
              </w:rPr>
            </w:pPr>
            <w:r>
              <w:rPr>
                <w:rFonts w:hint="eastAsia" w:ascii="宋体" w:hAnsi="宋体" w:cs="宋体"/>
                <w:b/>
                <w:color w:val="000000"/>
                <w:kern w:val="0"/>
                <w:sz w:val="20"/>
                <w:szCs w:val="20"/>
                <w:highlight w:val="none"/>
                <w:lang w:bidi="ar"/>
              </w:rPr>
              <w:t>四级指标</w:t>
            </w:r>
          </w:p>
        </w:tc>
        <w:tc>
          <w:tcPr>
            <w:tcW w:w="567" w:type="dxa"/>
            <w:shd w:val="clear" w:color="auto" w:fill="auto"/>
            <w:vAlign w:val="center"/>
          </w:tcPr>
          <w:p>
            <w:pPr>
              <w:widowControl/>
              <w:jc w:val="center"/>
              <w:textAlignment w:val="center"/>
              <w:rPr>
                <w:rFonts w:ascii="宋体" w:hAnsi="宋体" w:cs="宋体"/>
                <w:color w:val="000000"/>
                <w:kern w:val="0"/>
                <w:sz w:val="20"/>
                <w:szCs w:val="20"/>
                <w:highlight w:val="none"/>
                <w:lang w:bidi="ar"/>
              </w:rPr>
            </w:pPr>
            <w:r>
              <w:rPr>
                <w:rFonts w:hint="eastAsia" w:ascii="宋体" w:hAnsi="宋体" w:cs="宋体"/>
                <w:b/>
                <w:color w:val="000000"/>
                <w:kern w:val="0"/>
                <w:sz w:val="20"/>
                <w:szCs w:val="20"/>
                <w:highlight w:val="none"/>
                <w:lang w:bidi="ar"/>
              </w:rPr>
              <w:t>分值</w:t>
            </w:r>
          </w:p>
        </w:tc>
        <w:tc>
          <w:tcPr>
            <w:tcW w:w="2543" w:type="dxa"/>
            <w:shd w:val="clear" w:color="auto" w:fill="auto"/>
            <w:vAlign w:val="center"/>
          </w:tcPr>
          <w:p>
            <w:pPr>
              <w:widowControl/>
              <w:jc w:val="center"/>
              <w:textAlignment w:val="center"/>
              <w:rPr>
                <w:rFonts w:ascii="宋体" w:hAnsi="宋体" w:cs="宋体"/>
                <w:color w:val="000000"/>
                <w:kern w:val="0"/>
                <w:sz w:val="20"/>
                <w:szCs w:val="20"/>
                <w:highlight w:val="none"/>
                <w:lang w:bidi="ar"/>
              </w:rPr>
            </w:pPr>
            <w:r>
              <w:rPr>
                <w:rFonts w:hint="eastAsia" w:ascii="宋体" w:hAnsi="宋体" w:cs="宋体"/>
                <w:b/>
                <w:color w:val="000000"/>
                <w:kern w:val="0"/>
                <w:sz w:val="20"/>
                <w:szCs w:val="20"/>
                <w:highlight w:val="none"/>
                <w:lang w:bidi="ar"/>
              </w:rPr>
              <w:t>指标评分细则</w:t>
            </w:r>
          </w:p>
        </w:tc>
        <w:tc>
          <w:tcPr>
            <w:tcW w:w="3963" w:type="dxa"/>
            <w:shd w:val="clear" w:color="auto" w:fill="auto"/>
            <w:vAlign w:val="center"/>
          </w:tcPr>
          <w:p>
            <w:pPr>
              <w:widowControl/>
              <w:jc w:val="center"/>
              <w:textAlignment w:val="center"/>
              <w:rPr>
                <w:rFonts w:ascii="宋体" w:hAnsi="宋体" w:cs="宋体"/>
                <w:color w:val="000000"/>
                <w:kern w:val="0"/>
                <w:sz w:val="20"/>
                <w:szCs w:val="20"/>
                <w:highlight w:val="none"/>
                <w:lang w:bidi="ar"/>
              </w:rPr>
            </w:pPr>
            <w:r>
              <w:rPr>
                <w:rFonts w:hint="eastAsia" w:ascii="宋体" w:hAnsi="宋体" w:cs="宋体"/>
                <w:b/>
                <w:color w:val="000000"/>
                <w:kern w:val="0"/>
                <w:sz w:val="20"/>
                <w:szCs w:val="20"/>
                <w:highlight w:val="none"/>
                <w:lang w:bidi="ar"/>
              </w:rPr>
              <w:t>评价情况</w:t>
            </w:r>
          </w:p>
        </w:tc>
        <w:tc>
          <w:tcPr>
            <w:tcW w:w="555" w:type="dxa"/>
            <w:shd w:val="clear" w:color="auto" w:fill="auto"/>
            <w:vAlign w:val="center"/>
          </w:tcPr>
          <w:p>
            <w:pPr>
              <w:widowControl/>
              <w:jc w:val="center"/>
              <w:textAlignment w:val="center"/>
              <w:rPr>
                <w:rFonts w:ascii="宋体" w:hAnsi="宋体" w:cs="宋体"/>
                <w:color w:val="000000"/>
                <w:kern w:val="0"/>
                <w:sz w:val="20"/>
                <w:szCs w:val="20"/>
                <w:highlight w:val="none"/>
                <w:lang w:bidi="ar"/>
              </w:rPr>
            </w:pPr>
            <w:r>
              <w:rPr>
                <w:rFonts w:hint="eastAsia" w:ascii="宋体" w:hAnsi="宋体" w:cs="宋体"/>
                <w:b/>
                <w:color w:val="000000"/>
                <w:kern w:val="0"/>
                <w:sz w:val="20"/>
                <w:szCs w:val="20"/>
                <w:highlight w:val="none"/>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shd w:val="clear" w:color="auto" w:fill="auto"/>
            <w:vAlign w:val="center"/>
          </w:tcPr>
          <w:p>
            <w:pPr>
              <w:widowControl/>
              <w:jc w:val="center"/>
              <w:textAlignment w:val="center"/>
              <w:rPr>
                <w:rFonts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C2.项目效益（30%）</w:t>
            </w:r>
          </w:p>
        </w:tc>
        <w:tc>
          <w:tcPr>
            <w:tcW w:w="770"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C21.经济效益</w:t>
            </w:r>
          </w:p>
        </w:tc>
        <w:tc>
          <w:tcPr>
            <w:tcW w:w="1092"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C211.安全生产事故带来的经济损失减少情况</w:t>
            </w:r>
          </w:p>
        </w:tc>
        <w:tc>
          <w:tcPr>
            <w:tcW w:w="567"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6</w:t>
            </w:r>
          </w:p>
        </w:tc>
        <w:tc>
          <w:tcPr>
            <w:tcW w:w="2543"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考察安全事故是否得到有效的控制，发生率是否比以前年度下降并有效防止了经济损失，每一条均满足，得满分；其中一条不满足，不得分。</w:t>
            </w:r>
          </w:p>
        </w:tc>
        <w:tc>
          <w:tcPr>
            <w:tcW w:w="3963"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制定印发《铜都街道党政综合办公室关于切实做好今冬明春火火灾防控通知的通知》（铜处办发〔2019〕136号）、明确检查范围和重点，通过企业自检自查，各村（社区）和部门（中心）所强化督促检查的方式，在开展好辖区企业今冬明春火灾防控工作的同时，做好岁末年初及“两会”期间的安全生产工作。强化隐患排查，遏制安全生产事故，得6分</w:t>
            </w:r>
          </w:p>
        </w:tc>
        <w:tc>
          <w:tcPr>
            <w:tcW w:w="555"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shd w:val="clear" w:color="auto" w:fill="auto"/>
            <w:vAlign w:val="center"/>
          </w:tcPr>
          <w:p>
            <w:pPr>
              <w:widowControl/>
              <w:jc w:val="center"/>
              <w:textAlignment w:val="center"/>
              <w:rPr>
                <w:rFonts w:hint="eastAsia" w:ascii="宋体" w:hAnsi="宋体" w:cs="宋体"/>
                <w:color w:val="000000"/>
                <w:kern w:val="0"/>
                <w:sz w:val="20"/>
                <w:szCs w:val="20"/>
                <w:highlight w:val="none"/>
                <w:lang w:bidi="ar"/>
              </w:rPr>
            </w:pPr>
            <w:bookmarkStart w:id="34" w:name="_Toc54348642"/>
            <w:bookmarkStart w:id="35" w:name="_Toc57188372"/>
          </w:p>
        </w:tc>
        <w:tc>
          <w:tcPr>
            <w:tcW w:w="770"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C22.社会效益</w:t>
            </w:r>
          </w:p>
        </w:tc>
        <w:tc>
          <w:tcPr>
            <w:tcW w:w="1092"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C211.人民群众生命财产因环境事故遭受的损失降到最低保障情况</w:t>
            </w:r>
          </w:p>
        </w:tc>
        <w:tc>
          <w:tcPr>
            <w:tcW w:w="567"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6</w:t>
            </w:r>
          </w:p>
        </w:tc>
        <w:tc>
          <w:tcPr>
            <w:tcW w:w="2543"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考察人民群众生命财产是否因环境事故遭受损失，是，得满分；否，不得分。</w:t>
            </w:r>
          </w:p>
        </w:tc>
        <w:tc>
          <w:tcPr>
            <w:tcW w:w="3963"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共签订安全生产责任书193份，发放消防安全宣传材料7200余份，确实做到安全隐患整改有人检查、有人跟踪、有人落实、有人督查，做到不走形式、不留死角。安全事故得到有效预防，得6分，得6分。</w:t>
            </w:r>
          </w:p>
        </w:tc>
        <w:tc>
          <w:tcPr>
            <w:tcW w:w="555"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shd w:val="clear" w:color="auto" w:fill="auto"/>
            <w:vAlign w:val="center"/>
          </w:tcPr>
          <w:p>
            <w:pPr>
              <w:widowControl/>
              <w:jc w:val="center"/>
              <w:textAlignment w:val="center"/>
              <w:rPr>
                <w:rFonts w:hint="eastAsia" w:ascii="宋体" w:hAnsi="宋体" w:cs="宋体"/>
                <w:color w:val="000000"/>
                <w:kern w:val="0"/>
                <w:sz w:val="20"/>
                <w:szCs w:val="20"/>
                <w:highlight w:val="none"/>
                <w:lang w:bidi="ar"/>
              </w:rPr>
            </w:pPr>
          </w:p>
        </w:tc>
        <w:tc>
          <w:tcPr>
            <w:tcW w:w="770"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C23.生态效益</w:t>
            </w:r>
          </w:p>
        </w:tc>
        <w:tc>
          <w:tcPr>
            <w:tcW w:w="1092"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C221. 农田、水、空气的污染发生率减少情况</w:t>
            </w:r>
          </w:p>
        </w:tc>
        <w:tc>
          <w:tcPr>
            <w:tcW w:w="567"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6</w:t>
            </w:r>
          </w:p>
        </w:tc>
        <w:tc>
          <w:tcPr>
            <w:tcW w:w="2543"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考察对辖区企业监管效率，监管是否有效执行并已减少了农田、水、空气的污染发生率，是，得满分；否，不得分。</w:t>
            </w:r>
          </w:p>
        </w:tc>
        <w:tc>
          <w:tcPr>
            <w:tcW w:w="3963"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农村农田、水、空气的污染已通过安全宣传群众意识提高发生率逐步减少，环境质量得以改善，得6分。</w:t>
            </w:r>
          </w:p>
        </w:tc>
        <w:tc>
          <w:tcPr>
            <w:tcW w:w="555"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shd w:val="clear" w:color="auto" w:fill="auto"/>
            <w:vAlign w:val="center"/>
          </w:tcPr>
          <w:p>
            <w:pPr>
              <w:widowControl/>
              <w:jc w:val="center"/>
              <w:textAlignment w:val="center"/>
              <w:rPr>
                <w:rFonts w:hint="eastAsia" w:ascii="宋体" w:hAnsi="宋体" w:cs="宋体"/>
                <w:color w:val="000000"/>
                <w:kern w:val="0"/>
                <w:sz w:val="20"/>
                <w:szCs w:val="20"/>
                <w:highlight w:val="none"/>
                <w:lang w:bidi="ar"/>
              </w:rPr>
            </w:pPr>
          </w:p>
        </w:tc>
        <w:tc>
          <w:tcPr>
            <w:tcW w:w="770"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C24.满意度</w:t>
            </w:r>
          </w:p>
        </w:tc>
        <w:tc>
          <w:tcPr>
            <w:tcW w:w="1092"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C241. 服务对象满意度</w:t>
            </w:r>
          </w:p>
        </w:tc>
        <w:tc>
          <w:tcPr>
            <w:tcW w:w="567"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6</w:t>
            </w:r>
          </w:p>
        </w:tc>
        <w:tc>
          <w:tcPr>
            <w:tcW w:w="2543"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评价受益对象及社会公众对项目实施效果的满意度，共发放50份问卷，满意度大于等于95%得10分，大于等于90%扣1分，大于等于85%扣2分，大于等于75%扣3分，以此类推，扣完为止。</w:t>
            </w:r>
          </w:p>
        </w:tc>
        <w:tc>
          <w:tcPr>
            <w:tcW w:w="3963"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通过发放50份调查问卷，计算后满意度为95.8%，得6分。</w:t>
            </w:r>
          </w:p>
        </w:tc>
        <w:tc>
          <w:tcPr>
            <w:tcW w:w="555"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shd w:val="clear" w:color="auto" w:fill="auto"/>
            <w:vAlign w:val="center"/>
          </w:tcPr>
          <w:p>
            <w:pPr>
              <w:widowControl/>
              <w:jc w:val="center"/>
              <w:textAlignment w:val="center"/>
              <w:rPr>
                <w:rFonts w:hint="eastAsia" w:ascii="宋体" w:hAnsi="宋体" w:cs="宋体"/>
                <w:color w:val="000000"/>
                <w:kern w:val="0"/>
                <w:sz w:val="20"/>
                <w:szCs w:val="20"/>
                <w:highlight w:val="none"/>
                <w:lang w:bidi="ar"/>
              </w:rPr>
            </w:pPr>
          </w:p>
        </w:tc>
        <w:tc>
          <w:tcPr>
            <w:tcW w:w="770"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C25.可持续性</w:t>
            </w:r>
          </w:p>
        </w:tc>
        <w:tc>
          <w:tcPr>
            <w:tcW w:w="1092"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C251.群众和企业环保法律及环境保护意识提高情况</w:t>
            </w:r>
          </w:p>
        </w:tc>
        <w:tc>
          <w:tcPr>
            <w:tcW w:w="567"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6</w:t>
            </w:r>
          </w:p>
        </w:tc>
        <w:tc>
          <w:tcPr>
            <w:tcW w:w="2543"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考察安全宣传及应急演练的效率，群众和企业的环保法律及环保意识是否得到提高，是，得满分；否，不得分。</w:t>
            </w:r>
          </w:p>
        </w:tc>
        <w:tc>
          <w:tcPr>
            <w:tcW w:w="3963"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通过安全宣传群众意识提高发生率逐步减少，环境质量得以改善，得6分。</w:t>
            </w:r>
          </w:p>
        </w:tc>
        <w:tc>
          <w:tcPr>
            <w:tcW w:w="555" w:type="dxa"/>
            <w:shd w:val="clear" w:color="auto" w:fill="auto"/>
            <w:vAlign w:val="center"/>
          </w:tcPr>
          <w:p>
            <w:pPr>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6</w:t>
            </w:r>
          </w:p>
        </w:tc>
      </w:tr>
      <w:bookmarkEnd w:id="34"/>
      <w:bookmarkEnd w:id="35"/>
    </w:tbl>
    <w:p>
      <w:pPr>
        <w:pStyle w:val="2"/>
        <w:keepNext w:val="0"/>
        <w:keepLines w:val="0"/>
        <w:adjustRightInd w:val="0"/>
        <w:snapToGrid w:val="0"/>
        <w:spacing w:before="0" w:after="0" w:line="600" w:lineRule="exact"/>
        <w:ind w:firstLine="640" w:firstLineChars="200"/>
        <w:rPr>
          <w:rFonts w:ascii="黑体" w:hAnsi="黑体" w:eastAsia="黑体"/>
          <w:b w:val="0"/>
          <w:bCs w:val="0"/>
          <w:sz w:val="32"/>
          <w:szCs w:val="32"/>
          <w:highlight w:val="none"/>
        </w:rPr>
      </w:pPr>
      <w:bookmarkStart w:id="36" w:name="_Toc57188373"/>
      <w:bookmarkStart w:id="37" w:name="_Toc54348643"/>
      <w:r>
        <w:rPr>
          <w:rFonts w:hint="eastAsia" w:ascii="黑体" w:hAnsi="黑体" w:eastAsia="黑体"/>
          <w:b w:val="0"/>
          <w:bCs w:val="0"/>
          <w:sz w:val="32"/>
          <w:szCs w:val="32"/>
          <w:highlight w:val="none"/>
        </w:rPr>
        <w:t>五、主要经验及做法</w:t>
      </w:r>
      <w:bookmarkEnd w:id="36"/>
      <w:bookmarkEnd w:id="37"/>
    </w:p>
    <w:p>
      <w:pPr>
        <w:pStyle w:val="3"/>
        <w:adjustRightInd w:val="0"/>
        <w:snapToGrid w:val="0"/>
        <w:spacing w:before="0" w:after="0" w:line="600" w:lineRule="exact"/>
        <w:ind w:firstLine="640" w:firstLineChars="200"/>
        <w:rPr>
          <w:rFonts w:hint="eastAsia" w:ascii="楷体_GB2312" w:eastAsia="楷体_GB2312"/>
          <w:b w:val="0"/>
          <w:bCs w:val="0"/>
          <w:highlight w:val="none"/>
        </w:rPr>
      </w:pPr>
      <w:bookmarkStart w:id="38" w:name="_Toc54348644"/>
      <w:bookmarkStart w:id="39" w:name="_Toc57188374"/>
      <w:r>
        <w:rPr>
          <w:rFonts w:hint="eastAsia" w:ascii="楷体_GB2312" w:eastAsia="楷体_GB2312"/>
          <w:b w:val="0"/>
          <w:bCs w:val="0"/>
          <w:highlight w:val="none"/>
        </w:rPr>
        <w:t>（一）加强组织领导，落实责任目标</w:t>
      </w:r>
    </w:p>
    <w:p>
      <w:pPr>
        <w:ind w:firstLine="640" w:firstLineChars="200"/>
        <w:rPr>
          <w:rFonts w:hint="eastAsia" w:ascii="仿宋_GB2312" w:hAnsi="仿宋" w:eastAsia="仿宋_GB2312" w:cs="仿宋"/>
          <w:kern w:val="0"/>
          <w:sz w:val="32"/>
          <w:szCs w:val="32"/>
          <w:highlight w:val="none"/>
          <w:lang w:eastAsia="zh-CN" w:bidi="zh-CN"/>
        </w:rPr>
      </w:pPr>
      <w:r>
        <w:rPr>
          <w:rFonts w:hint="eastAsia" w:ascii="仿宋_GB2312" w:hAnsi="仿宋" w:eastAsia="仿宋_GB2312" w:cs="仿宋"/>
          <w:kern w:val="0"/>
          <w:sz w:val="32"/>
          <w:szCs w:val="32"/>
          <w:highlight w:val="none"/>
          <w:lang w:eastAsia="zh-CN" w:bidi="zh-CN"/>
        </w:rPr>
        <w:t>及时组织召开安全生产工作会，安排部署安全生产工作；制定《铜都街道2020年安全生产监管工作计划》，明确责任目标和检查方法，指导各村（社区）、各办（中心）所按照安全生产“一岗双责”原则开展工作；继续强化网格化管理，进一步健全网格化体系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（二）强化隐患排查，遏制安全生产事故</w:t>
      </w:r>
    </w:p>
    <w:p>
      <w:pPr>
        <w:ind w:firstLine="640" w:firstLineChars="200"/>
        <w:rPr>
          <w:rFonts w:hint="eastAsia" w:ascii="仿宋_GB2312" w:hAnsi="仿宋" w:eastAsia="仿宋_GB2312" w:cs="仿宋"/>
          <w:kern w:val="0"/>
          <w:sz w:val="32"/>
          <w:szCs w:val="32"/>
          <w:highlight w:val="none"/>
          <w:lang w:eastAsia="zh-CN" w:bidi="zh-CN"/>
        </w:rPr>
      </w:pPr>
      <w:r>
        <w:rPr>
          <w:rFonts w:hint="eastAsia" w:ascii="仿宋_GB2312" w:hAnsi="仿宋" w:eastAsia="仿宋_GB2312" w:cs="仿宋"/>
          <w:kern w:val="0"/>
          <w:sz w:val="32"/>
          <w:szCs w:val="32"/>
          <w:highlight w:val="none"/>
          <w:lang w:eastAsia="zh-CN" w:bidi="zh-CN"/>
        </w:rPr>
        <w:t>开展今冬明春火灾防控工作，制定印发《铜都街道党政综合办公室关于切实做好今冬明春火火灾防控通知的通知》（铜处办发〔2019〕136号）、明确检查范围和重点；开展烟花爆竹大检查，配合上级部门对辖区烟花爆竹经营零售点13家进行全面排查，对不符合经营条件的给予取缔，对符合经营条件的按程序上报区安监局。对符合要求的经营户严格要求灭火器配备、设置封闭专柜、经营许可证须按时进行年检、仓库内粘贴禁烟标识标；消防安全工作，继续抓好公众聚集场所严查整治、中小学学校、卫生院、居民小区、居民楼院、外来人口出租户、七小行业场所、高层、地下建筑和“三合一、多合一”场所等火灾隐患排查整治工作。</w:t>
      </w:r>
    </w:p>
    <w:p>
      <w:pPr>
        <w:ind w:firstLine="640" w:firstLineChars="200"/>
        <w:rPr>
          <w:rFonts w:hint="eastAsia" w:ascii="仿宋_GB2312" w:hAnsi="仿宋" w:eastAsia="仿宋_GB2312" w:cs="仿宋"/>
          <w:kern w:val="0"/>
          <w:sz w:val="32"/>
          <w:szCs w:val="32"/>
          <w:highlight w:val="none"/>
          <w:lang w:eastAsia="zh-CN" w:bidi="zh-CN"/>
        </w:rPr>
      </w:pPr>
    </w:p>
    <w:p>
      <w:pPr>
        <w:pStyle w:val="2"/>
        <w:keepNext w:val="0"/>
        <w:keepLines w:val="0"/>
        <w:adjustRightInd w:val="0"/>
        <w:snapToGrid w:val="0"/>
        <w:spacing w:before="0" w:after="0" w:line="600" w:lineRule="exact"/>
        <w:ind w:firstLine="640" w:firstLineChars="200"/>
        <w:rPr>
          <w:rFonts w:ascii="黑体" w:hAnsi="黑体" w:eastAsia="黑体"/>
          <w:b w:val="0"/>
          <w:bCs w:val="0"/>
          <w:sz w:val="32"/>
          <w:szCs w:val="32"/>
          <w:highlight w:val="none"/>
        </w:rPr>
      </w:pPr>
      <w:r>
        <w:rPr>
          <w:rFonts w:hint="eastAsia" w:ascii="黑体" w:hAnsi="黑体" w:eastAsia="黑体"/>
          <w:b w:val="0"/>
          <w:bCs w:val="0"/>
          <w:sz w:val="32"/>
          <w:szCs w:val="32"/>
          <w:highlight w:val="none"/>
        </w:rPr>
        <w:t>六、存在的问题及原因分析</w:t>
      </w:r>
      <w:bookmarkEnd w:id="38"/>
      <w:bookmarkEnd w:id="39"/>
    </w:p>
    <w:p>
      <w:pPr>
        <w:ind w:firstLine="640" w:firstLineChars="200"/>
        <w:rPr>
          <w:rFonts w:hint="eastAsia" w:ascii="仿宋_GB2312" w:hAnsi="仿宋" w:eastAsia="仿宋_GB2312" w:cs="仿宋"/>
          <w:kern w:val="0"/>
          <w:sz w:val="32"/>
          <w:szCs w:val="32"/>
          <w:highlight w:val="none"/>
          <w:lang w:bidi="zh-CN"/>
        </w:rPr>
      </w:pPr>
      <w:r>
        <w:rPr>
          <w:rFonts w:hint="eastAsia" w:ascii="仿宋_GB2312" w:hAnsi="仿宋" w:eastAsia="仿宋_GB2312" w:cs="仿宋"/>
          <w:kern w:val="0"/>
          <w:sz w:val="32"/>
          <w:szCs w:val="32"/>
          <w:highlight w:val="none"/>
          <w:lang w:bidi="zh-CN"/>
        </w:rPr>
        <w:t>（一）工作人员少，工作量大，致使开展工作难度大，联合检查较少，企业巡查不能达到闭合。</w:t>
      </w:r>
    </w:p>
    <w:p>
      <w:pPr>
        <w:ind w:firstLine="640" w:firstLineChars="200"/>
        <w:rPr>
          <w:rFonts w:hint="eastAsia" w:ascii="仿宋_GB2312" w:hAnsi="仿宋" w:eastAsia="仿宋_GB2312" w:cs="仿宋"/>
          <w:kern w:val="0"/>
          <w:sz w:val="32"/>
          <w:szCs w:val="32"/>
          <w:highlight w:val="none"/>
          <w:lang w:bidi="zh-CN"/>
        </w:rPr>
      </w:pPr>
      <w:r>
        <w:rPr>
          <w:rFonts w:hint="eastAsia" w:ascii="仿宋_GB2312" w:hAnsi="仿宋" w:eastAsia="仿宋_GB2312" w:cs="仿宋"/>
          <w:kern w:val="0"/>
          <w:sz w:val="32"/>
          <w:szCs w:val="32"/>
          <w:highlight w:val="none"/>
          <w:lang w:bidi="zh-CN"/>
        </w:rPr>
        <w:t>（二）街道涉及的安全行业领域多，各部门对认真履行安全生产“一岗双责”和“三个必须”认识不够，检查的材料不能及时上报街道安委会办公室。</w:t>
      </w:r>
    </w:p>
    <w:p>
      <w:pPr>
        <w:ind w:firstLine="640" w:firstLineChars="200"/>
        <w:rPr>
          <w:rFonts w:ascii="仿宋_GB2312" w:hAnsi="仿宋" w:eastAsia="仿宋_GB2312" w:cs="仿宋"/>
          <w:kern w:val="0"/>
          <w:sz w:val="32"/>
          <w:szCs w:val="32"/>
          <w:highlight w:val="none"/>
          <w:lang w:bidi="zh-CN"/>
        </w:rPr>
      </w:pPr>
      <w:r>
        <w:rPr>
          <w:rFonts w:hint="eastAsia" w:ascii="仿宋_GB2312" w:hAnsi="仿宋" w:eastAsia="仿宋_GB2312" w:cs="仿宋"/>
          <w:kern w:val="0"/>
          <w:sz w:val="32"/>
          <w:szCs w:val="32"/>
          <w:highlight w:val="none"/>
          <w:lang w:bidi="zh-CN"/>
        </w:rPr>
        <w:t>（三）少数村（社区）安全专干不履职，村（社区）书记主任不重视安全工作。</w:t>
      </w:r>
    </w:p>
    <w:p>
      <w:pPr>
        <w:pStyle w:val="2"/>
        <w:keepNext w:val="0"/>
        <w:keepLines w:val="0"/>
        <w:adjustRightInd w:val="0"/>
        <w:snapToGrid w:val="0"/>
        <w:spacing w:before="0" w:after="0" w:line="600" w:lineRule="exact"/>
        <w:ind w:firstLine="640" w:firstLineChars="200"/>
        <w:rPr>
          <w:rFonts w:ascii="黑体" w:hAnsi="黑体" w:eastAsia="黑体"/>
          <w:b w:val="0"/>
          <w:bCs w:val="0"/>
          <w:sz w:val="32"/>
          <w:szCs w:val="32"/>
          <w:highlight w:val="none"/>
        </w:rPr>
      </w:pPr>
      <w:bookmarkStart w:id="40" w:name="_Toc57188375"/>
      <w:bookmarkStart w:id="41" w:name="_Toc54348645"/>
      <w:r>
        <w:rPr>
          <w:rFonts w:hint="eastAsia" w:ascii="黑体" w:hAnsi="黑体" w:eastAsia="黑体"/>
          <w:b w:val="0"/>
          <w:bCs w:val="0"/>
          <w:sz w:val="32"/>
          <w:szCs w:val="32"/>
          <w:highlight w:val="none"/>
        </w:rPr>
        <w:t>七、有关建议</w:t>
      </w:r>
      <w:bookmarkEnd w:id="40"/>
      <w:bookmarkEnd w:id="41"/>
    </w:p>
    <w:p>
      <w:pPr>
        <w:ind w:firstLine="640" w:firstLineChars="200"/>
        <w:rPr>
          <w:rFonts w:ascii="仿宋_GB2312" w:hAnsi="仿宋" w:eastAsia="仿宋_GB2312" w:cs="仿宋"/>
          <w:kern w:val="0"/>
          <w:sz w:val="32"/>
          <w:szCs w:val="32"/>
          <w:highlight w:val="none"/>
          <w:lang w:bidi="zh-CN"/>
        </w:rPr>
      </w:pPr>
      <w:r>
        <w:rPr>
          <w:rFonts w:hint="eastAsia" w:ascii="仿宋_GB2312" w:hAnsi="仿宋" w:eastAsia="仿宋_GB2312" w:cs="仿宋"/>
          <w:kern w:val="0"/>
          <w:sz w:val="32"/>
          <w:szCs w:val="32"/>
          <w:highlight w:val="none"/>
          <w:lang w:bidi="zh-CN"/>
        </w:rPr>
        <w:t>结合本辖区、本部门实际，进一步细化工作方案，明确工作责任，及时把相关精神传达至各相关企业，确保大检查工作“横向到边、纵向到底”。真正把市、区、街道党工委、办事处的工作部署和要求落实到位，避免各类安全事故的发生。</w:t>
      </w:r>
    </w:p>
    <w:p>
      <w:pPr>
        <w:pStyle w:val="5"/>
        <w:adjustRightInd w:val="0"/>
        <w:snapToGrid w:val="0"/>
        <w:spacing w:line="600" w:lineRule="exact"/>
        <w:ind w:left="136" w:firstLine="640" w:firstLineChars="200"/>
        <w:jc w:val="both"/>
        <w:rPr>
          <w:rFonts w:ascii="仿宋_GB2312" w:eastAsia="仿宋_GB2312"/>
          <w:highlight w:val="none"/>
        </w:rPr>
      </w:pPr>
    </w:p>
    <w:p>
      <w:pPr>
        <w:pStyle w:val="5"/>
        <w:adjustRightInd w:val="0"/>
        <w:snapToGrid w:val="0"/>
        <w:spacing w:line="600" w:lineRule="exact"/>
        <w:ind w:left="136" w:firstLine="640" w:firstLineChars="200"/>
        <w:jc w:val="both"/>
        <w:rPr>
          <w:rFonts w:ascii="仿宋_GB2312" w:eastAsia="仿宋_GB2312"/>
          <w:highlight w:val="none"/>
        </w:rPr>
      </w:pPr>
    </w:p>
    <w:p>
      <w:pPr>
        <w:pStyle w:val="2"/>
        <w:adjustRightInd w:val="0"/>
        <w:snapToGrid w:val="0"/>
        <w:spacing w:before="0" w:after="0" w:line="600" w:lineRule="exact"/>
        <w:ind w:firstLine="640" w:firstLineChars="200"/>
        <w:rPr>
          <w:rFonts w:ascii="黑体" w:hAnsi="黑体" w:eastAsia="黑体"/>
          <w:b w:val="0"/>
          <w:bCs w:val="0"/>
          <w:sz w:val="32"/>
          <w:szCs w:val="32"/>
          <w:highlight w:val="none"/>
        </w:rPr>
      </w:pPr>
      <w:bookmarkStart w:id="42" w:name="_Toc54348647"/>
      <w:bookmarkStart w:id="43" w:name="_Toc57188377"/>
      <w:r>
        <w:rPr>
          <w:rFonts w:hint="eastAsia" w:ascii="黑体" w:hAnsi="黑体" w:eastAsia="黑体"/>
          <w:b w:val="0"/>
          <w:bCs w:val="0"/>
          <w:sz w:val="32"/>
          <w:szCs w:val="32"/>
          <w:highlight w:val="none"/>
        </w:rPr>
        <w:t>附件：</w:t>
      </w:r>
      <w:bookmarkEnd w:id="42"/>
      <w:bookmarkEnd w:id="43"/>
      <w:bookmarkStart w:id="44" w:name="_Hlk49417279"/>
    </w:p>
    <w:bookmarkEnd w:id="44"/>
    <w:p>
      <w:pPr>
        <w:pStyle w:val="5"/>
        <w:adjustRightInd w:val="0"/>
        <w:snapToGrid w:val="0"/>
        <w:spacing w:line="600" w:lineRule="exact"/>
        <w:ind w:left="136" w:firstLine="640" w:firstLineChars="200"/>
        <w:rPr>
          <w:rFonts w:ascii="仿宋_GB2312" w:eastAsia="仿宋_GB2312"/>
          <w:highlight w:val="none"/>
        </w:rPr>
      </w:pPr>
      <w:r>
        <w:rPr>
          <w:rFonts w:hint="eastAsia" w:ascii="仿宋_GB2312" w:eastAsia="仿宋_GB2312"/>
          <w:highlight w:val="none"/>
        </w:rPr>
        <w:t>1.项目支出绩效评价指标体系及评分表；</w:t>
      </w:r>
    </w:p>
    <w:p>
      <w:pPr>
        <w:pStyle w:val="5"/>
        <w:adjustRightInd w:val="0"/>
        <w:snapToGrid w:val="0"/>
        <w:spacing w:line="600" w:lineRule="exact"/>
        <w:ind w:left="136" w:firstLine="640" w:firstLineChars="200"/>
        <w:rPr>
          <w:rFonts w:ascii="仿宋_GB2312" w:eastAsia="仿宋_GB2312"/>
          <w:highlight w:val="none"/>
        </w:rPr>
      </w:pPr>
      <w:r>
        <w:rPr>
          <w:rFonts w:hint="eastAsia" w:ascii="仿宋_GB2312" w:eastAsia="仿宋_GB2312"/>
          <w:highlight w:val="none"/>
        </w:rPr>
        <w:t>2.访谈报告；</w:t>
      </w:r>
    </w:p>
    <w:p>
      <w:pPr>
        <w:pStyle w:val="5"/>
        <w:adjustRightInd w:val="0"/>
        <w:snapToGrid w:val="0"/>
        <w:spacing w:line="600" w:lineRule="exact"/>
        <w:ind w:left="136" w:firstLine="640" w:firstLineChars="200"/>
        <w:rPr>
          <w:rFonts w:ascii="仿宋_GB2312" w:eastAsia="仿宋_GB2312"/>
          <w:highlight w:val="none"/>
        </w:rPr>
      </w:pPr>
      <w:r>
        <w:rPr>
          <w:rFonts w:hint="eastAsia" w:ascii="仿宋_GB2312" w:eastAsia="仿宋_GB2312"/>
          <w:highlight w:val="none"/>
        </w:rPr>
        <w:t>3.社会调查问卷报告；</w:t>
      </w:r>
    </w:p>
    <w:p>
      <w:pPr>
        <w:pStyle w:val="5"/>
        <w:adjustRightInd w:val="0"/>
        <w:snapToGrid w:val="0"/>
        <w:spacing w:line="600" w:lineRule="exact"/>
        <w:ind w:left="136" w:firstLine="640" w:firstLineChars="200"/>
        <w:rPr>
          <w:rFonts w:ascii="仿宋_GB2312" w:eastAsia="仿宋_GB2312"/>
          <w:highlight w:val="none"/>
          <w:lang w:val="en-US"/>
        </w:rPr>
      </w:pPr>
      <w:r>
        <w:rPr>
          <w:rFonts w:hint="eastAsia" w:ascii="仿宋_GB2312" w:eastAsia="仿宋_GB2312"/>
          <w:highlight w:val="none"/>
          <w:lang w:val="en-US"/>
        </w:rPr>
        <w:t>4.项目安全保障资料（电子版）；</w:t>
      </w:r>
    </w:p>
    <w:p>
      <w:pPr>
        <w:pStyle w:val="5"/>
        <w:adjustRightInd w:val="0"/>
        <w:snapToGrid w:val="0"/>
        <w:spacing w:line="600" w:lineRule="exact"/>
        <w:ind w:left="136" w:firstLine="640" w:firstLineChars="200"/>
        <w:jc w:val="both"/>
        <w:rPr>
          <w:rFonts w:ascii="仿宋_GB2312" w:eastAsia="仿宋_GB2312"/>
          <w:highlight w:val="none"/>
          <w:lang w:val="en-US"/>
        </w:rPr>
      </w:pPr>
    </w:p>
    <w:p>
      <w:pPr>
        <w:pStyle w:val="5"/>
        <w:adjustRightInd w:val="0"/>
        <w:snapToGrid w:val="0"/>
        <w:spacing w:line="600" w:lineRule="exact"/>
        <w:ind w:left="136" w:firstLine="640" w:firstLineChars="200"/>
        <w:jc w:val="both"/>
        <w:rPr>
          <w:rFonts w:ascii="仿宋_GB2312" w:eastAsia="仿宋_GB2312"/>
          <w:highlight w:val="none"/>
          <w:lang w:val="en-US"/>
        </w:rPr>
      </w:pPr>
    </w:p>
    <w:p>
      <w:pPr>
        <w:pStyle w:val="5"/>
        <w:adjustRightInd w:val="0"/>
        <w:snapToGrid w:val="0"/>
        <w:spacing w:line="600" w:lineRule="exact"/>
        <w:ind w:left="136" w:firstLine="640" w:firstLineChars="200"/>
        <w:jc w:val="both"/>
        <w:rPr>
          <w:rFonts w:ascii="仿宋_GB2312" w:eastAsia="仿宋_GB2312"/>
          <w:highlight w:val="none"/>
          <w:lang w:val="en-US"/>
        </w:rPr>
      </w:pPr>
    </w:p>
    <w:p>
      <w:pPr>
        <w:pStyle w:val="5"/>
        <w:adjustRightInd w:val="0"/>
        <w:snapToGrid w:val="0"/>
        <w:spacing w:line="600" w:lineRule="exact"/>
        <w:ind w:left="136" w:firstLine="640" w:firstLineChars="200"/>
        <w:jc w:val="both"/>
        <w:rPr>
          <w:rFonts w:ascii="仿宋_GB2312" w:eastAsia="仿宋_GB2312"/>
          <w:highlight w:val="none"/>
          <w:lang w:val="en-US"/>
        </w:rPr>
      </w:pPr>
    </w:p>
    <w:p>
      <w:pPr>
        <w:pStyle w:val="5"/>
        <w:adjustRightInd w:val="0"/>
        <w:snapToGrid w:val="0"/>
        <w:spacing w:line="360" w:lineRule="auto"/>
        <w:ind w:left="136" w:right="1280" w:firstLine="640" w:firstLineChars="200"/>
        <w:jc w:val="right"/>
        <w:rPr>
          <w:rFonts w:hint="default" w:ascii="仿宋_GB2312" w:eastAsia="仿宋_GB2312"/>
          <w:highlight w:val="none"/>
          <w:lang w:val="en-US" w:eastAsia="zh-CN"/>
        </w:rPr>
      </w:pPr>
      <w:r>
        <w:rPr>
          <w:rFonts w:hint="eastAsia" w:ascii="仿宋_GB2312" w:eastAsia="仿宋_GB2312"/>
          <w:highlight w:val="none"/>
          <w:lang w:val="en-US" w:eastAsia="zh-CN"/>
        </w:rPr>
        <w:t>铜都街道办事处</w:t>
      </w:r>
      <w:r>
        <w:rPr>
          <w:rFonts w:hint="eastAsia" w:ascii="仿宋_GB2312" w:eastAsia="仿宋_GB2312"/>
          <w:highlight w:val="none"/>
          <w:lang w:val="en-US"/>
        </w:rPr>
        <w:t>绩效评价工作小组</w:t>
      </w:r>
    </w:p>
    <w:p>
      <w:pPr>
        <w:pStyle w:val="5"/>
        <w:adjustRightInd w:val="0"/>
        <w:snapToGrid w:val="0"/>
        <w:spacing w:line="360" w:lineRule="auto"/>
        <w:ind w:left="136" w:right="1280" w:firstLine="640" w:firstLineChars="200"/>
        <w:jc w:val="center"/>
        <w:rPr>
          <w:rFonts w:ascii="仿宋_GB2312" w:eastAsia="仿宋_GB2312"/>
          <w:highlight w:val="none"/>
        </w:rPr>
      </w:pPr>
      <w:r>
        <w:rPr>
          <w:rFonts w:hint="eastAsia" w:ascii="仿宋_GB2312" w:eastAsia="仿宋_GB2312"/>
          <w:highlight w:val="none"/>
          <w:lang w:val="en-US" w:eastAsia="zh-CN"/>
        </w:rPr>
        <w:t xml:space="preserve">       </w:t>
      </w:r>
      <w:r>
        <w:rPr>
          <w:rFonts w:hint="eastAsia" w:ascii="仿宋_GB2312" w:eastAsia="仿宋_GB2312"/>
          <w:highlight w:val="none"/>
          <w:lang w:val="en-US"/>
        </w:rPr>
        <w:t>2</w:t>
      </w:r>
      <w:r>
        <w:rPr>
          <w:rFonts w:ascii="仿宋_GB2312" w:eastAsia="仿宋_GB2312"/>
          <w:highlight w:val="none"/>
          <w:lang w:val="en-US"/>
        </w:rPr>
        <w:t>02</w:t>
      </w:r>
      <w:r>
        <w:rPr>
          <w:rFonts w:hint="eastAsia" w:ascii="仿宋_GB2312" w:eastAsia="仿宋_GB2312"/>
          <w:highlight w:val="none"/>
          <w:lang w:val="en-US" w:eastAsia="zh-CN"/>
        </w:rPr>
        <w:t>1</w:t>
      </w:r>
      <w:r>
        <w:rPr>
          <w:rFonts w:hint="eastAsia" w:ascii="仿宋_GB2312" w:eastAsia="仿宋_GB2312"/>
          <w:highlight w:val="none"/>
          <w:lang w:val="en-US"/>
        </w:rPr>
        <w:t>年</w:t>
      </w:r>
      <w:r>
        <w:rPr>
          <w:rFonts w:hint="eastAsia" w:ascii="仿宋_GB2312" w:eastAsia="仿宋_GB2312"/>
          <w:highlight w:val="none"/>
          <w:lang w:val="en-US" w:eastAsia="zh-CN"/>
        </w:rPr>
        <w:t>05</w:t>
      </w:r>
      <w:r>
        <w:rPr>
          <w:rFonts w:hint="eastAsia" w:ascii="仿宋_GB2312" w:eastAsia="仿宋_GB2312"/>
          <w:highlight w:val="none"/>
          <w:lang w:val="en-US"/>
        </w:rPr>
        <w:t>月</w:t>
      </w:r>
      <w:r>
        <w:rPr>
          <w:rFonts w:hint="eastAsia" w:ascii="仿宋_GB2312" w:eastAsia="仿宋_GB2312"/>
          <w:highlight w:val="none"/>
          <w:lang w:val="en-US" w:eastAsia="zh-CN"/>
        </w:rPr>
        <w:t>20</w:t>
      </w:r>
      <w:r>
        <w:rPr>
          <w:rFonts w:hint="eastAsia" w:ascii="仿宋_GB2312" w:eastAsia="仿宋_GB2312"/>
          <w:highlight w:val="none"/>
          <w:lang w:val="en-US"/>
        </w:rPr>
        <w:t>日</w:t>
      </w:r>
    </w:p>
    <w:p>
      <w:pPr>
        <w:pStyle w:val="5"/>
        <w:adjustRightInd w:val="0"/>
        <w:snapToGrid w:val="0"/>
        <w:spacing w:line="600" w:lineRule="exact"/>
        <w:ind w:firstLine="560" w:firstLineChars="200"/>
        <w:rPr>
          <w:rFonts w:ascii="仿宋_GB2312" w:eastAsia="仿宋_GB2312"/>
          <w:sz w:val="28"/>
          <w:szCs w:val="28"/>
          <w:highlight w:val="none"/>
          <w:lang w:val="en-US"/>
        </w:rPr>
      </w:pPr>
    </w:p>
    <w:bookmarkEnd w:id="45"/>
    <w:sectPr>
      <w:head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57DBD"/>
    <w:multiLevelType w:val="singleLevel"/>
    <w:tmpl w:val="89757DBD"/>
    <w:lvl w:ilvl="0" w:tentative="0">
      <w:start w:val="3"/>
      <w:numFmt w:val="decimal"/>
      <w:lvlText w:val="%1."/>
      <w:lvlJc w:val="left"/>
      <w:pPr>
        <w:tabs>
          <w:tab w:val="left" w:pos="312"/>
        </w:tabs>
      </w:pPr>
    </w:lvl>
  </w:abstractNum>
  <w:abstractNum w:abstractNumId="1">
    <w:nsid w:val="5650E081"/>
    <w:multiLevelType w:val="singleLevel"/>
    <w:tmpl w:val="5650E08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39D"/>
    <w:rsid w:val="000050F0"/>
    <w:rsid w:val="00005729"/>
    <w:rsid w:val="000066C3"/>
    <w:rsid w:val="0001192B"/>
    <w:rsid w:val="00012573"/>
    <w:rsid w:val="000336F0"/>
    <w:rsid w:val="00042BBD"/>
    <w:rsid w:val="000452B1"/>
    <w:rsid w:val="00050650"/>
    <w:rsid w:val="00051E8A"/>
    <w:rsid w:val="00060524"/>
    <w:rsid w:val="000723EE"/>
    <w:rsid w:val="000A0150"/>
    <w:rsid w:val="000A07A3"/>
    <w:rsid w:val="000C0D0C"/>
    <w:rsid w:val="000F015A"/>
    <w:rsid w:val="000F523B"/>
    <w:rsid w:val="00103840"/>
    <w:rsid w:val="001044EC"/>
    <w:rsid w:val="00104E45"/>
    <w:rsid w:val="0013439D"/>
    <w:rsid w:val="00134D06"/>
    <w:rsid w:val="00137CF9"/>
    <w:rsid w:val="001547A4"/>
    <w:rsid w:val="001575C0"/>
    <w:rsid w:val="00160956"/>
    <w:rsid w:val="00164D32"/>
    <w:rsid w:val="001673C2"/>
    <w:rsid w:val="00171E83"/>
    <w:rsid w:val="00172C8B"/>
    <w:rsid w:val="00174000"/>
    <w:rsid w:val="00175BA7"/>
    <w:rsid w:val="0017663B"/>
    <w:rsid w:val="00185B54"/>
    <w:rsid w:val="0019024A"/>
    <w:rsid w:val="001A4B4D"/>
    <w:rsid w:val="001B1593"/>
    <w:rsid w:val="001C1432"/>
    <w:rsid w:val="001F0F70"/>
    <w:rsid w:val="001F24A6"/>
    <w:rsid w:val="001F2DA8"/>
    <w:rsid w:val="001F602F"/>
    <w:rsid w:val="001F71E8"/>
    <w:rsid w:val="0020114B"/>
    <w:rsid w:val="00205D1A"/>
    <w:rsid w:val="00215C6D"/>
    <w:rsid w:val="002220DB"/>
    <w:rsid w:val="00222FC8"/>
    <w:rsid w:val="00223E11"/>
    <w:rsid w:val="002255BD"/>
    <w:rsid w:val="002325C7"/>
    <w:rsid w:val="0023494B"/>
    <w:rsid w:val="0023577C"/>
    <w:rsid w:val="00241FF4"/>
    <w:rsid w:val="002455A0"/>
    <w:rsid w:val="00247722"/>
    <w:rsid w:val="002539A3"/>
    <w:rsid w:val="00266990"/>
    <w:rsid w:val="002800F9"/>
    <w:rsid w:val="00283C41"/>
    <w:rsid w:val="00292137"/>
    <w:rsid w:val="002A4289"/>
    <w:rsid w:val="002A486D"/>
    <w:rsid w:val="002C24E5"/>
    <w:rsid w:val="002D13D6"/>
    <w:rsid w:val="002E05F0"/>
    <w:rsid w:val="002F606C"/>
    <w:rsid w:val="002F6B7F"/>
    <w:rsid w:val="003154AA"/>
    <w:rsid w:val="00323B04"/>
    <w:rsid w:val="00347B0D"/>
    <w:rsid w:val="0038173F"/>
    <w:rsid w:val="00384B01"/>
    <w:rsid w:val="00392D64"/>
    <w:rsid w:val="003933EC"/>
    <w:rsid w:val="00395F46"/>
    <w:rsid w:val="003A0ECA"/>
    <w:rsid w:val="003A4FFC"/>
    <w:rsid w:val="003B26C4"/>
    <w:rsid w:val="003B6FB5"/>
    <w:rsid w:val="003E03E8"/>
    <w:rsid w:val="003E2278"/>
    <w:rsid w:val="003E7039"/>
    <w:rsid w:val="003F5CA7"/>
    <w:rsid w:val="004036B0"/>
    <w:rsid w:val="00417EC4"/>
    <w:rsid w:val="004246FD"/>
    <w:rsid w:val="004332AE"/>
    <w:rsid w:val="004616A9"/>
    <w:rsid w:val="004670F3"/>
    <w:rsid w:val="00477BC0"/>
    <w:rsid w:val="004904FF"/>
    <w:rsid w:val="00490697"/>
    <w:rsid w:val="0049666B"/>
    <w:rsid w:val="004A0179"/>
    <w:rsid w:val="004A4D0E"/>
    <w:rsid w:val="004B272C"/>
    <w:rsid w:val="004B512D"/>
    <w:rsid w:val="004C3F5E"/>
    <w:rsid w:val="004C4918"/>
    <w:rsid w:val="004E62E2"/>
    <w:rsid w:val="004F3C29"/>
    <w:rsid w:val="005037FF"/>
    <w:rsid w:val="00506B17"/>
    <w:rsid w:val="00511AFA"/>
    <w:rsid w:val="00523F82"/>
    <w:rsid w:val="005247CE"/>
    <w:rsid w:val="00524F37"/>
    <w:rsid w:val="00536D87"/>
    <w:rsid w:val="00547A5E"/>
    <w:rsid w:val="00552D8C"/>
    <w:rsid w:val="00553D46"/>
    <w:rsid w:val="0057057A"/>
    <w:rsid w:val="00573E53"/>
    <w:rsid w:val="005866AB"/>
    <w:rsid w:val="005A016B"/>
    <w:rsid w:val="005A1557"/>
    <w:rsid w:val="005A5B2E"/>
    <w:rsid w:val="005B73E1"/>
    <w:rsid w:val="005D11D7"/>
    <w:rsid w:val="005D3394"/>
    <w:rsid w:val="005E4C0E"/>
    <w:rsid w:val="005E738F"/>
    <w:rsid w:val="005F310E"/>
    <w:rsid w:val="005F7181"/>
    <w:rsid w:val="00607FAE"/>
    <w:rsid w:val="0061235B"/>
    <w:rsid w:val="00612F9C"/>
    <w:rsid w:val="006241FC"/>
    <w:rsid w:val="00631644"/>
    <w:rsid w:val="006322A0"/>
    <w:rsid w:val="00673FDE"/>
    <w:rsid w:val="00681444"/>
    <w:rsid w:val="006A1268"/>
    <w:rsid w:val="006A361D"/>
    <w:rsid w:val="006D499B"/>
    <w:rsid w:val="006F44B5"/>
    <w:rsid w:val="006F53FE"/>
    <w:rsid w:val="007021B1"/>
    <w:rsid w:val="00730D22"/>
    <w:rsid w:val="0076600C"/>
    <w:rsid w:val="00766031"/>
    <w:rsid w:val="0076711C"/>
    <w:rsid w:val="0077120D"/>
    <w:rsid w:val="007763D9"/>
    <w:rsid w:val="007851DA"/>
    <w:rsid w:val="007872E0"/>
    <w:rsid w:val="007905FF"/>
    <w:rsid w:val="007A2000"/>
    <w:rsid w:val="007A2445"/>
    <w:rsid w:val="007C293E"/>
    <w:rsid w:val="007C421D"/>
    <w:rsid w:val="007E7DD3"/>
    <w:rsid w:val="00801144"/>
    <w:rsid w:val="008014F2"/>
    <w:rsid w:val="008023B0"/>
    <w:rsid w:val="00815D12"/>
    <w:rsid w:val="00822516"/>
    <w:rsid w:val="00831C2C"/>
    <w:rsid w:val="008405FC"/>
    <w:rsid w:val="00851C82"/>
    <w:rsid w:val="0085388D"/>
    <w:rsid w:val="00856921"/>
    <w:rsid w:val="00872211"/>
    <w:rsid w:val="008743FB"/>
    <w:rsid w:val="00882FFA"/>
    <w:rsid w:val="008B7A4F"/>
    <w:rsid w:val="008C6886"/>
    <w:rsid w:val="008D4D1E"/>
    <w:rsid w:val="008E1CF2"/>
    <w:rsid w:val="008E61E5"/>
    <w:rsid w:val="008E718C"/>
    <w:rsid w:val="008F73D0"/>
    <w:rsid w:val="00903778"/>
    <w:rsid w:val="009041E0"/>
    <w:rsid w:val="009114C5"/>
    <w:rsid w:val="00913ACD"/>
    <w:rsid w:val="00914DA7"/>
    <w:rsid w:val="00917E81"/>
    <w:rsid w:val="00920216"/>
    <w:rsid w:val="00930E9D"/>
    <w:rsid w:val="00934377"/>
    <w:rsid w:val="00947495"/>
    <w:rsid w:val="00954F0D"/>
    <w:rsid w:val="00956E36"/>
    <w:rsid w:val="00970708"/>
    <w:rsid w:val="0097087B"/>
    <w:rsid w:val="00982036"/>
    <w:rsid w:val="00995166"/>
    <w:rsid w:val="00996DB3"/>
    <w:rsid w:val="009A221D"/>
    <w:rsid w:val="009B2ECF"/>
    <w:rsid w:val="009B5F57"/>
    <w:rsid w:val="009D4821"/>
    <w:rsid w:val="009E5A4F"/>
    <w:rsid w:val="009E6376"/>
    <w:rsid w:val="009F60F1"/>
    <w:rsid w:val="00A10EB7"/>
    <w:rsid w:val="00A112C7"/>
    <w:rsid w:val="00A15EED"/>
    <w:rsid w:val="00A506AC"/>
    <w:rsid w:val="00A54B1E"/>
    <w:rsid w:val="00A60413"/>
    <w:rsid w:val="00A72472"/>
    <w:rsid w:val="00A774B5"/>
    <w:rsid w:val="00A82D5C"/>
    <w:rsid w:val="00A84DEA"/>
    <w:rsid w:val="00A869C1"/>
    <w:rsid w:val="00A93C50"/>
    <w:rsid w:val="00AA33C3"/>
    <w:rsid w:val="00AB326F"/>
    <w:rsid w:val="00AC12EA"/>
    <w:rsid w:val="00AC4D2D"/>
    <w:rsid w:val="00AD48C9"/>
    <w:rsid w:val="00AE561F"/>
    <w:rsid w:val="00B14133"/>
    <w:rsid w:val="00B2252F"/>
    <w:rsid w:val="00B228F9"/>
    <w:rsid w:val="00B22D01"/>
    <w:rsid w:val="00B27D35"/>
    <w:rsid w:val="00B307C1"/>
    <w:rsid w:val="00B30959"/>
    <w:rsid w:val="00B316D7"/>
    <w:rsid w:val="00B44114"/>
    <w:rsid w:val="00B628D6"/>
    <w:rsid w:val="00B71FEE"/>
    <w:rsid w:val="00B80D8C"/>
    <w:rsid w:val="00B80DD7"/>
    <w:rsid w:val="00B900C6"/>
    <w:rsid w:val="00B9490A"/>
    <w:rsid w:val="00BA3927"/>
    <w:rsid w:val="00BB006B"/>
    <w:rsid w:val="00BB2D9D"/>
    <w:rsid w:val="00BB6A95"/>
    <w:rsid w:val="00BC2944"/>
    <w:rsid w:val="00BC6BA1"/>
    <w:rsid w:val="00BD2446"/>
    <w:rsid w:val="00BD2B71"/>
    <w:rsid w:val="00BD6058"/>
    <w:rsid w:val="00BE4FC0"/>
    <w:rsid w:val="00BE66FA"/>
    <w:rsid w:val="00BE7B0E"/>
    <w:rsid w:val="00C0680D"/>
    <w:rsid w:val="00C0746D"/>
    <w:rsid w:val="00C129ED"/>
    <w:rsid w:val="00C130B0"/>
    <w:rsid w:val="00C17B19"/>
    <w:rsid w:val="00C4691B"/>
    <w:rsid w:val="00C53534"/>
    <w:rsid w:val="00C6298C"/>
    <w:rsid w:val="00C70AF0"/>
    <w:rsid w:val="00C71911"/>
    <w:rsid w:val="00C80F29"/>
    <w:rsid w:val="00C8673D"/>
    <w:rsid w:val="00C93B20"/>
    <w:rsid w:val="00C97A90"/>
    <w:rsid w:val="00CA20FD"/>
    <w:rsid w:val="00CB057F"/>
    <w:rsid w:val="00CB15F6"/>
    <w:rsid w:val="00CB27BC"/>
    <w:rsid w:val="00CB7BDF"/>
    <w:rsid w:val="00CE0FF5"/>
    <w:rsid w:val="00CF6DAC"/>
    <w:rsid w:val="00D11E31"/>
    <w:rsid w:val="00D22C5E"/>
    <w:rsid w:val="00D332BE"/>
    <w:rsid w:val="00D35098"/>
    <w:rsid w:val="00D4383A"/>
    <w:rsid w:val="00D4492F"/>
    <w:rsid w:val="00D50450"/>
    <w:rsid w:val="00D61C8B"/>
    <w:rsid w:val="00D65296"/>
    <w:rsid w:val="00D711F4"/>
    <w:rsid w:val="00D94A69"/>
    <w:rsid w:val="00DA0FD6"/>
    <w:rsid w:val="00DA66F0"/>
    <w:rsid w:val="00DC0CEC"/>
    <w:rsid w:val="00DC3DB7"/>
    <w:rsid w:val="00DD0EFB"/>
    <w:rsid w:val="00DD3AD8"/>
    <w:rsid w:val="00E153F1"/>
    <w:rsid w:val="00E15E11"/>
    <w:rsid w:val="00E27EF5"/>
    <w:rsid w:val="00E52DCC"/>
    <w:rsid w:val="00E57CBE"/>
    <w:rsid w:val="00E61B42"/>
    <w:rsid w:val="00E90179"/>
    <w:rsid w:val="00E92450"/>
    <w:rsid w:val="00E949F6"/>
    <w:rsid w:val="00E968D0"/>
    <w:rsid w:val="00EA2CE1"/>
    <w:rsid w:val="00EB32F3"/>
    <w:rsid w:val="00EC2FF0"/>
    <w:rsid w:val="00EC5A7C"/>
    <w:rsid w:val="00EC7D0D"/>
    <w:rsid w:val="00ED4C9B"/>
    <w:rsid w:val="00EF6BEB"/>
    <w:rsid w:val="00F02109"/>
    <w:rsid w:val="00F12C69"/>
    <w:rsid w:val="00F21D76"/>
    <w:rsid w:val="00F264BE"/>
    <w:rsid w:val="00F30557"/>
    <w:rsid w:val="00F306A3"/>
    <w:rsid w:val="00F46792"/>
    <w:rsid w:val="00F477BC"/>
    <w:rsid w:val="00F64AC4"/>
    <w:rsid w:val="00F72C0B"/>
    <w:rsid w:val="00F7605D"/>
    <w:rsid w:val="00F772A9"/>
    <w:rsid w:val="00F85B56"/>
    <w:rsid w:val="00FA0778"/>
    <w:rsid w:val="00FB083D"/>
    <w:rsid w:val="00FB1313"/>
    <w:rsid w:val="00FC106D"/>
    <w:rsid w:val="00FC67BB"/>
    <w:rsid w:val="00FD0F5B"/>
    <w:rsid w:val="00FE1891"/>
    <w:rsid w:val="00FF0F3F"/>
    <w:rsid w:val="00FF1180"/>
    <w:rsid w:val="0105637C"/>
    <w:rsid w:val="011E3CFE"/>
    <w:rsid w:val="01536FF2"/>
    <w:rsid w:val="029918B7"/>
    <w:rsid w:val="02C75F2C"/>
    <w:rsid w:val="03AC514E"/>
    <w:rsid w:val="040107D1"/>
    <w:rsid w:val="046515CD"/>
    <w:rsid w:val="063C0B8F"/>
    <w:rsid w:val="06863191"/>
    <w:rsid w:val="06C54B23"/>
    <w:rsid w:val="06FF1420"/>
    <w:rsid w:val="070715CD"/>
    <w:rsid w:val="07103BC1"/>
    <w:rsid w:val="073C7668"/>
    <w:rsid w:val="0766719B"/>
    <w:rsid w:val="086F20D5"/>
    <w:rsid w:val="09982315"/>
    <w:rsid w:val="099A4B3E"/>
    <w:rsid w:val="09E55873"/>
    <w:rsid w:val="0A455ABC"/>
    <w:rsid w:val="0ABD78C1"/>
    <w:rsid w:val="0DD93F3B"/>
    <w:rsid w:val="0E941E2C"/>
    <w:rsid w:val="0F4D126B"/>
    <w:rsid w:val="102B769C"/>
    <w:rsid w:val="10C05BD4"/>
    <w:rsid w:val="11AC3D40"/>
    <w:rsid w:val="11C23ACA"/>
    <w:rsid w:val="13925AC4"/>
    <w:rsid w:val="158E635E"/>
    <w:rsid w:val="15C04C34"/>
    <w:rsid w:val="199B1504"/>
    <w:rsid w:val="19D9511A"/>
    <w:rsid w:val="1A821C85"/>
    <w:rsid w:val="1B2F2432"/>
    <w:rsid w:val="1B582C12"/>
    <w:rsid w:val="1BCC245D"/>
    <w:rsid w:val="1BDE3939"/>
    <w:rsid w:val="1BE52918"/>
    <w:rsid w:val="1CF40F67"/>
    <w:rsid w:val="1D4F656F"/>
    <w:rsid w:val="206044B4"/>
    <w:rsid w:val="210D4F33"/>
    <w:rsid w:val="21132B86"/>
    <w:rsid w:val="224527B3"/>
    <w:rsid w:val="227870AD"/>
    <w:rsid w:val="23CF7250"/>
    <w:rsid w:val="24852292"/>
    <w:rsid w:val="25804B2F"/>
    <w:rsid w:val="2615151E"/>
    <w:rsid w:val="26514ACC"/>
    <w:rsid w:val="267016A4"/>
    <w:rsid w:val="26B808BF"/>
    <w:rsid w:val="26F92D8C"/>
    <w:rsid w:val="289530EF"/>
    <w:rsid w:val="2A1B3F3E"/>
    <w:rsid w:val="2C504B38"/>
    <w:rsid w:val="2C7B4A0A"/>
    <w:rsid w:val="2F6513D2"/>
    <w:rsid w:val="2FC30187"/>
    <w:rsid w:val="30A23164"/>
    <w:rsid w:val="30CE37E4"/>
    <w:rsid w:val="31003144"/>
    <w:rsid w:val="310A3CAB"/>
    <w:rsid w:val="315427EA"/>
    <w:rsid w:val="323F4B71"/>
    <w:rsid w:val="32926984"/>
    <w:rsid w:val="3302490D"/>
    <w:rsid w:val="34332854"/>
    <w:rsid w:val="35A216CE"/>
    <w:rsid w:val="362D58FE"/>
    <w:rsid w:val="367C3757"/>
    <w:rsid w:val="36954894"/>
    <w:rsid w:val="37182C8C"/>
    <w:rsid w:val="37CF734C"/>
    <w:rsid w:val="3AB90846"/>
    <w:rsid w:val="3BBD2C81"/>
    <w:rsid w:val="3BDE200F"/>
    <w:rsid w:val="3C363ADD"/>
    <w:rsid w:val="3C6726B5"/>
    <w:rsid w:val="3CEA4A73"/>
    <w:rsid w:val="3F132B70"/>
    <w:rsid w:val="3F876DC6"/>
    <w:rsid w:val="401A1EDC"/>
    <w:rsid w:val="405C609E"/>
    <w:rsid w:val="40652E4F"/>
    <w:rsid w:val="41C17E88"/>
    <w:rsid w:val="433B6E2C"/>
    <w:rsid w:val="445F311D"/>
    <w:rsid w:val="45AB1B6D"/>
    <w:rsid w:val="462C510C"/>
    <w:rsid w:val="467B665D"/>
    <w:rsid w:val="47BF24A6"/>
    <w:rsid w:val="47D32CA5"/>
    <w:rsid w:val="48025056"/>
    <w:rsid w:val="485345DA"/>
    <w:rsid w:val="48C93778"/>
    <w:rsid w:val="49B660A1"/>
    <w:rsid w:val="4A967B4D"/>
    <w:rsid w:val="4B334333"/>
    <w:rsid w:val="4BA62C6A"/>
    <w:rsid w:val="4C7F201B"/>
    <w:rsid w:val="4DDA72BB"/>
    <w:rsid w:val="4E593594"/>
    <w:rsid w:val="4E5C2FA3"/>
    <w:rsid w:val="4E945280"/>
    <w:rsid w:val="4EC74768"/>
    <w:rsid w:val="4ECF05AD"/>
    <w:rsid w:val="501307CD"/>
    <w:rsid w:val="5035379C"/>
    <w:rsid w:val="505276BE"/>
    <w:rsid w:val="50E80D1A"/>
    <w:rsid w:val="51942264"/>
    <w:rsid w:val="53071A35"/>
    <w:rsid w:val="530A3F9C"/>
    <w:rsid w:val="544739EB"/>
    <w:rsid w:val="548A74B5"/>
    <w:rsid w:val="56355E56"/>
    <w:rsid w:val="57172834"/>
    <w:rsid w:val="576010BA"/>
    <w:rsid w:val="59F43874"/>
    <w:rsid w:val="5BEB0A90"/>
    <w:rsid w:val="5EB305EA"/>
    <w:rsid w:val="5EF43B1F"/>
    <w:rsid w:val="5EFA6356"/>
    <w:rsid w:val="5F127460"/>
    <w:rsid w:val="60444553"/>
    <w:rsid w:val="62DA454B"/>
    <w:rsid w:val="63074BCE"/>
    <w:rsid w:val="631912AE"/>
    <w:rsid w:val="631A35D9"/>
    <w:rsid w:val="632A27EC"/>
    <w:rsid w:val="64706793"/>
    <w:rsid w:val="64AD5EE5"/>
    <w:rsid w:val="6508569B"/>
    <w:rsid w:val="663A3A27"/>
    <w:rsid w:val="665F0DF3"/>
    <w:rsid w:val="6677368F"/>
    <w:rsid w:val="66FC6B72"/>
    <w:rsid w:val="67096706"/>
    <w:rsid w:val="67736BC5"/>
    <w:rsid w:val="677C4EE3"/>
    <w:rsid w:val="67FA6269"/>
    <w:rsid w:val="67FB25E1"/>
    <w:rsid w:val="683B477C"/>
    <w:rsid w:val="68BE4386"/>
    <w:rsid w:val="692B1AE4"/>
    <w:rsid w:val="6A44388B"/>
    <w:rsid w:val="6A7E7AEB"/>
    <w:rsid w:val="6AF17E99"/>
    <w:rsid w:val="6AFA314A"/>
    <w:rsid w:val="6B094202"/>
    <w:rsid w:val="6D72109D"/>
    <w:rsid w:val="6EB06BA9"/>
    <w:rsid w:val="6F1D36E1"/>
    <w:rsid w:val="6FA16D90"/>
    <w:rsid w:val="6FAB3B7C"/>
    <w:rsid w:val="70651A5E"/>
    <w:rsid w:val="7087363C"/>
    <w:rsid w:val="70D77525"/>
    <w:rsid w:val="70ED7C57"/>
    <w:rsid w:val="71406D51"/>
    <w:rsid w:val="71711AFC"/>
    <w:rsid w:val="724F6D08"/>
    <w:rsid w:val="7269066B"/>
    <w:rsid w:val="73856C54"/>
    <w:rsid w:val="752B126E"/>
    <w:rsid w:val="75921E01"/>
    <w:rsid w:val="75FE12E4"/>
    <w:rsid w:val="765A7A3A"/>
    <w:rsid w:val="767B0A1E"/>
    <w:rsid w:val="767D03DD"/>
    <w:rsid w:val="774D5236"/>
    <w:rsid w:val="77EA5B6E"/>
    <w:rsid w:val="782C547A"/>
    <w:rsid w:val="79AB3FFD"/>
    <w:rsid w:val="7C245BE3"/>
    <w:rsid w:val="7CDD78CC"/>
    <w:rsid w:val="7CDF4309"/>
    <w:rsid w:val="7D6B1F6A"/>
    <w:rsid w:val="7DE1409F"/>
    <w:rsid w:val="7EC35288"/>
    <w:rsid w:val="7ED424AB"/>
    <w:rsid w:val="7F697857"/>
    <w:rsid w:val="7F933526"/>
    <w:rsid w:val="7FA72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semiHidden/>
    <w:unhideWhenUsed/>
    <w:qFormat/>
    <w:uiPriority w:val="99"/>
    <w:pPr>
      <w:jc w:val="left"/>
    </w:pPr>
  </w:style>
  <w:style w:type="paragraph" w:styleId="5">
    <w:name w:val="Body Text"/>
    <w:basedOn w:val="1"/>
    <w:link w:val="16"/>
    <w:qFormat/>
    <w:uiPriority w:val="1"/>
    <w:pPr>
      <w:autoSpaceDE w:val="0"/>
      <w:autoSpaceDN w:val="0"/>
      <w:ind w:left="138"/>
      <w:jc w:val="left"/>
    </w:pPr>
    <w:rPr>
      <w:rFonts w:ascii="仿宋" w:hAnsi="仿宋" w:eastAsia="仿宋" w:cs="仿宋"/>
      <w:kern w:val="0"/>
      <w:sz w:val="32"/>
      <w:szCs w:val="32"/>
      <w:lang w:val="zh-CN" w:bidi="zh-CN"/>
    </w:rPr>
  </w:style>
  <w:style w:type="paragraph" w:styleId="6">
    <w:name w:val="Balloon Text"/>
    <w:basedOn w:val="1"/>
    <w:link w:val="25"/>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qFormat/>
    <w:uiPriority w:val="0"/>
    <w:pPr>
      <w:widowControl/>
      <w:jc w:val="left"/>
    </w:pPr>
    <w:rPr>
      <w:rFonts w:ascii="宋体" w:hAnsi="宋体" w:cs="宋体"/>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正文文本 字符"/>
    <w:basedOn w:val="14"/>
    <w:link w:val="5"/>
    <w:qFormat/>
    <w:uiPriority w:val="1"/>
    <w:rPr>
      <w:rFonts w:ascii="仿宋" w:hAnsi="仿宋" w:eastAsia="仿宋" w:cs="仿宋"/>
      <w:kern w:val="0"/>
      <w:sz w:val="32"/>
      <w:szCs w:val="32"/>
      <w:lang w:val="zh-CN" w:bidi="zh-CN"/>
    </w:rPr>
  </w:style>
  <w:style w:type="character" w:customStyle="1" w:styleId="17">
    <w:name w:val="标题 1 字符"/>
    <w:basedOn w:val="14"/>
    <w:link w:val="2"/>
    <w:qFormat/>
    <w:uiPriority w:val="9"/>
    <w:rPr>
      <w:rFonts w:ascii="Calibri" w:hAnsi="Calibri" w:eastAsia="宋体" w:cs="Times New Roman"/>
      <w:b/>
      <w:bCs/>
      <w:kern w:val="44"/>
      <w:sz w:val="44"/>
      <w:szCs w:val="44"/>
    </w:rPr>
  </w:style>
  <w:style w:type="character" w:customStyle="1" w:styleId="18">
    <w:name w:val="标题 2 字符"/>
    <w:basedOn w:val="14"/>
    <w:link w:val="3"/>
    <w:qFormat/>
    <w:uiPriority w:val="9"/>
    <w:rPr>
      <w:rFonts w:asciiTheme="majorHAnsi" w:hAnsiTheme="majorHAnsi" w:eastAsiaTheme="majorEastAsia" w:cstheme="majorBidi"/>
      <w:b/>
      <w:bCs/>
      <w:sz w:val="32"/>
      <w:szCs w:val="32"/>
    </w:rPr>
  </w:style>
  <w:style w:type="paragraph" w:customStyle="1" w:styleId="1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0">
    <w:name w:val="页眉 字符"/>
    <w:basedOn w:val="14"/>
    <w:link w:val="8"/>
    <w:qFormat/>
    <w:uiPriority w:val="99"/>
    <w:rPr>
      <w:rFonts w:ascii="Calibri" w:hAnsi="Calibri" w:eastAsia="宋体" w:cs="Times New Roman"/>
      <w:sz w:val="18"/>
      <w:szCs w:val="18"/>
    </w:rPr>
  </w:style>
  <w:style w:type="character" w:customStyle="1" w:styleId="21">
    <w:name w:val="页脚 字符"/>
    <w:basedOn w:val="14"/>
    <w:link w:val="7"/>
    <w:uiPriority w:val="99"/>
    <w:rPr>
      <w:rFonts w:ascii="Calibri" w:hAnsi="Calibri" w:eastAsia="宋体" w:cs="Times New Roman"/>
      <w:sz w:val="18"/>
      <w:szCs w:val="18"/>
    </w:rPr>
  </w:style>
  <w:style w:type="paragraph" w:customStyle="1" w:styleId="22">
    <w:name w:val="正文 A"/>
    <w:uiPriority w:val="99"/>
    <w:pPr>
      <w:spacing w:after="200" w:line="276" w:lineRule="auto"/>
    </w:pPr>
    <w:rPr>
      <w:rFonts w:ascii="Calibri" w:hAnsi="Calibri" w:eastAsia="宋体" w:cs="Calibri"/>
      <w:color w:val="000000"/>
      <w:kern w:val="0"/>
      <w:sz w:val="22"/>
      <w:szCs w:val="22"/>
      <w:u w:color="000000"/>
      <w:lang w:val="en-US" w:eastAsia="zh-CN" w:bidi="ar-SA"/>
    </w:rPr>
  </w:style>
  <w:style w:type="paragraph" w:styleId="23">
    <w:name w:val="List Paragraph"/>
    <w:basedOn w:val="1"/>
    <w:qFormat/>
    <w:uiPriority w:val="34"/>
    <w:pPr>
      <w:ind w:firstLine="420" w:firstLineChars="200"/>
    </w:pPr>
  </w:style>
  <w:style w:type="character" w:customStyle="1" w:styleId="24">
    <w:name w:val="批注文字 字符"/>
    <w:basedOn w:val="14"/>
    <w:link w:val="4"/>
    <w:semiHidden/>
    <w:qFormat/>
    <w:uiPriority w:val="99"/>
    <w:rPr>
      <w:rFonts w:ascii="Calibri" w:hAnsi="Calibri" w:eastAsia="宋体" w:cs="Times New Roman"/>
    </w:rPr>
  </w:style>
  <w:style w:type="character" w:customStyle="1" w:styleId="25">
    <w:name w:val="批注框文本 字符"/>
    <w:basedOn w:val="14"/>
    <w:link w:val="6"/>
    <w:semiHidden/>
    <w:uiPriority w:val="99"/>
    <w:rPr>
      <w:rFonts w:ascii="Calibri" w:hAnsi="Calibri" w:eastAsia="宋体" w:cs="Times New Roman"/>
      <w:sz w:val="18"/>
      <w:szCs w:val="18"/>
    </w:rPr>
  </w:style>
  <w:style w:type="paragraph" w:customStyle="1" w:styleId="26">
    <w:name w:val="实施方案正文"/>
    <w:basedOn w:val="1"/>
    <w:qFormat/>
    <w:uiPriority w:val="0"/>
    <w:pPr>
      <w:ind w:firstLine="566" w:firstLineChars="202"/>
    </w:pPr>
    <w:rPr>
      <w:rFonts w:ascii="等线" w:hAnsi="等线" w:eastAsia="等线"/>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81A3A-80DB-466D-9439-A77CB6E396D5}">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1877</Words>
  <Characters>10700</Characters>
  <Lines>89</Lines>
  <Paragraphs>25</Paragraphs>
  <TotalTime>0</TotalTime>
  <ScaleCrop>false</ScaleCrop>
  <LinksUpToDate>false</LinksUpToDate>
  <CharactersWithSpaces>12552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2020-08-25T07:15:00Z</dcterms:created>
  <dc:creator>lei li</dc:creator>
  <cp:lastModifiedBy>Administrator</cp:lastModifiedBy>
  <dcterms:modified xsi:type="dcterms:W3CDTF">2021-05-21T08:34:59Z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505BCE89C97242EBA86D723512BCB302</vt:lpwstr>
  </property>
</Properties>
</file>