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16" w:name="_GoBack"/>
      <w:bookmarkEnd w:id="16"/>
      <w:r>
        <w:rPr>
          <w:rFonts w:ascii="Times New Roman" w:hAnsi="Times New Roman" w:cs="Times New Roman"/>
          <w:b/>
          <w:color w:val="000000" w:themeColor="text1"/>
          <w:sz w:val="28"/>
          <w:szCs w:val="20"/>
        </w:rPr>
        <w:t>一、建设项目基本情况</w:t>
      </w:r>
    </w:p>
    <w:tbl>
      <w:tblPr>
        <w:tblStyle w:val="15"/>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9"/>
        <w:gridCol w:w="847"/>
        <w:gridCol w:w="2269"/>
        <w:gridCol w:w="2264"/>
        <w:gridCol w:w="31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700"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昆明合旺有色金属有限公司固体废物综合利用项目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700"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昆明合旺有色金属有限公司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700"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2107-530113-89-01-406394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269"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顾京勋</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Pr>
                <w:rFonts w:hint="eastAsia" w:ascii="Times New Roman" w:hAnsi="Times New Roman" w:cs="Times New Roman"/>
                <w:color w:val="000000" w:themeColor="text1"/>
                <w:sz w:val="24"/>
                <w:szCs w:val="24"/>
              </w:rPr>
              <w:t>503388685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700"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东川区再就业特区四方地工业园区昆明合旺有色金属有限公司厂区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700"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东经103°07'26.922"，北纬26°10'45.724"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269"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7723 固体废物治理</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一般工业固体废物（含污水处理污泥）、建筑施工废弃物处置及综合利用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269"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新建</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269"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云南省固定资产投资项目备案证（项目代码：2107-530113-89-01-406394）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269"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688.23</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269"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6.65%</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269"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否</w:t>
            </w:r>
          </w:p>
        </w:tc>
        <w:tc>
          <w:tcPr>
            <w:tcW w:w="2264"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16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1950m²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25" w:type="dxa"/>
            <w:gridSpan w:val="3"/>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5431" w:type="dxa"/>
            <w:gridSpan w:val="2"/>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规划情况</w:t>
            </w:r>
          </w:p>
        </w:tc>
        <w:tc>
          <w:tcPr>
            <w:tcW w:w="8547" w:type="dxa"/>
            <w:gridSpan w:val="4"/>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东川区再就业特区四方地工业园区昆明合旺有色金属有限公司厂区，该区域已规划为工业园区，该园区名称为云南省东川再就业特色产业园，园区代码为S539017，该园区批准时间为2004年4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547" w:type="dxa"/>
            <w:gridSpan w:val="4"/>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川再就业特色产业园成立于2004年，2008年东川再就业特色产业园区管委会组织编制了《东川再就业特色产业园总体规划（2006-2020）环境影响报告书》，并取得云南省环境保护局（现云南省生态环境厅）下发的《关于东川再就业特色产业园总体规划（2006-2020）环境影响报告书审查意见的函》（云环函【2008】248号）。该园区经过不断的发展，2011年和2018年东川再就业特色产业园区管委会组织对其规划进行了两次修编，并组织编制完成了《云南省东川再就业特色产业园--四方地碧谷产业园规划修编（2014-2025）环境影响报告书》，云南省生态环境厅下发了《云南省生态环境厅关于云南省东川再就业特色产业园--四方地碧谷产业园规划修编（2014-2025）环境影响报告书审查意见的函》（云环函【2018】778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规划及规划环境影响评价符合性分析</w:t>
            </w:r>
          </w:p>
        </w:tc>
        <w:tc>
          <w:tcPr>
            <w:tcW w:w="8547" w:type="dxa"/>
            <w:gridSpan w:val="4"/>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宋体" w:hAnsi="宋体" w:eastAsia="宋体" w:cs="宋体"/>
                <w:b/>
                <w:color w:val="000000" w:themeColor="text1"/>
                <w:sz w:val="24"/>
                <w:szCs w:val="24"/>
              </w:rPr>
              <w:t>①</w:t>
            </w:r>
            <w:r>
              <w:rPr>
                <w:rFonts w:hint="eastAsia" w:ascii="Times New Roman" w:hAnsi="Times New Roman" w:eastAsia="宋体" w:cs="Times New Roman"/>
                <w:b/>
                <w:color w:val="000000" w:themeColor="text1"/>
                <w:sz w:val="24"/>
                <w:szCs w:val="24"/>
              </w:rPr>
              <w:t>规划环评的产业定位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项目拟选址区域属于东川再就业特色产业园中的四方地工业片区，根据《云南省东川再就业特色产业园--四方地碧谷产业园规划修编（2014-2025）环境影响报告书》，东川再就业特色产业园定位为：国家资源型城市转型和循环经济发展的示范园区，四方地工业片区产业规划为重点发展：以铜为主的有色产业、精细磷化工产业、黑色金属、稀贵金属加工延展产业；同时规划环评提出体现循环经济理念，鼓励引进废物综合利用项目</w:t>
            </w:r>
            <w:r>
              <w:rPr>
                <w:rFonts w:hint="eastAsia" w:ascii="Times New Roman" w:hAnsi="Times New Roman" w:eastAsia="宋体" w:cs="Times New Roman"/>
                <w:color w:val="000000" w:themeColor="text1"/>
                <w:sz w:val="24"/>
                <w:szCs w:val="24"/>
              </w:rPr>
              <w:t>；未明确具体鼓励的综合利用废物的具体类型</w:t>
            </w:r>
            <w:r>
              <w:rPr>
                <w:rFonts w:ascii="Times New Roman" w:hAnsi="Times New Roman" w:eastAsia="宋体" w:cs="Times New Roman"/>
                <w:color w:val="000000" w:themeColor="text1"/>
                <w:sz w:val="24"/>
                <w:szCs w:val="24"/>
              </w:rPr>
              <w:t>。</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宋体" w:hAnsi="宋体" w:eastAsia="宋体" w:cs="宋体"/>
                <w:b/>
                <w:color w:val="000000" w:themeColor="text1"/>
                <w:sz w:val="24"/>
                <w:szCs w:val="24"/>
              </w:rPr>
              <w:t>②</w:t>
            </w:r>
            <w:r>
              <w:rPr>
                <w:rFonts w:hint="eastAsia" w:ascii="Times New Roman" w:hAnsi="Times New Roman" w:eastAsia="宋体" w:cs="Times New Roman"/>
                <w:b/>
                <w:color w:val="000000" w:themeColor="text1"/>
                <w:sz w:val="24"/>
                <w:szCs w:val="24"/>
              </w:rPr>
              <w:t>规划环评审查意见的产业定位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规划环评审查意见的</w:t>
            </w:r>
            <w:r>
              <w:rPr>
                <w:rFonts w:ascii="Times New Roman" w:hAnsi="Times New Roman" w:eastAsia="宋体" w:cs="Times New Roman"/>
                <w:color w:val="000000" w:themeColor="text1"/>
                <w:sz w:val="24"/>
                <w:szCs w:val="24"/>
              </w:rPr>
              <w:t>园区产业定位</w:t>
            </w:r>
            <w:r>
              <w:rPr>
                <w:rFonts w:hint="eastAsia" w:ascii="Times New Roman" w:hAnsi="Times New Roman" w:eastAsia="宋体" w:cs="Times New Roman"/>
                <w:color w:val="000000" w:themeColor="text1"/>
                <w:sz w:val="24"/>
                <w:szCs w:val="24"/>
              </w:rPr>
              <w:t>和规划环评一致，但审查意见提出，园区不宜再新增布局污染重的有色金属冶炼及磷化工等重化产业，严格控制有色金属冶炼、磷化工等重污染产业规模。</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宋体" w:hAnsi="宋体" w:eastAsia="宋体" w:cs="宋体"/>
                <w:b/>
                <w:color w:val="000000" w:themeColor="text1"/>
                <w:sz w:val="24"/>
                <w:szCs w:val="24"/>
              </w:rPr>
              <w:t>③</w:t>
            </w:r>
            <w:r>
              <w:rPr>
                <w:rFonts w:hint="eastAsia"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本项目对昆明合旺有色金属有限公司生产线产生的氧化锌尾渣进行综合利用，</w:t>
            </w:r>
            <w:r>
              <w:rPr>
                <w:rFonts w:hint="eastAsia" w:ascii="Times New Roman" w:hAnsi="Times New Roman" w:eastAsia="宋体" w:cs="Times New Roman"/>
                <w:color w:val="000000" w:themeColor="text1"/>
                <w:sz w:val="24"/>
                <w:szCs w:val="24"/>
              </w:rPr>
              <w:t>项目属于规划环评产业定位中“鼓励引进的</w:t>
            </w:r>
            <w:r>
              <w:rPr>
                <w:rFonts w:ascii="Times New Roman" w:hAnsi="Times New Roman" w:eastAsia="宋体" w:cs="Times New Roman"/>
                <w:color w:val="000000" w:themeColor="text1"/>
                <w:sz w:val="24"/>
                <w:szCs w:val="24"/>
              </w:rPr>
              <w:t>废物综合利用项目</w:t>
            </w:r>
            <w:r>
              <w:rPr>
                <w:rFonts w:hint="eastAsia" w:ascii="Times New Roman" w:hAnsi="Times New Roman" w:eastAsia="宋体" w:cs="Times New Roman"/>
                <w:color w:val="000000" w:themeColor="text1"/>
                <w:sz w:val="24"/>
                <w:szCs w:val="24"/>
              </w:rPr>
              <w:t>”，因此</w:t>
            </w:r>
            <w:r>
              <w:rPr>
                <w:rFonts w:ascii="Times New Roman" w:hAnsi="Times New Roman" w:eastAsia="宋体" w:cs="Times New Roman"/>
                <w:color w:val="000000" w:themeColor="text1"/>
                <w:sz w:val="24"/>
                <w:szCs w:val="24"/>
              </w:rPr>
              <w:t>，本项目符合东川区四方地工业园区的产业定位。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）规划环境影响评价结论及审查意见符合性分析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cs="Times New Roman" w:hAnsiTheme="minorEastAsia"/>
                <w:b/>
                <w:color w:val="000000" w:themeColor="text1"/>
                <w:sz w:val="24"/>
              </w:rPr>
              <w:t>与园区环保措施要求的符合性分析</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查阅项目规划环评及其审查意见，重点提出了废气、废水、地下水、固废、重金属防治等环保措施的要求。本项目与云南省东川再就业特色产业园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四方地碧谷产业园环保措施要求的符合性分析如下表所示。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1-1 </w:t>
            </w:r>
            <w:r>
              <w:rPr>
                <w:rFonts w:ascii="Times New Roman" w:cs="Times New Roman" w:hAnsiTheme="minorEastAsia"/>
                <w:b/>
                <w:color w:val="000000" w:themeColor="text1"/>
              </w:rPr>
              <w:t>与园区环保措施要求的符合性分析</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3"/>
              <w:gridCol w:w="2881"/>
              <w:gridCol w:w="3857"/>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2881"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规划环评及审查意见污染物控制要求</w:t>
                  </w:r>
                </w:p>
              </w:tc>
              <w:tc>
                <w:tcPr>
                  <w:tcW w:w="3857"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780"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废气排放要求</w:t>
                  </w:r>
                </w:p>
              </w:tc>
              <w:tc>
                <w:tcPr>
                  <w:tcW w:w="2881" w:type="dxa"/>
                  <w:vAlign w:val="center"/>
                </w:tcPr>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）新建项目，要求其废气污染物执行大气污染物排放限值；</w:t>
                  </w:r>
                </w:p>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）新建项目，要求其废气污染物新增排放量实行倍量替代，污染物总量指标作为入区建设项目的环评审批前置条件；</w:t>
                  </w:r>
                </w:p>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）对生产装置排放的废气，积极采用回收、吸收、吸附、冷凝、焚烧等处理方法，不能回收的废气全部通过高烟囱排放，增大污染物的扩散，确保治理效果。</w:t>
                  </w:r>
                </w:p>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4</w:t>
                  </w:r>
                  <w:r>
                    <w:rPr>
                      <w:rFonts w:hAnsiTheme="minorEastAsia" w:eastAsiaTheme="minorEastAsia"/>
                      <w:color w:val="000000" w:themeColor="text1"/>
                      <w:szCs w:val="21"/>
                    </w:rPr>
                    <w:t>）严格控制有毒有害气体排放，并对有毒有害气体排放实行自动监测。</w:t>
                  </w:r>
                </w:p>
              </w:tc>
              <w:tc>
                <w:tcPr>
                  <w:tcW w:w="3857" w:type="dxa"/>
                  <w:vAlign w:val="center"/>
                </w:tcPr>
                <w:p>
                  <w:pPr>
                    <w:pStyle w:val="24"/>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szCs w:val="21"/>
                    </w:rPr>
                    <w:t>（1）项目排放的有组织粉尘及无组织扬尘均可达到《大气污染物综合排放标准》（GB16297-1996）二级排放标准和无组织排放标准</w:t>
                  </w:r>
                  <w:r>
                    <w:rPr>
                      <w:rFonts w:hint="eastAsia" w:hAnsiTheme="minorEastAsia" w:eastAsiaTheme="minorEastAsia"/>
                      <w:color w:val="000000" w:themeColor="text1"/>
                      <w:szCs w:val="21"/>
                    </w:rPr>
                    <w:t>。</w:t>
                  </w:r>
                </w:p>
                <w:p>
                  <w:pPr>
                    <w:pStyle w:val="24"/>
                    <w:spacing w:line="360" w:lineRule="exact"/>
                    <w:ind w:firstLine="210" w:firstLineChars="100"/>
                    <w:jc w:val="both"/>
                    <w:rPr>
                      <w:color w:val="000000" w:themeColor="text1"/>
                      <w:szCs w:val="24"/>
                    </w:rPr>
                  </w:pPr>
                  <w:r>
                    <w:rPr>
                      <w:rFonts w:hAnsiTheme="minorEastAsia" w:eastAsiaTheme="minorEastAsia"/>
                      <w:color w:val="000000" w:themeColor="text1"/>
                      <w:szCs w:val="21"/>
                    </w:rPr>
                    <w:t>（2）项目所在地的总量指标按照国家要求执行，包括SO</w:t>
                  </w:r>
                  <w:r>
                    <w:rPr>
                      <w:rFonts w:hAnsiTheme="minorEastAsia" w:eastAsiaTheme="minorEastAsia"/>
                      <w:color w:val="000000" w:themeColor="text1"/>
                      <w:szCs w:val="21"/>
                      <w:vertAlign w:val="subscript"/>
                    </w:rPr>
                    <w:t>2</w:t>
                  </w:r>
                  <w:r>
                    <w:rPr>
                      <w:rFonts w:hAnsiTheme="minorEastAsia" w:eastAsiaTheme="minorEastAsia"/>
                      <w:color w:val="000000" w:themeColor="text1"/>
                      <w:szCs w:val="21"/>
                    </w:rPr>
                    <w:t>、NOx、有机废气，而项目废气主要为粉尘，</w:t>
                  </w:r>
                  <w:r>
                    <w:rPr>
                      <w:rFonts w:hint="eastAsia" w:hAnsiTheme="minorEastAsia" w:eastAsiaTheme="minorEastAsia"/>
                      <w:color w:val="000000" w:themeColor="text1"/>
                      <w:szCs w:val="21"/>
                    </w:rPr>
                    <w:t>而项目烘干机使用天然气为</w:t>
                  </w:r>
                  <w:r>
                    <w:rPr>
                      <w:rFonts w:hint="eastAsia"/>
                      <w:color w:val="000000" w:themeColor="text1"/>
                      <w:szCs w:val="24"/>
                    </w:rPr>
                    <w:t>清洁能源，可不进行</w:t>
                  </w:r>
                  <w:r>
                    <w:rPr>
                      <w:color w:val="000000" w:themeColor="text1"/>
                      <w:szCs w:val="24"/>
                    </w:rPr>
                    <w:t>SO</w:t>
                  </w:r>
                  <w:r>
                    <w:rPr>
                      <w:color w:val="000000" w:themeColor="text1"/>
                      <w:szCs w:val="24"/>
                      <w:vertAlign w:val="subscript"/>
                    </w:rPr>
                    <w:t>2</w:t>
                  </w:r>
                  <w:r>
                    <w:rPr>
                      <w:rFonts w:hint="eastAsia"/>
                      <w:color w:val="000000" w:themeColor="text1"/>
                      <w:szCs w:val="24"/>
                    </w:rPr>
                    <w:t>、</w:t>
                  </w:r>
                  <w:r>
                    <w:rPr>
                      <w:color w:val="000000" w:themeColor="text1"/>
                      <w:szCs w:val="24"/>
                    </w:rPr>
                    <w:t>NOx</w:t>
                  </w:r>
                  <w:r>
                    <w:rPr>
                      <w:rFonts w:hint="eastAsia"/>
                      <w:color w:val="000000" w:themeColor="text1"/>
                      <w:szCs w:val="24"/>
                    </w:rPr>
                    <w:t>的总量控制。</w:t>
                  </w:r>
                </w:p>
                <w:p>
                  <w:pPr>
                    <w:pStyle w:val="24"/>
                    <w:spacing w:line="360" w:lineRule="exact"/>
                    <w:ind w:firstLine="210" w:firstLineChars="100"/>
                    <w:jc w:val="both"/>
                    <w:rPr>
                      <w:color w:val="000000" w:themeColor="text1"/>
                      <w:szCs w:val="24"/>
                    </w:rPr>
                  </w:pPr>
                  <w:r>
                    <w:rPr>
                      <w:color w:val="000000" w:themeColor="text1"/>
                      <w:szCs w:val="24"/>
                    </w:rPr>
                    <w:t>（3）</w:t>
                  </w:r>
                  <w:r>
                    <w:rPr>
                      <w:rFonts w:hint="eastAsia"/>
                      <w:color w:val="000000" w:themeColor="text1"/>
                      <w:szCs w:val="24"/>
                    </w:rPr>
                    <w:t>项目</w:t>
                  </w:r>
                  <w:r>
                    <w:rPr>
                      <w:color w:val="000000" w:themeColor="text1"/>
                      <w:szCs w:val="24"/>
                    </w:rPr>
                    <w:t>生产装置</w:t>
                  </w:r>
                  <w:r>
                    <w:rPr>
                      <w:rFonts w:hint="eastAsia"/>
                      <w:color w:val="000000" w:themeColor="text1"/>
                      <w:szCs w:val="24"/>
                    </w:rPr>
                    <w:t>废气主要为烘干过程产生的废气，项目拟配套设置旋风除尘器和布袋除尘器对其处理后，通过15m排气筒</w:t>
                  </w:r>
                  <w:r>
                    <w:rPr>
                      <w:color w:val="000000" w:themeColor="text1"/>
                      <w:szCs w:val="24"/>
                    </w:rPr>
                    <w:t>（DA001）</w:t>
                  </w:r>
                  <w:r>
                    <w:rPr>
                      <w:rFonts w:hint="eastAsia"/>
                      <w:color w:val="000000" w:themeColor="text1"/>
                      <w:szCs w:val="24"/>
                    </w:rPr>
                    <w:t>外排。</w:t>
                  </w:r>
                </w:p>
                <w:p>
                  <w:pPr>
                    <w:pStyle w:val="24"/>
                    <w:spacing w:line="360" w:lineRule="exact"/>
                    <w:ind w:firstLine="210" w:firstLineChars="100"/>
                    <w:jc w:val="both"/>
                    <w:rPr>
                      <w:rFonts w:eastAsiaTheme="minorEastAsia"/>
                      <w:color w:val="000000" w:themeColor="text1"/>
                      <w:szCs w:val="21"/>
                    </w:rPr>
                  </w:pPr>
                  <w:r>
                    <w:rPr>
                      <w:color w:val="000000" w:themeColor="text1"/>
                      <w:szCs w:val="24"/>
                    </w:rPr>
                    <w:t>（4）本项目无《有毒有害大气污染物名录》规定的有毒有害污染物产生。</w:t>
                  </w:r>
                </w:p>
              </w:tc>
              <w:tc>
                <w:tcPr>
                  <w:tcW w:w="780"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废水排放要求</w:t>
                  </w:r>
                </w:p>
              </w:tc>
              <w:tc>
                <w:tcPr>
                  <w:tcW w:w="2881" w:type="dxa"/>
                  <w:vAlign w:val="center"/>
                </w:tcPr>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）建设单位应选择节水工艺。鼓励一水多用和中水回用，提高水的重复利用率，减少废水排放量。</w:t>
                  </w:r>
                </w:p>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）园区排水体制实施清污分流、雨污分流、污污分流制。各生产企业的污水，需自行处理达到园区污水处理厂的接管标准后，方可通过园区污水管网，进入污水处理厂处理。</w:t>
                  </w:r>
                </w:p>
              </w:tc>
              <w:tc>
                <w:tcPr>
                  <w:tcW w:w="3857" w:type="dxa"/>
                  <w:vAlign w:val="center"/>
                </w:tcPr>
                <w:p>
                  <w:pPr>
                    <w:pStyle w:val="24"/>
                    <w:spacing w:line="360" w:lineRule="exact"/>
                    <w:ind w:firstLine="210" w:firstLineChars="100"/>
                    <w:jc w:val="both"/>
                    <w:rPr>
                      <w:color w:val="000000" w:themeColor="text1"/>
                      <w:szCs w:val="24"/>
                    </w:rPr>
                  </w:pPr>
                  <w:r>
                    <w:rPr>
                      <w:rFonts w:hint="eastAsia"/>
                      <w:color w:val="000000" w:themeColor="text1"/>
                      <w:szCs w:val="24"/>
                    </w:rPr>
                    <w:t>（1）生产废水：项目生产废水为项目选别系统产生的选别废水，由于本项目选别系统为物理磁选、重选法，不添加任何药剂，因此生产废水拟通过八级沉淀池沉淀后，全部循环使用，不外排。</w:t>
                  </w:r>
                </w:p>
                <w:p>
                  <w:pPr>
                    <w:pStyle w:val="24"/>
                    <w:spacing w:line="360" w:lineRule="exact"/>
                    <w:ind w:firstLine="210" w:firstLineChars="100"/>
                    <w:jc w:val="both"/>
                    <w:rPr>
                      <w:color w:val="000000" w:themeColor="text1"/>
                      <w:szCs w:val="24"/>
                    </w:rPr>
                  </w:pPr>
                  <w:r>
                    <w:rPr>
                      <w:color w:val="000000" w:themeColor="text1"/>
                      <w:szCs w:val="24"/>
                    </w:rPr>
                    <w:t>（</w:t>
                  </w:r>
                  <w:r>
                    <w:rPr>
                      <w:rFonts w:hint="eastAsia"/>
                      <w:color w:val="000000" w:themeColor="text1"/>
                      <w:szCs w:val="24"/>
                    </w:rPr>
                    <w:t>2</w:t>
                  </w:r>
                  <w:r>
                    <w:rPr>
                      <w:color w:val="000000" w:themeColor="text1"/>
                      <w:szCs w:val="24"/>
                    </w:rPr>
                    <w:t>）</w:t>
                  </w:r>
                  <w:r>
                    <w:rPr>
                      <w:rFonts w:hint="eastAsia"/>
                      <w:color w:val="000000" w:themeColor="text1"/>
                      <w:szCs w:val="24"/>
                    </w:rPr>
                    <w:t>生活污水：根据调查，目前项目已在设置</w:t>
                  </w:r>
                  <w:r>
                    <w:rPr>
                      <w:rFonts w:hAnsiTheme="minorEastAsia" w:eastAsiaTheme="minorEastAsia"/>
                      <w:color w:val="000000" w:themeColor="text1"/>
                      <w:szCs w:val="21"/>
                    </w:rPr>
                    <w:t>了1个有效容积为20m³的化粪池</w:t>
                  </w:r>
                  <w:r>
                    <w:rPr>
                      <w:rFonts w:hint="eastAsia" w:hAnsiTheme="minorEastAsia" w:eastAsiaTheme="minorEastAsia"/>
                      <w:color w:val="000000" w:themeColor="text1"/>
                      <w:szCs w:val="21"/>
                    </w:rPr>
                    <w:t>，但生活区无隔油池；环评提出，</w:t>
                  </w:r>
                  <w:r>
                    <w:rPr>
                      <w:rFonts w:hAnsiTheme="minorEastAsia" w:eastAsiaTheme="minorEastAsia"/>
                      <w:color w:val="000000" w:themeColor="text1"/>
                      <w:szCs w:val="21"/>
                    </w:rPr>
                    <w:t>针对项目厨房生活污水，拟配套设置1个1m³的隔油池对其进行预处理。项目生活污水经隔油池、化粪池处理后可达到《污水排入城镇下水道水质标准》（</w:t>
                  </w:r>
                  <w:r>
                    <w:rPr>
                      <w:rFonts w:eastAsiaTheme="minorEastAsia"/>
                      <w:color w:val="000000" w:themeColor="text1"/>
                      <w:szCs w:val="21"/>
                    </w:rPr>
                    <w:t>GB/T31962-2015</w:t>
                  </w:r>
                  <w:r>
                    <w:rPr>
                      <w:rFonts w:hAnsiTheme="minorEastAsia" w:eastAsiaTheme="minorEastAsia"/>
                      <w:color w:val="000000" w:themeColor="text1"/>
                      <w:szCs w:val="21"/>
                    </w:rPr>
                    <w:t>）</w:t>
                  </w:r>
                  <w:r>
                    <w:rPr>
                      <w:rFonts w:eastAsiaTheme="minorEastAsia"/>
                      <w:color w:val="000000" w:themeColor="text1"/>
                      <w:szCs w:val="21"/>
                    </w:rPr>
                    <w:t>B</w:t>
                  </w:r>
                  <w:r>
                    <w:rPr>
                      <w:rFonts w:hAnsiTheme="minorEastAsia" w:eastAsiaTheme="minorEastAsia"/>
                      <w:color w:val="000000" w:themeColor="text1"/>
                      <w:szCs w:val="21"/>
                    </w:rPr>
                    <w:t>等级标准后，通过园区污水管网进入四方地与碧谷园区污水处理厂处理。</w:t>
                  </w:r>
                </w:p>
                <w:p>
                  <w:pPr>
                    <w:pStyle w:val="24"/>
                    <w:spacing w:line="360" w:lineRule="exact"/>
                    <w:ind w:firstLine="210" w:firstLineChars="100"/>
                    <w:jc w:val="both"/>
                    <w:rPr>
                      <w:color w:val="000000" w:themeColor="text1"/>
                      <w:szCs w:val="24"/>
                    </w:rPr>
                  </w:pPr>
                  <w:r>
                    <w:rPr>
                      <w:rFonts w:hint="eastAsia"/>
                      <w:color w:val="000000" w:themeColor="text1"/>
                      <w:szCs w:val="24"/>
                    </w:rPr>
                    <w:t>（3）初期雨水：根据调查，本项目在现有厂区内建设，项目的建设不会改变现有厂区初期雨水的产生量；现有厂区的初期雨水产生量约为8</w:t>
                  </w:r>
                  <w:r>
                    <w:rPr>
                      <w:color w:val="000000" w:themeColor="text1"/>
                      <w:szCs w:val="24"/>
                    </w:rPr>
                    <w:t>0m³/次，</w:t>
                  </w:r>
                  <w:r>
                    <w:rPr>
                      <w:rFonts w:hint="eastAsia"/>
                      <w:color w:val="000000" w:themeColor="text1"/>
                      <w:szCs w:val="24"/>
                    </w:rPr>
                    <w:t>已在本项目区旁配套设置了1个</w:t>
                  </w:r>
                  <w:r>
                    <w:rPr>
                      <w:color w:val="000000" w:themeColor="text1"/>
                      <w:szCs w:val="24"/>
                    </w:rPr>
                    <w:t>150m³的初期雨水收集池，对厂区的初期雨水进行收集；收集后</w:t>
                  </w:r>
                  <w:r>
                    <w:rPr>
                      <w:rFonts w:hint="eastAsia"/>
                      <w:color w:val="000000" w:themeColor="text1"/>
                      <w:szCs w:val="24"/>
                    </w:rPr>
                    <w:t>对氧化锌尾渣</w:t>
                  </w:r>
                  <w:r>
                    <w:rPr>
                      <w:color w:val="000000" w:themeColor="text1"/>
                      <w:szCs w:val="24"/>
                    </w:rPr>
                    <w:t>场洒水抑尘，</w:t>
                  </w:r>
                  <w:r>
                    <w:rPr>
                      <w:rFonts w:hint="eastAsia"/>
                      <w:color w:val="000000" w:themeColor="text1"/>
                      <w:szCs w:val="24"/>
                    </w:rPr>
                    <w:t>但该氧化锌尾渣场改建为本项目后，可用于本项目生产用水，</w:t>
                  </w:r>
                  <w:r>
                    <w:rPr>
                      <w:color w:val="000000" w:themeColor="text1"/>
                      <w:szCs w:val="24"/>
                    </w:rPr>
                    <w:t>不外排</w:t>
                  </w:r>
                  <w:r>
                    <w:rPr>
                      <w:rFonts w:hint="eastAsia"/>
                      <w:color w:val="000000" w:themeColor="text1"/>
                      <w:szCs w:val="24"/>
                    </w:rPr>
                    <w:t>。</w:t>
                  </w:r>
                </w:p>
              </w:tc>
              <w:tc>
                <w:tcPr>
                  <w:tcW w:w="780"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 w:val="20"/>
                      <w:szCs w:val="21"/>
                    </w:rPr>
                    <w:t>地下水防治要求</w:t>
                  </w:r>
                </w:p>
              </w:tc>
              <w:tc>
                <w:tcPr>
                  <w:tcW w:w="2881" w:type="dxa"/>
                  <w:vAlign w:val="center"/>
                </w:tcPr>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各建设单位应严格执行国家相关规范及技术要求，做好预防和应急预案，严格按照设计要求进行施工，做好防渗、防漏等有效防护措施，减少对区域内地下水水质可能产生的不利影响。</w:t>
                  </w:r>
                </w:p>
              </w:tc>
              <w:tc>
                <w:tcPr>
                  <w:tcW w:w="3857" w:type="dxa"/>
                  <w:vAlign w:val="center"/>
                </w:tcPr>
                <w:p>
                  <w:pPr>
                    <w:pStyle w:val="24"/>
                    <w:spacing w:line="360" w:lineRule="exact"/>
                    <w:ind w:firstLine="210" w:firstLineChars="100"/>
                    <w:jc w:val="both"/>
                    <w:rPr>
                      <w:color w:val="000000" w:themeColor="text1"/>
                    </w:rPr>
                  </w:pPr>
                  <w:r>
                    <w:rPr>
                      <w:rFonts w:hint="eastAsia"/>
                      <w:color w:val="000000" w:themeColor="text1"/>
                    </w:rPr>
                    <w:t>根据分区防渗规范要求，项目生产车间、循环水池、废渣暂存库区域均划定为</w:t>
                  </w:r>
                  <w:r>
                    <w:rPr>
                      <w:color w:val="000000" w:themeColor="text1"/>
                    </w:rPr>
                    <w:t>一般防渗区，</w:t>
                  </w:r>
                  <w:r>
                    <w:rPr>
                      <w:rFonts w:hint="eastAsia"/>
                      <w:color w:val="000000" w:themeColor="text1"/>
                    </w:rPr>
                    <w:t>根据业主介绍，项目拟依托使用的八级沉淀池采取了防腐防渗措施，其</w:t>
                  </w:r>
                  <w:r>
                    <w:rPr>
                      <w:color w:val="000000" w:themeColor="text1"/>
                    </w:rPr>
                    <w:t>渗透系数≤1.0×10</w:t>
                  </w:r>
                  <w:r>
                    <w:rPr>
                      <w:color w:val="000000" w:themeColor="text1"/>
                      <w:vertAlign w:val="superscript"/>
                    </w:rPr>
                    <w:t>-</w:t>
                  </w:r>
                  <w:r>
                    <w:rPr>
                      <w:rFonts w:hint="eastAsia"/>
                      <w:color w:val="000000" w:themeColor="text1"/>
                      <w:vertAlign w:val="superscript"/>
                    </w:rPr>
                    <w:t>10</w:t>
                  </w:r>
                  <w:r>
                    <w:rPr>
                      <w:color w:val="000000" w:themeColor="text1"/>
                    </w:rPr>
                    <w:t>cm/s</w:t>
                  </w:r>
                  <w:r>
                    <w:rPr>
                      <w:rFonts w:hint="eastAsia"/>
                      <w:color w:val="000000" w:themeColor="text1"/>
                    </w:rPr>
                    <w:t>；而废渣暂存库均已进行了防渗施工，其</w:t>
                  </w:r>
                  <w:r>
                    <w:rPr>
                      <w:color w:val="000000" w:themeColor="text1"/>
                    </w:rPr>
                    <w:t>渗透系数≤1.0×10</w:t>
                  </w:r>
                  <w:r>
                    <w:rPr>
                      <w:color w:val="000000" w:themeColor="text1"/>
                      <w:vertAlign w:val="superscript"/>
                    </w:rPr>
                    <w:t>-</w:t>
                  </w:r>
                  <w:r>
                    <w:rPr>
                      <w:rFonts w:hint="eastAsia"/>
                      <w:color w:val="000000" w:themeColor="text1"/>
                      <w:vertAlign w:val="superscript"/>
                    </w:rPr>
                    <w:t>7</w:t>
                  </w:r>
                  <w:r>
                    <w:rPr>
                      <w:color w:val="000000" w:themeColor="text1"/>
                    </w:rPr>
                    <w:t>cm/s</w:t>
                  </w:r>
                  <w:r>
                    <w:rPr>
                      <w:rFonts w:hint="eastAsia"/>
                      <w:color w:val="000000" w:themeColor="text1"/>
                    </w:rPr>
                    <w:t>；生产车间各区域拟采用</w:t>
                  </w:r>
                  <w:r>
                    <w:rPr>
                      <w:color w:val="000000" w:themeColor="text1"/>
                    </w:rPr>
                    <w:t>粘土铺底，并在上层铺30cm的混凝土进行硬化。确保防渗性能，使其渗透系数≤1.0×10</w:t>
                  </w:r>
                  <w:r>
                    <w:rPr>
                      <w:color w:val="000000" w:themeColor="text1"/>
                      <w:vertAlign w:val="superscript"/>
                    </w:rPr>
                    <w:t>-7</w:t>
                  </w:r>
                  <w:r>
                    <w:rPr>
                      <w:color w:val="000000" w:themeColor="text1"/>
                    </w:rPr>
                    <w:t>cm/s。</w:t>
                  </w:r>
                </w:p>
              </w:tc>
              <w:tc>
                <w:tcPr>
                  <w:tcW w:w="780"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固废处置要求</w:t>
                  </w:r>
                </w:p>
              </w:tc>
              <w:tc>
                <w:tcPr>
                  <w:tcW w:w="2881" w:type="dxa"/>
                  <w:vAlign w:val="center"/>
                </w:tcPr>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固体废物的处置严格执行相关技术规范，鼓励企业工业固废综合利用，减少废物产生量。</w:t>
                  </w:r>
                </w:p>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工业固废和生活垃圾分类收集，分类堆存，生活垃圾委托环卫部门处置，工业固废由企业自行清运至四方地渣场进行处理、堆放或填埋；危险废物有各企业委托当地具有相关资质的单位进行处置。</w:t>
                  </w:r>
                </w:p>
              </w:tc>
              <w:tc>
                <w:tcPr>
                  <w:tcW w:w="3857" w:type="dxa"/>
                  <w:vAlign w:val="center"/>
                </w:tcPr>
                <w:p>
                  <w:pPr>
                    <w:pStyle w:val="24"/>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szCs w:val="21"/>
                    </w:rPr>
                    <w:t>本项目对昆明合旺有色金属有限公司生产线产生的氧化锌尾渣进行综合利用</w:t>
                  </w:r>
                  <w:r>
                    <w:rPr>
                      <w:rFonts w:hint="eastAsia" w:hAnsiTheme="minorEastAsia" w:eastAsiaTheme="minorEastAsia"/>
                      <w:color w:val="000000" w:themeColor="text1"/>
                      <w:szCs w:val="21"/>
                    </w:rPr>
                    <w:t>，本项目的建设即减少了现有固体废物的产生。</w:t>
                  </w:r>
                </w:p>
                <w:p>
                  <w:pPr>
                    <w:pStyle w:val="24"/>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szCs w:val="21"/>
                    </w:rPr>
                    <w:t>项目固体废物产生量包括：</w:t>
                  </w:r>
                  <w:r>
                    <w:rPr>
                      <w:rFonts w:hint="eastAsia" w:hAnsiTheme="minorEastAsia" w:eastAsiaTheme="minorEastAsia"/>
                      <w:color w:val="000000" w:themeColor="text1"/>
                      <w:szCs w:val="21"/>
                    </w:rPr>
                    <w:t>废渣属于一般工业固体废物。项目拟设置1个600</w:t>
                  </w:r>
                  <w:r>
                    <w:rPr>
                      <w:rFonts w:hAnsiTheme="minorEastAsia" w:eastAsiaTheme="minorEastAsia"/>
                      <w:color w:val="000000" w:themeColor="text1"/>
                      <w:szCs w:val="21"/>
                    </w:rPr>
                    <w:t>m²</w:t>
                  </w:r>
                  <w:r>
                    <w:rPr>
                      <w:rFonts w:hint="eastAsia" w:hAnsiTheme="minorEastAsia" w:eastAsiaTheme="minorEastAsia"/>
                      <w:color w:val="000000" w:themeColor="text1"/>
                      <w:szCs w:val="21"/>
                    </w:rPr>
                    <w:t>废渣暂存库对其进行暂存后，一部分用于会泽县强胜页岩砖厂作为制砖原料，剩余部分委托</w:t>
                  </w:r>
                  <w:r>
                    <w:rPr>
                      <w:rFonts w:hAnsiTheme="minorEastAsia" w:eastAsiaTheme="minorEastAsia"/>
                      <w:color w:val="000000" w:themeColor="text1"/>
                      <w:szCs w:val="21"/>
                    </w:rPr>
                    <w:t>四方地工业园区弃渣场处置</w:t>
                  </w:r>
                  <w:r>
                    <w:rPr>
                      <w:rFonts w:hint="eastAsia" w:hAnsiTheme="minorEastAsia" w:eastAsiaTheme="minorEastAsia"/>
                      <w:color w:val="000000" w:themeColor="text1"/>
                      <w:szCs w:val="21"/>
                    </w:rPr>
                    <w:t>；</w:t>
                  </w:r>
                  <w:r>
                    <w:rPr>
                      <w:rFonts w:hAnsiTheme="minorEastAsia" w:eastAsiaTheme="minorEastAsia"/>
                      <w:color w:val="000000" w:themeColor="text1"/>
                      <w:szCs w:val="21"/>
                    </w:rPr>
                    <w:t>收集粉尘</w:t>
                  </w:r>
                  <w:r>
                    <w:rPr>
                      <w:rFonts w:hint="eastAsia" w:hAnsiTheme="minorEastAsia" w:eastAsiaTheme="minorEastAsia"/>
                      <w:color w:val="000000" w:themeColor="text1"/>
                      <w:szCs w:val="21"/>
                    </w:rPr>
                    <w:t>主要成分即为还原铁粉作为还原铁粉产品外卖；废机油部分用于生产设备润滑使用，无法使用部分委托有资质的单位处置；</w:t>
                  </w:r>
                  <w:r>
                    <w:rPr>
                      <w:rFonts w:hAnsiTheme="minorEastAsia" w:eastAsiaTheme="minorEastAsia"/>
                      <w:color w:val="000000" w:themeColor="text1"/>
                      <w:szCs w:val="21"/>
                    </w:rPr>
                    <w:t>废弃沾油抹布</w:t>
                  </w:r>
                  <w:r>
                    <w:rPr>
                      <w:rFonts w:hint="eastAsia" w:hAnsiTheme="minorEastAsia" w:eastAsiaTheme="minorEastAsia"/>
                      <w:color w:val="000000" w:themeColor="text1"/>
                      <w:szCs w:val="21"/>
                    </w:rPr>
                    <w:t>和</w:t>
                  </w:r>
                  <w:r>
                    <w:rPr>
                      <w:rFonts w:hAnsiTheme="minorEastAsia" w:eastAsiaTheme="minorEastAsia"/>
                      <w:color w:val="000000" w:themeColor="text1"/>
                      <w:szCs w:val="21"/>
                    </w:rPr>
                    <w:t>生活垃圾委托环卫部门定期清运处置。处置率为100%。</w:t>
                  </w:r>
                </w:p>
              </w:tc>
              <w:tc>
                <w:tcPr>
                  <w:tcW w:w="780"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 w:val="20"/>
                      <w:szCs w:val="21"/>
                    </w:rPr>
                    <w:t>重金属防治要求</w:t>
                  </w:r>
                </w:p>
              </w:tc>
              <w:tc>
                <w:tcPr>
                  <w:tcW w:w="2881" w:type="dxa"/>
                  <w:vAlign w:val="center"/>
                </w:tcPr>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园区重金属防治要求，主要针对有色金属冶炼产业、黑色金属、稀贵金属加工及延展产业提出。</w:t>
                  </w:r>
                </w:p>
              </w:tc>
              <w:tc>
                <w:tcPr>
                  <w:tcW w:w="3857" w:type="dxa"/>
                  <w:vAlign w:val="center"/>
                </w:tcPr>
                <w:p>
                  <w:pPr>
                    <w:pStyle w:val="24"/>
                    <w:spacing w:line="360" w:lineRule="exact"/>
                    <w:ind w:firstLine="210" w:firstLineChars="100"/>
                    <w:jc w:val="both"/>
                    <w:rPr>
                      <w:rFonts w:hAnsiTheme="minorEastAsia" w:eastAsiaTheme="minorEastAsia"/>
                      <w:color w:val="000000" w:themeColor="text1"/>
                      <w:szCs w:val="21"/>
                    </w:rPr>
                  </w:pPr>
                  <w:r>
                    <w:rPr>
                      <w:rFonts w:hint="eastAsia" w:hAnsiTheme="minorEastAsia" w:eastAsiaTheme="minorEastAsia"/>
                      <w:color w:val="000000" w:themeColor="text1"/>
                      <w:szCs w:val="21"/>
                    </w:rPr>
                    <w:t>查阅规划环评，规划环评提出的重金属防治要求，主要针对</w:t>
                  </w:r>
                  <w:r>
                    <w:rPr>
                      <w:rFonts w:hAnsiTheme="minorEastAsia" w:eastAsiaTheme="minorEastAsia"/>
                      <w:color w:val="000000" w:themeColor="text1"/>
                      <w:szCs w:val="21"/>
                    </w:rPr>
                    <w:t>有色金属冶炼产业、黑色金属、稀贵金属加工及延展产业</w:t>
                  </w:r>
                  <w:r>
                    <w:rPr>
                      <w:rFonts w:hint="eastAsia" w:hAnsiTheme="minorEastAsia" w:eastAsiaTheme="minorEastAsia"/>
                      <w:color w:val="000000" w:themeColor="text1"/>
                      <w:szCs w:val="21"/>
                    </w:rPr>
                    <w:t>提出；而本项目对昆明合旺有色金属有限公司生产线产生的氧化锌尾渣进行综合利用，其主要工艺为通过物理磁选、重选的方式，回收有利用价值的铁和煤，</w:t>
                  </w:r>
                  <w:r>
                    <w:rPr>
                      <w:rFonts w:hAnsiTheme="minorEastAsia" w:eastAsiaTheme="minorEastAsia"/>
                      <w:color w:val="000000" w:themeColor="text1"/>
                      <w:szCs w:val="21"/>
                    </w:rPr>
                    <w:t>不属于重金属产生行业。</w:t>
                  </w:r>
                </w:p>
              </w:tc>
              <w:tc>
                <w:tcPr>
                  <w:tcW w:w="780" w:type="dxa"/>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不涉及</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由上表可知，本项目符合云南省东川再就业特色产业园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四方地碧谷产业园环保措施要求。</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与园区准入要求的符合性分析</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本项目与云南省东川再就业特色产业园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四方地碧谷产业园准入要求的符合性分析如下表所示。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1-2 </w:t>
            </w:r>
            <w:r>
              <w:rPr>
                <w:rFonts w:ascii="Times New Roman" w:cs="Times New Roman" w:hAnsiTheme="minorEastAsia"/>
                <w:b/>
                <w:color w:val="000000" w:themeColor="text1"/>
              </w:rPr>
              <w:t>与园区准入要求的符合性分析</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47"/>
              <w:gridCol w:w="4294"/>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47"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规划环评及审查意见准入要求</w:t>
                  </w:r>
                </w:p>
              </w:tc>
              <w:tc>
                <w:tcPr>
                  <w:tcW w:w="4294"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780"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47" w:type="dxa"/>
                  <w:vAlign w:val="center"/>
                </w:tcPr>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）入区项目必须与国家产业政策相符，必须与四方地碧谷产业园的产业导向相符。</w:t>
                  </w:r>
                </w:p>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）禁止引进属于国家发改委、商务部联合发布的《外商投资产业指导目录》所列的禁止外商投资产业目录中的产业；属于国家及云南省已发布的各行业</w:t>
                  </w:r>
                  <w:r>
                    <w:rPr>
                      <w:rFonts w:eastAsiaTheme="minorEastAsia"/>
                      <w:color w:val="000000" w:themeColor="text1"/>
                      <w:szCs w:val="21"/>
                    </w:rPr>
                    <w:t>“</w:t>
                  </w:r>
                  <w:r>
                    <w:rPr>
                      <w:rFonts w:hAnsiTheme="minorEastAsia" w:eastAsiaTheme="minorEastAsia"/>
                      <w:color w:val="000000" w:themeColor="text1"/>
                      <w:szCs w:val="21"/>
                    </w:rPr>
                    <w:t>行业准入条件</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淘汰落后生产能力</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产业发展政策</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结构调整指导意见</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十三五规划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中长期规划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专项规划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调整振兴规划</w:t>
                  </w:r>
                  <w:r>
                    <w:rPr>
                      <w:rFonts w:eastAsiaTheme="minorEastAsia"/>
                      <w:color w:val="000000" w:themeColor="text1"/>
                      <w:szCs w:val="21"/>
                    </w:rPr>
                    <w:t>”</w:t>
                  </w:r>
                  <w:r>
                    <w:rPr>
                      <w:rFonts w:hAnsiTheme="minorEastAsia" w:eastAsiaTheme="minorEastAsia"/>
                      <w:color w:val="000000" w:themeColor="text1"/>
                      <w:szCs w:val="21"/>
                    </w:rPr>
                    <w:t>等明文淘汰类的产业。</w:t>
                  </w:r>
                </w:p>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）入园项目污染物排放，尤其是特征污染物及重金属污染物的排放必须符合国家和云南省环保要求，单位工业增加值的主要污染物应达到同行业国内先进水平，满足区域总量控制要求。</w:t>
                  </w:r>
                </w:p>
              </w:tc>
              <w:tc>
                <w:tcPr>
                  <w:tcW w:w="4294" w:type="dxa"/>
                  <w:vAlign w:val="center"/>
                </w:tcPr>
                <w:p>
                  <w:pPr>
                    <w:pStyle w:val="24"/>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szCs w:val="21"/>
                    </w:rPr>
                    <w:t>（1）</w:t>
                  </w:r>
                  <w:r>
                    <w:rPr>
                      <w:rFonts w:hint="eastAsia" w:hAnsiTheme="minorEastAsia" w:eastAsiaTheme="minorEastAsia"/>
                      <w:color w:val="000000" w:themeColor="text1"/>
                      <w:szCs w:val="21"/>
                    </w:rPr>
                    <w:t>本项目对昆明合旺有色金属有限公司生产线产生的氧化锌尾渣进行综合利用</w:t>
                  </w:r>
                  <w:r>
                    <w:rPr>
                      <w:rFonts w:hAnsiTheme="minorEastAsia" w:eastAsiaTheme="minorEastAsia"/>
                      <w:color w:val="000000" w:themeColor="text1"/>
                      <w:szCs w:val="21"/>
                    </w:rPr>
                    <w:t>，查阅《产业结构调整指导目录（2019年本）》，项目属于鼓励类中第四十三条、环境保护与资源节约综合利用“</w:t>
                  </w:r>
                  <w:r>
                    <w:rPr>
                      <w:rFonts w:hint="eastAsia" w:hAnsiTheme="minorEastAsia" w:eastAsiaTheme="minorEastAsia"/>
                      <w:color w:val="000000" w:themeColor="text1"/>
                      <w:szCs w:val="21"/>
                    </w:rPr>
                    <w:t>25、尾矿、废渣等资源综合利用及配套装备制造</w:t>
                  </w:r>
                  <w:r>
                    <w:rPr>
                      <w:rFonts w:hAnsiTheme="minorEastAsia" w:eastAsiaTheme="minorEastAsia"/>
                      <w:color w:val="000000" w:themeColor="text1"/>
                      <w:szCs w:val="21"/>
                    </w:rPr>
                    <w:t>”；同时本项目取得昆明市东川区发展和改革局下发的《投资项目备案证》（项目代码为：2107-530113-89-01-406394）；因此项目建设符合国家的产业政策。项目属于园区鼓励引进类项目，因此项目于四方地碧谷产业园的产业导向相符。</w:t>
                  </w:r>
                </w:p>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）项目不属于国家发改委、商务部联合发布的《外商投资产业指导目录》所列的禁止外商投资产业目录中的产业；不属于国家及云南省已发布的各行业</w:t>
                  </w:r>
                  <w:r>
                    <w:rPr>
                      <w:rFonts w:eastAsiaTheme="minorEastAsia"/>
                      <w:color w:val="000000" w:themeColor="text1"/>
                      <w:szCs w:val="21"/>
                    </w:rPr>
                    <w:t>“</w:t>
                  </w:r>
                  <w:r>
                    <w:rPr>
                      <w:rFonts w:hAnsiTheme="minorEastAsia" w:eastAsiaTheme="minorEastAsia"/>
                      <w:color w:val="000000" w:themeColor="text1"/>
                      <w:szCs w:val="21"/>
                    </w:rPr>
                    <w:t>行业准入条件</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淘汰落后生产能力</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产业发展政策</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结构调整指导意见</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十三五规划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中长期规划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专项规划</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调整振兴规划</w:t>
                  </w:r>
                  <w:r>
                    <w:rPr>
                      <w:rFonts w:eastAsiaTheme="minorEastAsia"/>
                      <w:color w:val="000000" w:themeColor="text1"/>
                      <w:szCs w:val="21"/>
                    </w:rPr>
                    <w:t>”</w:t>
                  </w:r>
                  <w:r>
                    <w:rPr>
                      <w:rFonts w:hAnsiTheme="minorEastAsia" w:eastAsiaTheme="minorEastAsia"/>
                      <w:color w:val="000000" w:themeColor="text1"/>
                      <w:szCs w:val="21"/>
                    </w:rPr>
                    <w:t>等明文淘汰类的产业。</w:t>
                  </w:r>
                </w:p>
                <w:p>
                  <w:pPr>
                    <w:pStyle w:val="24"/>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3</w:t>
                  </w:r>
                  <w:r>
                    <w:rPr>
                      <w:rFonts w:hAnsiTheme="minorEastAsia" w:eastAsiaTheme="minorEastAsia"/>
                      <w:color w:val="000000" w:themeColor="text1"/>
                      <w:szCs w:val="21"/>
                    </w:rPr>
                    <w:t>）项目排放的废气主要为粉尘，</w:t>
                  </w:r>
                  <w:r>
                    <w:rPr>
                      <w:rFonts w:hint="eastAsia" w:hAnsiTheme="minorEastAsia" w:eastAsiaTheme="minorEastAsia"/>
                      <w:color w:val="000000" w:themeColor="text1"/>
                      <w:szCs w:val="21"/>
                    </w:rPr>
                    <w:t>同时项目使用天然气清洁能源，产生的少量SO</w:t>
                  </w:r>
                  <w:r>
                    <w:rPr>
                      <w:rFonts w:hint="eastAsia" w:hAnsiTheme="minorEastAsia" w:eastAsiaTheme="minorEastAsia"/>
                      <w:color w:val="000000" w:themeColor="text1"/>
                      <w:szCs w:val="21"/>
                      <w:vertAlign w:val="subscript"/>
                    </w:rPr>
                    <w:t>2</w:t>
                  </w:r>
                  <w:r>
                    <w:rPr>
                      <w:rFonts w:hint="eastAsia" w:hAnsiTheme="minorEastAsia" w:eastAsiaTheme="minorEastAsia"/>
                      <w:color w:val="000000" w:themeColor="text1"/>
                      <w:szCs w:val="21"/>
                    </w:rPr>
                    <w:t>、NOx，</w:t>
                  </w:r>
                  <w:r>
                    <w:rPr>
                      <w:rFonts w:hAnsiTheme="minorEastAsia" w:eastAsiaTheme="minorEastAsia"/>
                      <w:color w:val="000000" w:themeColor="text1"/>
                      <w:szCs w:val="21"/>
                    </w:rPr>
                    <w:t>满足国家和云南省环保要求，满足区域总量控制要求。</w:t>
                  </w:r>
                </w:p>
              </w:tc>
              <w:tc>
                <w:tcPr>
                  <w:tcW w:w="780"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由上表可知，本项目符合云南省东川再就业特色产业园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四方地碧谷产业园环准入要求。</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通过上述分析，本项目建设符合《云南省东川再就业特色产业园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四方地碧谷产业园规划修编（</w:t>
            </w:r>
            <w:r>
              <w:rPr>
                <w:rFonts w:ascii="Times New Roman" w:hAnsi="Times New Roman" w:cs="Times New Roman"/>
                <w:color w:val="000000" w:themeColor="text1"/>
                <w:sz w:val="24"/>
              </w:rPr>
              <w:t>2014-2025</w:t>
            </w:r>
            <w:r>
              <w:rPr>
                <w:rFonts w:ascii="Times New Roman" w:cs="Times New Roman" w:hAnsiTheme="minorEastAsia"/>
                <w:color w:val="000000" w:themeColor="text1"/>
                <w:sz w:val="24"/>
              </w:rPr>
              <w:t>）环境影响报告书环境影响报告书》及《云南省生态环境厅关于云南省东川再就业特色产业园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四方地碧谷产业园规划修编（</w:t>
            </w:r>
            <w:r>
              <w:rPr>
                <w:rFonts w:ascii="Times New Roman" w:hAnsi="Times New Roman" w:cs="Times New Roman"/>
                <w:color w:val="000000" w:themeColor="text1"/>
                <w:sz w:val="24"/>
              </w:rPr>
              <w:t>2014-2025</w:t>
            </w:r>
            <w:r>
              <w:rPr>
                <w:rFonts w:ascii="Times New Roman" w:cs="Times New Roman" w:hAnsiTheme="minorEastAsia"/>
                <w:color w:val="000000" w:themeColor="text1"/>
                <w:sz w:val="24"/>
              </w:rPr>
              <w:t>）环境影响报告书审查意见的函》（云环函【</w:t>
            </w:r>
            <w:r>
              <w:rPr>
                <w:rFonts w:ascii="Times New Roman" w:hAnsi="Times New Roman" w:cs="Times New Roman"/>
                <w:color w:val="000000" w:themeColor="text1"/>
                <w:sz w:val="24"/>
              </w:rPr>
              <w:t>2018</w:t>
            </w:r>
            <w:r>
              <w:rPr>
                <w:rFonts w:ascii="Times New Roman" w:cs="Times New Roman" w:hAnsiTheme="minorEastAsia"/>
                <w:color w:val="000000" w:themeColor="text1"/>
                <w:sz w:val="24"/>
              </w:rPr>
              <w:t>】</w:t>
            </w:r>
            <w:r>
              <w:rPr>
                <w:rFonts w:ascii="Times New Roman" w:hAnsi="Times New Roman" w:cs="Times New Roman"/>
                <w:color w:val="000000" w:themeColor="text1"/>
                <w:sz w:val="24"/>
              </w:rPr>
              <w:t>778</w:t>
            </w:r>
            <w:r>
              <w:rPr>
                <w:rFonts w:ascii="Times New Roman" w:cs="Times New Roman" w:hAnsiTheme="minorEastAsia"/>
                <w:color w:val="000000" w:themeColor="text1"/>
                <w:sz w:val="24"/>
              </w:rPr>
              <w:t>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547" w:type="dxa"/>
            <w:gridSpan w:val="4"/>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根据《建设项目环境影响报告表编制技术指南》（污染影响类）（试行）的要求，其他符合性包括</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三线一单</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w:t>
            </w:r>
            <w:r>
              <w:rPr>
                <w:rFonts w:ascii="Times New Roman" w:cs="Times New Roman" w:hAnsiTheme="minorEastAsia"/>
                <w:b/>
                <w:color w:val="000000" w:themeColor="text1"/>
                <w:sz w:val="24"/>
                <w:szCs w:val="24"/>
              </w:rPr>
              <w:t>三线一单</w:t>
            </w:r>
            <w:r>
              <w:rPr>
                <w:rFonts w:ascii="Times New Roman" w:hAnsi="Times New Roman" w:cs="Times New Roman"/>
                <w:b/>
                <w:color w:val="000000" w:themeColor="text1"/>
                <w:sz w:val="24"/>
                <w:szCs w:val="24"/>
              </w:rPr>
              <w:t>”</w:t>
            </w:r>
            <w:r>
              <w:rPr>
                <w:rFonts w:ascii="Times New Roman" w:cs="Times New Roman" w:hAnsiTheme="minorEastAsia"/>
                <w:b/>
                <w:color w:val="000000" w:themeColor="text1"/>
                <w:sz w:val="24"/>
                <w:szCs w:val="24"/>
              </w:rPr>
              <w:t>符合性分析</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根据调查，《云南省东川再就业特色产业园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四方地碧谷产业园规划修编（</w:t>
            </w:r>
            <w:r>
              <w:rPr>
                <w:rFonts w:ascii="Times New Roman" w:hAnsi="Times New Roman" w:cs="Times New Roman"/>
                <w:color w:val="000000" w:themeColor="text1"/>
                <w:sz w:val="24"/>
              </w:rPr>
              <w:t>2014-2025</w:t>
            </w:r>
            <w:r>
              <w:rPr>
                <w:rFonts w:ascii="Times New Roman" w:cs="Times New Roman" w:hAnsiTheme="minorEastAsia"/>
                <w:color w:val="000000" w:themeColor="text1"/>
                <w:sz w:val="24"/>
              </w:rPr>
              <w:t>）环境影响报告书环境影响报告书》提出了引进企业</w:t>
            </w:r>
            <w:r>
              <w:rPr>
                <w:rFonts w:ascii="Times New Roman" w:hAnsi="Times New Roman" w:cs="Times New Roman"/>
                <w:color w:val="000000" w:themeColor="text1"/>
                <w:sz w:val="24"/>
              </w:rPr>
              <w:t>“</w:t>
            </w:r>
            <w:r>
              <w:rPr>
                <w:rFonts w:ascii="Times New Roman" w:cs="Times New Roman" w:hAnsiTheme="minorEastAsia"/>
                <w:color w:val="000000" w:themeColor="text1"/>
                <w:sz w:val="24"/>
              </w:rPr>
              <w:t>三线一单</w:t>
            </w:r>
            <w:r>
              <w:rPr>
                <w:rFonts w:ascii="Times New Roman" w:hAnsi="Times New Roman" w:cs="Times New Roman"/>
                <w:color w:val="000000" w:themeColor="text1"/>
                <w:sz w:val="24"/>
              </w:rPr>
              <w:t>”</w:t>
            </w:r>
            <w:r>
              <w:rPr>
                <w:rFonts w:ascii="Times New Roman" w:cs="Times New Roman" w:hAnsiTheme="minorEastAsia"/>
                <w:color w:val="000000" w:themeColor="text1"/>
                <w:sz w:val="24"/>
              </w:rPr>
              <w:t>的管理要求，本项目符合性分析具体如下：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szCs w:val="24"/>
              </w:rPr>
              <w:t>①</w:t>
            </w:r>
            <w:r>
              <w:rPr>
                <w:rFonts w:ascii="Times New Roman" w:cs="Times New Roman" w:hAnsiTheme="minorEastAsia"/>
                <w:b/>
                <w:color w:val="000000" w:themeColor="text1"/>
                <w:sz w:val="24"/>
                <w:szCs w:val="24"/>
              </w:rPr>
              <w:t>资源利用上线</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本项目与</w:t>
            </w:r>
            <w:r>
              <w:rPr>
                <w:rFonts w:ascii="Times New Roman" w:cs="Times New Roman" w:hAnsiTheme="minorEastAsia"/>
                <w:color w:val="000000" w:themeColor="text1"/>
                <w:sz w:val="24"/>
                <w:szCs w:val="24"/>
              </w:rPr>
              <w:t>资源利用上线要求的符合性分析如下表所示。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1-3 </w:t>
            </w:r>
            <w:r>
              <w:rPr>
                <w:rFonts w:ascii="Times New Roman" w:cs="Times New Roman" w:hAnsiTheme="minorEastAsia"/>
                <w:b/>
                <w:color w:val="000000" w:themeColor="text1"/>
              </w:rPr>
              <w:t>与资源利用上线要求的符合性分析</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81"/>
              <w:gridCol w:w="3260"/>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1"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规划环评</w:t>
                  </w:r>
                  <w:r>
                    <w:rPr>
                      <w:rFonts w:hAnsiTheme="minorEastAsia" w:eastAsiaTheme="minorEastAsia"/>
                      <w:color w:val="000000" w:themeColor="text1"/>
                      <w:sz w:val="20"/>
                      <w:szCs w:val="21"/>
                    </w:rPr>
                    <w:t>资源利用上线</w:t>
                  </w:r>
                  <w:r>
                    <w:rPr>
                      <w:rFonts w:hAnsiTheme="minorEastAsia" w:eastAsiaTheme="minorEastAsia"/>
                      <w:color w:val="000000" w:themeColor="text1"/>
                      <w:szCs w:val="21"/>
                    </w:rPr>
                    <w:t>要求</w:t>
                  </w:r>
                </w:p>
              </w:tc>
              <w:tc>
                <w:tcPr>
                  <w:tcW w:w="3260"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780"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1" w:type="dxa"/>
                  <w:vAlign w:val="center"/>
                </w:tcPr>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）新进园区企业能源推广使用电能或天然气、液化气、低硫煤等；</w:t>
                  </w:r>
                </w:p>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）新建园区企业工业用水重复率必须达到</w:t>
                  </w:r>
                  <w:r>
                    <w:rPr>
                      <w:rFonts w:eastAsiaTheme="minorEastAsia"/>
                      <w:color w:val="000000" w:themeColor="text1"/>
                      <w:szCs w:val="21"/>
                    </w:rPr>
                    <w:t>60%</w:t>
                  </w:r>
                  <w:r>
                    <w:rPr>
                      <w:rFonts w:hAnsiTheme="minorEastAsia" w:eastAsiaTheme="minorEastAsia"/>
                      <w:color w:val="000000" w:themeColor="text1"/>
                      <w:szCs w:val="21"/>
                    </w:rPr>
                    <w:t>，同时禁止开采地下水。</w:t>
                  </w:r>
                </w:p>
              </w:tc>
              <w:tc>
                <w:tcPr>
                  <w:tcW w:w="3260" w:type="dxa"/>
                  <w:vAlign w:val="center"/>
                </w:tcPr>
                <w:p>
                  <w:pPr>
                    <w:pStyle w:val="24"/>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szCs w:val="21"/>
                    </w:rPr>
                    <w:t>（1）项目使用天然气；</w:t>
                  </w:r>
                </w:p>
                <w:p>
                  <w:pPr>
                    <w:pStyle w:val="24"/>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szCs w:val="21"/>
                    </w:rPr>
                    <w:t>（2）项目工业用水</w:t>
                  </w:r>
                  <w:r>
                    <w:rPr>
                      <w:rFonts w:hint="eastAsia" w:hAnsiTheme="minorEastAsia" w:eastAsiaTheme="minorEastAsia"/>
                      <w:color w:val="000000" w:themeColor="text1"/>
                      <w:szCs w:val="21"/>
                    </w:rPr>
                    <w:t>全部循环使用，不外排；项目不开采地下水。</w:t>
                  </w:r>
                </w:p>
              </w:tc>
              <w:tc>
                <w:tcPr>
                  <w:tcW w:w="780"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②</w:t>
            </w:r>
            <w:r>
              <w:rPr>
                <w:rFonts w:ascii="Times New Roman" w:cs="Times New Roman" w:hAnsiTheme="minorEastAsia"/>
                <w:b/>
                <w:color w:val="000000" w:themeColor="text1"/>
                <w:sz w:val="24"/>
                <w:szCs w:val="24"/>
              </w:rPr>
              <w:t>生态保护红线</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rPr>
              <w:t>本项目与生态保护红线</w:t>
            </w:r>
            <w:r>
              <w:rPr>
                <w:rFonts w:ascii="Times New Roman" w:cs="Times New Roman" w:hAnsiTheme="minorEastAsia"/>
                <w:color w:val="000000" w:themeColor="text1"/>
                <w:sz w:val="24"/>
                <w:szCs w:val="24"/>
              </w:rPr>
              <w:t>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1-4 </w:t>
            </w:r>
            <w:r>
              <w:rPr>
                <w:rFonts w:ascii="Times New Roman" w:cs="Times New Roman" w:hAnsiTheme="minorEastAsia"/>
                <w:b/>
                <w:color w:val="000000" w:themeColor="text1"/>
              </w:rPr>
              <w:t>与生态保护红线要求的符合性分析</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81"/>
              <w:gridCol w:w="3260"/>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1"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规划环评生态保护红线要求</w:t>
                  </w:r>
                </w:p>
              </w:tc>
              <w:tc>
                <w:tcPr>
                  <w:tcW w:w="3260"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780"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1" w:type="dxa"/>
                  <w:vAlign w:val="center"/>
                </w:tcPr>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四方地碧谷产业园位于云南省昆明市东川区，规划范围较小，并且是单纯实施工业开发的园区，将园区内现有的基本农田划定为生态红线。</w:t>
                  </w:r>
                </w:p>
              </w:tc>
              <w:tc>
                <w:tcPr>
                  <w:tcW w:w="3260" w:type="dxa"/>
                  <w:vAlign w:val="center"/>
                </w:tcPr>
                <w:p>
                  <w:pPr>
                    <w:pStyle w:val="24"/>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本项目选址位于昆明合旺有色金属有限公司厂区</w:t>
                  </w:r>
                  <w:r>
                    <w:rPr>
                      <w:rFonts w:hint="eastAsia" w:hAnsiTheme="minorEastAsia" w:eastAsiaTheme="minorEastAsia"/>
                      <w:color w:val="000000" w:themeColor="text1"/>
                      <w:szCs w:val="21"/>
                    </w:rPr>
                    <w:t>内</w:t>
                  </w:r>
                  <w:r>
                    <w:rPr>
                      <w:rFonts w:hAnsiTheme="minorEastAsia" w:eastAsiaTheme="minorEastAsia"/>
                      <w:color w:val="000000" w:themeColor="text1"/>
                      <w:szCs w:val="21"/>
                    </w:rPr>
                    <w:t>，不涉及基本农田等用地。</w:t>
                  </w:r>
                </w:p>
              </w:tc>
              <w:tc>
                <w:tcPr>
                  <w:tcW w:w="780"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③</w:t>
            </w:r>
            <w:r>
              <w:rPr>
                <w:rFonts w:ascii="Times New Roman" w:cs="Times New Roman" w:hAnsiTheme="minorEastAsia"/>
                <w:b/>
                <w:color w:val="000000" w:themeColor="text1"/>
                <w:sz w:val="24"/>
                <w:szCs w:val="24"/>
              </w:rPr>
              <w:t>环境质量底线</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根据调查，现目选址区域空气环境可达到《环境空气质量标准》（</w:t>
            </w:r>
            <w:r>
              <w:rPr>
                <w:rFonts w:ascii="Times New Roman" w:hAnsi="Times New Roman" w:cs="Times New Roman"/>
                <w:color w:val="000000" w:themeColor="text1"/>
                <w:sz w:val="24"/>
              </w:rPr>
              <w:t>GB3095-2012</w:t>
            </w:r>
            <w:r>
              <w:rPr>
                <w:rFonts w:ascii="Times New Roman" w:cs="Times New Roman" w:hAnsiTheme="minorEastAsia"/>
                <w:color w:val="000000" w:themeColor="text1"/>
                <w:sz w:val="24"/>
              </w:rPr>
              <w:t>）二级标准，属于空气达标区；地表水体小江板河口断面水质可达到《地表水环境质量标准》（GB3838-2002）I</w:t>
            </w:r>
            <w:r>
              <w:rPr>
                <w:rFonts w:hint="eastAsia" w:ascii="Times New Roman" w:cs="Times New Roman" w:hAnsiTheme="minorEastAsia"/>
                <w:color w:val="000000" w:themeColor="text1"/>
                <w:sz w:val="24"/>
              </w:rPr>
              <w:t>II</w:t>
            </w:r>
            <w:r>
              <w:rPr>
                <w:rFonts w:ascii="Times New Roman" w:cs="Times New Roman" w:hAnsiTheme="minorEastAsia"/>
                <w:color w:val="000000" w:themeColor="text1"/>
                <w:sz w:val="24"/>
              </w:rPr>
              <w:t>类标准；区域噪声可满足《声环境质量标准》（</w:t>
            </w:r>
            <w:r>
              <w:rPr>
                <w:rFonts w:ascii="Times New Roman" w:hAnsi="Times New Roman" w:cs="Times New Roman"/>
                <w:color w:val="000000" w:themeColor="text1"/>
                <w:sz w:val="24"/>
              </w:rPr>
              <w:t>GB3096-2008</w:t>
            </w:r>
            <w:r>
              <w:rPr>
                <w:rFonts w:ascii="Times New Roman" w:cs="Times New Roman" w:hAnsiTheme="minorEastAsia"/>
                <w:color w:val="000000" w:themeColor="text1"/>
                <w:sz w:val="24"/>
              </w:rPr>
              <w:t>）</w:t>
            </w:r>
            <w:r>
              <w:rPr>
                <w:rFonts w:ascii="Times New Roman" w:hAnsi="Times New Roman" w:cs="Times New Roman"/>
                <w:color w:val="000000" w:themeColor="text1"/>
                <w:sz w:val="24"/>
              </w:rPr>
              <w:t>3</w:t>
            </w:r>
            <w:r>
              <w:rPr>
                <w:rFonts w:ascii="Times New Roman" w:cs="Times New Roman" w:hAnsiTheme="minorEastAsia"/>
                <w:color w:val="000000" w:themeColor="text1"/>
                <w:sz w:val="24"/>
              </w:rPr>
              <w:t>类标准。项目所在地环境质量现状均满足相应执行标准，且本项目的建设不会改变区域环境质量功能要求。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cs="Times New Roman" w:hAnsiTheme="minorEastAsia"/>
                <w:b/>
                <w:color w:val="000000" w:themeColor="text1"/>
                <w:sz w:val="24"/>
              </w:rPr>
              <w:t>环境准入负面清单</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本项目与环境准入负面清单</w:t>
            </w:r>
            <w:r>
              <w:rPr>
                <w:rFonts w:ascii="Times New Roman" w:cs="Times New Roman" w:hAnsiTheme="minorEastAsia"/>
                <w:color w:val="000000" w:themeColor="text1"/>
                <w:sz w:val="24"/>
                <w:szCs w:val="24"/>
              </w:rPr>
              <w:t>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1-5 </w:t>
            </w:r>
            <w:r>
              <w:rPr>
                <w:rFonts w:ascii="Times New Roman" w:cs="Times New Roman" w:hAnsiTheme="minorEastAsia"/>
                <w:b/>
                <w:color w:val="000000" w:themeColor="text1"/>
              </w:rPr>
              <w:t>与环境准入负面清单要求的符合性分析</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44"/>
              <w:gridCol w:w="4539"/>
              <w:gridCol w:w="6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44"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规划环评环境准入负面清单要求</w:t>
                  </w:r>
                </w:p>
              </w:tc>
              <w:tc>
                <w:tcPr>
                  <w:tcW w:w="4539"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638"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44" w:type="dxa"/>
                  <w:vAlign w:val="center"/>
                </w:tcPr>
                <w:p>
                  <w:pPr>
                    <w:pStyle w:val="24"/>
                    <w:spacing w:before="78"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规划环评对四方地碧谷产业园区提出</w:t>
                  </w:r>
                  <w:r>
                    <w:rPr>
                      <w:rFonts w:eastAsiaTheme="minorEastAsia"/>
                      <w:color w:val="000000" w:themeColor="text1"/>
                      <w:szCs w:val="21"/>
                    </w:rPr>
                    <w:t>“</w:t>
                  </w:r>
                  <w:r>
                    <w:rPr>
                      <w:rFonts w:hAnsiTheme="minorEastAsia" w:eastAsiaTheme="minorEastAsia"/>
                      <w:color w:val="000000" w:themeColor="text1"/>
                      <w:szCs w:val="21"/>
                    </w:rPr>
                    <w:t>有色金属冶炼</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有色金属深加工</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建筑材料</w:t>
                  </w:r>
                  <w:r>
                    <w:rPr>
                      <w:rFonts w:eastAsiaTheme="minorEastAsia"/>
                      <w:color w:val="000000" w:themeColor="text1"/>
                      <w:szCs w:val="21"/>
                    </w:rPr>
                    <w:t>”</w:t>
                  </w:r>
                  <w:r>
                    <w:rPr>
                      <w:rFonts w:hAnsiTheme="minorEastAsia" w:eastAsiaTheme="minorEastAsia"/>
                      <w:color w:val="000000" w:themeColor="text1"/>
                      <w:szCs w:val="21"/>
                    </w:rPr>
                    <w:t>、</w:t>
                  </w:r>
                  <w:r>
                    <w:rPr>
                      <w:rFonts w:eastAsiaTheme="minorEastAsia"/>
                      <w:color w:val="000000" w:themeColor="text1"/>
                      <w:szCs w:val="21"/>
                    </w:rPr>
                    <w:t>“</w:t>
                  </w:r>
                  <w:r>
                    <w:rPr>
                      <w:rFonts w:hAnsiTheme="minorEastAsia" w:eastAsiaTheme="minorEastAsia"/>
                      <w:color w:val="000000" w:themeColor="text1"/>
                      <w:szCs w:val="21"/>
                    </w:rPr>
                    <w:t>仓储物流</w:t>
                  </w:r>
                  <w:r>
                    <w:rPr>
                      <w:rFonts w:eastAsiaTheme="minorEastAsia"/>
                      <w:color w:val="000000" w:themeColor="text1"/>
                      <w:szCs w:val="21"/>
                    </w:rPr>
                    <w:t>”</w:t>
                  </w:r>
                  <w:r>
                    <w:rPr>
                      <w:rFonts w:hAnsiTheme="minorEastAsia" w:eastAsiaTheme="minorEastAsia"/>
                      <w:color w:val="000000" w:themeColor="text1"/>
                      <w:szCs w:val="21"/>
                    </w:rPr>
                    <w:t>等规划产业的优先发展项目清单和禁止发展项目清单。</w:t>
                  </w:r>
                </w:p>
              </w:tc>
              <w:tc>
                <w:tcPr>
                  <w:tcW w:w="4539" w:type="dxa"/>
                  <w:vAlign w:val="center"/>
                </w:tcPr>
                <w:p>
                  <w:pPr>
                    <w:pStyle w:val="24"/>
                    <w:spacing w:before="78" w:line="360" w:lineRule="exact"/>
                    <w:ind w:firstLine="210" w:firstLineChars="100"/>
                    <w:jc w:val="both"/>
                    <w:rPr>
                      <w:rFonts w:hAnsiTheme="minorEastAsia" w:eastAsiaTheme="minorEastAsia"/>
                      <w:color w:val="000000" w:themeColor="text1"/>
                      <w:szCs w:val="21"/>
                    </w:rPr>
                  </w:pPr>
                  <w:r>
                    <w:rPr>
                      <w:rFonts w:hint="eastAsia" w:hAnsiTheme="minorEastAsia" w:eastAsiaTheme="minorEastAsia"/>
                      <w:color w:val="000000" w:themeColor="text1"/>
                      <w:szCs w:val="21"/>
                    </w:rPr>
                    <w:t>本项目对昆明合旺有色金属有限公司生产线产生的氧化锌尾渣进行综合利用</w:t>
                  </w:r>
                  <w:r>
                    <w:rPr>
                      <w:rFonts w:hAnsiTheme="minorEastAsia" w:eastAsiaTheme="minorEastAsia"/>
                      <w:color w:val="000000" w:themeColor="text1"/>
                      <w:szCs w:val="21"/>
                    </w:rPr>
                    <w:t>，</w:t>
                  </w:r>
                  <w:r>
                    <w:rPr>
                      <w:rFonts w:hint="eastAsia" w:eastAsiaTheme="minorEastAsia"/>
                      <w:color w:val="000000" w:themeColor="text1"/>
                      <w:szCs w:val="21"/>
                    </w:rPr>
                    <w:t>不属于</w:t>
                  </w:r>
                  <w:r>
                    <w:rPr>
                      <w:rFonts w:eastAsiaTheme="minorEastAsia"/>
                      <w:color w:val="000000" w:themeColor="text1"/>
                      <w:szCs w:val="21"/>
                    </w:rPr>
                    <w:t>“有色金属冶炼”、“有色金属深加工”、“建筑材料”、“仓储物流”等</w:t>
                  </w:r>
                  <w:r>
                    <w:rPr>
                      <w:rFonts w:hint="eastAsia" w:eastAsiaTheme="minorEastAsia"/>
                      <w:color w:val="000000" w:themeColor="text1"/>
                      <w:szCs w:val="21"/>
                    </w:rPr>
                    <w:t>类别项目，规划环评未对本项目类别设置环境准入负面清单</w:t>
                  </w:r>
                  <w:r>
                    <w:rPr>
                      <w:rFonts w:hAnsiTheme="minorEastAsia" w:eastAsiaTheme="minorEastAsia"/>
                      <w:color w:val="000000" w:themeColor="text1"/>
                      <w:szCs w:val="21"/>
                    </w:rPr>
                    <w:t>。项目使用的设备符合国家产业政策，不属于园区禁止发展清单名录。</w:t>
                  </w:r>
                </w:p>
              </w:tc>
              <w:tc>
                <w:tcPr>
                  <w:tcW w:w="638" w:type="dxa"/>
                  <w:vAlign w:val="center"/>
                </w:tcPr>
                <w:p>
                  <w:pPr>
                    <w:pStyle w:val="24"/>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szCs w:val="24"/>
              </w:rPr>
              <w:t>综上分析，项目建设符合</w:t>
            </w:r>
            <w:r>
              <w:rPr>
                <w:rFonts w:ascii="Times New Roman" w:cs="Times New Roman" w:hAnsiTheme="minorEastAsia"/>
                <w:color w:val="000000" w:themeColor="text1"/>
                <w:sz w:val="24"/>
              </w:rPr>
              <w:t>《云南省东川再就业特色产业园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四方地碧谷产业园规划修编（</w:t>
            </w:r>
            <w:r>
              <w:rPr>
                <w:rFonts w:ascii="Times New Roman" w:hAnsi="Times New Roman" w:cs="Times New Roman"/>
                <w:color w:val="000000" w:themeColor="text1"/>
                <w:sz w:val="24"/>
              </w:rPr>
              <w:t>2014-2025</w:t>
            </w:r>
            <w:r>
              <w:rPr>
                <w:rFonts w:ascii="Times New Roman" w:cs="Times New Roman" w:hAnsiTheme="minorEastAsia"/>
                <w:color w:val="000000" w:themeColor="text1"/>
                <w:sz w:val="24"/>
              </w:rPr>
              <w:t>）环境影响报告书环境影响报告书》提出了引进企业</w:t>
            </w:r>
            <w:r>
              <w:rPr>
                <w:rFonts w:ascii="Times New Roman" w:hAnsi="Times New Roman" w:cs="Times New Roman"/>
                <w:color w:val="000000" w:themeColor="text1"/>
                <w:sz w:val="24"/>
              </w:rPr>
              <w:t>“</w:t>
            </w:r>
            <w:r>
              <w:rPr>
                <w:rFonts w:ascii="Times New Roman" w:cs="Times New Roman" w:hAnsiTheme="minorEastAsia"/>
                <w:color w:val="000000" w:themeColor="text1"/>
                <w:sz w:val="24"/>
              </w:rPr>
              <w:t>三线一单</w:t>
            </w:r>
            <w:r>
              <w:rPr>
                <w:rFonts w:ascii="Times New Roman" w:hAnsi="Times New Roman" w:cs="Times New Roman"/>
                <w:color w:val="000000" w:themeColor="text1"/>
                <w:sz w:val="24"/>
              </w:rPr>
              <w:t>”</w:t>
            </w:r>
            <w:r>
              <w:rPr>
                <w:rFonts w:ascii="Times New Roman" w:cs="Times New Roman" w:hAnsiTheme="minorEastAsia"/>
                <w:color w:val="000000" w:themeColor="text1"/>
                <w:sz w:val="24"/>
              </w:rPr>
              <w:t>的管理要求。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《中华人民共和国长江保护法》重点从空间管控、规划等方面提出了长江保护的相关要求，通过上述的分析，本项目的建设符合园区规划；而保护法提出的具体建设项目的措施符合性具体如下表所示。</w:t>
            </w:r>
          </w:p>
          <w:p>
            <w:pPr>
              <w:jc w:val="center"/>
              <w:rPr>
                <w:rFonts w:ascii="Times New Roman" w:cs="Times New Roman" w:hAnsiTheme="minorEastAsia"/>
                <w:b/>
                <w:color w:val="000000" w:themeColor="text1"/>
              </w:rPr>
            </w:pPr>
            <w:r>
              <w:rPr>
                <w:rFonts w:ascii="Times New Roman" w:cs="Times New Roman" w:hAnsiTheme="minorEastAsia"/>
                <w:b/>
                <w:color w:val="000000" w:themeColor="text1"/>
              </w:rPr>
              <w:t>表</w:t>
            </w:r>
            <w:r>
              <w:rPr>
                <w:rFonts w:hint="eastAsia" w:ascii="Times New Roman" w:cs="Times New Roman" w:hAnsiTheme="minorEastAsia"/>
                <w:b/>
                <w:color w:val="000000" w:themeColor="text1"/>
              </w:rPr>
              <w:t>1-6</w:t>
            </w:r>
            <w:r>
              <w:rPr>
                <w:rFonts w:ascii="Times New Roman" w:cs="Times New Roman" w:hAnsiTheme="minorEastAsia"/>
                <w:b/>
                <w:color w:val="000000" w:themeColor="text1"/>
              </w:rPr>
              <w:t xml:space="preserve"> 与《</w:t>
            </w:r>
            <w:r>
              <w:rPr>
                <w:rFonts w:hint="eastAsia" w:ascii="Times New Roman" w:cs="Times New Roman" w:hAnsiTheme="minorEastAsia"/>
                <w:b/>
                <w:color w:val="000000" w:themeColor="text1"/>
              </w:rPr>
              <w:t>中华人民共和国长江保护法</w:t>
            </w:r>
            <w:r>
              <w:rPr>
                <w:rFonts w:ascii="Times New Roman" w:cs="Times New Roman" w:hAnsiTheme="minorEastAsia"/>
                <w:b/>
                <w:color w:val="000000" w:themeColor="text1"/>
              </w:rPr>
              <w:t>》符合性分析一览表</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1"/>
              <w:gridCol w:w="2977"/>
              <w:gridCol w:w="4179"/>
              <w:gridCol w:w="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1" w:type="dxa"/>
                  <w:vAlign w:val="center"/>
                </w:tcPr>
                <w:p>
                  <w:pPr>
                    <w:pStyle w:val="24"/>
                    <w:spacing w:line="360" w:lineRule="exact"/>
                    <w:rPr>
                      <w:color w:val="000000" w:themeColor="text1"/>
                      <w:kern w:val="0"/>
                      <w:szCs w:val="21"/>
                    </w:rPr>
                  </w:pPr>
                  <w:r>
                    <w:rPr>
                      <w:color w:val="000000" w:themeColor="text1"/>
                      <w:kern w:val="0"/>
                      <w:szCs w:val="21"/>
                    </w:rPr>
                    <w:t>序号</w:t>
                  </w:r>
                </w:p>
              </w:tc>
              <w:tc>
                <w:tcPr>
                  <w:tcW w:w="2977" w:type="dxa"/>
                  <w:vAlign w:val="center"/>
                </w:tcPr>
                <w:p>
                  <w:pPr>
                    <w:pStyle w:val="24"/>
                    <w:spacing w:line="360" w:lineRule="exact"/>
                    <w:rPr>
                      <w:color w:val="000000" w:themeColor="text1"/>
                      <w:kern w:val="0"/>
                      <w:szCs w:val="21"/>
                    </w:rPr>
                  </w:pPr>
                  <w:r>
                    <w:rPr>
                      <w:rFonts w:hint="eastAsia"/>
                      <w:color w:val="000000" w:themeColor="text1"/>
                      <w:kern w:val="0"/>
                      <w:szCs w:val="21"/>
                    </w:rPr>
                    <w:t>中华人民共和国长江保护法</w:t>
                  </w:r>
                  <w:r>
                    <w:rPr>
                      <w:color w:val="000000" w:themeColor="text1"/>
                      <w:kern w:val="0"/>
                      <w:szCs w:val="21"/>
                    </w:rPr>
                    <w:t>要求</w:t>
                  </w:r>
                </w:p>
              </w:tc>
              <w:tc>
                <w:tcPr>
                  <w:tcW w:w="4179" w:type="dxa"/>
                  <w:vAlign w:val="center"/>
                </w:tcPr>
                <w:p>
                  <w:pPr>
                    <w:pStyle w:val="24"/>
                    <w:spacing w:line="360" w:lineRule="exact"/>
                    <w:rPr>
                      <w:color w:val="000000" w:themeColor="text1"/>
                      <w:kern w:val="0"/>
                      <w:szCs w:val="21"/>
                    </w:rPr>
                  </w:pPr>
                  <w:r>
                    <w:rPr>
                      <w:color w:val="000000" w:themeColor="text1"/>
                      <w:kern w:val="0"/>
                      <w:szCs w:val="21"/>
                    </w:rPr>
                    <w:t>本项目实际情况</w:t>
                  </w:r>
                </w:p>
              </w:tc>
              <w:tc>
                <w:tcPr>
                  <w:tcW w:w="714" w:type="dxa"/>
                  <w:vAlign w:val="center"/>
                </w:tcPr>
                <w:p>
                  <w:pPr>
                    <w:pStyle w:val="24"/>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1" w:type="dxa"/>
                  <w:vAlign w:val="center"/>
                </w:tcPr>
                <w:p>
                  <w:pPr>
                    <w:pStyle w:val="24"/>
                    <w:spacing w:line="360" w:lineRule="exact"/>
                    <w:rPr>
                      <w:color w:val="000000" w:themeColor="text1"/>
                      <w:kern w:val="0"/>
                      <w:szCs w:val="21"/>
                    </w:rPr>
                  </w:pPr>
                  <w:r>
                    <w:rPr>
                      <w:rFonts w:hint="eastAsia"/>
                      <w:color w:val="000000" w:themeColor="text1"/>
                      <w:kern w:val="0"/>
                      <w:szCs w:val="21"/>
                    </w:rPr>
                    <w:t>1</w:t>
                  </w:r>
                </w:p>
              </w:tc>
              <w:tc>
                <w:tcPr>
                  <w:tcW w:w="2977" w:type="dxa"/>
                  <w:vAlign w:val="center"/>
                </w:tcPr>
                <w:p>
                  <w:pPr>
                    <w:pStyle w:val="24"/>
                    <w:spacing w:line="360" w:lineRule="exact"/>
                    <w:ind w:firstLine="210" w:firstLineChars="100"/>
                    <w:jc w:val="both"/>
                    <w:rPr>
                      <w:color w:val="000000" w:themeColor="text1"/>
                      <w:kern w:val="0"/>
                      <w:szCs w:val="21"/>
                    </w:rPr>
                  </w:pPr>
                  <w:r>
                    <w:rPr>
                      <w:rFonts w:hint="eastAsia"/>
                      <w:color w:val="000000" w:themeColor="text1"/>
                      <w:kern w:val="0"/>
                      <w:szCs w:val="21"/>
                    </w:rPr>
                    <w:t>禁止在长江干支流岸线一公里范围内新建、扩建化工园区和化工项目。</w:t>
                  </w:r>
                </w:p>
              </w:tc>
              <w:tc>
                <w:tcPr>
                  <w:tcW w:w="4179" w:type="dxa"/>
                  <w:vAlign w:val="center"/>
                </w:tcPr>
                <w:p>
                  <w:pPr>
                    <w:pStyle w:val="24"/>
                    <w:spacing w:line="360" w:lineRule="exact"/>
                    <w:ind w:firstLine="210" w:firstLineChars="100"/>
                    <w:jc w:val="both"/>
                    <w:rPr>
                      <w:color w:val="000000" w:themeColor="text1"/>
                      <w:kern w:val="0"/>
                      <w:szCs w:val="21"/>
                    </w:rPr>
                  </w:pPr>
                  <w:r>
                    <w:rPr>
                      <w:color w:val="000000" w:themeColor="text1"/>
                      <w:kern w:val="0"/>
                      <w:szCs w:val="21"/>
                    </w:rPr>
                    <w:t>本项目位于东川区再就业特区四方地工业园区昆明合旺有色金属有限公司厂区，根据周边关系可知，距离小江为1085m，项目所在区域不属于禁建范围。</w:t>
                  </w:r>
                </w:p>
              </w:tc>
              <w:tc>
                <w:tcPr>
                  <w:tcW w:w="714" w:type="dxa"/>
                  <w:vAlign w:val="center"/>
                </w:tcPr>
                <w:p>
                  <w:pPr>
                    <w:pStyle w:val="24"/>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3" w:hRule="atLeast"/>
                <w:jc w:val="center"/>
              </w:trPr>
              <w:tc>
                <w:tcPr>
                  <w:tcW w:w="451" w:type="dxa"/>
                  <w:vAlign w:val="center"/>
                </w:tcPr>
                <w:p>
                  <w:pPr>
                    <w:pStyle w:val="24"/>
                    <w:spacing w:line="360" w:lineRule="exact"/>
                    <w:rPr>
                      <w:color w:val="000000" w:themeColor="text1"/>
                      <w:kern w:val="0"/>
                      <w:szCs w:val="21"/>
                    </w:rPr>
                  </w:pPr>
                  <w:r>
                    <w:rPr>
                      <w:rFonts w:hint="eastAsia"/>
                      <w:color w:val="000000" w:themeColor="text1"/>
                      <w:kern w:val="0"/>
                      <w:szCs w:val="21"/>
                    </w:rPr>
                    <w:t>2</w:t>
                  </w:r>
                </w:p>
              </w:tc>
              <w:tc>
                <w:tcPr>
                  <w:tcW w:w="2977" w:type="dxa"/>
                  <w:vAlign w:val="center"/>
                </w:tcPr>
                <w:p>
                  <w:pPr>
                    <w:pStyle w:val="24"/>
                    <w:spacing w:line="360" w:lineRule="exact"/>
                    <w:ind w:firstLine="210" w:firstLineChars="100"/>
                    <w:jc w:val="both"/>
                    <w:rPr>
                      <w:color w:val="000000" w:themeColor="text1"/>
                      <w:kern w:val="0"/>
                      <w:szCs w:val="21"/>
                    </w:rPr>
                  </w:pPr>
                  <w:r>
                    <w:rPr>
                      <w:rFonts w:hint="eastAsia"/>
                      <w:color w:val="000000" w:themeColor="text1"/>
                      <w:kern w:val="0"/>
                      <w:szCs w:val="21"/>
                    </w:rPr>
                    <w:t>严格控制高耗水项目建设。</w:t>
                  </w:r>
                </w:p>
              </w:tc>
              <w:tc>
                <w:tcPr>
                  <w:tcW w:w="4179" w:type="dxa"/>
                  <w:vAlign w:val="center"/>
                </w:tcPr>
                <w:p>
                  <w:pPr>
                    <w:pStyle w:val="24"/>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24"/>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本项目对昆明合旺有色金属有限公司生产线产生的氧化锌尾渣进行综合利用，其主要工艺为通过物理磁选、重选的方式，回收有利用价值的铁和煤，项目所有生产废水全部循环使用，其总体耗水量不高；其原则上不属于高耗水项目；项目应严格按照水利部门的要求进行取水和生产。</w:t>
                  </w:r>
                </w:p>
              </w:tc>
              <w:tc>
                <w:tcPr>
                  <w:tcW w:w="714" w:type="dxa"/>
                  <w:vAlign w:val="center"/>
                </w:tcPr>
                <w:p>
                  <w:pPr>
                    <w:pStyle w:val="24"/>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1" w:type="dxa"/>
                  <w:vAlign w:val="center"/>
                </w:tcPr>
                <w:p>
                  <w:pPr>
                    <w:pStyle w:val="24"/>
                    <w:spacing w:line="360" w:lineRule="exact"/>
                    <w:rPr>
                      <w:color w:val="000000" w:themeColor="text1"/>
                      <w:kern w:val="0"/>
                      <w:szCs w:val="21"/>
                    </w:rPr>
                  </w:pPr>
                  <w:r>
                    <w:rPr>
                      <w:rFonts w:hint="eastAsia"/>
                      <w:color w:val="000000" w:themeColor="text1"/>
                      <w:kern w:val="0"/>
                      <w:szCs w:val="21"/>
                    </w:rPr>
                    <w:t>3</w:t>
                  </w:r>
                </w:p>
              </w:tc>
              <w:tc>
                <w:tcPr>
                  <w:tcW w:w="2977" w:type="dxa"/>
                  <w:vAlign w:val="center"/>
                </w:tcPr>
                <w:p>
                  <w:pPr>
                    <w:pStyle w:val="24"/>
                    <w:spacing w:line="360" w:lineRule="exact"/>
                    <w:ind w:firstLine="210" w:firstLineChars="100"/>
                    <w:jc w:val="both"/>
                    <w:rPr>
                      <w:color w:val="000000" w:themeColor="text1"/>
                      <w:kern w:val="0"/>
                      <w:szCs w:val="21"/>
                    </w:rPr>
                  </w:pPr>
                  <w:r>
                    <w:rPr>
                      <w:rFonts w:hint="eastAsia"/>
                      <w:color w:val="000000" w:themeColor="text1"/>
                      <w:kern w:val="0"/>
                      <w:szCs w:val="21"/>
                    </w:rPr>
                    <w:t>禁止在长江流域河湖管理范围内倾倒、填埋、堆放、弃置、处理固体废物。</w:t>
                  </w:r>
                </w:p>
              </w:tc>
              <w:tc>
                <w:tcPr>
                  <w:tcW w:w="4179" w:type="dxa"/>
                  <w:vAlign w:val="center"/>
                </w:tcPr>
                <w:p>
                  <w:pPr>
                    <w:pStyle w:val="24"/>
                    <w:spacing w:line="360" w:lineRule="exact"/>
                    <w:ind w:firstLine="210" w:firstLineChars="100"/>
                    <w:jc w:val="both"/>
                    <w:rPr>
                      <w:color w:val="000000" w:themeColor="text1"/>
                      <w:kern w:val="0"/>
                      <w:szCs w:val="21"/>
                    </w:rPr>
                  </w:pPr>
                  <w:r>
                    <w:rPr>
                      <w:rFonts w:hint="eastAsia"/>
                      <w:color w:val="000000" w:themeColor="text1"/>
                      <w:kern w:val="0"/>
                      <w:szCs w:val="21"/>
                    </w:rPr>
                    <w:t>本项目位于</w:t>
                  </w:r>
                  <w:r>
                    <w:rPr>
                      <w:color w:val="000000" w:themeColor="text1"/>
                      <w:kern w:val="0"/>
                      <w:szCs w:val="21"/>
                    </w:rPr>
                    <w:t>东川区再就业特区四方地工业园区昆明合旺有色金属有限公司厂区，</w:t>
                  </w:r>
                  <w:r>
                    <w:rPr>
                      <w:rFonts w:hint="eastAsia"/>
                      <w:color w:val="000000" w:themeColor="text1"/>
                      <w:kern w:val="0"/>
                      <w:szCs w:val="21"/>
                    </w:rPr>
                    <w:t>该区域不属于长江流域河湖管理范围。</w:t>
                  </w:r>
                </w:p>
              </w:tc>
              <w:tc>
                <w:tcPr>
                  <w:tcW w:w="714" w:type="dxa"/>
                  <w:vAlign w:val="center"/>
                </w:tcPr>
                <w:p>
                  <w:pPr>
                    <w:pStyle w:val="24"/>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）与《长江经济带发展负面清单指南》（试行）的符合性分析</w:t>
            </w:r>
          </w:p>
          <w:p>
            <w:pPr>
              <w:spacing w:line="360" w:lineRule="auto"/>
              <w:ind w:firstLine="480" w:firstLineChars="200"/>
              <w:rPr>
                <w:rFonts w:ascii="Times New Roman" w:cs="Times New Roman" w:hAnsiTheme="minorEastAsia"/>
                <w:color w:val="000000" w:themeColor="text1"/>
                <w:sz w:val="24"/>
                <w:szCs w:val="24"/>
              </w:rPr>
            </w:pPr>
            <w:r>
              <w:rPr>
                <w:rFonts w:ascii="Times New Roman" w:hAnsi="Times New Roman" w:cs="Times New Roman"/>
                <w:color w:val="000000" w:themeColor="text1"/>
                <w:sz w:val="24"/>
                <w:szCs w:val="24"/>
              </w:rPr>
              <w:t>2019</w:t>
            </w:r>
            <w:r>
              <w:rPr>
                <w:rFonts w:ascii="Times New Roman" w:cs="Times New Roman" w:hAnsiTheme="minorEastAsia"/>
                <w:color w:val="000000" w:themeColor="text1"/>
                <w:sz w:val="24"/>
                <w:szCs w:val="24"/>
              </w:rPr>
              <w:t>年</w:t>
            </w:r>
            <w:r>
              <w:rPr>
                <w:rFonts w:ascii="Times New Roman" w:hAnsi="Times New Roman" w:cs="Times New Roman"/>
                <w:color w:val="000000" w:themeColor="text1"/>
                <w:sz w:val="24"/>
                <w:szCs w:val="24"/>
              </w:rPr>
              <w:t>1</w:t>
            </w:r>
            <w:r>
              <w:rPr>
                <w:rFonts w:ascii="Times New Roman" w:cs="Times New Roman" w:hAnsiTheme="minorEastAsia"/>
                <w:color w:val="000000" w:themeColor="text1"/>
                <w:sz w:val="24"/>
                <w:szCs w:val="24"/>
              </w:rPr>
              <w:t>月</w:t>
            </w:r>
            <w:r>
              <w:rPr>
                <w:rFonts w:ascii="Times New Roman" w:hAnsi="Times New Roman" w:cs="Times New Roman"/>
                <w:color w:val="000000" w:themeColor="text1"/>
                <w:sz w:val="24"/>
                <w:szCs w:val="24"/>
              </w:rPr>
              <w:t>12</w:t>
            </w:r>
            <w:r>
              <w:rPr>
                <w:rFonts w:ascii="Times New Roman" w:cs="Times New Roman" w:hAnsiTheme="minorEastAsia"/>
                <w:color w:val="000000" w:themeColor="text1"/>
                <w:sz w:val="24"/>
                <w:szCs w:val="24"/>
              </w:rPr>
              <w:t>日，推动长江经济带发展领导小组办公室发布了《关于发布长江经济带发展负面清单指南（试行）的通知》（第</w:t>
            </w:r>
            <w:r>
              <w:rPr>
                <w:rFonts w:ascii="Times New Roman" w:hAnsi="Times New Roman" w:cs="Times New Roman"/>
                <w:color w:val="000000" w:themeColor="text1"/>
                <w:sz w:val="24"/>
                <w:szCs w:val="24"/>
              </w:rPr>
              <w:t>89</w:t>
            </w:r>
            <w:r>
              <w:rPr>
                <w:rFonts w:ascii="Times New Roman" w:cs="Times New Roman" w:hAnsiTheme="minorEastAsia"/>
                <w:color w:val="000000" w:themeColor="text1"/>
                <w:sz w:val="24"/>
                <w:szCs w:val="24"/>
              </w:rPr>
              <w:t>号），本项目位于四方地工业园区，项目所在地的纳污水体为</w:t>
            </w:r>
            <w:r>
              <w:rPr>
                <w:rFonts w:hint="eastAsia" w:ascii="Times New Roman" w:cs="Times New Roman" w:hAnsiTheme="minorEastAsia"/>
                <w:color w:val="000000" w:themeColor="text1"/>
                <w:sz w:val="24"/>
                <w:szCs w:val="24"/>
              </w:rPr>
              <w:t>小江（清水海-入金沙江口段）</w:t>
            </w:r>
            <w:r>
              <w:rPr>
                <w:rFonts w:ascii="Times New Roman" w:cs="Times New Roman" w:hAnsiTheme="minorEastAsia"/>
                <w:color w:val="000000" w:themeColor="text1"/>
                <w:sz w:val="24"/>
                <w:szCs w:val="24"/>
              </w:rPr>
              <w:t>，小江属于长江的上游主要支流。因此，本环评须分析本项目与《长江经济带发展负面清单指南（试行）》的符合性。具体分析如下表所示。</w:t>
            </w:r>
          </w:p>
          <w:p>
            <w:pPr>
              <w:pStyle w:val="12"/>
              <w:spacing w:after="0"/>
              <w:ind w:left="0" w:leftChars="0"/>
              <w:jc w:val="center"/>
              <w:rPr>
                <w:rFonts w:eastAsiaTheme="minorEastAsia"/>
                <w:b/>
                <w:color w:val="000000" w:themeColor="text1"/>
                <w:sz w:val="21"/>
                <w:szCs w:val="21"/>
              </w:rPr>
            </w:pPr>
            <w:r>
              <w:rPr>
                <w:rFonts w:hAnsiTheme="minorEastAsia" w:eastAsiaTheme="minorEastAsia"/>
                <w:b/>
                <w:color w:val="000000" w:themeColor="text1"/>
                <w:sz w:val="21"/>
                <w:szCs w:val="21"/>
              </w:rPr>
              <w:t>表</w:t>
            </w:r>
            <w:r>
              <w:rPr>
                <w:rFonts w:eastAsiaTheme="minorEastAsia"/>
                <w:b/>
                <w:color w:val="000000" w:themeColor="text1"/>
                <w:sz w:val="21"/>
                <w:szCs w:val="21"/>
              </w:rPr>
              <w:t>1-</w:t>
            </w:r>
            <w:r>
              <w:rPr>
                <w:rFonts w:hint="eastAsia" w:eastAsiaTheme="minorEastAsia"/>
                <w:b/>
                <w:color w:val="000000" w:themeColor="text1"/>
                <w:sz w:val="21"/>
                <w:szCs w:val="21"/>
              </w:rPr>
              <w:t>7</w:t>
            </w:r>
            <w:r>
              <w:rPr>
                <w:rFonts w:eastAsiaTheme="minorEastAsia"/>
                <w:b/>
                <w:color w:val="000000" w:themeColor="text1"/>
                <w:sz w:val="21"/>
                <w:szCs w:val="21"/>
              </w:rPr>
              <w:t xml:space="preserve"> </w:t>
            </w:r>
            <w:r>
              <w:rPr>
                <w:rFonts w:hAnsiTheme="minorEastAsia" w:eastAsiaTheme="minorEastAsia"/>
                <w:b/>
                <w:color w:val="000000" w:themeColor="text1"/>
                <w:sz w:val="21"/>
                <w:szCs w:val="21"/>
              </w:rPr>
              <w:t>与《长江经济带发展负面清单指南（试行）》符合性分析一览表</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9"/>
              <w:gridCol w:w="3497"/>
              <w:gridCol w:w="3405"/>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序号</w:t>
                  </w:r>
                </w:p>
              </w:tc>
              <w:tc>
                <w:tcPr>
                  <w:tcW w:w="3497" w:type="dxa"/>
                  <w:vAlign w:val="center"/>
                </w:tcPr>
                <w:p>
                  <w:pPr>
                    <w:pStyle w:val="24"/>
                    <w:spacing w:line="360" w:lineRule="exact"/>
                    <w:rPr>
                      <w:rFonts w:eastAsiaTheme="minorEastAsia"/>
                      <w:color w:val="000000" w:themeColor="text1"/>
                      <w:kern w:val="0"/>
                      <w:szCs w:val="21"/>
                    </w:rPr>
                  </w:pPr>
                  <w:r>
                    <w:rPr>
                      <w:rFonts w:hAnsiTheme="minorEastAsia" w:eastAsiaTheme="minorEastAsia"/>
                      <w:color w:val="000000" w:themeColor="text1"/>
                      <w:szCs w:val="21"/>
                    </w:rPr>
                    <w:t>长江经济带发展负面清单指南（试行）要求</w:t>
                  </w:r>
                </w:p>
              </w:tc>
              <w:tc>
                <w:tcPr>
                  <w:tcW w:w="3405" w:type="dxa"/>
                  <w:vAlign w:val="center"/>
                </w:tcPr>
                <w:p>
                  <w:pPr>
                    <w:pStyle w:val="24"/>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本项目实际情况</w:t>
                  </w:r>
                </w:p>
              </w:tc>
              <w:tc>
                <w:tcPr>
                  <w:tcW w:w="780" w:type="dxa"/>
                  <w:vAlign w:val="center"/>
                </w:tcPr>
                <w:p>
                  <w:pPr>
                    <w:pStyle w:val="24"/>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497"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405"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本项目对昆明合旺有色金属有限公司生产线产生的氧化锌尾渣进行综合利用，其主要工艺为通过物理磁选、重选的方式，回收有利用价值的铁和煤，不涉及码头及过江通道。</w:t>
                  </w:r>
                </w:p>
              </w:tc>
              <w:tc>
                <w:tcPr>
                  <w:tcW w:w="780" w:type="dxa"/>
                  <w:vAlign w:val="center"/>
                </w:tcPr>
                <w:p>
                  <w:pPr>
                    <w:pStyle w:val="24"/>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497"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405"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东川区再就业特区四方地工业园区昆明合旺有色金属有限公司厂区，不涉及自然保护区核心区、风景名胜区等特殊敏感区。</w:t>
                  </w:r>
                </w:p>
              </w:tc>
              <w:tc>
                <w:tcPr>
                  <w:tcW w:w="780" w:type="dxa"/>
                  <w:vAlign w:val="center"/>
                </w:tcPr>
                <w:p>
                  <w:pPr>
                    <w:pStyle w:val="24"/>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497"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405"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东川区再就业特区四方地工业园区昆明合旺有色金属有限公司厂区，</w:t>
                  </w:r>
                  <w:r>
                    <w:rPr>
                      <w:color w:val="000000" w:themeColor="text1"/>
                      <w:kern w:val="0"/>
                      <w:szCs w:val="21"/>
                    </w:rPr>
                    <w:t>不涉及到饮用水水源地</w:t>
                  </w:r>
                  <w:r>
                    <w:rPr>
                      <w:rFonts w:hint="eastAsia"/>
                      <w:color w:val="000000" w:themeColor="text1"/>
                      <w:kern w:val="0"/>
                      <w:szCs w:val="21"/>
                    </w:rPr>
                    <w:t>的一级保护区或二级保护区</w:t>
                  </w:r>
                  <w:r>
                    <w:rPr>
                      <w:color w:val="000000" w:themeColor="text1"/>
                      <w:kern w:val="0"/>
                      <w:szCs w:val="21"/>
                    </w:rPr>
                    <w:t>。</w:t>
                  </w:r>
                </w:p>
              </w:tc>
              <w:tc>
                <w:tcPr>
                  <w:tcW w:w="780" w:type="dxa"/>
                  <w:vAlign w:val="center"/>
                </w:tcPr>
                <w:p>
                  <w:pPr>
                    <w:pStyle w:val="24"/>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497"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405"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本项目对昆明合旺有色金属有限公司生产线产生的氧化锌尾渣进行综合利用，其主要工艺为通过物理磁选、重选的方式，回收有利用价值的铁和煤，符合主体功能定位，项目所在地的纳污水体为</w:t>
                  </w:r>
                  <w:r>
                    <w:rPr>
                      <w:rFonts w:hint="eastAsia"/>
                      <w:color w:val="000000" w:themeColor="text1"/>
                      <w:szCs w:val="24"/>
                    </w:rPr>
                    <w:t>小江（清水海-入金沙江口段）</w:t>
                  </w:r>
                  <w:r>
                    <w:rPr>
                      <w:rFonts w:hAnsiTheme="minorEastAsia" w:eastAsiaTheme="minorEastAsia"/>
                      <w:color w:val="000000" w:themeColor="text1"/>
                      <w:kern w:val="0"/>
                      <w:szCs w:val="21"/>
                    </w:rPr>
                    <w:t>，不属于水产种植资源保护区的岸线和河段范围。</w:t>
                  </w:r>
                </w:p>
              </w:tc>
              <w:tc>
                <w:tcPr>
                  <w:tcW w:w="780" w:type="dxa"/>
                  <w:vAlign w:val="center"/>
                </w:tcPr>
                <w:p>
                  <w:pPr>
                    <w:pStyle w:val="24"/>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497"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405"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本项目对昆明合旺有色金属有限公司生产线产生的氧化锌尾渣进行综合利用，其主要工艺为通过物理磁选、重选的方式，回收有利用价值的铁和煤，项目所在地的纳污水体为</w:t>
                  </w:r>
                  <w:r>
                    <w:rPr>
                      <w:rFonts w:hint="eastAsia"/>
                      <w:color w:val="000000" w:themeColor="text1"/>
                      <w:szCs w:val="24"/>
                    </w:rPr>
                    <w:t>小江（清水海-入金沙江口段）</w:t>
                  </w:r>
                  <w:r>
                    <w:rPr>
                      <w:rFonts w:hAnsiTheme="minorEastAsia" w:eastAsiaTheme="minorEastAsia"/>
                      <w:color w:val="000000" w:themeColor="text1"/>
                      <w:kern w:val="0"/>
                      <w:szCs w:val="21"/>
                    </w:rPr>
                    <w:t>，该河段不属于《长江岸线保护和开发利用总体规划》划定的岸线保护区，也不属于全国重要江河湖泊水功能区划》划定的河段保护区、保留区。</w:t>
                  </w:r>
                </w:p>
              </w:tc>
              <w:tc>
                <w:tcPr>
                  <w:tcW w:w="780" w:type="dxa"/>
                  <w:vAlign w:val="center"/>
                </w:tcPr>
                <w:p>
                  <w:pPr>
                    <w:pStyle w:val="24"/>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497"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405"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szCs w:val="21"/>
                    </w:rPr>
                    <w:t>选址位于</w:t>
                  </w:r>
                  <w:r>
                    <w:rPr>
                      <w:rFonts w:hAnsiTheme="minorEastAsia" w:eastAsiaTheme="minorEastAsia"/>
                      <w:color w:val="000000" w:themeColor="text1"/>
                      <w:kern w:val="0"/>
                      <w:szCs w:val="21"/>
                    </w:rPr>
                    <w:t>东川区再就业特区四方地工业园区昆明合旺有色金属有限公司厂区，</w:t>
                  </w:r>
                  <w:r>
                    <w:rPr>
                      <w:rFonts w:hint="eastAsia" w:eastAsiaTheme="minorEastAsia"/>
                      <w:color w:val="000000" w:themeColor="text1"/>
                      <w:szCs w:val="21"/>
                    </w:rPr>
                    <w:t>项目建设</w:t>
                  </w:r>
                  <w:r>
                    <w:rPr>
                      <w:rFonts w:hAnsiTheme="minorEastAsia" w:eastAsiaTheme="minorEastAsia"/>
                      <w:color w:val="000000" w:themeColor="text1"/>
                      <w:kern w:val="0"/>
                      <w:szCs w:val="21"/>
                    </w:rPr>
                    <w:t>不涉及生态保护红线和永久基本农田。</w:t>
                  </w:r>
                </w:p>
              </w:tc>
              <w:tc>
                <w:tcPr>
                  <w:tcW w:w="780" w:type="dxa"/>
                  <w:vAlign w:val="center"/>
                </w:tcPr>
                <w:p>
                  <w:pPr>
                    <w:pStyle w:val="24"/>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497"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禁止在长江干支流</w:t>
                  </w:r>
                  <w:r>
                    <w:rPr>
                      <w:rFonts w:eastAsiaTheme="minorEastAsia"/>
                      <w:color w:val="000000" w:themeColor="text1"/>
                      <w:kern w:val="0"/>
                      <w:szCs w:val="21"/>
                    </w:rPr>
                    <w:t>1</w:t>
                  </w:r>
                  <w:r>
                    <w:rPr>
                      <w:rFonts w:hAnsiTheme="minorEastAsia" w:eastAsiaTheme="minorEastAsia"/>
                      <w:color w:val="000000" w:themeColor="text1"/>
                      <w:kern w:val="0"/>
                      <w:szCs w:val="21"/>
                    </w:rPr>
                    <w:t>公里范围内新建、扩建化工园区和化工项目。禁止在合规园区外新建、扩建钢铁、石化、化工、焦化、建材、有色等高污染项目。</w:t>
                  </w:r>
                </w:p>
              </w:tc>
              <w:tc>
                <w:tcPr>
                  <w:tcW w:w="3405"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东川区再就业特区四方地工业园区昆明合旺有色金属有限公司厂区，根据周边关系可知，距离小江为</w:t>
                  </w:r>
                  <w:r>
                    <w:rPr>
                      <w:rFonts w:eastAsiaTheme="minorEastAsia"/>
                      <w:color w:val="000000" w:themeColor="text1"/>
                      <w:kern w:val="0"/>
                      <w:szCs w:val="21"/>
                    </w:rPr>
                    <w:t>1085m</w:t>
                  </w:r>
                  <w:r>
                    <w:rPr>
                      <w:rFonts w:hAnsiTheme="minorEastAsia" w:eastAsiaTheme="minorEastAsia"/>
                      <w:color w:val="000000" w:themeColor="text1"/>
                      <w:kern w:val="0"/>
                      <w:szCs w:val="21"/>
                    </w:rPr>
                    <w:t>，项目所在区域不属于禁建范围。</w:t>
                  </w:r>
                </w:p>
              </w:tc>
              <w:tc>
                <w:tcPr>
                  <w:tcW w:w="780" w:type="dxa"/>
                  <w:vAlign w:val="center"/>
                </w:tcPr>
                <w:p>
                  <w:pPr>
                    <w:pStyle w:val="24"/>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497"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禁止新建、扩建不符合国家石化、现代煤化工等产业布局规划的项目。</w:t>
                  </w:r>
                </w:p>
              </w:tc>
              <w:tc>
                <w:tcPr>
                  <w:tcW w:w="3405"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对昆明合旺有色金属有限公司生产线产生的氧化锌尾渣进行综合利用，其主要工艺为通过物理磁选、重选的方式，回收有利用价值的铁和煤，属于一般工业固废综合利用项目，不属于不符合国家石化、现代煤化工等产业布局规划的项目。</w:t>
                  </w:r>
                </w:p>
              </w:tc>
              <w:tc>
                <w:tcPr>
                  <w:tcW w:w="780" w:type="dxa"/>
                  <w:vAlign w:val="center"/>
                </w:tcPr>
                <w:p>
                  <w:pPr>
                    <w:pStyle w:val="24"/>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497"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禁止新建、扩建法律法规和相关政策明令禁止的落后产能项目。</w:t>
                  </w:r>
                </w:p>
              </w:tc>
              <w:tc>
                <w:tcPr>
                  <w:tcW w:w="3405"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本项目属于一般工业固废综合利用项目，属于《产业结构调整指导目录（</w:t>
                  </w:r>
                  <w:r>
                    <w:rPr>
                      <w:rFonts w:eastAsiaTheme="minorEastAsia"/>
                      <w:color w:val="000000" w:themeColor="text1"/>
                      <w:kern w:val="0"/>
                      <w:szCs w:val="21"/>
                    </w:rPr>
                    <w:t>2019</w:t>
                  </w:r>
                  <w:r>
                    <w:rPr>
                      <w:rFonts w:hAnsiTheme="minorEastAsia" w:eastAsiaTheme="minorEastAsia"/>
                      <w:color w:val="000000" w:themeColor="text1"/>
                      <w:kern w:val="0"/>
                      <w:szCs w:val="21"/>
                    </w:rPr>
                    <w:t>年本）》，中鼓励类项目；不属于法律法规和相关政策明令禁止的落后产能项目。</w:t>
                  </w:r>
                </w:p>
              </w:tc>
              <w:tc>
                <w:tcPr>
                  <w:tcW w:w="780" w:type="dxa"/>
                  <w:vAlign w:val="center"/>
                </w:tcPr>
                <w:p>
                  <w:pPr>
                    <w:pStyle w:val="24"/>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4"/>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497"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禁止新建、扩建不符合国家产能置换要求的严重过剩产能行业的项目。</w:t>
                  </w:r>
                </w:p>
              </w:tc>
              <w:tc>
                <w:tcPr>
                  <w:tcW w:w="3405" w:type="dxa"/>
                  <w:vAlign w:val="center"/>
                </w:tcPr>
                <w:p>
                  <w:pPr>
                    <w:pStyle w:val="24"/>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本项目属于一般工业固废综合利用项目，不属于国家产能置换要求的严重过剩产能行业的项目。</w:t>
                  </w:r>
                </w:p>
              </w:tc>
              <w:tc>
                <w:tcPr>
                  <w:tcW w:w="780" w:type="dxa"/>
                  <w:vAlign w:val="center"/>
                </w:tcPr>
                <w:p>
                  <w:pPr>
                    <w:pStyle w:val="24"/>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由上表可知，本项目的建设符合《长江经济带发展负面清单指南（试行）》的要求。</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15"/>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昆明合旺有色金属有限公司位于东川区四方地工业园区，</w:t>
            </w:r>
            <w:r>
              <w:rPr>
                <w:rFonts w:hint="eastAsia" w:ascii="Times New Roman" w:hAnsi="Times New Roman" w:cs="Times New Roman"/>
                <w:color w:val="000000" w:themeColor="text1"/>
                <w:sz w:val="24"/>
                <w:szCs w:val="24"/>
              </w:rPr>
              <w:t>目前厂区内已建成</w:t>
            </w:r>
            <w:r>
              <w:rPr>
                <w:rFonts w:ascii="Times New Roman" w:hAnsi="Times New Roman" w:cs="Times New Roman"/>
                <w:color w:val="000000" w:themeColor="text1"/>
                <w:sz w:val="24"/>
                <w:szCs w:val="24"/>
              </w:rPr>
              <w:t>一条年产6000吨次氧化锌生产线，将氧化锌矿、炼铅废渣（水淬渣）、铁厂烟灰、无烟煤</w:t>
            </w:r>
            <w:r>
              <w:rPr>
                <w:rFonts w:hint="eastAsia" w:ascii="Times New Roman" w:hAnsi="Times New Roman" w:cs="Times New Roman"/>
                <w:color w:val="000000" w:themeColor="text1"/>
                <w:sz w:val="24"/>
                <w:szCs w:val="24"/>
              </w:rPr>
              <w:t>等物料</w:t>
            </w:r>
            <w:r>
              <w:rPr>
                <w:rFonts w:ascii="Times New Roman" w:hAnsi="Times New Roman" w:cs="Times New Roman"/>
                <w:color w:val="000000" w:themeColor="text1"/>
                <w:sz w:val="24"/>
                <w:szCs w:val="24"/>
              </w:rPr>
              <w:t>作为原辅料通过挥发回转窑焙烧制得次氧化锌</w:t>
            </w:r>
            <w:r>
              <w:rPr>
                <w:rFonts w:hint="eastAsia" w:ascii="Times New Roman" w:hAnsi="Times New Roman" w:cs="Times New Roman"/>
                <w:color w:val="000000" w:themeColor="text1"/>
                <w:sz w:val="24"/>
                <w:szCs w:val="24"/>
              </w:rPr>
              <w:t>，该生产线产生的氧化锌尾渣约为7.7万t/a；现</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正筹备</w:t>
            </w:r>
            <w:r>
              <w:rPr>
                <w:rFonts w:ascii="Times New Roman" w:hAnsi="Times New Roman" w:cs="Times New Roman"/>
                <w:color w:val="000000" w:themeColor="text1"/>
                <w:sz w:val="24"/>
                <w:szCs w:val="24"/>
              </w:rPr>
              <w:t>次氧化锌生产线</w:t>
            </w:r>
            <w:r>
              <w:rPr>
                <w:rFonts w:hint="eastAsia" w:ascii="Times New Roman" w:hAnsi="Times New Roman" w:cs="Times New Roman"/>
                <w:color w:val="000000" w:themeColor="text1"/>
                <w:sz w:val="24"/>
                <w:szCs w:val="24"/>
              </w:rPr>
              <w:t>的扩建工作，待项目扩建生产线建成后，预计其氧化锌尾渣最大产生量合计可达到16.5万t/a，根据属性鉴别，该氧化锌尾渣属于第I类一般工业固体废物，目前该氧化锌尾渣主要用于会泽县强胜页岩砖厂作为生产原料。根据企业连续一年来对废渣成分的化验分析结果，氧化锌尾渣成分含有大量的铁元素、碳元素；因此建设单位拟建设</w:t>
            </w:r>
            <w:r>
              <w:rPr>
                <w:rFonts w:ascii="Times New Roman" w:hAnsi="Times New Roman" w:cs="Times New Roman"/>
                <w:color w:val="000000" w:themeColor="text1"/>
                <w:sz w:val="24"/>
                <w:szCs w:val="24"/>
              </w:rPr>
              <w:t>昆明合旺有色金属有限公司固体废物综合利用项目</w:t>
            </w:r>
            <w:r>
              <w:rPr>
                <w:rFonts w:hint="eastAsia" w:ascii="Times New Roman" w:hAnsi="Times New Roman" w:cs="Times New Roman"/>
                <w:color w:val="000000" w:themeColor="text1"/>
                <w:sz w:val="24"/>
                <w:szCs w:val="24"/>
              </w:rPr>
              <w:t>，对本企业及同类企业产生的同类型的氧化锌尾渣进行综合利用，通过物理磁选、重选的方式，回收有利用价值的铁和煤，本项目的建设不仅创造了经济价值，同时减少了氧化锌尾渣的处置量，从而降低了氧化锌尾渣对环境的影响。</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本项目通过物理磁选、重选的方式对厂区产生的氧化锌尾渣进行处理，回收有利用价值的铁和煤。其处理规模为16.5万t/a。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本项目占地3.32亩，新建生产车间1950m²，包括原料仓、研磨车间、磁选重选车间、过滤车间、烘干车间、回水池、成品库房等；配套建设环保等附属设施。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pStyle w:val="2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21"/>
              <w:gridCol w:w="1069"/>
              <w:gridCol w:w="501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pStyle w:val="24"/>
                    <w:spacing w:line="360" w:lineRule="exact"/>
                    <w:rPr>
                      <w:color w:val="000000" w:themeColor="text1"/>
                      <w:szCs w:val="21"/>
                    </w:rPr>
                  </w:pPr>
                  <w:r>
                    <w:rPr>
                      <w:color w:val="000000" w:themeColor="text1"/>
                      <w:szCs w:val="21"/>
                    </w:rPr>
                    <w:t>类别</w:t>
                  </w:r>
                </w:p>
              </w:tc>
              <w:tc>
                <w:tcPr>
                  <w:tcW w:w="1040" w:type="pct"/>
                  <w:gridSpan w:val="2"/>
                  <w:vAlign w:val="center"/>
                </w:tcPr>
                <w:p>
                  <w:pPr>
                    <w:pStyle w:val="24"/>
                    <w:spacing w:line="360" w:lineRule="exact"/>
                    <w:rPr>
                      <w:color w:val="000000" w:themeColor="text1"/>
                      <w:szCs w:val="21"/>
                    </w:rPr>
                  </w:pPr>
                  <w:r>
                    <w:rPr>
                      <w:color w:val="000000" w:themeColor="text1"/>
                      <w:szCs w:val="21"/>
                    </w:rPr>
                    <w:t>工程内容</w:t>
                  </w:r>
                </w:p>
              </w:tc>
              <w:tc>
                <w:tcPr>
                  <w:tcW w:w="2915" w:type="pct"/>
                  <w:vAlign w:val="center"/>
                </w:tcPr>
                <w:p>
                  <w:pPr>
                    <w:pStyle w:val="24"/>
                    <w:spacing w:line="360" w:lineRule="exact"/>
                    <w:rPr>
                      <w:color w:val="000000" w:themeColor="text1"/>
                      <w:szCs w:val="21"/>
                    </w:rPr>
                  </w:pPr>
                  <w:r>
                    <w:rPr>
                      <w:color w:val="000000" w:themeColor="text1"/>
                      <w:szCs w:val="21"/>
                    </w:rPr>
                    <w:t>建筑内容及规模</w:t>
                  </w:r>
                </w:p>
              </w:tc>
              <w:tc>
                <w:tcPr>
                  <w:tcW w:w="619" w:type="pct"/>
                  <w:vAlign w:val="center"/>
                </w:tcPr>
                <w:p>
                  <w:pPr>
                    <w:pStyle w:val="24"/>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restart"/>
                  <w:vAlign w:val="center"/>
                </w:tcPr>
                <w:p>
                  <w:pPr>
                    <w:pStyle w:val="24"/>
                    <w:spacing w:line="360" w:lineRule="exact"/>
                    <w:rPr>
                      <w:color w:val="000000" w:themeColor="text1"/>
                      <w:szCs w:val="21"/>
                    </w:rPr>
                  </w:pPr>
                  <w:r>
                    <w:rPr>
                      <w:color w:val="000000" w:themeColor="text1"/>
                      <w:szCs w:val="21"/>
                    </w:rPr>
                    <w:t>主体工程</w:t>
                  </w:r>
                </w:p>
              </w:tc>
              <w:tc>
                <w:tcPr>
                  <w:tcW w:w="419" w:type="pct"/>
                  <w:vMerge w:val="restart"/>
                  <w:vAlign w:val="center"/>
                </w:tcPr>
                <w:p>
                  <w:pPr>
                    <w:pStyle w:val="24"/>
                    <w:spacing w:line="360" w:lineRule="exact"/>
                    <w:rPr>
                      <w:color w:val="000000" w:themeColor="text1"/>
                      <w:szCs w:val="21"/>
                    </w:rPr>
                  </w:pPr>
                  <w:r>
                    <w:rPr>
                      <w:rFonts w:hint="eastAsia"/>
                      <w:color w:val="000000" w:themeColor="text1"/>
                      <w:szCs w:val="21"/>
                    </w:rPr>
                    <w:t>生产车间</w:t>
                  </w:r>
                </w:p>
              </w:tc>
              <w:tc>
                <w:tcPr>
                  <w:tcW w:w="621" w:type="pct"/>
                  <w:vAlign w:val="center"/>
                </w:tcPr>
                <w:p>
                  <w:pPr>
                    <w:pStyle w:val="24"/>
                    <w:spacing w:line="360" w:lineRule="exact"/>
                    <w:rPr>
                      <w:color w:val="000000" w:themeColor="text1"/>
                      <w:szCs w:val="21"/>
                    </w:rPr>
                  </w:pPr>
                  <w:r>
                    <w:rPr>
                      <w:rFonts w:hint="eastAsia"/>
                      <w:color w:val="000000" w:themeColor="text1"/>
                      <w:szCs w:val="21"/>
                    </w:rPr>
                    <w:t>预处理车间</w:t>
                  </w:r>
                </w:p>
              </w:tc>
              <w:tc>
                <w:tcPr>
                  <w:tcW w:w="2915" w:type="pct"/>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根据设计，项目拟设置300</w:t>
                  </w:r>
                  <w:r>
                    <w:rPr>
                      <w:color w:val="000000" w:themeColor="text1"/>
                      <w:szCs w:val="21"/>
                    </w:rPr>
                    <w:t>m²</w:t>
                  </w:r>
                  <w:r>
                    <w:rPr>
                      <w:rFonts w:hint="eastAsia"/>
                      <w:color w:val="000000" w:themeColor="text1"/>
                      <w:szCs w:val="21"/>
                    </w:rPr>
                    <w:t>的预处理车间，预处理车间主要包括：I段球磨工序和磁选工序。具体如下：</w:t>
                  </w:r>
                </w:p>
                <w:p>
                  <w:pPr>
                    <w:pStyle w:val="24"/>
                    <w:spacing w:line="360" w:lineRule="exact"/>
                    <w:ind w:firstLine="210" w:firstLineChars="100"/>
                    <w:jc w:val="both"/>
                    <w:rPr>
                      <w:color w:val="000000" w:themeColor="text1"/>
                      <w:szCs w:val="21"/>
                    </w:rPr>
                  </w:pPr>
                  <w:r>
                    <w:rPr>
                      <w:rFonts w:hint="eastAsia"/>
                      <w:color w:val="000000" w:themeColor="text1"/>
                      <w:szCs w:val="21"/>
                    </w:rPr>
                    <w:t>①I段球磨工序</w:t>
                  </w:r>
                </w:p>
                <w:p>
                  <w:pPr>
                    <w:pStyle w:val="24"/>
                    <w:spacing w:line="360" w:lineRule="exact"/>
                    <w:ind w:firstLine="210" w:firstLineChars="100"/>
                    <w:jc w:val="both"/>
                    <w:rPr>
                      <w:color w:val="000000" w:themeColor="text1"/>
                      <w:szCs w:val="21"/>
                    </w:rPr>
                  </w:pPr>
                  <w:r>
                    <w:rPr>
                      <w:rFonts w:hint="eastAsia"/>
                      <w:color w:val="000000" w:themeColor="text1"/>
                      <w:szCs w:val="21"/>
                    </w:rPr>
                    <w:t>根据设计，项目拟处理的氧化锌尾渣先进入原料仓暂存，暂存后在I段球磨工序设置了1台</w:t>
                  </w:r>
                  <w:r>
                    <w:rPr>
                      <w:color w:val="000000" w:themeColor="text1"/>
                      <w:szCs w:val="21"/>
                    </w:rPr>
                    <w:t>MQG1836</w:t>
                  </w:r>
                  <w:r>
                    <w:rPr>
                      <w:rFonts w:hint="eastAsia"/>
                      <w:color w:val="000000" w:themeColor="text1"/>
                      <w:szCs w:val="21"/>
                    </w:rPr>
                    <w:t>格子型对其进行球磨，球磨后是氧化锌尾渣的粒径小于200目，再进入磁选工序</w:t>
                  </w:r>
                </w:p>
                <w:p>
                  <w:pPr>
                    <w:pStyle w:val="24"/>
                    <w:spacing w:line="360" w:lineRule="exact"/>
                    <w:ind w:firstLine="210" w:firstLineChars="100"/>
                    <w:jc w:val="both"/>
                    <w:rPr>
                      <w:color w:val="000000" w:themeColor="text1"/>
                      <w:szCs w:val="21"/>
                    </w:rPr>
                  </w:pPr>
                  <w:r>
                    <w:rPr>
                      <w:rFonts w:hint="eastAsia"/>
                      <w:color w:val="000000" w:themeColor="text1"/>
                      <w:szCs w:val="21"/>
                    </w:rPr>
                    <w:t>②磁选工序</w:t>
                  </w:r>
                </w:p>
                <w:p>
                  <w:pPr>
                    <w:pStyle w:val="24"/>
                    <w:spacing w:line="360" w:lineRule="exact"/>
                    <w:ind w:firstLine="210" w:firstLineChars="100"/>
                    <w:jc w:val="both"/>
                    <w:rPr>
                      <w:color w:val="000000" w:themeColor="text1"/>
                      <w:szCs w:val="21"/>
                    </w:rPr>
                  </w:pPr>
                  <w:r>
                    <w:rPr>
                      <w:rFonts w:hint="eastAsia"/>
                      <w:color w:val="000000" w:themeColor="text1"/>
                      <w:szCs w:val="21"/>
                    </w:rPr>
                    <w:t>根据设计，项目磁选工序设置了1台型号为</w:t>
                  </w:r>
                  <w:r>
                    <w:rPr>
                      <w:color w:val="000000" w:themeColor="text1"/>
                      <w:szCs w:val="21"/>
                    </w:rPr>
                    <w:t>CTB1021</w:t>
                  </w:r>
                  <w:r>
                    <w:rPr>
                      <w:rFonts w:hint="eastAsia"/>
                      <w:color w:val="000000" w:themeColor="text1"/>
                      <w:szCs w:val="21"/>
                    </w:rPr>
                    <w:t>的磁选机，对I段球磨后的氧化锌尾渣进行磁选，磁选后将磁性物和非磁性物进行分离，分离后磁性物进入磁性物选别车间，非磁性物进入非磁性物选别车间。</w:t>
                  </w:r>
                </w:p>
              </w:tc>
              <w:tc>
                <w:tcPr>
                  <w:tcW w:w="619" w:type="pct"/>
                  <w:vAlign w:val="center"/>
                </w:tcPr>
                <w:p>
                  <w:pPr>
                    <w:pStyle w:val="24"/>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rFonts w:hint="eastAsia"/>
                      <w:color w:val="000000" w:themeColor="text1"/>
                      <w:szCs w:val="21"/>
                    </w:rPr>
                    <w:t>磁性物选别车间</w:t>
                  </w:r>
                </w:p>
              </w:tc>
              <w:tc>
                <w:tcPr>
                  <w:tcW w:w="2915" w:type="pct"/>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根据项目特点，经预处理车间磁选后的磁性物的主要成分包括单质铁、含铁氧化物及少量杂质。为进一步提高磁性物的价值，拟设置磁性物选别车间将磁性物中的价值最高的还原铁粉（单质铁）和次铁粉（含铁氧化物）等进行分离。磁性物选别车间建筑面积约为950</w:t>
                  </w:r>
                  <w:r>
                    <w:rPr>
                      <w:color w:val="000000" w:themeColor="text1"/>
                      <w:szCs w:val="21"/>
                    </w:rPr>
                    <w:t>m²</w:t>
                  </w:r>
                  <w:r>
                    <w:rPr>
                      <w:rFonts w:hint="eastAsia"/>
                      <w:color w:val="000000" w:themeColor="text1"/>
                      <w:szCs w:val="21"/>
                    </w:rPr>
                    <w:t>，包括：细筛工序、II段球磨工序、磁性物重选工序、还原铁粉生产工序、次铁粉生产工序</w:t>
                  </w:r>
                  <w:r>
                    <w:rPr>
                      <w:color w:val="000000" w:themeColor="text1"/>
                      <w:szCs w:val="21"/>
                    </w:rPr>
                    <w:t>。</w:t>
                  </w:r>
                  <w:r>
                    <w:rPr>
                      <w:rFonts w:hint="eastAsia"/>
                      <w:color w:val="000000" w:themeColor="text1"/>
                      <w:szCs w:val="21"/>
                    </w:rPr>
                    <w:t>具体如下：</w:t>
                  </w:r>
                </w:p>
                <w:p>
                  <w:pPr>
                    <w:pStyle w:val="24"/>
                    <w:spacing w:line="360" w:lineRule="exact"/>
                    <w:ind w:firstLine="210" w:firstLineChars="100"/>
                    <w:jc w:val="both"/>
                    <w:rPr>
                      <w:color w:val="000000" w:themeColor="text1"/>
                      <w:szCs w:val="21"/>
                    </w:rPr>
                  </w:pPr>
                  <w:r>
                    <w:rPr>
                      <w:rFonts w:hint="eastAsia"/>
                      <w:color w:val="000000" w:themeColor="text1"/>
                      <w:szCs w:val="21"/>
                    </w:rPr>
                    <w:t>①细筛工序</w:t>
                  </w:r>
                </w:p>
                <w:p>
                  <w:pPr>
                    <w:pStyle w:val="24"/>
                    <w:spacing w:line="360" w:lineRule="exact"/>
                    <w:ind w:firstLine="210" w:firstLineChars="100"/>
                    <w:jc w:val="both"/>
                    <w:rPr>
                      <w:color w:val="000000" w:themeColor="text1"/>
                      <w:szCs w:val="21"/>
                    </w:rPr>
                  </w:pPr>
                  <w:r>
                    <w:rPr>
                      <w:rFonts w:hint="eastAsia"/>
                      <w:color w:val="000000" w:themeColor="text1"/>
                      <w:szCs w:val="21"/>
                    </w:rPr>
                    <w:t>根据设计，项目细筛工序拟设置1台1021型高频细筛对预处理车间磁选工序选别得到的磁性物进行筛分，其中筛上物（粒度＞100目）进入II段球磨工序；筛下物（粒度≤100目）进入磁性物重选工序。</w:t>
                  </w:r>
                </w:p>
                <w:p>
                  <w:pPr>
                    <w:pStyle w:val="24"/>
                    <w:spacing w:line="360" w:lineRule="exact"/>
                    <w:ind w:firstLine="210" w:firstLineChars="100"/>
                    <w:jc w:val="both"/>
                    <w:rPr>
                      <w:color w:val="000000" w:themeColor="text1"/>
                      <w:szCs w:val="21"/>
                    </w:rPr>
                  </w:pPr>
                  <w:r>
                    <w:rPr>
                      <w:rFonts w:hint="eastAsia"/>
                      <w:color w:val="000000" w:themeColor="text1"/>
                      <w:szCs w:val="21"/>
                    </w:rPr>
                    <w:t>②II段球磨工序</w:t>
                  </w:r>
                </w:p>
                <w:p>
                  <w:pPr>
                    <w:pStyle w:val="24"/>
                    <w:spacing w:line="360" w:lineRule="exact"/>
                    <w:ind w:firstLine="210" w:firstLineChars="100"/>
                    <w:jc w:val="both"/>
                    <w:rPr>
                      <w:color w:val="000000" w:themeColor="text1"/>
                      <w:szCs w:val="21"/>
                    </w:rPr>
                  </w:pPr>
                  <w:r>
                    <w:rPr>
                      <w:rFonts w:hint="eastAsia"/>
                      <w:color w:val="000000" w:themeColor="text1"/>
                      <w:szCs w:val="21"/>
                    </w:rPr>
                    <w:t>根据设计，项目II段球磨工序拟设置一台</w:t>
                  </w:r>
                  <w:r>
                    <w:rPr>
                      <w:color w:val="000000" w:themeColor="text1"/>
                      <w:szCs w:val="21"/>
                    </w:rPr>
                    <w:t>MQY1245</w:t>
                  </w:r>
                  <w:r>
                    <w:rPr>
                      <w:rFonts w:hint="eastAsia"/>
                      <w:color w:val="000000" w:themeColor="text1"/>
                      <w:szCs w:val="21"/>
                    </w:rPr>
                    <w:t>溢流型球磨机对筛上物（粒度＞100目）进行II段球磨，球磨后的物质再进入细筛工序进行高频细筛。</w:t>
                  </w:r>
                </w:p>
                <w:p>
                  <w:pPr>
                    <w:pStyle w:val="24"/>
                    <w:spacing w:line="360" w:lineRule="exact"/>
                    <w:ind w:firstLine="210" w:firstLineChars="100"/>
                    <w:jc w:val="both"/>
                    <w:rPr>
                      <w:color w:val="000000" w:themeColor="text1"/>
                      <w:szCs w:val="21"/>
                    </w:rPr>
                  </w:pPr>
                  <w:r>
                    <w:rPr>
                      <w:rFonts w:hint="eastAsia"/>
                      <w:color w:val="000000" w:themeColor="text1"/>
                      <w:szCs w:val="21"/>
                    </w:rPr>
                    <w:t>③磁性物重选工序</w:t>
                  </w:r>
                </w:p>
                <w:p>
                  <w:pPr>
                    <w:pStyle w:val="24"/>
                    <w:spacing w:line="360" w:lineRule="exact"/>
                    <w:ind w:firstLine="210" w:firstLineChars="100"/>
                    <w:jc w:val="both"/>
                    <w:rPr>
                      <w:color w:val="000000" w:themeColor="text1"/>
                      <w:szCs w:val="21"/>
                    </w:rPr>
                  </w:pPr>
                  <w:r>
                    <w:rPr>
                      <w:rFonts w:hint="eastAsia"/>
                      <w:color w:val="000000" w:themeColor="text1"/>
                      <w:szCs w:val="21"/>
                    </w:rPr>
                    <w:t>根据设计，项目磁性物重选工序设置4套螺旋溜槽和4套云天摇床对粒度≤100目的磁性物进行重选，该工序利用铁单质的密度大于其他含铁氧化物的密度的特点，可有效将还原铁粉（单质铁）和次铁粉（含铁氧化物）进行分离。</w:t>
                  </w:r>
                </w:p>
                <w:p>
                  <w:pPr>
                    <w:pStyle w:val="24"/>
                    <w:spacing w:line="360" w:lineRule="exact"/>
                    <w:ind w:firstLine="210" w:firstLineChars="100"/>
                    <w:jc w:val="both"/>
                    <w:rPr>
                      <w:color w:val="000000" w:themeColor="text1"/>
                      <w:szCs w:val="21"/>
                    </w:rPr>
                  </w:pPr>
                  <w:r>
                    <w:rPr>
                      <w:rFonts w:hint="eastAsia"/>
                      <w:color w:val="000000" w:themeColor="text1"/>
                      <w:szCs w:val="21"/>
                    </w:rPr>
                    <w:t>④还原铁粉生产工序</w:t>
                  </w:r>
                </w:p>
                <w:p>
                  <w:pPr>
                    <w:pStyle w:val="24"/>
                    <w:spacing w:line="360" w:lineRule="exact"/>
                    <w:ind w:firstLine="210" w:firstLineChars="100"/>
                    <w:jc w:val="both"/>
                    <w:rPr>
                      <w:color w:val="000000" w:themeColor="text1"/>
                      <w:szCs w:val="21"/>
                    </w:rPr>
                  </w:pPr>
                  <w:r>
                    <w:rPr>
                      <w:rFonts w:hint="eastAsia"/>
                      <w:color w:val="000000" w:themeColor="text1"/>
                      <w:szCs w:val="21"/>
                    </w:rPr>
                    <w:t>根据设计，还原铁粉生产工序配套设置了1台</w:t>
                  </w:r>
                  <w:r>
                    <w:rPr>
                      <w:color w:val="000000" w:themeColor="text1"/>
                      <w:szCs w:val="21"/>
                    </w:rPr>
                    <w:t>GW-3</w:t>
                  </w:r>
                  <w:r>
                    <w:rPr>
                      <w:rFonts w:hint="eastAsia"/>
                      <w:color w:val="000000" w:themeColor="text1"/>
                      <w:szCs w:val="21"/>
                    </w:rPr>
                    <w:t>过滤机、1台Φ1200*21000烘干机和1套天然气燃烧机；经磁性物重选工序分离的还原铁粉（单质铁）进入还原铁粉生产工序，在该工序首先进入过滤机进行脱水，脱水后的还原铁粉（单质铁）进入烘干系统进行逆流烘干，烘干后即得到还原铁粉产品，经包装后入库外卖。</w:t>
                  </w:r>
                </w:p>
                <w:p>
                  <w:pPr>
                    <w:pStyle w:val="24"/>
                    <w:spacing w:line="360" w:lineRule="exact"/>
                    <w:ind w:firstLine="210" w:firstLineChars="100"/>
                    <w:jc w:val="both"/>
                    <w:rPr>
                      <w:color w:val="000000" w:themeColor="text1"/>
                      <w:szCs w:val="21"/>
                    </w:rPr>
                  </w:pPr>
                  <w:r>
                    <w:rPr>
                      <w:rFonts w:hint="eastAsia"/>
                      <w:color w:val="000000" w:themeColor="text1"/>
                      <w:szCs w:val="21"/>
                    </w:rPr>
                    <w:t>该工序产生的废气通过旋风除尘+布袋除尘处理后通过15m排气筒（DA001）外排。</w:t>
                  </w:r>
                </w:p>
                <w:p>
                  <w:pPr>
                    <w:pStyle w:val="24"/>
                    <w:spacing w:line="360" w:lineRule="exact"/>
                    <w:ind w:firstLine="210" w:firstLineChars="100"/>
                    <w:jc w:val="both"/>
                    <w:rPr>
                      <w:color w:val="000000" w:themeColor="text1"/>
                      <w:szCs w:val="21"/>
                    </w:rPr>
                  </w:pPr>
                  <w:r>
                    <w:rPr>
                      <w:rFonts w:hint="eastAsia"/>
                      <w:color w:val="000000" w:themeColor="text1"/>
                      <w:szCs w:val="21"/>
                    </w:rPr>
                    <w:t>⑤次铁粉生产工序</w:t>
                  </w:r>
                </w:p>
                <w:p>
                  <w:pPr>
                    <w:pStyle w:val="24"/>
                    <w:spacing w:line="360" w:lineRule="exact"/>
                    <w:ind w:firstLine="210" w:firstLineChars="100"/>
                    <w:jc w:val="both"/>
                    <w:rPr>
                      <w:color w:val="000000" w:themeColor="text1"/>
                      <w:szCs w:val="21"/>
                    </w:rPr>
                  </w:pPr>
                  <w:r>
                    <w:rPr>
                      <w:rFonts w:hint="eastAsia"/>
                      <w:color w:val="000000" w:themeColor="text1"/>
                      <w:szCs w:val="21"/>
                    </w:rPr>
                    <w:t>根据设计，由于磁性物重选工序分离的次铁粉（含铁氧化物）含有一定量的杂质，因此次铁粉生产工序拟设置1台</w:t>
                  </w:r>
                  <w:r>
                    <w:rPr>
                      <w:color w:val="000000" w:themeColor="text1"/>
                      <w:szCs w:val="21"/>
                    </w:rPr>
                    <w:t>CTB091</w:t>
                  </w:r>
                  <w:r>
                    <w:rPr>
                      <w:rFonts w:hint="eastAsia"/>
                      <w:color w:val="000000" w:themeColor="text1"/>
                      <w:szCs w:val="21"/>
                    </w:rPr>
                    <w:t>8弱磁机对次铁粉进行弱磁选，针对磁选后得到的次铁粉，设置1个FNX-10斜管浓密箱和2台50</w:t>
                  </w:r>
                  <w:r>
                    <w:rPr>
                      <w:color w:val="000000" w:themeColor="text1"/>
                      <w:szCs w:val="21"/>
                    </w:rPr>
                    <w:t>m²</w:t>
                  </w:r>
                  <w:r>
                    <w:rPr>
                      <w:rFonts w:hint="eastAsia"/>
                      <w:color w:val="000000" w:themeColor="text1"/>
                      <w:szCs w:val="21"/>
                    </w:rPr>
                    <w:t>的板框压滤机对次铁粉进行浓密压滤后得到次铁粉产品。</w:t>
                  </w:r>
                </w:p>
                <w:p>
                  <w:pPr>
                    <w:pStyle w:val="24"/>
                    <w:spacing w:line="360" w:lineRule="exact"/>
                    <w:ind w:firstLine="210" w:firstLineChars="100"/>
                    <w:jc w:val="both"/>
                    <w:rPr>
                      <w:color w:val="000000" w:themeColor="text1"/>
                      <w:szCs w:val="21"/>
                    </w:rPr>
                  </w:pPr>
                  <w:r>
                    <w:rPr>
                      <w:rFonts w:hint="eastAsia"/>
                      <w:color w:val="000000" w:themeColor="text1"/>
                      <w:szCs w:val="21"/>
                    </w:rPr>
                    <w:t>而磁选后的杂质进入非磁性物的重选工序。</w:t>
                  </w:r>
                </w:p>
              </w:tc>
              <w:tc>
                <w:tcPr>
                  <w:tcW w:w="619" w:type="pct"/>
                  <w:vAlign w:val="center"/>
                </w:tcPr>
                <w:p>
                  <w:pPr>
                    <w:pStyle w:val="24"/>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rFonts w:hint="eastAsia"/>
                      <w:color w:val="000000" w:themeColor="text1"/>
                      <w:szCs w:val="21"/>
                    </w:rPr>
                    <w:t>非磁性物选别车间</w:t>
                  </w:r>
                </w:p>
              </w:tc>
              <w:tc>
                <w:tcPr>
                  <w:tcW w:w="2915" w:type="pct"/>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根据项目特点，经预处理车间磁选后的非磁性物的主要成分包括煤和废渣。为进一步提高非磁性物的价值，拟设置非磁性物选别车间将非磁性物中的有价值的煤进行选别。非磁性物选别车间建筑面积约为700</w:t>
                  </w:r>
                  <w:r>
                    <w:rPr>
                      <w:color w:val="000000" w:themeColor="text1"/>
                      <w:szCs w:val="21"/>
                    </w:rPr>
                    <w:t>m²</w:t>
                  </w:r>
                  <w:r>
                    <w:rPr>
                      <w:rFonts w:hint="eastAsia"/>
                      <w:color w:val="000000" w:themeColor="text1"/>
                      <w:szCs w:val="21"/>
                    </w:rPr>
                    <w:t>，包括：非磁性物重选工序、煤粉生产工序、废渣脱水工序</w:t>
                  </w:r>
                  <w:r>
                    <w:rPr>
                      <w:color w:val="000000" w:themeColor="text1"/>
                      <w:szCs w:val="21"/>
                    </w:rPr>
                    <w:t>。</w:t>
                  </w:r>
                  <w:r>
                    <w:rPr>
                      <w:rFonts w:hint="eastAsia"/>
                      <w:color w:val="000000" w:themeColor="text1"/>
                      <w:szCs w:val="21"/>
                    </w:rPr>
                    <w:t>具体如下：</w:t>
                  </w:r>
                </w:p>
                <w:p>
                  <w:pPr>
                    <w:pStyle w:val="24"/>
                    <w:spacing w:line="360" w:lineRule="exact"/>
                    <w:ind w:firstLine="210" w:firstLineChars="100"/>
                    <w:jc w:val="both"/>
                    <w:rPr>
                      <w:color w:val="000000" w:themeColor="text1"/>
                      <w:szCs w:val="21"/>
                    </w:rPr>
                  </w:pPr>
                  <w:r>
                    <w:rPr>
                      <w:rFonts w:hint="eastAsia"/>
                      <w:color w:val="000000" w:themeColor="text1"/>
                      <w:szCs w:val="21"/>
                    </w:rPr>
                    <w:t>①非磁性物重选工序</w:t>
                  </w:r>
                </w:p>
                <w:p>
                  <w:pPr>
                    <w:pStyle w:val="24"/>
                    <w:spacing w:line="360" w:lineRule="exact"/>
                    <w:ind w:firstLine="210" w:firstLineChars="100"/>
                    <w:jc w:val="both"/>
                    <w:rPr>
                      <w:color w:val="000000" w:themeColor="text1"/>
                      <w:szCs w:val="21"/>
                    </w:rPr>
                  </w:pPr>
                  <w:r>
                    <w:rPr>
                      <w:rFonts w:hint="eastAsia"/>
                      <w:color w:val="000000" w:themeColor="text1"/>
                      <w:szCs w:val="21"/>
                    </w:rPr>
                    <w:t>根据设计，项目非磁性物重选工序设置3套选煤螺旋流槽，利用煤密度较小的特点对其进行重选，重选过程将较轻物质（煤）和较重物质（废渣）进行分离。</w:t>
                  </w:r>
                </w:p>
                <w:p>
                  <w:pPr>
                    <w:pStyle w:val="24"/>
                    <w:spacing w:line="360" w:lineRule="exact"/>
                    <w:ind w:firstLine="210" w:firstLineChars="100"/>
                    <w:jc w:val="both"/>
                    <w:rPr>
                      <w:color w:val="000000" w:themeColor="text1"/>
                      <w:szCs w:val="21"/>
                    </w:rPr>
                  </w:pPr>
                  <w:r>
                    <w:rPr>
                      <w:rFonts w:hint="eastAsia"/>
                      <w:color w:val="000000" w:themeColor="text1"/>
                      <w:szCs w:val="21"/>
                    </w:rPr>
                    <w:t>②煤粉生产工序</w:t>
                  </w:r>
                </w:p>
                <w:p>
                  <w:pPr>
                    <w:pStyle w:val="24"/>
                    <w:spacing w:line="360" w:lineRule="exact"/>
                    <w:ind w:firstLine="210" w:firstLineChars="100"/>
                    <w:jc w:val="both"/>
                    <w:rPr>
                      <w:color w:val="000000" w:themeColor="text1"/>
                      <w:szCs w:val="21"/>
                    </w:rPr>
                  </w:pPr>
                  <w:r>
                    <w:rPr>
                      <w:rFonts w:hint="eastAsia"/>
                      <w:color w:val="000000" w:themeColor="text1"/>
                      <w:szCs w:val="21"/>
                    </w:rPr>
                    <w:t>根据设计，项目煤粉生产工序配套设置了1台FNX-10斜管浓密箱和2台150</w:t>
                  </w:r>
                  <w:r>
                    <w:rPr>
                      <w:color w:val="000000" w:themeColor="text1"/>
                      <w:szCs w:val="21"/>
                    </w:rPr>
                    <w:t>m²</w:t>
                  </w:r>
                  <w:r>
                    <w:rPr>
                      <w:rFonts w:hint="eastAsia"/>
                      <w:color w:val="000000" w:themeColor="text1"/>
                      <w:szCs w:val="21"/>
                    </w:rPr>
                    <w:t>板框压滤机，对非磁性物重选工序重选过程将较轻物质（煤）进行重选后得到煤产品，运输至厂区燃煤堆场，供次氧化锌生产线使用。</w:t>
                  </w:r>
                </w:p>
                <w:p>
                  <w:pPr>
                    <w:pStyle w:val="24"/>
                    <w:spacing w:line="360" w:lineRule="exact"/>
                    <w:ind w:firstLine="210" w:firstLineChars="100"/>
                    <w:jc w:val="both"/>
                    <w:rPr>
                      <w:color w:val="000000" w:themeColor="text1"/>
                      <w:szCs w:val="21"/>
                    </w:rPr>
                  </w:pPr>
                  <w:r>
                    <w:rPr>
                      <w:rFonts w:hint="eastAsia"/>
                      <w:color w:val="000000" w:themeColor="text1"/>
                      <w:szCs w:val="21"/>
                    </w:rPr>
                    <w:t>③废渣脱水工序</w:t>
                  </w:r>
                </w:p>
                <w:p>
                  <w:pPr>
                    <w:pStyle w:val="24"/>
                    <w:spacing w:line="360" w:lineRule="exact"/>
                    <w:ind w:firstLine="210" w:firstLineChars="100"/>
                    <w:jc w:val="both"/>
                    <w:rPr>
                      <w:color w:val="000000" w:themeColor="text1"/>
                      <w:szCs w:val="21"/>
                    </w:rPr>
                  </w:pPr>
                  <w:r>
                    <w:rPr>
                      <w:rFonts w:hint="eastAsia"/>
                      <w:color w:val="000000" w:themeColor="text1"/>
                      <w:szCs w:val="21"/>
                    </w:rPr>
                    <w:t>根据设计，项目废渣脱水工序配套设置了2台FNX-10斜管浓密箱和1台GP-30-6盘式过滤机对废渣进行浓密、过滤后送至废渣暂存库暂存后，一部分用于会泽县强胜页岩砖厂作为制砖原料，剩余部分委托</w:t>
                  </w:r>
                  <w:r>
                    <w:rPr>
                      <w:color w:val="000000" w:themeColor="text1"/>
                      <w:szCs w:val="21"/>
                    </w:rPr>
                    <w:t>四方地工业园区弃渣场处置</w:t>
                  </w:r>
                  <w:r>
                    <w:rPr>
                      <w:rFonts w:hint="eastAsia"/>
                      <w:color w:val="000000" w:themeColor="text1"/>
                      <w:szCs w:val="21"/>
                    </w:rPr>
                    <w:t>。</w:t>
                  </w:r>
                </w:p>
              </w:tc>
              <w:tc>
                <w:tcPr>
                  <w:tcW w:w="619" w:type="pct"/>
                  <w:vAlign w:val="center"/>
                </w:tcPr>
                <w:p>
                  <w:pPr>
                    <w:pStyle w:val="24"/>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shd w:val="clear" w:color="auto" w:fill="auto"/>
                  <w:vAlign w:val="center"/>
                </w:tcPr>
                <w:p>
                  <w:pPr>
                    <w:pStyle w:val="24"/>
                    <w:spacing w:line="360" w:lineRule="exact"/>
                    <w:rPr>
                      <w:color w:val="000000" w:themeColor="text1"/>
                      <w:szCs w:val="21"/>
                    </w:rPr>
                  </w:pPr>
                  <w:r>
                    <w:rPr>
                      <w:color w:val="000000" w:themeColor="text1"/>
                      <w:szCs w:val="21"/>
                    </w:rPr>
                    <w:t>储运工程</w:t>
                  </w:r>
                </w:p>
              </w:tc>
              <w:tc>
                <w:tcPr>
                  <w:tcW w:w="1040" w:type="pct"/>
                  <w:gridSpan w:val="2"/>
                  <w:vAlign w:val="center"/>
                </w:tcPr>
                <w:p>
                  <w:pPr>
                    <w:pStyle w:val="24"/>
                    <w:spacing w:line="360" w:lineRule="exact"/>
                    <w:rPr>
                      <w:color w:val="000000" w:themeColor="text1"/>
                      <w:szCs w:val="21"/>
                    </w:rPr>
                  </w:pPr>
                  <w:r>
                    <w:rPr>
                      <w:rFonts w:hint="eastAsia"/>
                      <w:color w:val="000000" w:themeColor="text1"/>
                      <w:szCs w:val="21"/>
                    </w:rPr>
                    <w:t>原料仓</w:t>
                  </w:r>
                </w:p>
              </w:tc>
              <w:tc>
                <w:tcPr>
                  <w:tcW w:w="2915" w:type="pct"/>
                  <w:shd w:val="clear" w:color="auto" w:fill="auto"/>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根据设计，本项目设计的氧化锌尾渣处理量和现有生产线和技改后的生产线产生的氧化锌尾渣规模匹配一致，因此项目不单独设置原料堆场，仅设置1个原料仓，主体生产线产生的氧化锌尾渣直接运输至本项目原料仓暂存。</w:t>
                  </w:r>
                </w:p>
              </w:tc>
              <w:tc>
                <w:tcPr>
                  <w:tcW w:w="619" w:type="pct"/>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restart"/>
                  <w:shd w:val="clear" w:color="auto" w:fill="auto"/>
                  <w:vAlign w:val="center"/>
                </w:tcPr>
                <w:p>
                  <w:pPr>
                    <w:pStyle w:val="24"/>
                    <w:spacing w:line="360" w:lineRule="exact"/>
                    <w:rPr>
                      <w:color w:val="000000" w:themeColor="text1"/>
                      <w:szCs w:val="21"/>
                    </w:rPr>
                  </w:pPr>
                  <w:r>
                    <w:rPr>
                      <w:rFonts w:hint="eastAsia"/>
                      <w:color w:val="000000" w:themeColor="text1"/>
                      <w:szCs w:val="21"/>
                    </w:rPr>
                    <w:t>依托工程</w:t>
                  </w:r>
                </w:p>
              </w:tc>
              <w:tc>
                <w:tcPr>
                  <w:tcW w:w="1040" w:type="pct"/>
                  <w:gridSpan w:val="2"/>
                  <w:vAlign w:val="center"/>
                </w:tcPr>
                <w:p>
                  <w:pPr>
                    <w:pStyle w:val="24"/>
                    <w:spacing w:line="360" w:lineRule="exact"/>
                    <w:rPr>
                      <w:color w:val="000000" w:themeColor="text1"/>
                      <w:szCs w:val="21"/>
                    </w:rPr>
                  </w:pPr>
                  <w:r>
                    <w:rPr>
                      <w:color w:val="000000" w:themeColor="text1"/>
                      <w:szCs w:val="21"/>
                    </w:rPr>
                    <w:t>成品车间</w:t>
                  </w:r>
                </w:p>
              </w:tc>
              <w:tc>
                <w:tcPr>
                  <w:tcW w:w="2915" w:type="pct"/>
                  <w:shd w:val="clear" w:color="auto" w:fill="auto"/>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根据设计，由于厂区内原已在进场大门处配套设置了</w:t>
                  </w:r>
                  <w:r>
                    <w:rPr>
                      <w:color w:val="000000" w:themeColor="text1"/>
                      <w:szCs w:val="21"/>
                    </w:rPr>
                    <w:t>成品</w:t>
                  </w:r>
                  <w:r>
                    <w:rPr>
                      <w:rFonts w:hint="eastAsia"/>
                      <w:color w:val="000000" w:themeColor="text1"/>
                      <w:szCs w:val="21"/>
                    </w:rPr>
                    <w:t>车间，产品车间规模较大，因此本项目不在新建</w:t>
                  </w:r>
                  <w:r>
                    <w:rPr>
                      <w:color w:val="000000" w:themeColor="text1"/>
                      <w:szCs w:val="21"/>
                    </w:rPr>
                    <w:t>成品</w:t>
                  </w:r>
                  <w:r>
                    <w:rPr>
                      <w:rFonts w:hint="eastAsia"/>
                      <w:color w:val="000000" w:themeColor="text1"/>
                      <w:szCs w:val="21"/>
                    </w:rPr>
                    <w:t>车间，项目的产品还原铁粉和次铁粉依托现有成品车间进行堆存外卖，而煤直接进入燃煤堆场用于生产线使用。</w:t>
                  </w:r>
                </w:p>
              </w:tc>
              <w:tc>
                <w:tcPr>
                  <w:tcW w:w="619" w:type="pct"/>
                  <w:vAlign w:val="center"/>
                </w:tcPr>
                <w:p>
                  <w:pPr>
                    <w:pStyle w:val="24"/>
                    <w:spacing w:line="360" w:lineRule="exact"/>
                    <w:rPr>
                      <w:color w:val="000000" w:themeColor="text1"/>
                      <w:szCs w:val="21"/>
                    </w:rPr>
                  </w:pPr>
                  <w:r>
                    <w:rPr>
                      <w:rFonts w:hint="eastAsia"/>
                      <w:color w:val="000000" w:themeColor="text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shd w:val="clear" w:color="auto" w:fill="auto"/>
                  <w:vAlign w:val="center"/>
                </w:tcPr>
                <w:p>
                  <w:pPr>
                    <w:pStyle w:val="24"/>
                    <w:spacing w:line="360" w:lineRule="exact"/>
                    <w:rPr>
                      <w:color w:val="000000" w:themeColor="text1"/>
                      <w:szCs w:val="21"/>
                    </w:rPr>
                  </w:pPr>
                </w:p>
              </w:tc>
              <w:tc>
                <w:tcPr>
                  <w:tcW w:w="1040" w:type="pct"/>
                  <w:gridSpan w:val="2"/>
                  <w:vAlign w:val="center"/>
                </w:tcPr>
                <w:p>
                  <w:pPr>
                    <w:pStyle w:val="24"/>
                    <w:spacing w:line="360" w:lineRule="exact"/>
                    <w:rPr>
                      <w:color w:val="000000" w:themeColor="text1"/>
                      <w:szCs w:val="21"/>
                    </w:rPr>
                  </w:pPr>
                  <w:r>
                    <w:rPr>
                      <w:rFonts w:hint="eastAsia"/>
                      <w:color w:val="000000" w:themeColor="text1"/>
                      <w:szCs w:val="21"/>
                    </w:rPr>
                    <w:t>办公生活区</w:t>
                  </w:r>
                </w:p>
              </w:tc>
              <w:tc>
                <w:tcPr>
                  <w:tcW w:w="2915" w:type="pct"/>
                  <w:shd w:val="clear" w:color="auto" w:fill="auto"/>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根据调查，项目厂区西侧已配套设置了办公生活区域，本项目员工依托使用，可满足需求。</w:t>
                  </w:r>
                </w:p>
              </w:tc>
              <w:tc>
                <w:tcPr>
                  <w:tcW w:w="619" w:type="pct"/>
                  <w:vAlign w:val="center"/>
                </w:tcPr>
                <w:p>
                  <w:pPr>
                    <w:pStyle w:val="24"/>
                    <w:spacing w:line="360" w:lineRule="exact"/>
                    <w:rPr>
                      <w:color w:val="000000" w:themeColor="text1"/>
                      <w:szCs w:val="21"/>
                    </w:rPr>
                  </w:pPr>
                  <w:r>
                    <w:rPr>
                      <w:rFonts w:hint="eastAsia"/>
                      <w:color w:val="000000" w:themeColor="text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restart"/>
                  <w:vAlign w:val="center"/>
                </w:tcPr>
                <w:p>
                  <w:pPr>
                    <w:pStyle w:val="24"/>
                    <w:spacing w:line="360" w:lineRule="exact"/>
                    <w:rPr>
                      <w:color w:val="000000" w:themeColor="text1"/>
                      <w:szCs w:val="21"/>
                    </w:rPr>
                  </w:pPr>
                  <w:r>
                    <w:rPr>
                      <w:color w:val="000000" w:themeColor="text1"/>
                      <w:szCs w:val="21"/>
                    </w:rPr>
                    <w:t>公用工程</w:t>
                  </w:r>
                </w:p>
              </w:tc>
              <w:tc>
                <w:tcPr>
                  <w:tcW w:w="1040" w:type="pct"/>
                  <w:gridSpan w:val="2"/>
                  <w:vAlign w:val="center"/>
                </w:tcPr>
                <w:p>
                  <w:pPr>
                    <w:pStyle w:val="24"/>
                    <w:spacing w:line="360" w:lineRule="exact"/>
                    <w:rPr>
                      <w:color w:val="000000" w:themeColor="text1"/>
                      <w:szCs w:val="21"/>
                    </w:rPr>
                  </w:pPr>
                  <w:r>
                    <w:rPr>
                      <w:color w:val="000000" w:themeColor="text1"/>
                      <w:szCs w:val="21"/>
                    </w:rPr>
                    <w:t>供电</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供电由园区统一供给。</w:t>
                  </w:r>
                </w:p>
              </w:tc>
              <w:tc>
                <w:tcPr>
                  <w:tcW w:w="619" w:type="pct"/>
                  <w:vAlign w:val="center"/>
                </w:tcPr>
                <w:p>
                  <w:pPr>
                    <w:pStyle w:val="24"/>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rPr>
                  </w:pPr>
                </w:p>
              </w:tc>
              <w:tc>
                <w:tcPr>
                  <w:tcW w:w="1040" w:type="pct"/>
                  <w:gridSpan w:val="2"/>
                  <w:vAlign w:val="center"/>
                </w:tcPr>
                <w:p>
                  <w:pPr>
                    <w:pStyle w:val="24"/>
                    <w:spacing w:line="360" w:lineRule="exact"/>
                    <w:rPr>
                      <w:color w:val="000000" w:themeColor="text1"/>
                      <w:szCs w:val="21"/>
                    </w:rPr>
                  </w:pPr>
                  <w:r>
                    <w:rPr>
                      <w:color w:val="000000" w:themeColor="text1"/>
                      <w:szCs w:val="21"/>
                    </w:rPr>
                    <w:t>给水</w:t>
                  </w:r>
                </w:p>
              </w:tc>
              <w:tc>
                <w:tcPr>
                  <w:tcW w:w="2915" w:type="pct"/>
                  <w:vAlign w:val="center"/>
                </w:tcPr>
                <w:p>
                  <w:pPr>
                    <w:pStyle w:val="24"/>
                    <w:spacing w:line="360" w:lineRule="exact"/>
                    <w:ind w:firstLine="105" w:firstLineChars="50"/>
                    <w:jc w:val="both"/>
                    <w:rPr>
                      <w:color w:val="000000" w:themeColor="text1"/>
                      <w:szCs w:val="21"/>
                    </w:rPr>
                  </w:pPr>
                  <w:r>
                    <w:rPr>
                      <w:color w:val="000000" w:themeColor="text1"/>
                      <w:szCs w:val="21"/>
                    </w:rPr>
                    <w:t>（1）生产用水</w:t>
                  </w:r>
                </w:p>
                <w:p>
                  <w:pPr>
                    <w:pStyle w:val="24"/>
                    <w:spacing w:line="360" w:lineRule="exact"/>
                    <w:ind w:firstLine="210" w:firstLineChars="100"/>
                    <w:jc w:val="both"/>
                    <w:rPr>
                      <w:color w:val="000000" w:themeColor="text1"/>
                      <w:szCs w:val="21"/>
                    </w:rPr>
                  </w:pPr>
                  <w:r>
                    <w:rPr>
                      <w:rFonts w:hint="eastAsia"/>
                      <w:color w:val="000000" w:themeColor="text1"/>
                      <w:szCs w:val="21"/>
                    </w:rPr>
                    <w:t>项目生产用水定额为2.8</w:t>
                  </w:r>
                  <w:r>
                    <w:rPr>
                      <w:color w:val="000000" w:themeColor="text1"/>
                      <w:szCs w:val="21"/>
                    </w:rPr>
                    <w:t>m³/（t</w:t>
                  </w:r>
                  <w:r>
                    <w:rPr>
                      <w:rFonts w:hint="eastAsia"/>
                      <w:color w:val="000000" w:themeColor="text1"/>
                      <w:szCs w:val="21"/>
                    </w:rPr>
                    <w:t>·氧化锌尾渣</w:t>
                  </w:r>
                  <w:r>
                    <w:rPr>
                      <w:color w:val="000000" w:themeColor="text1"/>
                      <w:szCs w:val="21"/>
                    </w:rPr>
                    <w:t>）</w:t>
                  </w:r>
                  <w:r>
                    <w:rPr>
                      <w:rFonts w:hint="eastAsia"/>
                      <w:color w:val="000000" w:themeColor="text1"/>
                      <w:szCs w:val="21"/>
                    </w:rPr>
                    <w:t>，日处理氧化锌尾渣500t，则用水量为1400</w:t>
                  </w:r>
                  <w:r>
                    <w:rPr>
                      <w:color w:val="000000" w:themeColor="text1"/>
                      <w:szCs w:val="21"/>
                    </w:rPr>
                    <w:t>m³/</w:t>
                  </w:r>
                  <w:r>
                    <w:rPr>
                      <w:rFonts w:hint="eastAsia"/>
                      <w:color w:val="000000" w:themeColor="text1"/>
                      <w:szCs w:val="21"/>
                    </w:rPr>
                    <w:t>d，系统废水不外排，系统损失水、物料带走水分，定期补充，使用自来水。</w:t>
                  </w:r>
                </w:p>
                <w:p>
                  <w:pPr>
                    <w:pStyle w:val="24"/>
                    <w:spacing w:line="360" w:lineRule="exact"/>
                    <w:ind w:firstLine="105" w:firstLineChars="50"/>
                    <w:jc w:val="both"/>
                    <w:rPr>
                      <w:color w:val="000000" w:themeColor="text1"/>
                      <w:szCs w:val="21"/>
                    </w:rPr>
                  </w:pPr>
                  <w:r>
                    <w:rPr>
                      <w:color w:val="000000" w:themeColor="text1"/>
                      <w:szCs w:val="21"/>
                    </w:rPr>
                    <w:t>（2）生活用水</w:t>
                  </w:r>
                </w:p>
                <w:p>
                  <w:pPr>
                    <w:pStyle w:val="24"/>
                    <w:spacing w:line="360" w:lineRule="exact"/>
                    <w:ind w:firstLine="210" w:firstLineChars="100"/>
                    <w:jc w:val="both"/>
                    <w:rPr>
                      <w:color w:val="000000" w:themeColor="text1"/>
                      <w:szCs w:val="21"/>
                    </w:rPr>
                  </w:pPr>
                  <w:r>
                    <w:rPr>
                      <w:color w:val="000000" w:themeColor="text1"/>
                      <w:szCs w:val="21"/>
                    </w:rPr>
                    <w:t>生活用水使用自来水。</w:t>
                  </w:r>
                </w:p>
              </w:tc>
              <w:tc>
                <w:tcPr>
                  <w:tcW w:w="619" w:type="pct"/>
                  <w:vAlign w:val="center"/>
                </w:tcPr>
                <w:p>
                  <w:pPr>
                    <w:pStyle w:val="24"/>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rPr>
                  </w:pPr>
                </w:p>
              </w:tc>
              <w:tc>
                <w:tcPr>
                  <w:tcW w:w="1040" w:type="pct"/>
                  <w:gridSpan w:val="2"/>
                  <w:vAlign w:val="center"/>
                </w:tcPr>
                <w:p>
                  <w:pPr>
                    <w:pStyle w:val="24"/>
                    <w:spacing w:line="360" w:lineRule="exact"/>
                    <w:rPr>
                      <w:color w:val="000000" w:themeColor="text1"/>
                      <w:szCs w:val="21"/>
                    </w:rPr>
                  </w:pPr>
                  <w:r>
                    <w:rPr>
                      <w:color w:val="000000" w:themeColor="text1"/>
                      <w:szCs w:val="21"/>
                    </w:rPr>
                    <w:t>排水</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根据项目特点，本项目</w:t>
                  </w:r>
                  <w:r>
                    <w:rPr>
                      <w:rFonts w:hint="eastAsia"/>
                      <w:color w:val="000000" w:themeColor="text1"/>
                      <w:szCs w:val="21"/>
                    </w:rPr>
                    <w:t>废水包括</w:t>
                  </w:r>
                  <w:r>
                    <w:rPr>
                      <w:color w:val="000000" w:themeColor="text1"/>
                      <w:szCs w:val="21"/>
                    </w:rPr>
                    <w:t>生产废水、生活污水和</w:t>
                  </w:r>
                  <w:r>
                    <w:rPr>
                      <w:rFonts w:hint="eastAsia"/>
                      <w:color w:val="000000" w:themeColor="text1"/>
                      <w:szCs w:val="21"/>
                    </w:rPr>
                    <w:t>初期雨水。</w:t>
                  </w:r>
                </w:p>
                <w:p>
                  <w:pPr>
                    <w:pStyle w:val="24"/>
                    <w:spacing w:line="360" w:lineRule="exact"/>
                    <w:ind w:firstLine="210" w:firstLineChars="100"/>
                    <w:jc w:val="both"/>
                    <w:rPr>
                      <w:color w:val="000000" w:themeColor="text1"/>
                      <w:szCs w:val="21"/>
                    </w:rPr>
                  </w:pPr>
                  <w:r>
                    <w:rPr>
                      <w:rFonts w:hint="eastAsia"/>
                      <w:color w:val="000000" w:themeColor="text1"/>
                      <w:szCs w:val="21"/>
                    </w:rPr>
                    <w:t>（1）生产废水：项目生产废水为项目选别系统产生的选别废水，由于本项目选别系统为物理磁选、重选法，不添加任何药剂，因此生产废水拟通过八级沉淀池沉淀后，全部循环使用，不外排。</w:t>
                  </w:r>
                </w:p>
                <w:p>
                  <w:pPr>
                    <w:pStyle w:val="24"/>
                    <w:spacing w:line="360" w:lineRule="exact"/>
                    <w:ind w:firstLine="210" w:firstLineChars="100"/>
                    <w:jc w:val="both"/>
                    <w:rPr>
                      <w:color w:val="000000" w:themeColor="text1"/>
                      <w:szCs w:val="21"/>
                    </w:rPr>
                  </w:pPr>
                  <w:r>
                    <w:rPr>
                      <w:color w:val="000000" w:themeColor="text1"/>
                      <w:szCs w:val="21"/>
                    </w:rPr>
                    <w:t>（</w:t>
                  </w:r>
                  <w:r>
                    <w:rPr>
                      <w:rFonts w:hint="eastAsia"/>
                      <w:color w:val="000000" w:themeColor="text1"/>
                      <w:szCs w:val="21"/>
                    </w:rPr>
                    <w:t>2</w:t>
                  </w:r>
                  <w:r>
                    <w:rPr>
                      <w:color w:val="000000" w:themeColor="text1"/>
                      <w:szCs w:val="21"/>
                    </w:rPr>
                    <w:t>）</w:t>
                  </w:r>
                  <w:r>
                    <w:rPr>
                      <w:rFonts w:hint="eastAsia"/>
                      <w:color w:val="000000" w:themeColor="text1"/>
                      <w:szCs w:val="21"/>
                    </w:rPr>
                    <w:t>生活污水：根据调查，目前项目已在设置</w:t>
                  </w:r>
                  <w:r>
                    <w:rPr>
                      <w:color w:val="000000" w:themeColor="text1"/>
                      <w:szCs w:val="21"/>
                    </w:rPr>
                    <w:t>了1个有效容积为20m³的化粪池</w:t>
                  </w:r>
                  <w:r>
                    <w:rPr>
                      <w:rFonts w:hint="eastAsia"/>
                      <w:color w:val="000000" w:themeColor="text1"/>
                      <w:szCs w:val="21"/>
                    </w:rPr>
                    <w:t>，但生活区无隔油池；环评提出，</w:t>
                  </w:r>
                  <w:r>
                    <w:rPr>
                      <w:color w:val="000000" w:themeColor="text1"/>
                      <w:szCs w:val="21"/>
                    </w:rPr>
                    <w:t>针对项目厨房生活污水，拟配套设置1个1m³的隔油池对其进行预处理。项目生活污水经隔油池、化粪池处理后可达到《污水排入城镇下水道水质标准》（GB/T31962-2015）B等级标准后，通过园区污水管网进入四方地与碧谷园区污水处理厂处理。</w:t>
                  </w:r>
                </w:p>
                <w:p>
                  <w:pPr>
                    <w:pStyle w:val="24"/>
                    <w:spacing w:line="360" w:lineRule="exact"/>
                    <w:ind w:firstLine="210" w:firstLineChars="100"/>
                    <w:jc w:val="both"/>
                    <w:rPr>
                      <w:color w:val="000000" w:themeColor="text1"/>
                      <w:szCs w:val="21"/>
                    </w:rPr>
                  </w:pPr>
                  <w:r>
                    <w:rPr>
                      <w:rFonts w:hint="eastAsia"/>
                      <w:color w:val="000000" w:themeColor="text1"/>
                      <w:szCs w:val="21"/>
                    </w:rPr>
                    <w:t>（3）初期雨水：根据调查，本项目在现有厂区内建设，项目的建设不会改变现有厂区初期雨水的产生量；现有厂区的初期雨水产生量约为8</w:t>
                  </w:r>
                  <w:r>
                    <w:rPr>
                      <w:color w:val="000000" w:themeColor="text1"/>
                      <w:szCs w:val="21"/>
                    </w:rPr>
                    <w:t>0m³/次，</w:t>
                  </w:r>
                  <w:r>
                    <w:rPr>
                      <w:rFonts w:hint="eastAsia"/>
                      <w:color w:val="000000" w:themeColor="text1"/>
                      <w:szCs w:val="21"/>
                    </w:rPr>
                    <w:t>已在本项目区旁配套设置了1个</w:t>
                  </w:r>
                  <w:r>
                    <w:rPr>
                      <w:color w:val="000000" w:themeColor="text1"/>
                      <w:szCs w:val="21"/>
                    </w:rPr>
                    <w:t>150m³的初期雨水收集池，对厂区的初期雨水进行收集；收集后</w:t>
                  </w:r>
                  <w:r>
                    <w:rPr>
                      <w:rFonts w:hint="eastAsia"/>
                      <w:color w:val="000000" w:themeColor="text1"/>
                      <w:szCs w:val="21"/>
                    </w:rPr>
                    <w:t>对氧化锌尾渣</w:t>
                  </w:r>
                  <w:r>
                    <w:rPr>
                      <w:color w:val="000000" w:themeColor="text1"/>
                      <w:szCs w:val="21"/>
                    </w:rPr>
                    <w:t>场洒水抑尘，</w:t>
                  </w:r>
                  <w:r>
                    <w:rPr>
                      <w:rFonts w:hint="eastAsia"/>
                      <w:color w:val="000000" w:themeColor="text1"/>
                      <w:szCs w:val="21"/>
                    </w:rPr>
                    <w:t>但该氧化锌尾渣场改建为本项目后，可用于本项目生产用水，</w:t>
                  </w:r>
                  <w:r>
                    <w:rPr>
                      <w:color w:val="000000" w:themeColor="text1"/>
                      <w:szCs w:val="21"/>
                    </w:rPr>
                    <w:t>不外排</w:t>
                  </w:r>
                  <w:r>
                    <w:rPr>
                      <w:rFonts w:hint="eastAsia"/>
                      <w:color w:val="000000" w:themeColor="text1"/>
                      <w:szCs w:val="21"/>
                    </w:rPr>
                    <w:t>。</w:t>
                  </w:r>
                </w:p>
              </w:tc>
              <w:tc>
                <w:tcPr>
                  <w:tcW w:w="619" w:type="pct"/>
                  <w:vAlign w:val="center"/>
                </w:tcPr>
                <w:p>
                  <w:pPr>
                    <w:pStyle w:val="24"/>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restart"/>
                  <w:vAlign w:val="center"/>
                </w:tcPr>
                <w:p>
                  <w:pPr>
                    <w:pStyle w:val="24"/>
                    <w:spacing w:line="360" w:lineRule="exact"/>
                    <w:rPr>
                      <w:color w:val="000000" w:themeColor="text1"/>
                      <w:szCs w:val="21"/>
                    </w:rPr>
                  </w:pPr>
                  <w:r>
                    <w:rPr>
                      <w:color w:val="000000" w:themeColor="text1"/>
                      <w:szCs w:val="21"/>
                    </w:rPr>
                    <w:t>环保工程</w:t>
                  </w:r>
                </w:p>
              </w:tc>
              <w:tc>
                <w:tcPr>
                  <w:tcW w:w="419" w:type="pct"/>
                  <w:vMerge w:val="restart"/>
                  <w:vAlign w:val="center"/>
                </w:tcPr>
                <w:p>
                  <w:pPr>
                    <w:pStyle w:val="24"/>
                    <w:spacing w:line="360" w:lineRule="exact"/>
                    <w:rPr>
                      <w:color w:val="000000" w:themeColor="text1"/>
                      <w:szCs w:val="21"/>
                    </w:rPr>
                  </w:pPr>
                  <w:r>
                    <w:rPr>
                      <w:color w:val="000000" w:themeColor="text1"/>
                      <w:szCs w:val="21"/>
                    </w:rPr>
                    <w:t>废气</w:t>
                  </w:r>
                </w:p>
              </w:tc>
              <w:tc>
                <w:tcPr>
                  <w:tcW w:w="621" w:type="pct"/>
                  <w:vAlign w:val="center"/>
                </w:tcPr>
                <w:p>
                  <w:pPr>
                    <w:pStyle w:val="24"/>
                    <w:spacing w:line="360" w:lineRule="exact"/>
                    <w:rPr>
                      <w:color w:val="000000" w:themeColor="text1"/>
                      <w:szCs w:val="21"/>
                    </w:rPr>
                  </w:pPr>
                  <w:r>
                    <w:rPr>
                      <w:color w:val="000000" w:themeColor="text1"/>
                      <w:szCs w:val="21"/>
                    </w:rPr>
                    <w:t>旋风除尘器</w:t>
                  </w:r>
                </w:p>
              </w:tc>
              <w:tc>
                <w:tcPr>
                  <w:tcW w:w="2915" w:type="pct"/>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本项目烘干线废气包括燃烧机燃气产生的烟尘、SO</w:t>
                  </w:r>
                  <w:r>
                    <w:rPr>
                      <w:rFonts w:hint="eastAsia"/>
                      <w:color w:val="000000" w:themeColor="text1"/>
                      <w:szCs w:val="21"/>
                      <w:vertAlign w:val="subscript"/>
                    </w:rPr>
                    <w:t>2</w:t>
                  </w:r>
                  <w:r>
                    <w:rPr>
                      <w:rFonts w:hint="eastAsia"/>
                      <w:color w:val="000000" w:themeColor="text1"/>
                      <w:szCs w:val="21"/>
                    </w:rPr>
                    <w:t>、NOx以及烘干粉尘，针对烘干工序产生的废气，</w:t>
                  </w:r>
                  <w:r>
                    <w:rPr>
                      <w:color w:val="000000" w:themeColor="text1"/>
                      <w:szCs w:val="21"/>
                    </w:rPr>
                    <w:t>先通过旋风除尘器对其进行除尘和降温，除尘效率约为70%。</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color w:val="000000" w:themeColor="text1"/>
                      <w:szCs w:val="21"/>
                    </w:rPr>
                    <w:t>布袋除尘器</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烘干线废气</w:t>
                  </w:r>
                  <w:r>
                    <w:rPr>
                      <w:color w:val="000000" w:themeColor="text1"/>
                      <w:szCs w:val="21"/>
                    </w:rPr>
                    <w:t>经旋风除尘器除尘、降温后，通过布袋除尘器对其进行除尘处理，除尘效率不低于96%。</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color w:val="000000" w:themeColor="text1"/>
                      <w:szCs w:val="21"/>
                    </w:rPr>
                    <w:t>排气筒</w:t>
                  </w:r>
                </w:p>
              </w:tc>
              <w:tc>
                <w:tcPr>
                  <w:tcW w:w="2915" w:type="pct"/>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项目烘干线废气经旋风除尘器+布袋除尘器处理，该系统处理风量为6000m³/h，因此拟设置</w:t>
                  </w:r>
                  <w:r>
                    <w:rPr>
                      <w:color w:val="000000" w:themeColor="text1"/>
                      <w:szCs w:val="21"/>
                    </w:rPr>
                    <w:t>1根Φ0.4m、高15m的排气筒（DA001）外排。</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rFonts w:hint="eastAsia"/>
                      <w:color w:val="000000" w:themeColor="text1"/>
                      <w:szCs w:val="21"/>
                    </w:rPr>
                    <w:t>废渣暂存库围挡及顶棚</w:t>
                  </w:r>
                </w:p>
              </w:tc>
              <w:tc>
                <w:tcPr>
                  <w:tcW w:w="2915" w:type="pct"/>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根据调查，项目拟设置的废渣暂存库600</w:t>
                  </w:r>
                  <w:r>
                    <w:rPr>
                      <w:color w:val="000000" w:themeColor="text1"/>
                      <w:szCs w:val="21"/>
                    </w:rPr>
                    <w:t>m²</w:t>
                  </w:r>
                  <w:r>
                    <w:rPr>
                      <w:rFonts w:hint="eastAsia"/>
                      <w:color w:val="000000" w:themeColor="text1"/>
                      <w:szCs w:val="21"/>
                    </w:rPr>
                    <w:t>，拟利用现有渣库进行改造，根据调查，该渣库设有顶棚，但无三面围挡设施，因此拟对其进行完善，设置围挡。</w:t>
                  </w:r>
                </w:p>
              </w:tc>
              <w:tc>
                <w:tcPr>
                  <w:tcW w:w="619" w:type="pct"/>
                  <w:vAlign w:val="center"/>
                </w:tcPr>
                <w:p>
                  <w:pPr>
                    <w:pStyle w:val="24"/>
                    <w:spacing w:line="360" w:lineRule="exact"/>
                    <w:rPr>
                      <w:color w:val="000000" w:themeColor="text1"/>
                      <w:szCs w:val="21"/>
                    </w:rPr>
                  </w:pPr>
                  <w:r>
                    <w:rPr>
                      <w:rFonts w:hint="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highlight w:val="yellow"/>
                    </w:rPr>
                  </w:pPr>
                </w:p>
              </w:tc>
              <w:tc>
                <w:tcPr>
                  <w:tcW w:w="1040" w:type="pct"/>
                  <w:gridSpan w:val="2"/>
                  <w:vAlign w:val="center"/>
                </w:tcPr>
                <w:p>
                  <w:pPr>
                    <w:pStyle w:val="24"/>
                    <w:spacing w:line="360" w:lineRule="exact"/>
                    <w:rPr>
                      <w:color w:val="000000" w:themeColor="text1"/>
                      <w:szCs w:val="21"/>
                    </w:rPr>
                  </w:pPr>
                  <w:r>
                    <w:rPr>
                      <w:color w:val="000000" w:themeColor="text1"/>
                      <w:szCs w:val="21"/>
                    </w:rPr>
                    <w:t>雨污分流</w:t>
                  </w:r>
                </w:p>
              </w:tc>
              <w:tc>
                <w:tcPr>
                  <w:tcW w:w="2915" w:type="pct"/>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根据调查，项目区已设置了雨污分流设施。</w:t>
                  </w:r>
                </w:p>
              </w:tc>
              <w:tc>
                <w:tcPr>
                  <w:tcW w:w="619" w:type="pct"/>
                  <w:vAlign w:val="center"/>
                </w:tcPr>
                <w:p>
                  <w:pPr>
                    <w:pStyle w:val="24"/>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highlight w:val="yellow"/>
                    </w:rPr>
                  </w:pPr>
                </w:p>
              </w:tc>
              <w:tc>
                <w:tcPr>
                  <w:tcW w:w="419" w:type="pct"/>
                  <w:vMerge w:val="restart"/>
                  <w:vAlign w:val="center"/>
                </w:tcPr>
                <w:p>
                  <w:pPr>
                    <w:pStyle w:val="24"/>
                    <w:spacing w:line="360" w:lineRule="exact"/>
                    <w:rPr>
                      <w:color w:val="000000" w:themeColor="text1"/>
                      <w:szCs w:val="21"/>
                    </w:rPr>
                  </w:pPr>
                  <w:r>
                    <w:rPr>
                      <w:color w:val="000000" w:themeColor="text1"/>
                      <w:szCs w:val="21"/>
                    </w:rPr>
                    <w:t>废水</w:t>
                  </w:r>
                </w:p>
              </w:tc>
              <w:tc>
                <w:tcPr>
                  <w:tcW w:w="621" w:type="pct"/>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废水收集调节池</w:t>
                  </w:r>
                </w:p>
              </w:tc>
              <w:tc>
                <w:tcPr>
                  <w:tcW w:w="2915" w:type="pct"/>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根据设计，为了使项目废水能稳定进入八级沉淀池进行沉淀处理，项目拟在生产车间旁配套设置1个有效容积约为</w:t>
                  </w:r>
                  <w:r>
                    <w:rPr>
                      <w:color w:val="000000" w:themeColor="text1"/>
                      <w:szCs w:val="21"/>
                    </w:rPr>
                    <w:t>1</w:t>
                  </w:r>
                  <w:r>
                    <w:rPr>
                      <w:rFonts w:hint="eastAsia"/>
                      <w:color w:val="000000" w:themeColor="text1"/>
                      <w:szCs w:val="21"/>
                    </w:rPr>
                    <w:t>00</w:t>
                  </w:r>
                  <w:r>
                    <w:rPr>
                      <w:color w:val="000000" w:themeColor="text1"/>
                      <w:szCs w:val="21"/>
                    </w:rPr>
                    <w:t>m³的</w:t>
                  </w:r>
                  <w:r>
                    <w:rPr>
                      <w:rFonts w:hint="eastAsia"/>
                      <w:color w:val="000000" w:themeColor="text1"/>
                      <w:szCs w:val="21"/>
                    </w:rPr>
                    <w:t>废水收集调节池，对各工序产生的废水进行收集、调节，使其流量稳定进入沉淀池进行沉淀处理。</w:t>
                  </w:r>
                </w:p>
              </w:tc>
              <w:tc>
                <w:tcPr>
                  <w:tcW w:w="619" w:type="pct"/>
                  <w:vAlign w:val="center"/>
                </w:tcPr>
                <w:p>
                  <w:pPr>
                    <w:pStyle w:val="24"/>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highlight w:val="yellow"/>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八级沉淀池</w:t>
                  </w:r>
                </w:p>
              </w:tc>
              <w:tc>
                <w:tcPr>
                  <w:tcW w:w="2915" w:type="pct"/>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根据设计，由于厂区内已建设有9个圆柱形沉淀池，该沉淀池为原建设单位建设拟作为</w:t>
                  </w:r>
                  <w:r>
                    <w:rPr>
                      <w:color w:val="000000" w:themeColor="text1"/>
                      <w:szCs w:val="21"/>
                    </w:rPr>
                    <w:t>次氧化锌生产线</w:t>
                  </w:r>
                  <w:r>
                    <w:rPr>
                      <w:rFonts w:hint="eastAsia"/>
                      <w:color w:val="000000" w:themeColor="text1"/>
                      <w:szCs w:val="21"/>
                    </w:rPr>
                    <w:t>磁选工序配套的废水处理设施，但由于</w:t>
                  </w:r>
                  <w:r>
                    <w:rPr>
                      <w:color w:val="000000" w:themeColor="text1"/>
                      <w:szCs w:val="21"/>
                    </w:rPr>
                    <w:t>次氧化锌生产线</w:t>
                  </w:r>
                  <w:r>
                    <w:rPr>
                      <w:rFonts w:hint="eastAsia"/>
                      <w:color w:val="000000" w:themeColor="text1"/>
                      <w:szCs w:val="21"/>
                    </w:rPr>
                    <w:t>磁选工序未建设，因此上述沉淀池一直闲置未利用。因此本次项目建设拟利用其中的八个改造后作为八级沉淀池使用。根据调查，各沉淀池的尺寸均为</w:t>
                  </w:r>
                  <w:r>
                    <w:rPr>
                      <w:color w:val="000000" w:themeColor="text1"/>
                      <w:szCs w:val="21"/>
                    </w:rPr>
                    <w:t>Φ</w:t>
                  </w:r>
                  <w:r>
                    <w:rPr>
                      <w:rFonts w:hint="eastAsia"/>
                      <w:color w:val="000000" w:themeColor="text1"/>
                      <w:szCs w:val="21"/>
                    </w:rPr>
                    <w:t>4.6</w:t>
                  </w:r>
                  <w:r>
                    <w:rPr>
                      <w:color w:val="000000" w:themeColor="text1"/>
                      <w:szCs w:val="21"/>
                    </w:rPr>
                    <w:t>m、</w:t>
                  </w:r>
                  <w:r>
                    <w:rPr>
                      <w:rFonts w:hint="eastAsia"/>
                      <w:color w:val="000000" w:themeColor="text1"/>
                      <w:szCs w:val="21"/>
                    </w:rPr>
                    <w:t>深4.5m的圆柱体，其有效容积为80m³/个，合计为640m³，该八级沉淀池经改造后，设计为停留时间1h，废水沉淀处理量可达到1920m³/d。</w:t>
                  </w:r>
                </w:p>
              </w:tc>
              <w:tc>
                <w:tcPr>
                  <w:tcW w:w="619" w:type="pct"/>
                  <w:vAlign w:val="center"/>
                </w:tcPr>
                <w:p>
                  <w:pPr>
                    <w:pStyle w:val="24"/>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highlight w:val="yellow"/>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回用水池</w:t>
                  </w:r>
                </w:p>
              </w:tc>
              <w:tc>
                <w:tcPr>
                  <w:tcW w:w="2915" w:type="pct"/>
                  <w:vAlign w:val="center"/>
                </w:tcPr>
                <w:p>
                  <w:pPr>
                    <w:pStyle w:val="24"/>
                    <w:spacing w:line="360" w:lineRule="exact"/>
                    <w:ind w:firstLine="210" w:firstLineChars="100"/>
                    <w:jc w:val="left"/>
                    <w:rPr>
                      <w:color w:val="000000" w:themeColor="text1"/>
                      <w:szCs w:val="21"/>
                    </w:rPr>
                  </w:pPr>
                  <w:r>
                    <w:rPr>
                      <w:rFonts w:hint="eastAsia"/>
                      <w:color w:val="000000" w:themeColor="text1"/>
                      <w:szCs w:val="21"/>
                    </w:rPr>
                    <w:t>根据设计，项目拟设置1个200m³的回用水池，废水经</w:t>
                  </w:r>
                  <w:r>
                    <w:rPr>
                      <w:rFonts w:hint="eastAsia" w:eastAsiaTheme="minorEastAsia"/>
                      <w:color w:val="000000" w:themeColor="text1"/>
                      <w:szCs w:val="21"/>
                    </w:rPr>
                    <w:t>废水收集调节池收集、八级沉淀池处理后，泵至回用水池，全部回用于生产，不外排。</w:t>
                  </w:r>
                </w:p>
              </w:tc>
              <w:tc>
                <w:tcPr>
                  <w:tcW w:w="619" w:type="pct"/>
                  <w:vAlign w:val="center"/>
                </w:tcPr>
                <w:p>
                  <w:pPr>
                    <w:pStyle w:val="24"/>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highlight w:val="yellow"/>
                    </w:rPr>
                  </w:pPr>
                </w:p>
              </w:tc>
              <w:tc>
                <w:tcPr>
                  <w:tcW w:w="419" w:type="pct"/>
                  <w:vMerge w:val="continue"/>
                  <w:vAlign w:val="center"/>
                </w:tcPr>
                <w:p>
                  <w:pPr>
                    <w:pStyle w:val="24"/>
                    <w:spacing w:line="360" w:lineRule="exact"/>
                    <w:rPr>
                      <w:color w:val="000000" w:themeColor="text1"/>
                      <w:szCs w:val="21"/>
                      <w:highlight w:val="yellow"/>
                    </w:rPr>
                  </w:pPr>
                </w:p>
              </w:tc>
              <w:tc>
                <w:tcPr>
                  <w:tcW w:w="621" w:type="pct"/>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隔油池</w:t>
                  </w:r>
                </w:p>
              </w:tc>
              <w:tc>
                <w:tcPr>
                  <w:tcW w:w="2915" w:type="pct"/>
                  <w:vAlign w:val="center"/>
                </w:tcPr>
                <w:p>
                  <w:pPr>
                    <w:pStyle w:val="24"/>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根据调查，项目区厨房未设置隔油池，因此拟对厨房配套设置1个1m³的隔油池对厨房废水进行预处理。</w:t>
                  </w:r>
                </w:p>
              </w:tc>
              <w:tc>
                <w:tcPr>
                  <w:tcW w:w="619" w:type="pct"/>
                  <w:vAlign w:val="center"/>
                </w:tcPr>
                <w:p>
                  <w:pPr>
                    <w:pStyle w:val="24"/>
                    <w:spacing w:line="360" w:lineRule="exact"/>
                    <w:rPr>
                      <w:color w:val="000000" w:themeColor="text1"/>
                      <w:szCs w:val="21"/>
                    </w:rPr>
                  </w:pPr>
                  <w:r>
                    <w:rPr>
                      <w:rFonts w:hint="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highlight w:val="yellow"/>
                    </w:rPr>
                  </w:pPr>
                </w:p>
              </w:tc>
              <w:tc>
                <w:tcPr>
                  <w:tcW w:w="419" w:type="pct"/>
                  <w:vMerge w:val="continue"/>
                  <w:vAlign w:val="center"/>
                </w:tcPr>
                <w:p>
                  <w:pPr>
                    <w:pStyle w:val="24"/>
                    <w:spacing w:line="360" w:lineRule="exact"/>
                    <w:rPr>
                      <w:color w:val="000000" w:themeColor="text1"/>
                      <w:szCs w:val="21"/>
                      <w:highlight w:val="yellow"/>
                    </w:rPr>
                  </w:pPr>
                </w:p>
              </w:tc>
              <w:tc>
                <w:tcPr>
                  <w:tcW w:w="621" w:type="pct"/>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化粪池</w:t>
                  </w:r>
                </w:p>
              </w:tc>
              <w:tc>
                <w:tcPr>
                  <w:tcW w:w="2915" w:type="pct"/>
                  <w:vAlign w:val="center"/>
                </w:tcPr>
                <w:p>
                  <w:pPr>
                    <w:pStyle w:val="24"/>
                    <w:spacing w:line="360" w:lineRule="exact"/>
                    <w:ind w:firstLine="210" w:firstLineChars="100"/>
                    <w:jc w:val="left"/>
                    <w:rPr>
                      <w:rFonts w:eastAsiaTheme="minorEastAsia"/>
                      <w:color w:val="000000" w:themeColor="text1"/>
                      <w:szCs w:val="21"/>
                    </w:rPr>
                  </w:pPr>
                  <w:r>
                    <w:rPr>
                      <w:rFonts w:hAnsiTheme="minorEastAsia" w:eastAsiaTheme="minorEastAsia"/>
                      <w:color w:val="000000" w:themeColor="text1"/>
                      <w:szCs w:val="21"/>
                    </w:rPr>
                    <w:t>根据调查，项目生活区旁已设置了1个有效容积为20m³的化粪池对项目区生活污水进行处理。项目区生活污水经隔油池、化粪池处理后，通过园区污水管网进入四方地与碧谷园区污水处理厂处理。</w:t>
                  </w:r>
                </w:p>
              </w:tc>
              <w:tc>
                <w:tcPr>
                  <w:tcW w:w="619" w:type="pct"/>
                  <w:vAlign w:val="center"/>
                </w:tcPr>
                <w:p>
                  <w:pPr>
                    <w:pStyle w:val="24"/>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highlight w:val="yellow"/>
                    </w:rPr>
                  </w:pPr>
                </w:p>
              </w:tc>
              <w:tc>
                <w:tcPr>
                  <w:tcW w:w="419" w:type="pct"/>
                  <w:vMerge w:val="continue"/>
                  <w:vAlign w:val="center"/>
                </w:tcPr>
                <w:p>
                  <w:pPr>
                    <w:pStyle w:val="24"/>
                    <w:spacing w:line="360" w:lineRule="exact"/>
                    <w:rPr>
                      <w:color w:val="000000" w:themeColor="text1"/>
                      <w:szCs w:val="21"/>
                      <w:highlight w:val="yellow"/>
                    </w:rPr>
                  </w:pPr>
                </w:p>
              </w:tc>
              <w:tc>
                <w:tcPr>
                  <w:tcW w:w="621" w:type="pct"/>
                  <w:vAlign w:val="center"/>
                </w:tcPr>
                <w:p>
                  <w:pPr>
                    <w:pStyle w:val="24"/>
                    <w:spacing w:line="360" w:lineRule="exact"/>
                    <w:rPr>
                      <w:color w:val="000000" w:themeColor="text1"/>
                      <w:szCs w:val="21"/>
                    </w:rPr>
                  </w:pPr>
                  <w:r>
                    <w:rPr>
                      <w:rFonts w:hint="eastAsia"/>
                      <w:color w:val="000000" w:themeColor="text1"/>
                      <w:szCs w:val="21"/>
                    </w:rPr>
                    <w:t>初期雨水收集池</w:t>
                  </w:r>
                </w:p>
              </w:tc>
              <w:tc>
                <w:tcPr>
                  <w:tcW w:w="2915" w:type="pct"/>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根据调查，本项目在现有厂区内建设，项目的建设不会改变现有厂区初期雨水的产生量；现有厂区的初期雨水产生量约为8</w:t>
                  </w:r>
                  <w:r>
                    <w:rPr>
                      <w:color w:val="000000" w:themeColor="text1"/>
                      <w:szCs w:val="21"/>
                    </w:rPr>
                    <w:t>0m³/次，</w:t>
                  </w:r>
                  <w:r>
                    <w:rPr>
                      <w:rFonts w:hint="eastAsia"/>
                      <w:color w:val="000000" w:themeColor="text1"/>
                      <w:szCs w:val="21"/>
                    </w:rPr>
                    <w:t>已在本项目区旁配套设置了1个</w:t>
                  </w:r>
                  <w:r>
                    <w:rPr>
                      <w:color w:val="000000" w:themeColor="text1"/>
                      <w:szCs w:val="21"/>
                    </w:rPr>
                    <w:t>150m³的初期雨水收集池，对厂区的初期雨水进行收集；收集后</w:t>
                  </w:r>
                  <w:r>
                    <w:rPr>
                      <w:rFonts w:hint="eastAsia"/>
                      <w:color w:val="000000" w:themeColor="text1"/>
                      <w:szCs w:val="21"/>
                    </w:rPr>
                    <w:t>对氧化锌尾渣</w:t>
                  </w:r>
                  <w:r>
                    <w:rPr>
                      <w:color w:val="000000" w:themeColor="text1"/>
                      <w:szCs w:val="21"/>
                    </w:rPr>
                    <w:t>场洒水抑尘，</w:t>
                  </w:r>
                  <w:r>
                    <w:rPr>
                      <w:rFonts w:hint="eastAsia"/>
                      <w:color w:val="000000" w:themeColor="text1"/>
                      <w:szCs w:val="21"/>
                    </w:rPr>
                    <w:t>但该氧化锌尾渣场改建为本项目后，可用于本项目生产用水，</w:t>
                  </w:r>
                  <w:r>
                    <w:rPr>
                      <w:color w:val="000000" w:themeColor="text1"/>
                      <w:szCs w:val="21"/>
                    </w:rPr>
                    <w:t>不外排</w:t>
                  </w:r>
                  <w:r>
                    <w:rPr>
                      <w:rFonts w:hint="eastAsia"/>
                      <w:color w:val="000000" w:themeColor="text1"/>
                      <w:szCs w:val="21"/>
                    </w:rPr>
                    <w:t>。</w:t>
                  </w:r>
                </w:p>
              </w:tc>
              <w:tc>
                <w:tcPr>
                  <w:tcW w:w="619" w:type="pct"/>
                  <w:vAlign w:val="center"/>
                </w:tcPr>
                <w:p>
                  <w:pPr>
                    <w:pStyle w:val="24"/>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highlight w:val="yellow"/>
                    </w:rPr>
                  </w:pPr>
                </w:p>
              </w:tc>
              <w:tc>
                <w:tcPr>
                  <w:tcW w:w="419" w:type="pct"/>
                  <w:vMerge w:val="restart"/>
                  <w:vAlign w:val="center"/>
                </w:tcPr>
                <w:p>
                  <w:pPr>
                    <w:pStyle w:val="24"/>
                    <w:spacing w:line="360" w:lineRule="exact"/>
                    <w:rPr>
                      <w:color w:val="000000" w:themeColor="text1"/>
                      <w:szCs w:val="21"/>
                    </w:rPr>
                  </w:pPr>
                  <w:r>
                    <w:rPr>
                      <w:color w:val="000000" w:themeColor="text1"/>
                      <w:szCs w:val="21"/>
                    </w:rPr>
                    <w:t>地下水防渗</w:t>
                  </w:r>
                </w:p>
              </w:tc>
              <w:tc>
                <w:tcPr>
                  <w:tcW w:w="621" w:type="pct"/>
                  <w:vAlign w:val="center"/>
                </w:tcPr>
                <w:p>
                  <w:pPr>
                    <w:pStyle w:val="24"/>
                    <w:spacing w:line="360" w:lineRule="exact"/>
                    <w:rPr>
                      <w:color w:val="000000" w:themeColor="text1"/>
                      <w:szCs w:val="21"/>
                    </w:rPr>
                  </w:pPr>
                  <w:r>
                    <w:rPr>
                      <w:color w:val="000000" w:themeColor="text1"/>
                      <w:szCs w:val="21"/>
                    </w:rPr>
                    <w:t>重点防渗区</w:t>
                  </w:r>
                </w:p>
              </w:tc>
              <w:tc>
                <w:tcPr>
                  <w:tcW w:w="2915" w:type="pct"/>
                  <w:vAlign w:val="center"/>
                </w:tcPr>
                <w:p>
                  <w:pPr>
                    <w:pStyle w:val="24"/>
                    <w:spacing w:line="360" w:lineRule="exact"/>
                    <w:ind w:firstLine="210" w:firstLineChars="100"/>
                    <w:jc w:val="both"/>
                    <w:rPr>
                      <w:color w:val="000000" w:themeColor="text1"/>
                      <w:sz w:val="24"/>
                      <w:szCs w:val="24"/>
                      <w:lang w:val="en-US"/>
                    </w:rPr>
                  </w:pPr>
                  <w:r>
                    <w:rPr>
                      <w:color w:val="000000" w:themeColor="text1"/>
                    </w:rPr>
                    <w:t>项目重点防渗区为危险废物贮存间</w:t>
                  </w:r>
                  <w:r>
                    <w:rPr>
                      <w:rFonts w:hint="eastAsia"/>
                      <w:color w:val="000000" w:themeColor="text1"/>
                    </w:rPr>
                    <w:t>：</w:t>
                  </w:r>
                  <w:r>
                    <w:rPr>
                      <w:color w:val="000000" w:themeColor="text1"/>
                    </w:rPr>
                    <w:t>危险废物贮存间</w:t>
                  </w:r>
                  <w:r>
                    <w:rPr>
                      <w:rFonts w:hint="eastAsia"/>
                      <w:color w:val="000000" w:themeColor="text1"/>
                    </w:rPr>
                    <w:t>地面采用了钢板进行防渗，但裙墙防渗达不到防渗要求，因此裙墙应采用</w:t>
                  </w:r>
                  <w:r>
                    <w:rPr>
                      <w:color w:val="000000" w:themeColor="text1"/>
                    </w:rPr>
                    <w:t>不低于2mm后的HDPE膜或其他人工防渗材料进行防渗，使其渗透系数≤10</w:t>
                  </w:r>
                  <w:r>
                    <w:rPr>
                      <w:color w:val="000000" w:themeColor="text1"/>
                      <w:vertAlign w:val="superscript"/>
                    </w:rPr>
                    <w:t>-10</w:t>
                  </w:r>
                  <w:r>
                    <w:rPr>
                      <w:color w:val="000000" w:themeColor="text1"/>
                    </w:rPr>
                    <w:t>cm/s；</w:t>
                  </w:r>
                </w:p>
              </w:tc>
              <w:tc>
                <w:tcPr>
                  <w:tcW w:w="619" w:type="pct"/>
                  <w:vAlign w:val="center"/>
                </w:tcPr>
                <w:p>
                  <w:pPr>
                    <w:pStyle w:val="24"/>
                    <w:spacing w:line="360" w:lineRule="exact"/>
                    <w:rPr>
                      <w:color w:val="000000" w:themeColor="text1"/>
                      <w:szCs w:val="21"/>
                    </w:rPr>
                  </w:pPr>
                  <w:r>
                    <w:rPr>
                      <w:rFonts w:hint="eastAsia"/>
                      <w:color w:val="000000" w:themeColor="text1"/>
                      <w:szCs w:val="21"/>
                    </w:rPr>
                    <w:t>环评</w:t>
                  </w:r>
                  <w:r>
                    <w:rPr>
                      <w:color w:val="000000" w:themeColor="text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highlight w:val="yellow"/>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color w:val="000000" w:themeColor="text1"/>
                      <w:szCs w:val="21"/>
                    </w:rPr>
                    <w:t>一般防渗区</w:t>
                  </w:r>
                </w:p>
              </w:tc>
              <w:tc>
                <w:tcPr>
                  <w:tcW w:w="2915" w:type="pct"/>
                  <w:vAlign w:val="center"/>
                </w:tcPr>
                <w:p>
                  <w:pPr>
                    <w:pStyle w:val="24"/>
                    <w:spacing w:line="360" w:lineRule="exact"/>
                    <w:ind w:firstLine="210" w:firstLineChars="100"/>
                    <w:jc w:val="both"/>
                    <w:rPr>
                      <w:color w:val="000000" w:themeColor="text1"/>
                      <w:szCs w:val="21"/>
                    </w:rPr>
                  </w:pPr>
                  <w:r>
                    <w:rPr>
                      <w:rFonts w:hint="eastAsia"/>
                      <w:color w:val="000000" w:themeColor="text1"/>
                    </w:rPr>
                    <w:t>根据分区防渗规范要求，项目生产车间、循环水池、废渣暂存库区域均划定为</w:t>
                  </w:r>
                  <w:r>
                    <w:rPr>
                      <w:color w:val="000000" w:themeColor="text1"/>
                    </w:rPr>
                    <w:t>一般防渗区，</w:t>
                  </w:r>
                  <w:r>
                    <w:rPr>
                      <w:rFonts w:hint="eastAsia"/>
                      <w:color w:val="000000" w:themeColor="text1"/>
                    </w:rPr>
                    <w:t>根据业主介绍，项目拟依托使用的八级沉淀池采取了防腐防渗措施，其</w:t>
                  </w:r>
                  <w:r>
                    <w:rPr>
                      <w:color w:val="000000" w:themeColor="text1"/>
                    </w:rPr>
                    <w:t>渗透系数≤1.0×10</w:t>
                  </w:r>
                  <w:r>
                    <w:rPr>
                      <w:color w:val="000000" w:themeColor="text1"/>
                      <w:vertAlign w:val="superscript"/>
                    </w:rPr>
                    <w:t>-</w:t>
                  </w:r>
                  <w:r>
                    <w:rPr>
                      <w:rFonts w:hint="eastAsia"/>
                      <w:color w:val="000000" w:themeColor="text1"/>
                      <w:vertAlign w:val="superscript"/>
                    </w:rPr>
                    <w:t>10</w:t>
                  </w:r>
                  <w:r>
                    <w:rPr>
                      <w:color w:val="000000" w:themeColor="text1"/>
                    </w:rPr>
                    <w:t>cm/s</w:t>
                  </w:r>
                  <w:r>
                    <w:rPr>
                      <w:rFonts w:hint="eastAsia"/>
                      <w:color w:val="000000" w:themeColor="text1"/>
                    </w:rPr>
                    <w:t>；而废渣暂存库均已进行了防渗施工，其</w:t>
                  </w:r>
                  <w:r>
                    <w:rPr>
                      <w:color w:val="000000" w:themeColor="text1"/>
                    </w:rPr>
                    <w:t>渗透系数≤1.0×10</w:t>
                  </w:r>
                  <w:r>
                    <w:rPr>
                      <w:color w:val="000000" w:themeColor="text1"/>
                      <w:vertAlign w:val="superscript"/>
                    </w:rPr>
                    <w:t>-</w:t>
                  </w:r>
                  <w:r>
                    <w:rPr>
                      <w:rFonts w:hint="eastAsia"/>
                      <w:color w:val="000000" w:themeColor="text1"/>
                      <w:vertAlign w:val="superscript"/>
                    </w:rPr>
                    <w:t>7</w:t>
                  </w:r>
                  <w:r>
                    <w:rPr>
                      <w:color w:val="000000" w:themeColor="text1"/>
                    </w:rPr>
                    <w:t>cm/s</w:t>
                  </w:r>
                  <w:r>
                    <w:rPr>
                      <w:rFonts w:hint="eastAsia"/>
                      <w:color w:val="000000" w:themeColor="text1"/>
                    </w:rPr>
                    <w:t>；生产车间各区域拟采用</w:t>
                  </w:r>
                  <w:r>
                    <w:rPr>
                      <w:color w:val="000000" w:themeColor="text1"/>
                    </w:rPr>
                    <w:t>粘土铺底，并在上层铺30cm的混凝土进行硬化。确保防渗性能，使其渗透系数≤1.0×10</w:t>
                  </w:r>
                  <w:r>
                    <w:rPr>
                      <w:color w:val="000000" w:themeColor="text1"/>
                      <w:vertAlign w:val="superscript"/>
                    </w:rPr>
                    <w:t>-7</w:t>
                  </w:r>
                  <w:r>
                    <w:rPr>
                      <w:color w:val="000000" w:themeColor="text1"/>
                    </w:rPr>
                    <w:t>cm/s。</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highlight w:val="yellow"/>
                    </w:rPr>
                  </w:pPr>
                </w:p>
              </w:tc>
              <w:tc>
                <w:tcPr>
                  <w:tcW w:w="419" w:type="pct"/>
                  <w:vAlign w:val="center"/>
                </w:tcPr>
                <w:p>
                  <w:pPr>
                    <w:pStyle w:val="24"/>
                    <w:spacing w:line="360" w:lineRule="exact"/>
                    <w:rPr>
                      <w:color w:val="000000" w:themeColor="text1"/>
                      <w:szCs w:val="21"/>
                    </w:rPr>
                  </w:pPr>
                  <w:r>
                    <w:rPr>
                      <w:color w:val="000000" w:themeColor="text1"/>
                      <w:szCs w:val="21"/>
                    </w:rPr>
                    <w:t>噪声</w:t>
                  </w:r>
                </w:p>
              </w:tc>
              <w:tc>
                <w:tcPr>
                  <w:tcW w:w="621" w:type="pct"/>
                  <w:vAlign w:val="center"/>
                </w:tcPr>
                <w:p>
                  <w:pPr>
                    <w:pStyle w:val="24"/>
                    <w:spacing w:line="360" w:lineRule="exact"/>
                    <w:rPr>
                      <w:color w:val="000000" w:themeColor="text1"/>
                      <w:szCs w:val="21"/>
                    </w:rPr>
                  </w:pPr>
                  <w:r>
                    <w:rPr>
                      <w:color w:val="000000" w:themeColor="text1"/>
                      <w:szCs w:val="21"/>
                    </w:rPr>
                    <w:t>设备噪声</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highlight w:val="yellow"/>
                    </w:rPr>
                  </w:pPr>
                </w:p>
              </w:tc>
              <w:tc>
                <w:tcPr>
                  <w:tcW w:w="419" w:type="pct"/>
                  <w:vMerge w:val="restart"/>
                  <w:vAlign w:val="center"/>
                </w:tcPr>
                <w:p>
                  <w:pPr>
                    <w:pStyle w:val="24"/>
                    <w:spacing w:line="360" w:lineRule="exact"/>
                    <w:rPr>
                      <w:color w:val="000000" w:themeColor="text1"/>
                      <w:szCs w:val="21"/>
                    </w:rPr>
                  </w:pPr>
                  <w:r>
                    <w:rPr>
                      <w:color w:val="000000" w:themeColor="text1"/>
                      <w:szCs w:val="21"/>
                    </w:rPr>
                    <w:t>固废</w:t>
                  </w:r>
                </w:p>
              </w:tc>
              <w:tc>
                <w:tcPr>
                  <w:tcW w:w="621" w:type="pct"/>
                  <w:vAlign w:val="center"/>
                </w:tcPr>
                <w:p>
                  <w:pPr>
                    <w:pStyle w:val="24"/>
                    <w:spacing w:line="360" w:lineRule="exact"/>
                    <w:rPr>
                      <w:color w:val="000000" w:themeColor="text1"/>
                      <w:szCs w:val="21"/>
                    </w:rPr>
                  </w:pPr>
                  <w:r>
                    <w:rPr>
                      <w:rFonts w:hint="eastAsia"/>
                      <w:color w:val="000000" w:themeColor="text1"/>
                      <w:szCs w:val="21"/>
                    </w:rPr>
                    <w:t>废渣暂存库</w:t>
                  </w:r>
                </w:p>
              </w:tc>
              <w:tc>
                <w:tcPr>
                  <w:tcW w:w="2915" w:type="pct"/>
                  <w:vAlign w:val="center"/>
                </w:tcPr>
                <w:p>
                  <w:pPr>
                    <w:pStyle w:val="24"/>
                    <w:spacing w:line="360" w:lineRule="exact"/>
                    <w:ind w:firstLine="210" w:firstLineChars="100"/>
                    <w:jc w:val="both"/>
                    <w:rPr>
                      <w:color w:val="000000" w:themeColor="text1"/>
                    </w:rPr>
                  </w:pPr>
                  <w:r>
                    <w:rPr>
                      <w:rFonts w:hint="eastAsia"/>
                      <w:color w:val="000000" w:themeColor="text1"/>
                    </w:rPr>
                    <w:t>本项目将产生约14.3万t/a的废渣，因此项目拟设置的600</w:t>
                  </w:r>
                  <w:r>
                    <w:rPr>
                      <w:color w:val="000000" w:themeColor="text1"/>
                    </w:rPr>
                    <w:t>m²</w:t>
                  </w:r>
                  <w:r>
                    <w:rPr>
                      <w:rFonts w:hint="eastAsia"/>
                      <w:color w:val="000000" w:themeColor="text1"/>
                    </w:rPr>
                    <w:t>废渣暂存库对其进行暂存后，一部分用于会泽县强胜页岩砖厂作为制砖原料，剩余部分委托</w:t>
                  </w:r>
                  <w:r>
                    <w:rPr>
                      <w:color w:val="000000" w:themeColor="text1"/>
                    </w:rPr>
                    <w:t>四方地工业园区弃渣场处置</w:t>
                  </w:r>
                  <w:r>
                    <w:rPr>
                      <w:rFonts w:hint="eastAsia"/>
                      <w:color w:val="000000" w:themeColor="text1"/>
                    </w:rPr>
                    <w:t>。项目拟利用现有渣库进行改造，根据调查，该渣库设有顶棚，但无三面围挡设施。建设过程中对废渣暂存库设置三面围挡。</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highlight w:val="yellow"/>
                    </w:rPr>
                  </w:pPr>
                </w:p>
              </w:tc>
              <w:tc>
                <w:tcPr>
                  <w:tcW w:w="419" w:type="pct"/>
                  <w:vMerge w:val="continue"/>
                  <w:vAlign w:val="center"/>
                </w:tcPr>
                <w:p>
                  <w:pPr>
                    <w:pStyle w:val="24"/>
                    <w:spacing w:line="360" w:lineRule="exact"/>
                    <w:rPr>
                      <w:color w:val="000000" w:themeColor="text1"/>
                      <w:szCs w:val="21"/>
                    </w:rPr>
                  </w:pPr>
                </w:p>
              </w:tc>
              <w:tc>
                <w:tcPr>
                  <w:tcW w:w="621" w:type="pct"/>
                  <w:vAlign w:val="center"/>
                </w:tcPr>
                <w:p>
                  <w:pPr>
                    <w:pStyle w:val="24"/>
                    <w:spacing w:line="360" w:lineRule="exact"/>
                    <w:rPr>
                      <w:color w:val="000000" w:themeColor="text1"/>
                      <w:szCs w:val="21"/>
                    </w:rPr>
                  </w:pPr>
                  <w:r>
                    <w:rPr>
                      <w:color w:val="000000" w:themeColor="text1"/>
                      <w:szCs w:val="21"/>
                    </w:rPr>
                    <w:t>危险废物贮存间</w:t>
                  </w:r>
                </w:p>
              </w:tc>
              <w:tc>
                <w:tcPr>
                  <w:tcW w:w="2915" w:type="pct"/>
                  <w:vAlign w:val="center"/>
                </w:tcPr>
                <w:p>
                  <w:pPr>
                    <w:pStyle w:val="24"/>
                    <w:spacing w:line="360" w:lineRule="exact"/>
                    <w:ind w:firstLine="210" w:firstLineChars="100"/>
                    <w:jc w:val="both"/>
                    <w:rPr>
                      <w:color w:val="000000" w:themeColor="text1"/>
                    </w:rPr>
                  </w:pPr>
                  <w:r>
                    <w:rPr>
                      <w:rFonts w:hint="eastAsia"/>
                      <w:color w:val="000000" w:themeColor="text1"/>
                    </w:rPr>
                    <w:t>针对项目产生的废机油，厂区已建设了</w:t>
                  </w:r>
                  <w:r>
                    <w:rPr>
                      <w:color w:val="000000" w:themeColor="text1"/>
                    </w:rPr>
                    <w:t>1个</w:t>
                  </w:r>
                  <w:r>
                    <w:rPr>
                      <w:rFonts w:hint="eastAsia"/>
                      <w:color w:val="000000" w:themeColor="text1"/>
                    </w:rPr>
                    <w:t>20</w:t>
                  </w:r>
                  <w:r>
                    <w:rPr>
                      <w:color w:val="000000" w:themeColor="text1"/>
                    </w:rPr>
                    <w:t>m²的危险废物贮存间对项目区废机油等危险废物进行暂存</w:t>
                  </w:r>
                  <w:r>
                    <w:rPr>
                      <w:rFonts w:hint="eastAsia"/>
                      <w:color w:val="000000" w:themeColor="text1"/>
                    </w:rPr>
                    <w:t>。部分用于生产设备润滑使用，无法使用部分委托有资质的单位处置</w:t>
                  </w:r>
                  <w:r>
                    <w:rPr>
                      <w:color w:val="000000" w:themeColor="text1"/>
                    </w:rPr>
                    <w:t>。</w:t>
                  </w:r>
                  <w:r>
                    <w:rPr>
                      <w:rFonts w:hint="eastAsia"/>
                      <w:color w:val="000000" w:themeColor="text1"/>
                    </w:rPr>
                    <w:t>目前，虽然</w:t>
                  </w:r>
                  <w:r>
                    <w:rPr>
                      <w:color w:val="000000" w:themeColor="text1"/>
                    </w:rPr>
                    <w:t>危险废物贮存间</w:t>
                  </w:r>
                  <w:r>
                    <w:rPr>
                      <w:rFonts w:hint="eastAsia"/>
                      <w:color w:val="000000" w:themeColor="text1"/>
                    </w:rPr>
                    <w:t>地面采用了钢板进行防渗，但裙墙防渗达不到防渗要求，且标识标牌不能满足要求。建设过程拟对</w:t>
                  </w:r>
                  <w:r>
                    <w:rPr>
                      <w:color w:val="000000" w:themeColor="text1"/>
                    </w:rPr>
                    <w:t>危险废物贮存间</w:t>
                  </w:r>
                  <w:r>
                    <w:rPr>
                      <w:rFonts w:hint="eastAsia"/>
                      <w:color w:val="000000" w:themeColor="text1"/>
                    </w:rPr>
                    <w:t>进行完善，包括规范设置标识标牌，进行裙墙防渗，内部设置导流渠和收集池等，完善后危险废物贮存间可满足环保要求。</w:t>
                  </w:r>
                </w:p>
              </w:tc>
              <w:tc>
                <w:tcPr>
                  <w:tcW w:w="619" w:type="pct"/>
                  <w:vAlign w:val="center"/>
                </w:tcPr>
                <w:p>
                  <w:pPr>
                    <w:pStyle w:val="24"/>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highlight w:val="yellow"/>
                    </w:rPr>
                  </w:pPr>
                </w:p>
              </w:tc>
              <w:tc>
                <w:tcPr>
                  <w:tcW w:w="419" w:type="pct"/>
                  <w:vAlign w:val="center"/>
                </w:tcPr>
                <w:p>
                  <w:pPr>
                    <w:pStyle w:val="24"/>
                    <w:spacing w:line="360" w:lineRule="exact"/>
                    <w:rPr>
                      <w:color w:val="000000" w:themeColor="text1"/>
                      <w:szCs w:val="21"/>
                    </w:rPr>
                  </w:pPr>
                  <w:r>
                    <w:rPr>
                      <w:rFonts w:hint="eastAsia"/>
                      <w:color w:val="000000" w:themeColor="text1"/>
                      <w:szCs w:val="21"/>
                    </w:rPr>
                    <w:t>环境风险</w:t>
                  </w:r>
                </w:p>
              </w:tc>
              <w:tc>
                <w:tcPr>
                  <w:tcW w:w="621" w:type="pct"/>
                  <w:vAlign w:val="center"/>
                </w:tcPr>
                <w:p>
                  <w:pPr>
                    <w:pStyle w:val="24"/>
                    <w:spacing w:line="360" w:lineRule="exact"/>
                    <w:rPr>
                      <w:color w:val="000000" w:themeColor="text1"/>
                      <w:szCs w:val="21"/>
                    </w:rPr>
                  </w:pPr>
                  <w:r>
                    <w:rPr>
                      <w:rFonts w:hint="eastAsia"/>
                      <w:color w:val="000000" w:themeColor="text1"/>
                      <w:szCs w:val="21"/>
                    </w:rPr>
                    <w:t>事故池</w:t>
                  </w:r>
                </w:p>
              </w:tc>
              <w:tc>
                <w:tcPr>
                  <w:tcW w:w="2915" w:type="pct"/>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根据设计，由于厂区内已建设有9个圆柱形沉淀池，一直闲置未利用。因此拟将最后1个沉淀池作为事故池使用，该沉淀池的尺寸均为</w:t>
                  </w:r>
                  <w:r>
                    <w:rPr>
                      <w:color w:val="000000" w:themeColor="text1"/>
                      <w:szCs w:val="21"/>
                    </w:rPr>
                    <w:t>Φ</w:t>
                  </w:r>
                  <w:r>
                    <w:rPr>
                      <w:rFonts w:hint="eastAsia"/>
                      <w:color w:val="000000" w:themeColor="text1"/>
                      <w:szCs w:val="21"/>
                    </w:rPr>
                    <w:t>4.6</w:t>
                  </w:r>
                  <w:r>
                    <w:rPr>
                      <w:color w:val="000000" w:themeColor="text1"/>
                      <w:szCs w:val="21"/>
                    </w:rPr>
                    <w:t>m、</w:t>
                  </w:r>
                  <w:r>
                    <w:rPr>
                      <w:rFonts w:hint="eastAsia"/>
                      <w:color w:val="000000" w:themeColor="text1"/>
                      <w:szCs w:val="21"/>
                    </w:rPr>
                    <w:t>深4.5m的圆柱体，其有效容积为80m³。</w:t>
                  </w:r>
                </w:p>
              </w:tc>
              <w:tc>
                <w:tcPr>
                  <w:tcW w:w="619" w:type="pct"/>
                  <w:vAlign w:val="center"/>
                </w:tcPr>
                <w:p>
                  <w:pPr>
                    <w:pStyle w:val="24"/>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4"/>
                    <w:spacing w:line="360" w:lineRule="exact"/>
                    <w:rPr>
                      <w:color w:val="000000" w:themeColor="text1"/>
                      <w:szCs w:val="21"/>
                      <w:highlight w:val="yellow"/>
                    </w:rPr>
                  </w:pPr>
                </w:p>
              </w:tc>
              <w:tc>
                <w:tcPr>
                  <w:tcW w:w="419" w:type="pct"/>
                  <w:vAlign w:val="center"/>
                </w:tcPr>
                <w:p>
                  <w:pPr>
                    <w:pStyle w:val="24"/>
                    <w:spacing w:line="360" w:lineRule="exact"/>
                    <w:rPr>
                      <w:color w:val="000000" w:themeColor="text1"/>
                      <w:szCs w:val="21"/>
                    </w:rPr>
                  </w:pPr>
                  <w:r>
                    <w:rPr>
                      <w:color w:val="000000" w:themeColor="text1"/>
                      <w:szCs w:val="21"/>
                    </w:rPr>
                    <w:t>其他</w:t>
                  </w:r>
                </w:p>
              </w:tc>
              <w:tc>
                <w:tcPr>
                  <w:tcW w:w="621" w:type="pct"/>
                  <w:vAlign w:val="center"/>
                </w:tcPr>
                <w:p>
                  <w:pPr>
                    <w:pStyle w:val="24"/>
                    <w:spacing w:line="360" w:lineRule="exact"/>
                    <w:rPr>
                      <w:color w:val="000000" w:themeColor="text1"/>
                      <w:szCs w:val="21"/>
                    </w:rPr>
                  </w:pPr>
                  <w:r>
                    <w:rPr>
                      <w:color w:val="000000" w:themeColor="text1"/>
                      <w:szCs w:val="21"/>
                    </w:rPr>
                    <w:t>标识牌</w:t>
                  </w:r>
                </w:p>
              </w:tc>
              <w:tc>
                <w:tcPr>
                  <w:tcW w:w="2915" w:type="pct"/>
                  <w:vAlign w:val="center"/>
                </w:tcPr>
                <w:p>
                  <w:pPr>
                    <w:pStyle w:val="24"/>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619" w:type="pct"/>
                  <w:vAlign w:val="center"/>
                </w:tcPr>
                <w:p>
                  <w:pPr>
                    <w:pStyle w:val="24"/>
                    <w:spacing w:line="360" w:lineRule="exact"/>
                    <w:rPr>
                      <w:color w:val="000000" w:themeColor="text1"/>
                      <w:szCs w:val="21"/>
                    </w:rPr>
                  </w:pPr>
                  <w:r>
                    <w:rPr>
                      <w:color w:val="000000" w:themeColor="text1"/>
                      <w:szCs w:val="21"/>
                    </w:rPr>
                    <w:t>环评提出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0" w:name="_Toc433544969"/>
            <w:bookmarkStart w:id="1" w:name="_Toc493693536"/>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2.2.1 </w:t>
            </w:r>
            <w:r>
              <w:rPr>
                <w:rFonts w:hint="eastAsia" w:ascii="Times New Roman" w:hAnsi="Times New Roman" w:cs="Times New Roman"/>
                <w:b/>
                <w:color w:val="000000" w:themeColor="text1"/>
                <w:sz w:val="24"/>
                <w:szCs w:val="24"/>
              </w:rPr>
              <w:t>本项目在</w:t>
            </w:r>
            <w:r>
              <w:rPr>
                <w:rFonts w:ascii="Times New Roman" w:hAnsi="Times New Roman" w:cs="Times New Roman"/>
                <w:b/>
                <w:color w:val="000000" w:themeColor="text1"/>
                <w:sz w:val="24"/>
                <w:szCs w:val="24"/>
              </w:rPr>
              <w:t>厂区平面布置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w:t>
            </w:r>
            <w:r>
              <w:rPr>
                <w:rFonts w:ascii="Times New Roman" w:hAnsi="Times New Roman" w:cs="Times New Roman"/>
                <w:color w:val="000000" w:themeColor="text1"/>
                <w:sz w:val="24"/>
                <w:szCs w:val="24"/>
              </w:rPr>
              <w:t>昆明合旺有色金属有限公司根据</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区地势设置，</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区地势由东至西依次降低，</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区东侧为</w:t>
            </w:r>
            <w:r>
              <w:rPr>
                <w:rFonts w:hint="eastAsia" w:ascii="Times New Roman" w:hAnsi="Times New Roman" w:cs="Times New Roman"/>
                <w:color w:val="000000" w:themeColor="text1"/>
                <w:sz w:val="24"/>
                <w:szCs w:val="24"/>
              </w:rPr>
              <w:t>次氧化锌生产线的</w:t>
            </w:r>
            <w:r>
              <w:rPr>
                <w:rFonts w:ascii="Times New Roman" w:hAnsi="Times New Roman" w:cs="Times New Roman"/>
                <w:color w:val="000000" w:themeColor="text1"/>
                <w:sz w:val="24"/>
                <w:szCs w:val="24"/>
              </w:rPr>
              <w:t>原料堆场，中部区域为</w:t>
            </w:r>
            <w:r>
              <w:rPr>
                <w:rFonts w:hint="eastAsia" w:ascii="Times New Roman" w:hAnsi="Times New Roman" w:cs="Times New Roman"/>
                <w:color w:val="000000" w:themeColor="text1"/>
                <w:sz w:val="24"/>
                <w:szCs w:val="24"/>
              </w:rPr>
              <w:t>次氧化锌生产线</w:t>
            </w:r>
            <w:r>
              <w:rPr>
                <w:rFonts w:ascii="Times New Roman" w:hAnsi="Times New Roman" w:cs="Times New Roman"/>
                <w:color w:val="000000" w:themeColor="text1"/>
                <w:sz w:val="24"/>
                <w:szCs w:val="24"/>
              </w:rPr>
              <w:t>生产车间，</w:t>
            </w:r>
            <w:r>
              <w:rPr>
                <w:rFonts w:hint="eastAsia" w:ascii="Times New Roman" w:hAnsi="Times New Roman" w:cs="Times New Roman"/>
                <w:color w:val="000000" w:themeColor="text1"/>
                <w:sz w:val="24"/>
                <w:szCs w:val="24"/>
              </w:rPr>
              <w:t>氧化锌尾</w:t>
            </w:r>
            <w:r>
              <w:rPr>
                <w:rFonts w:ascii="Times New Roman" w:hAnsi="Times New Roman" w:cs="Times New Roman"/>
                <w:color w:val="000000" w:themeColor="text1"/>
                <w:sz w:val="24"/>
                <w:szCs w:val="24"/>
              </w:rPr>
              <w:t>渣场位于</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区北侧地势较低区域，生活办公区位于</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区西侧</w:t>
            </w:r>
            <w:r>
              <w:rPr>
                <w:rFonts w:hint="eastAsia" w:ascii="Times New Roman" w:hAnsi="Times New Roman" w:cs="Times New Roman"/>
                <w:color w:val="000000" w:themeColor="text1"/>
                <w:sz w:val="24"/>
                <w:szCs w:val="24"/>
              </w:rPr>
              <w:t>，厂</w:t>
            </w:r>
            <w:r>
              <w:rPr>
                <w:rFonts w:ascii="Times New Roman" w:hAnsi="Times New Roman" w:cs="Times New Roman"/>
                <w:color w:val="000000" w:themeColor="text1"/>
                <w:sz w:val="24"/>
                <w:szCs w:val="24"/>
              </w:rPr>
              <w:t>区</w:t>
            </w:r>
            <w:r>
              <w:rPr>
                <w:rFonts w:hint="eastAsia" w:ascii="Times New Roman" w:hAnsi="Times New Roman" w:cs="Times New Roman"/>
                <w:color w:val="000000" w:themeColor="text1"/>
                <w:sz w:val="24"/>
                <w:szCs w:val="24"/>
              </w:rPr>
              <w:t>有9个闲置的沉淀池和废渣暂存库位于生活区旁；而本项目在氧化锌尾</w:t>
            </w:r>
            <w:r>
              <w:rPr>
                <w:rFonts w:ascii="Times New Roman" w:hAnsi="Times New Roman" w:cs="Times New Roman"/>
                <w:color w:val="000000" w:themeColor="text1"/>
                <w:sz w:val="24"/>
                <w:szCs w:val="24"/>
              </w:rPr>
              <w:t>渣场</w:t>
            </w:r>
            <w:r>
              <w:rPr>
                <w:rFonts w:hint="eastAsia" w:ascii="Times New Roman" w:hAnsi="Times New Roman" w:cs="Times New Roman"/>
                <w:color w:val="000000" w:themeColor="text1"/>
                <w:sz w:val="24"/>
                <w:szCs w:val="24"/>
              </w:rPr>
              <w:t>区域建设，并依托使用9个闲置的沉淀池和废渣暂存库。</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在</w:t>
            </w:r>
            <w:r>
              <w:rPr>
                <w:rFonts w:ascii="Times New Roman" w:hAnsi="Times New Roman" w:cs="Times New Roman"/>
                <w:color w:val="000000" w:themeColor="text1"/>
                <w:sz w:val="24"/>
                <w:szCs w:val="24"/>
              </w:rPr>
              <w:t>厂区</w:t>
            </w:r>
            <w:r>
              <w:rPr>
                <w:rFonts w:hint="eastAsia" w:ascii="Times New Roman" w:hAnsi="Times New Roman" w:cs="Times New Roman"/>
                <w:color w:val="000000" w:themeColor="text1"/>
                <w:sz w:val="24"/>
                <w:szCs w:val="24"/>
              </w:rPr>
              <w:t>位置详见附图2-1 项目在厂区范围位置示意图。</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2.2.2 生产车间平面布置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生产区大致可以分为预处理车间、磁性物选别车间和非磁性物选别车间；其中预处理车间位于项目区东北侧区域，磁性物选别车间位于项目区北侧及中部区域，其中烘干系统（含旋风除尘器、布袋除尘器和排气筒）位于磁性物选别车间的西侧区域，而非磁性物选别车间位于项目区南侧。回用水池及废水收集调节池位于非磁性物选别车间两侧；而依托使用的9个闲置的沉淀池和废渣暂存库位于</w:t>
            </w:r>
            <w:r>
              <w:rPr>
                <w:rFonts w:ascii="Times New Roman" w:hAnsi="Times New Roman" w:cs="Times New Roman"/>
                <w:color w:val="000000" w:themeColor="text1"/>
                <w:sz w:val="24"/>
                <w:szCs w:val="24"/>
              </w:rPr>
              <w:t>生活办公区</w:t>
            </w:r>
            <w:r>
              <w:rPr>
                <w:rFonts w:hint="eastAsia" w:ascii="Times New Roman" w:hAnsi="Times New Roman" w:cs="Times New Roman"/>
                <w:color w:val="000000" w:themeColor="text1"/>
                <w:sz w:val="24"/>
                <w:szCs w:val="24"/>
              </w:rPr>
              <w:t>旁。</w:t>
            </w:r>
            <w:r>
              <w:rPr>
                <w:rFonts w:ascii="Times New Roman" w:hAnsi="Times New Roman" w:cs="Times New Roman"/>
                <w:color w:val="000000" w:themeColor="text1"/>
                <w:sz w:val="24"/>
                <w:szCs w:val="24"/>
              </w:rPr>
              <w:t>根据项目特点可知，本项目生产工艺的平面布置对环境影响不大，因此项目平面布置合理。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项目生产车间平面布置详见附图2-2  项目生产</w:t>
            </w:r>
            <w:r>
              <w:rPr>
                <w:rFonts w:hint="eastAsia" w:ascii="Times New Roman" w:hAnsi="Times New Roman" w:cs="Times New Roman"/>
                <w:color w:val="000000" w:themeColor="text1"/>
                <w:sz w:val="24"/>
                <w:szCs w:val="24"/>
              </w:rPr>
              <w:t>线</w:t>
            </w:r>
            <w:r>
              <w:rPr>
                <w:rFonts w:ascii="Times New Roman" w:hAnsi="Times New Roman" w:cs="Times New Roman"/>
                <w:color w:val="000000" w:themeColor="text1"/>
                <w:sz w:val="24"/>
                <w:szCs w:val="24"/>
              </w:rPr>
              <w:t>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w:t>
            </w:r>
            <w:r>
              <w:rPr>
                <w:rFonts w:hint="eastAsia" w:ascii="Times New Roman" w:hAnsi="Times New Roman" w:cs="Times New Roman"/>
                <w:color w:val="000000" w:themeColor="text1"/>
                <w:sz w:val="24"/>
                <w:szCs w:val="24"/>
              </w:rPr>
              <w:t>本项目对昆明合旺有色金属有限公司生产线产生的氧化锌尾渣进行综合利用，其主要工艺为通过物理磁选、重选的方式，回收有利用价值的铁和煤，年处理氧化锌尾渣16.5万吨；回收还原铁粉2.01万t/a、次铁粉0.55万t/a，煤粉产量1.1万t/a。</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根据设计，项目主要生产单元、主要工艺、生产设施及设施参数如下表所示。</w:t>
            </w:r>
          </w:p>
          <w:p>
            <w:pPr>
              <w:pStyle w:val="2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72"/>
              <w:gridCol w:w="1132"/>
              <w:gridCol w:w="3255"/>
              <w:gridCol w:w="1698"/>
              <w:gridCol w:w="13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32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设施参数</w:t>
                  </w:r>
                </w:p>
              </w:tc>
              <w:tc>
                <w:tcPr>
                  <w:tcW w:w="13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113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预处理车间</w:t>
                  </w:r>
                </w:p>
              </w:tc>
              <w:tc>
                <w:tcPr>
                  <w:tcW w:w="32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振动给料机</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21t/h</w:t>
                  </w:r>
                </w:p>
              </w:tc>
              <w:tc>
                <w:tcPr>
                  <w:tcW w:w="13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MQG1836格子型球磨机</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CTB1021磁选机</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宋体" w:cs="Times New Roman"/>
                      <w:color w:val="000000" w:themeColor="text1"/>
                    </w:rPr>
                    <w:t>渣浆泵</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bCs/>
                      <w:snapToGrid w:val="0"/>
                      <w:color w:val="000000" w:themeColor="text1"/>
                      <w:kern w:val="32"/>
                      <w:lang w:val="zh-CN"/>
                    </w:rPr>
                    <w:t>皮带机</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磁性物选别车间</w:t>
                  </w: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1021高频细筛</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MQY1245溢流型球磨机</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cs="Times New Roman"/>
                      <w:color w:val="000000" w:themeColor="text1"/>
                    </w:rPr>
                    <w:t>φ1200</w:t>
                  </w:r>
                  <w:r>
                    <w:rPr>
                      <w:rFonts w:ascii="Times New Roman" w:hAnsi="Times New Roman" w:eastAsia="宋体" w:cs="Times New Roman"/>
                      <w:color w:val="000000" w:themeColor="text1"/>
                      <w:kern w:val="32"/>
                    </w:rPr>
                    <w:t>螺旋溜槽</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云天摇床</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GW-3过滤机</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Φ1200*21000烘干机</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天然气燃烧机</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CTB0918弱磁机</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FNX-10斜管浓密箱</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50m²的板框压滤机</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7t/h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宋体" w:cs="Times New Roman"/>
                      <w:color w:val="000000" w:themeColor="text1"/>
                    </w:rPr>
                    <w:t>渣浆泵</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bCs/>
                      <w:snapToGrid w:val="0"/>
                      <w:color w:val="000000" w:themeColor="text1"/>
                      <w:kern w:val="32"/>
                      <w:lang w:val="zh-CN"/>
                    </w:rPr>
                    <w:t>皮带机</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非磁性物选别车间</w:t>
                  </w:r>
                </w:p>
              </w:tc>
              <w:tc>
                <w:tcPr>
                  <w:tcW w:w="32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φ1200</w:t>
                  </w:r>
                  <w:r>
                    <w:rPr>
                      <w:rFonts w:ascii="Times New Roman" w:hAnsi="宋体" w:cs="Times New Roman"/>
                      <w:color w:val="000000" w:themeColor="text1"/>
                    </w:rPr>
                    <w:t>螺旋溜槽</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7t/h</w:t>
                  </w:r>
                </w:p>
              </w:tc>
              <w:tc>
                <w:tcPr>
                  <w:tcW w:w="13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color w:val="000000" w:themeColor="text1"/>
                      <w:kern w:val="32"/>
                    </w:rPr>
                    <w:t>FNX-10斜管浓密箱</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7t/h</w:t>
                  </w:r>
                </w:p>
              </w:tc>
              <w:tc>
                <w:tcPr>
                  <w:tcW w:w="13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150m²板框压滤机</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color w:val="000000" w:themeColor="text1"/>
                      <w:kern w:val="32"/>
                    </w:rPr>
                    <w:t>7t/h</w:t>
                  </w:r>
                </w:p>
              </w:tc>
              <w:tc>
                <w:tcPr>
                  <w:tcW w:w="13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GP-30-6</w:t>
                  </w:r>
                  <w:r>
                    <w:rPr>
                      <w:rFonts w:ascii="Times New Roman" w:hAnsi="宋体" w:cs="Times New Roman"/>
                      <w:color w:val="000000" w:themeColor="text1"/>
                    </w:rPr>
                    <w:t>盘式过滤机</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宋体" w:cs="Times New Roman"/>
                      <w:color w:val="000000" w:themeColor="text1"/>
                    </w:rPr>
                    <w:t>渣浆泵</w:t>
                  </w:r>
                </w:p>
              </w:tc>
              <w:tc>
                <w:tcPr>
                  <w:tcW w:w="1701"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bCs/>
                      <w:snapToGrid w:val="0"/>
                      <w:color w:val="000000" w:themeColor="text1"/>
                      <w:kern w:val="32"/>
                      <w:lang w:val="zh-CN"/>
                    </w:rPr>
                    <w:t>皮带机</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color w:val="000000" w:themeColor="text1"/>
                      <w:kern w:val="32"/>
                    </w:rPr>
                    <w:t>21t/h</w:t>
                  </w:r>
                </w:p>
              </w:tc>
              <w:tc>
                <w:tcPr>
                  <w:tcW w:w="1350" w:type="dxa"/>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储运工程</w:t>
                  </w:r>
                </w:p>
              </w:tc>
              <w:tc>
                <w:tcPr>
                  <w:tcW w:w="113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原料仓</w:t>
                  </w:r>
                </w:p>
              </w:tc>
              <w:tc>
                <w:tcPr>
                  <w:tcW w:w="32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装载机</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3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26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叉车</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3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原辅料来源及性质</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2.5.1 原料性质及来源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本项目对昆明合旺有色金属有限公司生产线产生的氧化锌尾渣进行综合利用，其原料来源于</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次氧化锌生产线及其拟扩建线产生的氧化锌尾渣。若同类型企业产生的氧化锌尾渣，其固废属性为一般工业固体废物，且其成分组成和本企业产生的氧化锌尾渣相似，本项目也可对其进行综合利用。年处理氧化锌尾渣16.5万吨。</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（1）氧化锌尾渣成分分析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根据建设单位提供的多次化验单，其主要成分如下表所示。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2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int="eastAsia" w:hAnsi="Times New Roman" w:eastAsiaTheme="minorEastAsia"/>
                <w:bCs/>
                <w:snapToGrid w:val="0"/>
                <w:color w:val="000000" w:themeColor="text1"/>
                <w:sz w:val="21"/>
                <w:szCs w:val="21"/>
              </w:rPr>
              <w:t xml:space="preserve">表2.5.1-1 </w:t>
            </w:r>
            <w:r>
              <w:rPr>
                <w:rFonts w:hAnsi="Times New Roman" w:eastAsiaTheme="minorEastAsia"/>
                <w:bCs/>
                <w:snapToGrid w:val="0"/>
                <w:color w:val="000000" w:themeColor="text1"/>
                <w:sz w:val="21"/>
                <w:szCs w:val="21"/>
              </w:rPr>
              <w:t>原料</w:t>
            </w:r>
            <w:r>
              <w:rPr>
                <w:rFonts w:hint="eastAsia" w:hAnsi="Times New Roman" w:eastAsiaTheme="minorEastAsia"/>
                <w:bCs/>
                <w:snapToGrid w:val="0"/>
                <w:color w:val="000000" w:themeColor="text1"/>
                <w:sz w:val="21"/>
                <w:szCs w:val="21"/>
              </w:rPr>
              <w:t>主要成分一览表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74"/>
              <w:gridCol w:w="1075"/>
              <w:gridCol w:w="1075"/>
              <w:gridCol w:w="1076"/>
              <w:gridCol w:w="1076"/>
              <w:gridCol w:w="1076"/>
              <w:gridCol w:w="1076"/>
              <w:gridCol w:w="10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元素组分</w:t>
                  </w:r>
                </w:p>
              </w:tc>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锌</w:t>
                  </w:r>
                </w:p>
              </w:tc>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铅</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硅</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铁</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钙</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热值（卡）</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化验时间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6"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含量%</w:t>
                  </w:r>
                </w:p>
              </w:tc>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0.45</w:t>
                  </w:r>
                </w:p>
              </w:tc>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0.30</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24.48</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24.72</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13.10</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 xml:space="preserve">1026 </w:t>
                  </w:r>
                </w:p>
              </w:tc>
              <w:tc>
                <w:tcPr>
                  <w:tcW w:w="1077"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2021/7/20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6"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0.45</w:t>
                  </w:r>
                </w:p>
              </w:tc>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0.25</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27.89</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18.59</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16.07</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1179</w:t>
                  </w:r>
                </w:p>
              </w:tc>
              <w:tc>
                <w:tcPr>
                  <w:tcW w:w="1077"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2021/7/24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6"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0.58</w:t>
                  </w:r>
                </w:p>
              </w:tc>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0.26</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19.46</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18.72</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10.56</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946</w:t>
                  </w:r>
                </w:p>
              </w:tc>
              <w:tc>
                <w:tcPr>
                  <w:tcW w:w="1077"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2021/7/28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6"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0.71</w:t>
                  </w:r>
                </w:p>
              </w:tc>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0.34</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21.28</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15.59</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17.80</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1086</w:t>
                  </w:r>
                </w:p>
              </w:tc>
              <w:tc>
                <w:tcPr>
                  <w:tcW w:w="1077"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6"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0.66</w:t>
                  </w:r>
                </w:p>
              </w:tc>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0.25</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17.28</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15.67</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12.01</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1017</w:t>
                  </w:r>
                </w:p>
              </w:tc>
              <w:tc>
                <w:tcPr>
                  <w:tcW w:w="1077"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2021/8/8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6"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0.57</w:t>
                  </w:r>
                </w:p>
              </w:tc>
              <w:tc>
                <w:tcPr>
                  <w:tcW w:w="107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0.28</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22.08</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18.66</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13.91</w:t>
                  </w:r>
                </w:p>
              </w:tc>
              <w:tc>
                <w:tcPr>
                  <w:tcW w:w="107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1051</w:t>
                  </w:r>
                </w:p>
              </w:tc>
              <w:tc>
                <w:tcPr>
                  <w:tcW w:w="1077" w:type="dxa"/>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平均值</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（2）氧化锌尾渣属性鉴别</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为确定</w:t>
            </w:r>
            <w:r>
              <w:rPr>
                <w:rFonts w:ascii="Times New Roman" w:hAnsi="Times New Roman" w:cs="Times New Roman"/>
                <w:color w:val="000000" w:themeColor="text1"/>
                <w:sz w:val="24"/>
                <w:szCs w:val="24"/>
              </w:rPr>
              <w:t>昆明合旺有色金属有限公司</w:t>
            </w:r>
            <w:r>
              <w:rPr>
                <w:rFonts w:hint="eastAsia" w:ascii="Times New Roman" w:hAnsi="Times New Roman" w:cs="Times New Roman"/>
                <w:color w:val="000000" w:themeColor="text1"/>
                <w:sz w:val="24"/>
                <w:szCs w:val="24"/>
              </w:rPr>
              <w:t>产生的</w:t>
            </w:r>
            <w:r>
              <w:rPr>
                <w:rFonts w:ascii="Times New Roman" w:hAnsi="Times New Roman" w:cs="Times New Roman"/>
                <w:color w:val="000000" w:themeColor="text1"/>
                <w:sz w:val="24"/>
                <w:szCs w:val="24"/>
              </w:rPr>
              <w:t>氧化锌尾渣</w:t>
            </w:r>
            <w:r>
              <w:rPr>
                <w:rFonts w:hint="eastAsia" w:ascii="Times New Roman" w:hAnsi="Times New Roman" w:cs="Times New Roman"/>
                <w:color w:val="000000" w:themeColor="text1"/>
                <w:sz w:val="24"/>
                <w:szCs w:val="24"/>
              </w:rPr>
              <w:t>的固体废物属性，建设单位委托</w:t>
            </w:r>
            <w:r>
              <w:rPr>
                <w:rFonts w:ascii="Times New Roman" w:hAnsi="Times New Roman" w:cs="Times New Roman"/>
                <w:color w:val="000000" w:themeColor="text1"/>
                <w:sz w:val="24"/>
                <w:szCs w:val="24"/>
              </w:rPr>
              <w:t>云南升环检测技术有限公司</w:t>
            </w:r>
            <w:r>
              <w:rPr>
                <w:rFonts w:hint="eastAsia" w:ascii="Times New Roman" w:hAnsi="Times New Roman" w:cs="Times New Roman"/>
                <w:color w:val="000000" w:themeColor="text1"/>
                <w:sz w:val="24"/>
                <w:szCs w:val="24"/>
              </w:rPr>
              <w:t>对</w:t>
            </w:r>
            <w:r>
              <w:rPr>
                <w:rFonts w:ascii="Times New Roman" w:hAnsi="Times New Roman" w:cs="Times New Roman"/>
                <w:color w:val="000000" w:themeColor="text1"/>
                <w:sz w:val="24"/>
                <w:szCs w:val="24"/>
              </w:rPr>
              <w:t>氧化锌尾渣</w:t>
            </w:r>
            <w:r>
              <w:rPr>
                <w:rFonts w:hint="eastAsia" w:ascii="Times New Roman" w:hAnsi="Times New Roman" w:cs="Times New Roman"/>
                <w:color w:val="000000" w:themeColor="text1"/>
                <w:sz w:val="24"/>
                <w:szCs w:val="24"/>
              </w:rPr>
              <w:t>进行了属性鉴别。</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①酸</w:t>
            </w:r>
            <w:r>
              <w:rPr>
                <w:rFonts w:ascii="Times New Roman" w:hAnsi="Times New Roman" w:eastAsia="宋体" w:cs="Times New Roman"/>
                <w:b/>
                <w:color w:val="000000" w:themeColor="text1"/>
                <w:sz w:val="24"/>
                <w:szCs w:val="24"/>
              </w:rPr>
              <w:t>浸鉴别</w:t>
            </w:r>
            <w:r>
              <w:rPr>
                <w:rFonts w:hint="eastAsia" w:ascii="Times New Roman" w:hAnsi="Times New Roman" w:eastAsia="宋体" w:cs="Times New Roman"/>
                <w:b/>
                <w:color w:val="000000" w:themeColor="text1"/>
                <w:sz w:val="24"/>
                <w:szCs w:val="24"/>
              </w:rPr>
              <w:t>结果（</w:t>
            </w:r>
            <w:r>
              <w:rPr>
                <w:rFonts w:ascii="Times New Roman" w:hAnsi="Times New Roman" w:eastAsia="宋体" w:cs="Times New Roman"/>
                <w:b/>
                <w:color w:val="000000" w:themeColor="text1"/>
                <w:sz w:val="24"/>
                <w:szCs w:val="24"/>
              </w:rPr>
              <w:t>pH值</w:t>
            </w:r>
            <w:r>
              <w:rPr>
                <w:rFonts w:hint="eastAsia" w:ascii="Times New Roman" w:hAnsi="Times New Roman" w:eastAsia="宋体" w:cs="Times New Roman"/>
                <w:b/>
                <w:color w:val="000000" w:themeColor="text1"/>
                <w:sz w:val="24"/>
                <w:szCs w:val="24"/>
              </w:rPr>
              <w:t>水</w:t>
            </w:r>
            <w:r>
              <w:rPr>
                <w:rFonts w:ascii="Times New Roman" w:hAnsi="Times New Roman" w:eastAsia="宋体" w:cs="Times New Roman"/>
                <w:b/>
                <w:color w:val="000000" w:themeColor="text1"/>
                <w:sz w:val="24"/>
                <w:szCs w:val="24"/>
              </w:rPr>
              <w:t>浸</w:t>
            </w:r>
            <w:r>
              <w:rPr>
                <w:rFonts w:hint="eastAsia" w:ascii="Times New Roman" w:hAnsi="Times New Roman" w:eastAsia="宋体" w:cs="Times New Roman"/>
                <w:b/>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根据监测报告，</w:t>
            </w:r>
            <w:r>
              <w:rPr>
                <w:rFonts w:ascii="Times New Roman" w:hAnsi="Times New Roman" w:cs="Times New Roman"/>
                <w:color w:val="000000" w:themeColor="text1"/>
                <w:sz w:val="24"/>
                <w:szCs w:val="24"/>
              </w:rPr>
              <w:t>氧化锌尾渣渣</w:t>
            </w:r>
            <w:r>
              <w:rPr>
                <w:rFonts w:hint="eastAsia" w:ascii="Times New Roman" w:hAnsi="Times New Roman" w:cs="Times New Roman"/>
                <w:color w:val="000000" w:themeColor="text1"/>
                <w:sz w:val="24"/>
                <w:szCs w:val="24"/>
              </w:rPr>
              <w:t>通过酸浸后，其</w:t>
            </w:r>
            <w:r>
              <w:rPr>
                <w:rFonts w:ascii="Times New Roman" w:hAnsi="Times New Roman" w:cs="Times New Roman"/>
                <w:color w:val="000000" w:themeColor="text1"/>
                <w:sz w:val="24"/>
                <w:szCs w:val="24"/>
              </w:rPr>
              <w:t>腐蚀性及浸出毒性鉴别结果见下表。</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2.5.1-2</w:t>
            </w:r>
            <w:r>
              <w:rPr>
                <w:rFonts w:ascii="Times New Roman" w:hAnsi="Times New Roman" w:eastAsia="宋体" w:cs="Times New Roman"/>
                <w:b/>
                <w:color w:val="000000" w:themeColor="text1"/>
              </w:rPr>
              <w:t xml:space="preserve"> 氧化锌尾渣渣腐蚀性、浸出毒性检测结果一览表</w:t>
            </w:r>
            <w:r>
              <w:rPr>
                <w:rFonts w:hint="eastAsia" w:ascii="Times New Roman" w:hAnsi="Times New Roman" w:eastAsia="宋体" w:cs="Times New Roman"/>
                <w:b/>
                <w:color w:val="000000" w:themeColor="text1"/>
              </w:rPr>
              <w:t xml:space="preserve">   </w:t>
            </w:r>
            <w:r>
              <w:rPr>
                <w:rFonts w:ascii="Times New Roman" w:hAnsi="Times New Roman" w:eastAsia="宋体" w:cs="Times New Roman"/>
                <w:b/>
                <w:color w:val="000000" w:themeColor="text1"/>
              </w:rPr>
              <w:t>单位：</w:t>
            </w:r>
            <w:r>
              <w:rPr>
                <w:rFonts w:hint="eastAsia" w:ascii="Times New Roman" w:hAnsi="Times New Roman" w:eastAsia="宋体" w:cs="Times New Roman"/>
                <w:b/>
                <w:color w:val="000000" w:themeColor="text1"/>
              </w:rPr>
              <w:t>mg/L</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3"/>
              <w:gridCol w:w="1341"/>
              <w:gridCol w:w="1632"/>
              <w:gridCol w:w="2031"/>
              <w:gridCol w:w="26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953" w:type="dxa"/>
                  <w:vAlign w:val="center"/>
                </w:tcPr>
                <w:p>
                  <w:pPr>
                    <w:pStyle w:val="24"/>
                    <w:spacing w:line="360" w:lineRule="exact"/>
                    <w:rPr>
                      <w:color w:val="000000" w:themeColor="text1"/>
                      <w:szCs w:val="21"/>
                    </w:rPr>
                  </w:pPr>
                  <w:r>
                    <w:rPr>
                      <w:color w:val="000000" w:themeColor="text1"/>
                      <w:szCs w:val="21"/>
                    </w:rPr>
                    <w:t>序号</w:t>
                  </w:r>
                </w:p>
              </w:tc>
              <w:tc>
                <w:tcPr>
                  <w:tcW w:w="2973" w:type="dxa"/>
                  <w:gridSpan w:val="2"/>
                  <w:vAlign w:val="center"/>
                </w:tcPr>
                <w:p>
                  <w:pPr>
                    <w:pStyle w:val="24"/>
                    <w:spacing w:line="360" w:lineRule="exact"/>
                    <w:rPr>
                      <w:color w:val="000000" w:themeColor="text1"/>
                      <w:szCs w:val="21"/>
                    </w:rPr>
                  </w:pPr>
                  <w:r>
                    <w:rPr>
                      <w:color w:val="000000" w:themeColor="text1"/>
                      <w:szCs w:val="21"/>
                    </w:rPr>
                    <w:t>污染因子</w:t>
                  </w:r>
                </w:p>
              </w:tc>
              <w:tc>
                <w:tcPr>
                  <w:tcW w:w="2031"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检出值</w:t>
                  </w:r>
                </w:p>
              </w:tc>
              <w:tc>
                <w:tcPr>
                  <w:tcW w:w="2648" w:type="dxa"/>
                  <w:vAlign w:val="center"/>
                </w:tcPr>
                <w:p>
                  <w:pPr>
                    <w:pStyle w:val="24"/>
                    <w:spacing w:line="360" w:lineRule="exact"/>
                    <w:rPr>
                      <w:color w:val="000000" w:themeColor="text1"/>
                      <w:szCs w:val="21"/>
                    </w:rPr>
                  </w:pPr>
                  <w:r>
                    <w:rPr>
                      <w:color w:val="000000" w:themeColor="text1"/>
                      <w:szCs w:val="21"/>
                    </w:rPr>
                    <w:t>危险废物参考标准值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color w:val="000000" w:themeColor="text1"/>
                      <w:szCs w:val="21"/>
                    </w:rPr>
                    <w:t>1</w:t>
                  </w:r>
                </w:p>
              </w:tc>
              <w:tc>
                <w:tcPr>
                  <w:tcW w:w="2973" w:type="dxa"/>
                  <w:gridSpan w:val="2"/>
                  <w:vAlign w:val="center"/>
                </w:tcPr>
                <w:p>
                  <w:pPr>
                    <w:pStyle w:val="24"/>
                    <w:spacing w:line="360" w:lineRule="exact"/>
                    <w:rPr>
                      <w:color w:val="000000" w:themeColor="text1"/>
                      <w:szCs w:val="21"/>
                    </w:rPr>
                  </w:pPr>
                  <w:r>
                    <w:rPr>
                      <w:color w:val="000000" w:themeColor="text1"/>
                      <w:szCs w:val="21"/>
                    </w:rPr>
                    <w:t>pH值</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7.32</w:t>
                  </w:r>
                </w:p>
              </w:tc>
              <w:tc>
                <w:tcPr>
                  <w:tcW w:w="2648" w:type="dxa"/>
                  <w:vAlign w:val="center"/>
                </w:tcPr>
                <w:p>
                  <w:pPr>
                    <w:pStyle w:val="24"/>
                    <w:spacing w:line="360" w:lineRule="exact"/>
                    <w:rPr>
                      <w:color w:val="000000" w:themeColor="text1"/>
                      <w:szCs w:val="21"/>
                    </w:rPr>
                  </w:pPr>
                  <w:r>
                    <w:rPr>
                      <w:color w:val="000000" w:themeColor="text1"/>
                      <w:szCs w:val="21"/>
                    </w:rPr>
                    <w:t>≥12.5或≤2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rFonts w:hint="eastAsia"/>
                      <w:color w:val="000000" w:themeColor="text1"/>
                      <w:szCs w:val="21"/>
                    </w:rPr>
                    <w:t>2</w:t>
                  </w:r>
                </w:p>
              </w:tc>
              <w:tc>
                <w:tcPr>
                  <w:tcW w:w="2973" w:type="dxa"/>
                  <w:gridSpan w:val="2"/>
                  <w:vAlign w:val="center"/>
                </w:tcPr>
                <w:p>
                  <w:pPr>
                    <w:pStyle w:val="24"/>
                    <w:spacing w:line="360" w:lineRule="exact"/>
                    <w:rPr>
                      <w:color w:val="000000" w:themeColor="text1"/>
                      <w:szCs w:val="21"/>
                    </w:rPr>
                  </w:pPr>
                  <w:r>
                    <w:rPr>
                      <w:color w:val="000000" w:themeColor="text1"/>
                      <w:szCs w:val="21"/>
                    </w:rPr>
                    <w:t>铜</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0.02L</w:t>
                  </w:r>
                </w:p>
              </w:tc>
              <w:tc>
                <w:tcPr>
                  <w:tcW w:w="2648" w:type="dxa"/>
                  <w:vAlign w:val="center"/>
                </w:tcPr>
                <w:p>
                  <w:pPr>
                    <w:pStyle w:val="24"/>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rFonts w:hint="eastAsia"/>
                      <w:color w:val="000000" w:themeColor="text1"/>
                      <w:szCs w:val="21"/>
                    </w:rPr>
                    <w:t>3</w:t>
                  </w:r>
                </w:p>
              </w:tc>
              <w:tc>
                <w:tcPr>
                  <w:tcW w:w="2973" w:type="dxa"/>
                  <w:gridSpan w:val="2"/>
                  <w:vAlign w:val="center"/>
                </w:tcPr>
                <w:p>
                  <w:pPr>
                    <w:pStyle w:val="24"/>
                    <w:spacing w:line="360" w:lineRule="exact"/>
                    <w:rPr>
                      <w:color w:val="000000" w:themeColor="text1"/>
                      <w:szCs w:val="21"/>
                    </w:rPr>
                  </w:pPr>
                  <w:r>
                    <w:rPr>
                      <w:color w:val="000000" w:themeColor="text1"/>
                      <w:szCs w:val="21"/>
                    </w:rPr>
                    <w:t>锌</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0.005L</w:t>
                  </w:r>
                </w:p>
              </w:tc>
              <w:tc>
                <w:tcPr>
                  <w:tcW w:w="2648" w:type="dxa"/>
                  <w:vAlign w:val="center"/>
                </w:tcPr>
                <w:p>
                  <w:pPr>
                    <w:pStyle w:val="24"/>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rFonts w:hint="eastAsia"/>
                      <w:color w:val="000000" w:themeColor="text1"/>
                      <w:szCs w:val="21"/>
                    </w:rPr>
                    <w:t>4</w:t>
                  </w:r>
                </w:p>
              </w:tc>
              <w:tc>
                <w:tcPr>
                  <w:tcW w:w="2973" w:type="dxa"/>
                  <w:gridSpan w:val="2"/>
                  <w:vAlign w:val="center"/>
                </w:tcPr>
                <w:p>
                  <w:pPr>
                    <w:pStyle w:val="24"/>
                    <w:spacing w:line="360" w:lineRule="exact"/>
                    <w:rPr>
                      <w:color w:val="000000" w:themeColor="text1"/>
                      <w:szCs w:val="21"/>
                    </w:rPr>
                  </w:pPr>
                  <w:r>
                    <w:rPr>
                      <w:color w:val="000000" w:themeColor="text1"/>
                      <w:szCs w:val="21"/>
                    </w:rPr>
                    <w:t>镉</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0.005L</w:t>
                  </w:r>
                </w:p>
              </w:tc>
              <w:tc>
                <w:tcPr>
                  <w:tcW w:w="2648" w:type="dxa"/>
                  <w:vAlign w:val="center"/>
                </w:tcPr>
                <w:p>
                  <w:pPr>
                    <w:pStyle w:val="24"/>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rFonts w:hint="eastAsia"/>
                      <w:color w:val="000000" w:themeColor="text1"/>
                      <w:szCs w:val="21"/>
                    </w:rPr>
                    <w:t>5</w:t>
                  </w:r>
                </w:p>
              </w:tc>
              <w:tc>
                <w:tcPr>
                  <w:tcW w:w="2973" w:type="dxa"/>
                  <w:gridSpan w:val="2"/>
                  <w:vAlign w:val="center"/>
                </w:tcPr>
                <w:p>
                  <w:pPr>
                    <w:pStyle w:val="24"/>
                    <w:spacing w:line="360" w:lineRule="exact"/>
                    <w:rPr>
                      <w:color w:val="000000" w:themeColor="text1"/>
                      <w:szCs w:val="21"/>
                    </w:rPr>
                  </w:pPr>
                  <w:r>
                    <w:rPr>
                      <w:color w:val="000000" w:themeColor="text1"/>
                      <w:szCs w:val="21"/>
                    </w:rPr>
                    <w:t>铅</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0.1L</w:t>
                  </w:r>
                </w:p>
              </w:tc>
              <w:tc>
                <w:tcPr>
                  <w:tcW w:w="2648" w:type="dxa"/>
                  <w:vAlign w:val="center"/>
                </w:tcPr>
                <w:p>
                  <w:pPr>
                    <w:pStyle w:val="24"/>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rFonts w:hint="eastAsia"/>
                      <w:color w:val="000000" w:themeColor="text1"/>
                      <w:szCs w:val="21"/>
                    </w:rPr>
                    <w:t>6</w:t>
                  </w:r>
                </w:p>
              </w:tc>
              <w:tc>
                <w:tcPr>
                  <w:tcW w:w="2973" w:type="dxa"/>
                  <w:gridSpan w:val="2"/>
                  <w:vAlign w:val="center"/>
                </w:tcPr>
                <w:p>
                  <w:pPr>
                    <w:pStyle w:val="24"/>
                    <w:spacing w:line="360" w:lineRule="exact"/>
                    <w:rPr>
                      <w:color w:val="000000" w:themeColor="text1"/>
                      <w:szCs w:val="21"/>
                    </w:rPr>
                  </w:pPr>
                  <w:r>
                    <w:rPr>
                      <w:color w:val="000000" w:themeColor="text1"/>
                      <w:szCs w:val="21"/>
                    </w:rPr>
                    <w:t>总铬</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0.014</w:t>
                  </w:r>
                </w:p>
              </w:tc>
              <w:tc>
                <w:tcPr>
                  <w:tcW w:w="2648" w:type="dxa"/>
                  <w:vAlign w:val="center"/>
                </w:tcPr>
                <w:p>
                  <w:pPr>
                    <w:pStyle w:val="24"/>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953" w:type="dxa"/>
                  <w:vMerge w:val="restart"/>
                  <w:vAlign w:val="center"/>
                </w:tcPr>
                <w:p>
                  <w:pPr>
                    <w:pStyle w:val="24"/>
                    <w:spacing w:line="360" w:lineRule="exact"/>
                    <w:rPr>
                      <w:color w:val="000000" w:themeColor="text1"/>
                      <w:szCs w:val="21"/>
                    </w:rPr>
                  </w:pPr>
                  <w:r>
                    <w:rPr>
                      <w:rFonts w:hint="eastAsia"/>
                      <w:color w:val="000000" w:themeColor="text1"/>
                      <w:szCs w:val="21"/>
                    </w:rPr>
                    <w:t>7</w:t>
                  </w:r>
                </w:p>
              </w:tc>
              <w:tc>
                <w:tcPr>
                  <w:tcW w:w="1341" w:type="dxa"/>
                  <w:vMerge w:val="restart"/>
                  <w:vAlign w:val="center"/>
                </w:tcPr>
                <w:p>
                  <w:pPr>
                    <w:pStyle w:val="24"/>
                    <w:spacing w:line="360" w:lineRule="exact"/>
                    <w:rPr>
                      <w:color w:val="000000" w:themeColor="text1"/>
                      <w:szCs w:val="21"/>
                    </w:rPr>
                  </w:pPr>
                  <w:r>
                    <w:rPr>
                      <w:rFonts w:hint="eastAsia"/>
                      <w:color w:val="000000" w:themeColor="text1"/>
                      <w:szCs w:val="21"/>
                    </w:rPr>
                    <w:t>烷基汞</w:t>
                  </w:r>
                </w:p>
              </w:tc>
              <w:tc>
                <w:tcPr>
                  <w:tcW w:w="1632" w:type="dxa"/>
                  <w:vAlign w:val="center"/>
                </w:tcPr>
                <w:p>
                  <w:pPr>
                    <w:pStyle w:val="24"/>
                    <w:spacing w:line="360" w:lineRule="exact"/>
                    <w:rPr>
                      <w:color w:val="000000" w:themeColor="text1"/>
                      <w:szCs w:val="21"/>
                    </w:rPr>
                  </w:pPr>
                  <w:r>
                    <w:rPr>
                      <w:rFonts w:hint="eastAsia"/>
                      <w:color w:val="000000" w:themeColor="text1"/>
                      <w:szCs w:val="21"/>
                    </w:rPr>
                    <w:t>甲基汞</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w:t>
                  </w:r>
                </w:p>
              </w:tc>
              <w:tc>
                <w:tcPr>
                  <w:tcW w:w="2648" w:type="dxa"/>
                  <w:vMerge w:val="restart"/>
                  <w:vAlign w:val="center"/>
                </w:tcPr>
                <w:p>
                  <w:pPr>
                    <w:pStyle w:val="24"/>
                    <w:spacing w:line="360" w:lineRule="exact"/>
                    <w:rPr>
                      <w:color w:val="000000" w:themeColor="text1"/>
                      <w:szCs w:val="21"/>
                    </w:rPr>
                  </w:pPr>
                  <w:r>
                    <w:rPr>
                      <w:rFonts w:hint="eastAsia"/>
                      <w:color w:val="000000" w:themeColor="text1"/>
                      <w:szCs w:val="21"/>
                    </w:rPr>
                    <w:t>不得检出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 w:hRule="atLeast"/>
                <w:jc w:val="center"/>
              </w:trPr>
              <w:tc>
                <w:tcPr>
                  <w:tcW w:w="953" w:type="dxa"/>
                  <w:vMerge w:val="continue"/>
                  <w:vAlign w:val="center"/>
                </w:tcPr>
                <w:p>
                  <w:pPr>
                    <w:pStyle w:val="24"/>
                    <w:spacing w:line="360" w:lineRule="exact"/>
                    <w:rPr>
                      <w:color w:val="000000" w:themeColor="text1"/>
                      <w:szCs w:val="21"/>
                    </w:rPr>
                  </w:pPr>
                </w:p>
              </w:tc>
              <w:tc>
                <w:tcPr>
                  <w:tcW w:w="1341" w:type="dxa"/>
                  <w:vMerge w:val="continue"/>
                  <w:vAlign w:val="center"/>
                </w:tcPr>
                <w:p>
                  <w:pPr>
                    <w:pStyle w:val="24"/>
                    <w:spacing w:line="360" w:lineRule="exact"/>
                    <w:rPr>
                      <w:color w:val="000000" w:themeColor="text1"/>
                      <w:szCs w:val="21"/>
                    </w:rPr>
                  </w:pPr>
                </w:p>
              </w:tc>
              <w:tc>
                <w:tcPr>
                  <w:tcW w:w="1632" w:type="dxa"/>
                  <w:vAlign w:val="center"/>
                </w:tcPr>
                <w:p>
                  <w:pPr>
                    <w:pStyle w:val="24"/>
                    <w:spacing w:line="360" w:lineRule="exact"/>
                    <w:rPr>
                      <w:color w:val="000000" w:themeColor="text1"/>
                      <w:szCs w:val="21"/>
                    </w:rPr>
                  </w:pPr>
                  <w:r>
                    <w:rPr>
                      <w:rFonts w:hint="eastAsia"/>
                      <w:color w:val="000000" w:themeColor="text1"/>
                      <w:szCs w:val="21"/>
                    </w:rPr>
                    <w:t>乙基汞</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w:t>
                  </w:r>
                </w:p>
              </w:tc>
              <w:tc>
                <w:tcPr>
                  <w:tcW w:w="2648" w:type="dxa"/>
                  <w:vMerge w:val="continue"/>
                  <w:vAlign w:val="center"/>
                </w:tcPr>
                <w:p>
                  <w:pPr>
                    <w:pStyle w:val="24"/>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color w:val="000000" w:themeColor="text1"/>
                      <w:szCs w:val="21"/>
                    </w:rPr>
                    <w:t>8</w:t>
                  </w:r>
                </w:p>
              </w:tc>
              <w:tc>
                <w:tcPr>
                  <w:tcW w:w="2973" w:type="dxa"/>
                  <w:gridSpan w:val="2"/>
                  <w:vAlign w:val="center"/>
                </w:tcPr>
                <w:p>
                  <w:pPr>
                    <w:pStyle w:val="24"/>
                    <w:spacing w:line="360" w:lineRule="exact"/>
                    <w:rPr>
                      <w:color w:val="000000" w:themeColor="text1"/>
                      <w:szCs w:val="21"/>
                    </w:rPr>
                  </w:pPr>
                  <w:r>
                    <w:rPr>
                      <w:color w:val="000000" w:themeColor="text1"/>
                      <w:szCs w:val="21"/>
                    </w:rPr>
                    <w:t>六价铬</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0.005</w:t>
                  </w:r>
                </w:p>
              </w:tc>
              <w:tc>
                <w:tcPr>
                  <w:tcW w:w="2648" w:type="dxa"/>
                  <w:vAlign w:val="center"/>
                </w:tcPr>
                <w:p>
                  <w:pPr>
                    <w:pStyle w:val="24"/>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color w:val="000000" w:themeColor="text1"/>
                      <w:szCs w:val="21"/>
                    </w:rPr>
                    <w:t>9</w:t>
                  </w:r>
                </w:p>
              </w:tc>
              <w:tc>
                <w:tcPr>
                  <w:tcW w:w="2973" w:type="dxa"/>
                  <w:gridSpan w:val="2"/>
                  <w:vAlign w:val="center"/>
                </w:tcPr>
                <w:p>
                  <w:pPr>
                    <w:pStyle w:val="24"/>
                    <w:spacing w:line="360" w:lineRule="exact"/>
                    <w:rPr>
                      <w:color w:val="000000" w:themeColor="text1"/>
                      <w:szCs w:val="21"/>
                    </w:rPr>
                  </w:pPr>
                  <w:r>
                    <w:rPr>
                      <w:rFonts w:hint="eastAsia"/>
                      <w:color w:val="000000" w:themeColor="text1"/>
                      <w:szCs w:val="21"/>
                    </w:rPr>
                    <w:t>汞</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0.05L</w:t>
                  </w:r>
                </w:p>
              </w:tc>
              <w:tc>
                <w:tcPr>
                  <w:tcW w:w="2648" w:type="dxa"/>
                  <w:vAlign w:val="center"/>
                </w:tcPr>
                <w:p>
                  <w:pPr>
                    <w:pStyle w:val="24"/>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color w:val="000000" w:themeColor="text1"/>
                      <w:szCs w:val="21"/>
                    </w:rPr>
                    <w:t>10</w:t>
                  </w:r>
                </w:p>
              </w:tc>
              <w:tc>
                <w:tcPr>
                  <w:tcW w:w="2973" w:type="dxa"/>
                  <w:gridSpan w:val="2"/>
                  <w:vAlign w:val="center"/>
                </w:tcPr>
                <w:p>
                  <w:pPr>
                    <w:pStyle w:val="24"/>
                    <w:spacing w:line="360" w:lineRule="exact"/>
                    <w:rPr>
                      <w:color w:val="000000" w:themeColor="text1"/>
                      <w:szCs w:val="21"/>
                    </w:rPr>
                  </w:pPr>
                  <w:r>
                    <w:rPr>
                      <w:color w:val="000000" w:themeColor="text1"/>
                      <w:szCs w:val="21"/>
                    </w:rPr>
                    <w:t>铍</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0.2L</w:t>
                  </w:r>
                </w:p>
              </w:tc>
              <w:tc>
                <w:tcPr>
                  <w:tcW w:w="2648" w:type="dxa"/>
                  <w:vAlign w:val="center"/>
                </w:tcPr>
                <w:p>
                  <w:pPr>
                    <w:pStyle w:val="24"/>
                    <w:spacing w:line="360" w:lineRule="exact"/>
                    <w:rPr>
                      <w:color w:val="000000" w:themeColor="text1"/>
                      <w:szCs w:val="21"/>
                    </w:rPr>
                  </w:pPr>
                  <w:r>
                    <w:rPr>
                      <w:color w:val="000000" w:themeColor="text1"/>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color w:val="000000" w:themeColor="text1"/>
                      <w:szCs w:val="21"/>
                    </w:rPr>
                    <w:t>11</w:t>
                  </w:r>
                </w:p>
              </w:tc>
              <w:tc>
                <w:tcPr>
                  <w:tcW w:w="2973" w:type="dxa"/>
                  <w:gridSpan w:val="2"/>
                  <w:vAlign w:val="center"/>
                </w:tcPr>
                <w:p>
                  <w:pPr>
                    <w:pStyle w:val="24"/>
                    <w:spacing w:line="360" w:lineRule="exact"/>
                    <w:rPr>
                      <w:color w:val="000000" w:themeColor="text1"/>
                      <w:szCs w:val="21"/>
                    </w:rPr>
                  </w:pPr>
                  <w:r>
                    <w:rPr>
                      <w:color w:val="000000" w:themeColor="text1"/>
                      <w:szCs w:val="21"/>
                    </w:rPr>
                    <w:t>钡</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0.1L</w:t>
                  </w:r>
                </w:p>
              </w:tc>
              <w:tc>
                <w:tcPr>
                  <w:tcW w:w="2648" w:type="dxa"/>
                  <w:vAlign w:val="center"/>
                </w:tcPr>
                <w:p>
                  <w:pPr>
                    <w:pStyle w:val="24"/>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color w:val="000000" w:themeColor="text1"/>
                      <w:szCs w:val="21"/>
                    </w:rPr>
                    <w:t>12</w:t>
                  </w:r>
                </w:p>
              </w:tc>
              <w:tc>
                <w:tcPr>
                  <w:tcW w:w="2973" w:type="dxa"/>
                  <w:gridSpan w:val="2"/>
                  <w:vAlign w:val="center"/>
                </w:tcPr>
                <w:p>
                  <w:pPr>
                    <w:pStyle w:val="24"/>
                    <w:spacing w:line="360" w:lineRule="exact"/>
                    <w:rPr>
                      <w:color w:val="000000" w:themeColor="text1"/>
                      <w:szCs w:val="21"/>
                    </w:rPr>
                  </w:pPr>
                  <w:r>
                    <w:rPr>
                      <w:color w:val="000000" w:themeColor="text1"/>
                      <w:szCs w:val="21"/>
                    </w:rPr>
                    <w:t>镍</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0.04L</w:t>
                  </w:r>
                </w:p>
              </w:tc>
              <w:tc>
                <w:tcPr>
                  <w:tcW w:w="2648" w:type="dxa"/>
                  <w:vAlign w:val="center"/>
                </w:tcPr>
                <w:p>
                  <w:pPr>
                    <w:pStyle w:val="24"/>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color w:val="000000" w:themeColor="text1"/>
                      <w:szCs w:val="21"/>
                    </w:rPr>
                    <w:t>13</w:t>
                  </w:r>
                </w:p>
              </w:tc>
              <w:tc>
                <w:tcPr>
                  <w:tcW w:w="2973" w:type="dxa"/>
                  <w:gridSpan w:val="2"/>
                  <w:vAlign w:val="center"/>
                </w:tcPr>
                <w:p>
                  <w:pPr>
                    <w:pStyle w:val="24"/>
                    <w:spacing w:line="360" w:lineRule="exact"/>
                    <w:rPr>
                      <w:color w:val="000000" w:themeColor="text1"/>
                      <w:szCs w:val="21"/>
                    </w:rPr>
                  </w:pPr>
                  <w:r>
                    <w:rPr>
                      <w:rFonts w:hint="eastAsia"/>
                      <w:color w:val="000000" w:themeColor="text1"/>
                      <w:szCs w:val="21"/>
                    </w:rPr>
                    <w:t>总</w:t>
                  </w:r>
                  <w:r>
                    <w:rPr>
                      <w:color w:val="000000" w:themeColor="text1"/>
                      <w:szCs w:val="21"/>
                    </w:rPr>
                    <w:t>银</w:t>
                  </w:r>
                </w:p>
              </w:tc>
              <w:tc>
                <w:tcPr>
                  <w:tcW w:w="2031"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0.01L</w:t>
                  </w:r>
                </w:p>
              </w:tc>
              <w:tc>
                <w:tcPr>
                  <w:tcW w:w="2648" w:type="dxa"/>
                  <w:vAlign w:val="center"/>
                </w:tcPr>
                <w:p>
                  <w:pPr>
                    <w:pStyle w:val="24"/>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color w:val="000000" w:themeColor="text1"/>
                      <w:szCs w:val="21"/>
                    </w:rPr>
                    <w:t>14</w:t>
                  </w:r>
                </w:p>
              </w:tc>
              <w:tc>
                <w:tcPr>
                  <w:tcW w:w="2973" w:type="dxa"/>
                  <w:gridSpan w:val="2"/>
                  <w:vAlign w:val="center"/>
                </w:tcPr>
                <w:p>
                  <w:pPr>
                    <w:pStyle w:val="24"/>
                    <w:spacing w:line="360" w:lineRule="exact"/>
                    <w:rPr>
                      <w:color w:val="000000" w:themeColor="text1"/>
                      <w:szCs w:val="21"/>
                    </w:rPr>
                  </w:pPr>
                  <w:r>
                    <w:rPr>
                      <w:color w:val="000000" w:themeColor="text1"/>
                      <w:szCs w:val="21"/>
                    </w:rPr>
                    <w:t>砷</w:t>
                  </w:r>
                </w:p>
              </w:tc>
              <w:tc>
                <w:tcPr>
                  <w:tcW w:w="2031"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0.2L</w:t>
                  </w:r>
                </w:p>
              </w:tc>
              <w:tc>
                <w:tcPr>
                  <w:tcW w:w="2648" w:type="dxa"/>
                  <w:vAlign w:val="center"/>
                </w:tcPr>
                <w:p>
                  <w:pPr>
                    <w:pStyle w:val="24"/>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color w:val="000000" w:themeColor="text1"/>
                      <w:szCs w:val="21"/>
                    </w:rPr>
                    <w:t>15</w:t>
                  </w:r>
                </w:p>
              </w:tc>
              <w:tc>
                <w:tcPr>
                  <w:tcW w:w="2973" w:type="dxa"/>
                  <w:gridSpan w:val="2"/>
                  <w:vAlign w:val="center"/>
                </w:tcPr>
                <w:p>
                  <w:pPr>
                    <w:pStyle w:val="24"/>
                    <w:spacing w:line="360" w:lineRule="exact"/>
                    <w:rPr>
                      <w:color w:val="000000" w:themeColor="text1"/>
                      <w:szCs w:val="21"/>
                    </w:rPr>
                  </w:pPr>
                  <w:r>
                    <w:rPr>
                      <w:color w:val="000000" w:themeColor="text1"/>
                      <w:szCs w:val="21"/>
                    </w:rPr>
                    <w:t>硒</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0.5L</w:t>
                  </w:r>
                </w:p>
              </w:tc>
              <w:tc>
                <w:tcPr>
                  <w:tcW w:w="2648" w:type="dxa"/>
                  <w:vAlign w:val="center"/>
                </w:tcPr>
                <w:p>
                  <w:pPr>
                    <w:pStyle w:val="24"/>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color w:val="000000" w:themeColor="text1"/>
                      <w:szCs w:val="21"/>
                    </w:rPr>
                    <w:t>16</w:t>
                  </w:r>
                </w:p>
              </w:tc>
              <w:tc>
                <w:tcPr>
                  <w:tcW w:w="2973" w:type="dxa"/>
                  <w:gridSpan w:val="2"/>
                  <w:vAlign w:val="center"/>
                </w:tcPr>
                <w:p>
                  <w:pPr>
                    <w:pStyle w:val="24"/>
                    <w:spacing w:line="360" w:lineRule="exact"/>
                    <w:rPr>
                      <w:color w:val="000000" w:themeColor="text1"/>
                      <w:szCs w:val="21"/>
                    </w:rPr>
                  </w:pPr>
                  <w:r>
                    <w:rPr>
                      <w:color w:val="000000" w:themeColor="text1"/>
                      <w:szCs w:val="21"/>
                    </w:rPr>
                    <w:t>氟化物</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0.74</w:t>
                  </w:r>
                </w:p>
              </w:tc>
              <w:tc>
                <w:tcPr>
                  <w:tcW w:w="2648" w:type="dxa"/>
                  <w:vAlign w:val="center"/>
                </w:tcPr>
                <w:p>
                  <w:pPr>
                    <w:pStyle w:val="24"/>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3" w:type="dxa"/>
                  <w:vAlign w:val="center"/>
                </w:tcPr>
                <w:p>
                  <w:pPr>
                    <w:pStyle w:val="24"/>
                    <w:spacing w:line="360" w:lineRule="exact"/>
                    <w:rPr>
                      <w:color w:val="000000" w:themeColor="text1"/>
                      <w:szCs w:val="21"/>
                    </w:rPr>
                  </w:pPr>
                  <w:r>
                    <w:rPr>
                      <w:rFonts w:hint="eastAsia"/>
                      <w:color w:val="000000" w:themeColor="text1"/>
                      <w:szCs w:val="21"/>
                    </w:rPr>
                    <w:t>17</w:t>
                  </w:r>
                </w:p>
              </w:tc>
              <w:tc>
                <w:tcPr>
                  <w:tcW w:w="2973" w:type="dxa"/>
                  <w:gridSpan w:val="2"/>
                  <w:vAlign w:val="center"/>
                </w:tcPr>
                <w:p>
                  <w:pPr>
                    <w:pStyle w:val="24"/>
                    <w:spacing w:line="360" w:lineRule="exact"/>
                    <w:rPr>
                      <w:color w:val="000000" w:themeColor="text1"/>
                      <w:szCs w:val="21"/>
                    </w:rPr>
                  </w:pPr>
                  <w:r>
                    <w:rPr>
                      <w:color w:val="000000" w:themeColor="text1"/>
                      <w:szCs w:val="21"/>
                    </w:rPr>
                    <w:t>氰化物</w:t>
                  </w:r>
                </w:p>
              </w:tc>
              <w:tc>
                <w:tcPr>
                  <w:tcW w:w="2031" w:type="dxa"/>
                  <w:tcBorders>
                    <w:right w:val="single" w:color="auto" w:sz="4" w:space="0"/>
                  </w:tcBorders>
                </w:tcPr>
                <w:p>
                  <w:pPr>
                    <w:pStyle w:val="24"/>
                    <w:spacing w:line="360" w:lineRule="exact"/>
                    <w:rPr>
                      <w:color w:val="000000" w:themeColor="text1"/>
                      <w:szCs w:val="21"/>
                    </w:rPr>
                  </w:pPr>
                  <w:r>
                    <w:rPr>
                      <w:color w:val="000000" w:themeColor="text1"/>
                      <w:szCs w:val="21"/>
                    </w:rPr>
                    <w:t>0.004L</w:t>
                  </w:r>
                </w:p>
              </w:tc>
              <w:tc>
                <w:tcPr>
                  <w:tcW w:w="2648" w:type="dxa"/>
                  <w:vAlign w:val="center"/>
                </w:tcPr>
                <w:p>
                  <w:pPr>
                    <w:pStyle w:val="24"/>
                    <w:spacing w:line="360" w:lineRule="exact"/>
                    <w:rPr>
                      <w:color w:val="000000" w:themeColor="text1"/>
                      <w:szCs w:val="21"/>
                    </w:rPr>
                  </w:pPr>
                  <w:r>
                    <w:rPr>
                      <w:color w:val="000000" w:themeColor="text1"/>
                      <w:szCs w:val="21"/>
                    </w:rPr>
                    <w:t>5</w:t>
                  </w:r>
                </w:p>
              </w:tc>
            </w:tr>
          </w:tbl>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由上表可知，</w:t>
            </w:r>
            <w:r>
              <w:rPr>
                <w:rFonts w:hint="eastAsia" w:ascii="Times New Roman" w:hAnsi="Times New Roman" w:eastAsia="宋体" w:cs="Times New Roman"/>
                <w:color w:val="000000" w:themeColor="text1"/>
                <w:sz w:val="24"/>
                <w:szCs w:val="24"/>
              </w:rPr>
              <w:t>氧化锌尾渣渣</w:t>
            </w:r>
            <w:r>
              <w:rPr>
                <w:rFonts w:ascii="Times New Roman" w:hAnsi="Times New Roman" w:eastAsia="宋体" w:cs="Times New Roman"/>
                <w:color w:val="000000" w:themeColor="text1"/>
                <w:sz w:val="24"/>
                <w:szCs w:val="24"/>
              </w:rPr>
              <w:t>的腐蚀性和浸出毒性不超过《危险废物鉴别标准 腐蚀性鉴别》（GB5085.1-2007）和《危险废物鉴别标准 浸出毒性鉴别》（GB5085.3-2007），该氧化锌尾渣渣属于一般工业固体废物。</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②</w:t>
            </w:r>
            <w:r>
              <w:rPr>
                <w:rFonts w:ascii="Times New Roman" w:hAnsi="Times New Roman" w:eastAsia="宋体" w:cs="Times New Roman"/>
                <w:b/>
                <w:color w:val="000000" w:themeColor="text1"/>
                <w:sz w:val="24"/>
                <w:szCs w:val="24"/>
              </w:rPr>
              <w:t>水浸鉴别</w:t>
            </w:r>
            <w:r>
              <w:rPr>
                <w:rFonts w:hint="eastAsia" w:ascii="Times New Roman" w:hAnsi="Times New Roman" w:eastAsia="宋体" w:cs="Times New Roman"/>
                <w:b/>
                <w:color w:val="000000" w:themeColor="text1"/>
                <w:sz w:val="24"/>
                <w:szCs w:val="24"/>
              </w:rPr>
              <w:t>结果</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水浸鉴别结果如下表所示。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2.5.1-3</w:t>
            </w:r>
            <w:r>
              <w:rPr>
                <w:rFonts w:ascii="Times New Roman" w:hAnsi="Times New Roman" w:eastAsia="宋体" w:cs="Times New Roman"/>
                <w:b/>
                <w:color w:val="000000" w:themeColor="text1"/>
              </w:rPr>
              <w:t xml:space="preserve"> 氧化锌尾渣渣水浸检测结果一览表</w:t>
            </w:r>
            <w:r>
              <w:rPr>
                <w:rFonts w:hint="eastAsia" w:ascii="Times New Roman" w:hAnsi="Times New Roman" w:eastAsia="宋体" w:cs="Times New Roman"/>
                <w:b/>
                <w:color w:val="000000" w:themeColor="text1"/>
              </w:rPr>
              <w:t xml:space="preserve">  </w:t>
            </w:r>
            <w:r>
              <w:rPr>
                <w:rFonts w:ascii="Times New Roman" w:hAnsi="Times New Roman" w:eastAsia="宋体" w:cs="Times New Roman"/>
                <w:b/>
                <w:color w:val="000000" w:themeColor="text1"/>
              </w:rPr>
              <w:t>单位：</w:t>
            </w:r>
            <w:r>
              <w:rPr>
                <w:rFonts w:hint="eastAsia" w:ascii="Times New Roman" w:hAnsi="Times New Roman" w:eastAsia="宋体" w:cs="Times New Roman"/>
                <w:b/>
                <w:color w:val="000000" w:themeColor="text1"/>
              </w:rPr>
              <w:t>mg/L</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87"/>
              <w:gridCol w:w="1290"/>
              <w:gridCol w:w="1602"/>
              <w:gridCol w:w="2284"/>
              <w:gridCol w:w="23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jc w:val="center"/>
              </w:trPr>
              <w:tc>
                <w:tcPr>
                  <w:tcW w:w="1087" w:type="dxa"/>
                  <w:vAlign w:val="center"/>
                </w:tcPr>
                <w:p>
                  <w:pPr>
                    <w:pStyle w:val="24"/>
                    <w:spacing w:line="360" w:lineRule="exact"/>
                    <w:rPr>
                      <w:color w:val="000000" w:themeColor="text1"/>
                      <w:szCs w:val="21"/>
                    </w:rPr>
                  </w:pPr>
                  <w:r>
                    <w:rPr>
                      <w:color w:val="000000" w:themeColor="text1"/>
                      <w:szCs w:val="21"/>
                    </w:rPr>
                    <w:t>序号</w:t>
                  </w:r>
                </w:p>
              </w:tc>
              <w:tc>
                <w:tcPr>
                  <w:tcW w:w="2892" w:type="dxa"/>
                  <w:gridSpan w:val="2"/>
                  <w:vAlign w:val="center"/>
                </w:tcPr>
                <w:p>
                  <w:pPr>
                    <w:pStyle w:val="24"/>
                    <w:spacing w:line="360" w:lineRule="exact"/>
                    <w:rPr>
                      <w:color w:val="000000" w:themeColor="text1"/>
                      <w:szCs w:val="21"/>
                    </w:rPr>
                  </w:pPr>
                  <w:r>
                    <w:rPr>
                      <w:color w:val="000000" w:themeColor="text1"/>
                      <w:szCs w:val="21"/>
                    </w:rPr>
                    <w:t>污染因子</w:t>
                  </w:r>
                </w:p>
              </w:tc>
              <w:tc>
                <w:tcPr>
                  <w:tcW w:w="2284"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检出值</w:t>
                  </w:r>
                </w:p>
              </w:tc>
              <w:tc>
                <w:tcPr>
                  <w:tcW w:w="2342" w:type="dxa"/>
                  <w:vAlign w:val="center"/>
                </w:tcPr>
                <w:p>
                  <w:pPr>
                    <w:pStyle w:val="24"/>
                    <w:spacing w:line="360" w:lineRule="exact"/>
                    <w:rPr>
                      <w:color w:val="000000" w:themeColor="text1"/>
                      <w:szCs w:val="21"/>
                    </w:rPr>
                  </w:pPr>
                  <w:r>
                    <w:rPr>
                      <w:rFonts w:hint="eastAsia"/>
                      <w:color w:val="000000" w:themeColor="text1"/>
                      <w:szCs w:val="21"/>
                    </w:rPr>
                    <w:t>第</w:t>
                  </w:r>
                  <w:r>
                    <w:rPr>
                      <w:color w:val="000000" w:themeColor="text1"/>
                      <w:szCs w:val="21"/>
                    </w:rPr>
                    <w:t>I类和</w:t>
                  </w:r>
                  <w:r>
                    <w:rPr>
                      <w:rFonts w:hint="eastAsia"/>
                      <w:color w:val="000000" w:themeColor="text1"/>
                      <w:szCs w:val="21"/>
                    </w:rPr>
                    <w:t>第</w:t>
                  </w:r>
                  <w:r>
                    <w:rPr>
                      <w:color w:val="000000" w:themeColor="text1"/>
                      <w:szCs w:val="21"/>
                    </w:rPr>
                    <w:t>I I类一般工业固废临界值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color w:val="000000" w:themeColor="text1"/>
                      <w:szCs w:val="21"/>
                    </w:rPr>
                    <w:t>1</w:t>
                  </w:r>
                </w:p>
              </w:tc>
              <w:tc>
                <w:tcPr>
                  <w:tcW w:w="2892" w:type="dxa"/>
                  <w:gridSpan w:val="2"/>
                  <w:vAlign w:val="center"/>
                </w:tcPr>
                <w:p>
                  <w:pPr>
                    <w:pStyle w:val="24"/>
                    <w:spacing w:line="360" w:lineRule="exact"/>
                    <w:rPr>
                      <w:color w:val="000000" w:themeColor="text1"/>
                      <w:szCs w:val="21"/>
                    </w:rPr>
                  </w:pPr>
                  <w:r>
                    <w:rPr>
                      <w:color w:val="000000" w:themeColor="text1"/>
                      <w:szCs w:val="21"/>
                    </w:rPr>
                    <w:t>pH值</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7.32</w:t>
                  </w:r>
                </w:p>
              </w:tc>
              <w:tc>
                <w:tcPr>
                  <w:tcW w:w="2342" w:type="dxa"/>
                  <w:vAlign w:val="center"/>
                </w:tcPr>
                <w:p>
                  <w:pPr>
                    <w:pStyle w:val="24"/>
                    <w:spacing w:line="360" w:lineRule="exact"/>
                    <w:rPr>
                      <w:color w:val="000000" w:themeColor="text1"/>
                      <w:szCs w:val="21"/>
                    </w:rPr>
                  </w:pPr>
                  <w:r>
                    <w:rPr>
                      <w:color w:val="000000" w:themeColor="text1"/>
                      <w:szCs w:val="21"/>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rFonts w:hint="eastAsia"/>
                      <w:color w:val="000000" w:themeColor="text1"/>
                      <w:szCs w:val="21"/>
                    </w:rPr>
                    <w:t>2</w:t>
                  </w:r>
                </w:p>
              </w:tc>
              <w:tc>
                <w:tcPr>
                  <w:tcW w:w="2892" w:type="dxa"/>
                  <w:gridSpan w:val="2"/>
                  <w:vAlign w:val="center"/>
                </w:tcPr>
                <w:p>
                  <w:pPr>
                    <w:pStyle w:val="24"/>
                    <w:spacing w:line="360" w:lineRule="exact"/>
                    <w:rPr>
                      <w:color w:val="000000" w:themeColor="text1"/>
                      <w:szCs w:val="21"/>
                    </w:rPr>
                  </w:pPr>
                  <w:r>
                    <w:rPr>
                      <w:color w:val="000000" w:themeColor="text1"/>
                      <w:szCs w:val="21"/>
                    </w:rPr>
                    <w:t>铜</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0.02L</w:t>
                  </w:r>
                </w:p>
              </w:tc>
              <w:tc>
                <w:tcPr>
                  <w:tcW w:w="2342" w:type="dxa"/>
                  <w:vAlign w:val="center"/>
                </w:tcPr>
                <w:p>
                  <w:pPr>
                    <w:pStyle w:val="24"/>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rFonts w:hint="eastAsia"/>
                      <w:color w:val="000000" w:themeColor="text1"/>
                      <w:szCs w:val="21"/>
                    </w:rPr>
                    <w:t>3</w:t>
                  </w:r>
                </w:p>
              </w:tc>
              <w:tc>
                <w:tcPr>
                  <w:tcW w:w="2892" w:type="dxa"/>
                  <w:gridSpan w:val="2"/>
                  <w:vAlign w:val="center"/>
                </w:tcPr>
                <w:p>
                  <w:pPr>
                    <w:pStyle w:val="24"/>
                    <w:spacing w:line="360" w:lineRule="exact"/>
                    <w:rPr>
                      <w:color w:val="000000" w:themeColor="text1"/>
                      <w:szCs w:val="21"/>
                    </w:rPr>
                  </w:pPr>
                  <w:r>
                    <w:rPr>
                      <w:color w:val="000000" w:themeColor="text1"/>
                      <w:szCs w:val="21"/>
                    </w:rPr>
                    <w:t>锌</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0.005L</w:t>
                  </w:r>
                </w:p>
              </w:tc>
              <w:tc>
                <w:tcPr>
                  <w:tcW w:w="2342" w:type="dxa"/>
                  <w:vAlign w:val="center"/>
                </w:tcPr>
                <w:p>
                  <w:pPr>
                    <w:pStyle w:val="24"/>
                    <w:spacing w:line="360" w:lineRule="exact"/>
                    <w:rPr>
                      <w:color w:val="000000" w:themeColor="text1"/>
                      <w:szCs w:val="21"/>
                    </w:rPr>
                  </w:pPr>
                  <w:r>
                    <w:rPr>
                      <w:color w:val="000000" w:themeColor="text1"/>
                      <w:szCs w:val="21"/>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rFonts w:hint="eastAsia"/>
                      <w:color w:val="000000" w:themeColor="text1"/>
                      <w:szCs w:val="21"/>
                    </w:rPr>
                    <w:t>4</w:t>
                  </w:r>
                </w:p>
              </w:tc>
              <w:tc>
                <w:tcPr>
                  <w:tcW w:w="2892" w:type="dxa"/>
                  <w:gridSpan w:val="2"/>
                  <w:vAlign w:val="center"/>
                </w:tcPr>
                <w:p>
                  <w:pPr>
                    <w:pStyle w:val="24"/>
                    <w:spacing w:line="360" w:lineRule="exact"/>
                    <w:rPr>
                      <w:color w:val="000000" w:themeColor="text1"/>
                      <w:szCs w:val="21"/>
                    </w:rPr>
                  </w:pPr>
                  <w:r>
                    <w:rPr>
                      <w:color w:val="000000" w:themeColor="text1"/>
                      <w:szCs w:val="21"/>
                    </w:rPr>
                    <w:t>镉</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0.005L</w:t>
                  </w:r>
                </w:p>
              </w:tc>
              <w:tc>
                <w:tcPr>
                  <w:tcW w:w="2342" w:type="dxa"/>
                  <w:vAlign w:val="center"/>
                </w:tcPr>
                <w:p>
                  <w:pPr>
                    <w:pStyle w:val="24"/>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rFonts w:hint="eastAsia"/>
                      <w:color w:val="000000" w:themeColor="text1"/>
                      <w:szCs w:val="21"/>
                    </w:rPr>
                    <w:t>5</w:t>
                  </w:r>
                </w:p>
              </w:tc>
              <w:tc>
                <w:tcPr>
                  <w:tcW w:w="2892" w:type="dxa"/>
                  <w:gridSpan w:val="2"/>
                  <w:vAlign w:val="center"/>
                </w:tcPr>
                <w:p>
                  <w:pPr>
                    <w:pStyle w:val="24"/>
                    <w:spacing w:line="360" w:lineRule="exact"/>
                    <w:rPr>
                      <w:color w:val="000000" w:themeColor="text1"/>
                      <w:szCs w:val="21"/>
                    </w:rPr>
                  </w:pPr>
                  <w:r>
                    <w:rPr>
                      <w:color w:val="000000" w:themeColor="text1"/>
                      <w:szCs w:val="21"/>
                    </w:rPr>
                    <w:t>铅</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0.1L</w:t>
                  </w:r>
                </w:p>
              </w:tc>
              <w:tc>
                <w:tcPr>
                  <w:tcW w:w="2342" w:type="dxa"/>
                  <w:vAlign w:val="center"/>
                </w:tcPr>
                <w:p>
                  <w:pPr>
                    <w:pStyle w:val="24"/>
                    <w:spacing w:line="360" w:lineRule="exact"/>
                    <w:rPr>
                      <w:color w:val="000000" w:themeColor="text1"/>
                      <w:szCs w:val="21"/>
                    </w:rPr>
                  </w:pPr>
                  <w:r>
                    <w:rPr>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rFonts w:hint="eastAsia"/>
                      <w:color w:val="000000" w:themeColor="text1"/>
                      <w:szCs w:val="21"/>
                    </w:rPr>
                    <w:t>6</w:t>
                  </w:r>
                </w:p>
              </w:tc>
              <w:tc>
                <w:tcPr>
                  <w:tcW w:w="2892" w:type="dxa"/>
                  <w:gridSpan w:val="2"/>
                  <w:vAlign w:val="center"/>
                </w:tcPr>
                <w:p>
                  <w:pPr>
                    <w:pStyle w:val="24"/>
                    <w:spacing w:line="360" w:lineRule="exact"/>
                    <w:rPr>
                      <w:color w:val="000000" w:themeColor="text1"/>
                      <w:szCs w:val="21"/>
                    </w:rPr>
                  </w:pPr>
                  <w:r>
                    <w:rPr>
                      <w:color w:val="000000" w:themeColor="text1"/>
                      <w:szCs w:val="21"/>
                    </w:rPr>
                    <w:t>总铬</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0.006</w:t>
                  </w:r>
                </w:p>
              </w:tc>
              <w:tc>
                <w:tcPr>
                  <w:tcW w:w="2342" w:type="dxa"/>
                  <w:vAlign w:val="center"/>
                </w:tcPr>
                <w:p>
                  <w:pPr>
                    <w:pStyle w:val="24"/>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 w:hRule="atLeast"/>
                <w:jc w:val="center"/>
              </w:trPr>
              <w:tc>
                <w:tcPr>
                  <w:tcW w:w="1087" w:type="dxa"/>
                  <w:vMerge w:val="restart"/>
                  <w:vAlign w:val="center"/>
                </w:tcPr>
                <w:p>
                  <w:pPr>
                    <w:pStyle w:val="24"/>
                    <w:spacing w:line="360" w:lineRule="exact"/>
                    <w:rPr>
                      <w:color w:val="000000" w:themeColor="text1"/>
                      <w:szCs w:val="21"/>
                    </w:rPr>
                  </w:pPr>
                  <w:r>
                    <w:rPr>
                      <w:rFonts w:hint="eastAsia"/>
                      <w:color w:val="000000" w:themeColor="text1"/>
                      <w:szCs w:val="21"/>
                    </w:rPr>
                    <w:t>7</w:t>
                  </w:r>
                </w:p>
              </w:tc>
              <w:tc>
                <w:tcPr>
                  <w:tcW w:w="1290" w:type="dxa"/>
                  <w:vMerge w:val="restart"/>
                  <w:vAlign w:val="center"/>
                </w:tcPr>
                <w:p>
                  <w:pPr>
                    <w:pStyle w:val="24"/>
                    <w:spacing w:line="360" w:lineRule="exact"/>
                    <w:rPr>
                      <w:color w:val="000000" w:themeColor="text1"/>
                      <w:szCs w:val="21"/>
                    </w:rPr>
                  </w:pPr>
                  <w:r>
                    <w:rPr>
                      <w:rFonts w:hint="eastAsia"/>
                      <w:color w:val="000000" w:themeColor="text1"/>
                      <w:szCs w:val="21"/>
                    </w:rPr>
                    <w:t>烷基汞</w:t>
                  </w:r>
                </w:p>
              </w:tc>
              <w:tc>
                <w:tcPr>
                  <w:tcW w:w="1602" w:type="dxa"/>
                  <w:vAlign w:val="center"/>
                </w:tcPr>
                <w:p>
                  <w:pPr>
                    <w:pStyle w:val="24"/>
                    <w:spacing w:line="360" w:lineRule="exact"/>
                    <w:rPr>
                      <w:color w:val="000000" w:themeColor="text1"/>
                      <w:szCs w:val="21"/>
                    </w:rPr>
                  </w:pPr>
                  <w:r>
                    <w:rPr>
                      <w:rFonts w:hint="eastAsia"/>
                      <w:color w:val="000000" w:themeColor="text1"/>
                      <w:szCs w:val="21"/>
                    </w:rPr>
                    <w:t>甲基汞</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10L</w:t>
                  </w:r>
                </w:p>
              </w:tc>
              <w:tc>
                <w:tcPr>
                  <w:tcW w:w="2342" w:type="dxa"/>
                  <w:vMerge w:val="restart"/>
                  <w:vAlign w:val="center"/>
                </w:tcPr>
                <w:p>
                  <w:pPr>
                    <w:pStyle w:val="24"/>
                    <w:spacing w:line="360" w:lineRule="exact"/>
                    <w:rPr>
                      <w:color w:val="000000" w:themeColor="text1"/>
                      <w:szCs w:val="21"/>
                    </w:rPr>
                  </w:pP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 w:hRule="atLeast"/>
                <w:jc w:val="center"/>
              </w:trPr>
              <w:tc>
                <w:tcPr>
                  <w:tcW w:w="1087" w:type="dxa"/>
                  <w:vMerge w:val="continue"/>
                  <w:vAlign w:val="center"/>
                </w:tcPr>
                <w:p>
                  <w:pPr>
                    <w:pStyle w:val="24"/>
                    <w:spacing w:line="360" w:lineRule="exact"/>
                    <w:rPr>
                      <w:color w:val="000000" w:themeColor="text1"/>
                      <w:szCs w:val="21"/>
                    </w:rPr>
                  </w:pPr>
                </w:p>
              </w:tc>
              <w:tc>
                <w:tcPr>
                  <w:tcW w:w="1290" w:type="dxa"/>
                  <w:vMerge w:val="continue"/>
                  <w:vAlign w:val="center"/>
                </w:tcPr>
                <w:p>
                  <w:pPr>
                    <w:pStyle w:val="24"/>
                    <w:spacing w:line="360" w:lineRule="exact"/>
                    <w:rPr>
                      <w:color w:val="000000" w:themeColor="text1"/>
                      <w:szCs w:val="21"/>
                    </w:rPr>
                  </w:pPr>
                </w:p>
              </w:tc>
              <w:tc>
                <w:tcPr>
                  <w:tcW w:w="1602" w:type="dxa"/>
                  <w:vAlign w:val="center"/>
                </w:tcPr>
                <w:p>
                  <w:pPr>
                    <w:pStyle w:val="24"/>
                    <w:spacing w:line="360" w:lineRule="exact"/>
                    <w:rPr>
                      <w:color w:val="000000" w:themeColor="text1"/>
                      <w:szCs w:val="21"/>
                    </w:rPr>
                  </w:pPr>
                  <w:r>
                    <w:rPr>
                      <w:rFonts w:hint="eastAsia"/>
                      <w:color w:val="000000" w:themeColor="text1"/>
                      <w:szCs w:val="21"/>
                    </w:rPr>
                    <w:t>乙基汞</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20L</w:t>
                  </w:r>
                </w:p>
              </w:tc>
              <w:tc>
                <w:tcPr>
                  <w:tcW w:w="2342" w:type="dxa"/>
                  <w:vMerge w:val="continue"/>
                  <w:vAlign w:val="center"/>
                </w:tcPr>
                <w:p>
                  <w:pPr>
                    <w:pStyle w:val="24"/>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color w:val="000000" w:themeColor="text1"/>
                      <w:szCs w:val="21"/>
                    </w:rPr>
                    <w:t>8</w:t>
                  </w:r>
                </w:p>
              </w:tc>
              <w:tc>
                <w:tcPr>
                  <w:tcW w:w="2892" w:type="dxa"/>
                  <w:gridSpan w:val="2"/>
                  <w:vAlign w:val="center"/>
                </w:tcPr>
                <w:p>
                  <w:pPr>
                    <w:pStyle w:val="24"/>
                    <w:spacing w:line="360" w:lineRule="exact"/>
                    <w:rPr>
                      <w:color w:val="000000" w:themeColor="text1"/>
                      <w:szCs w:val="21"/>
                    </w:rPr>
                  </w:pPr>
                  <w:r>
                    <w:rPr>
                      <w:color w:val="000000" w:themeColor="text1"/>
                      <w:szCs w:val="21"/>
                    </w:rPr>
                    <w:t>六价铬</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0.004L</w:t>
                  </w:r>
                </w:p>
              </w:tc>
              <w:tc>
                <w:tcPr>
                  <w:tcW w:w="2342" w:type="dxa"/>
                  <w:vAlign w:val="center"/>
                </w:tcPr>
                <w:p>
                  <w:pPr>
                    <w:pStyle w:val="24"/>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color w:val="000000" w:themeColor="text1"/>
                      <w:szCs w:val="21"/>
                    </w:rPr>
                    <w:t>9</w:t>
                  </w:r>
                </w:p>
              </w:tc>
              <w:tc>
                <w:tcPr>
                  <w:tcW w:w="2892" w:type="dxa"/>
                  <w:gridSpan w:val="2"/>
                  <w:vAlign w:val="center"/>
                </w:tcPr>
                <w:p>
                  <w:pPr>
                    <w:pStyle w:val="24"/>
                    <w:spacing w:line="360" w:lineRule="exact"/>
                    <w:rPr>
                      <w:color w:val="000000" w:themeColor="text1"/>
                      <w:szCs w:val="21"/>
                    </w:rPr>
                  </w:pPr>
                  <w:r>
                    <w:rPr>
                      <w:rFonts w:hint="eastAsia"/>
                      <w:color w:val="000000" w:themeColor="text1"/>
                      <w:szCs w:val="21"/>
                    </w:rPr>
                    <w:t>汞</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0.05L</w:t>
                  </w:r>
                </w:p>
              </w:tc>
              <w:tc>
                <w:tcPr>
                  <w:tcW w:w="2342" w:type="dxa"/>
                  <w:vAlign w:val="center"/>
                </w:tcPr>
                <w:p>
                  <w:pPr>
                    <w:pStyle w:val="24"/>
                    <w:spacing w:line="360" w:lineRule="exact"/>
                    <w:rPr>
                      <w:color w:val="000000" w:themeColor="text1"/>
                      <w:szCs w:val="21"/>
                    </w:rPr>
                  </w:pPr>
                  <w:r>
                    <w:rPr>
                      <w:color w:val="000000" w:themeColor="text1"/>
                      <w:szCs w:val="21"/>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color w:val="000000" w:themeColor="text1"/>
                      <w:szCs w:val="21"/>
                    </w:rPr>
                    <w:t>10</w:t>
                  </w:r>
                </w:p>
              </w:tc>
              <w:tc>
                <w:tcPr>
                  <w:tcW w:w="2892" w:type="dxa"/>
                  <w:gridSpan w:val="2"/>
                  <w:vAlign w:val="center"/>
                </w:tcPr>
                <w:p>
                  <w:pPr>
                    <w:pStyle w:val="24"/>
                    <w:spacing w:line="360" w:lineRule="exact"/>
                    <w:rPr>
                      <w:color w:val="000000" w:themeColor="text1"/>
                      <w:szCs w:val="21"/>
                    </w:rPr>
                  </w:pPr>
                  <w:r>
                    <w:rPr>
                      <w:color w:val="000000" w:themeColor="text1"/>
                      <w:szCs w:val="21"/>
                    </w:rPr>
                    <w:t>铍</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0.2L</w:t>
                  </w:r>
                </w:p>
              </w:tc>
              <w:tc>
                <w:tcPr>
                  <w:tcW w:w="2342" w:type="dxa"/>
                  <w:vAlign w:val="center"/>
                </w:tcPr>
                <w:p>
                  <w:pPr>
                    <w:pStyle w:val="24"/>
                    <w:spacing w:line="360" w:lineRule="exact"/>
                    <w:rPr>
                      <w:color w:val="000000" w:themeColor="text1"/>
                      <w:szCs w:val="21"/>
                    </w:rPr>
                  </w:pPr>
                  <w:r>
                    <w:rPr>
                      <w:color w:val="000000" w:themeColor="text1"/>
                      <w:szCs w:val="21"/>
                    </w:rPr>
                    <w:t>0.005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color w:val="000000" w:themeColor="text1"/>
                      <w:szCs w:val="21"/>
                    </w:rPr>
                    <w:t>11</w:t>
                  </w:r>
                </w:p>
              </w:tc>
              <w:tc>
                <w:tcPr>
                  <w:tcW w:w="2892" w:type="dxa"/>
                  <w:gridSpan w:val="2"/>
                  <w:vAlign w:val="center"/>
                </w:tcPr>
                <w:p>
                  <w:pPr>
                    <w:pStyle w:val="24"/>
                    <w:spacing w:line="360" w:lineRule="exact"/>
                    <w:rPr>
                      <w:color w:val="000000" w:themeColor="text1"/>
                      <w:szCs w:val="21"/>
                    </w:rPr>
                  </w:pPr>
                  <w:r>
                    <w:rPr>
                      <w:color w:val="000000" w:themeColor="text1"/>
                      <w:szCs w:val="21"/>
                    </w:rPr>
                    <w:t>钡</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0.1L</w:t>
                  </w:r>
                </w:p>
              </w:tc>
              <w:tc>
                <w:tcPr>
                  <w:tcW w:w="2342" w:type="dxa"/>
                  <w:vAlign w:val="center"/>
                </w:tcPr>
                <w:p>
                  <w:pPr>
                    <w:pStyle w:val="24"/>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color w:val="000000" w:themeColor="text1"/>
                      <w:szCs w:val="21"/>
                    </w:rPr>
                    <w:t>12</w:t>
                  </w:r>
                </w:p>
              </w:tc>
              <w:tc>
                <w:tcPr>
                  <w:tcW w:w="2892" w:type="dxa"/>
                  <w:gridSpan w:val="2"/>
                  <w:vAlign w:val="center"/>
                </w:tcPr>
                <w:p>
                  <w:pPr>
                    <w:pStyle w:val="24"/>
                    <w:spacing w:line="360" w:lineRule="exact"/>
                    <w:rPr>
                      <w:color w:val="000000" w:themeColor="text1"/>
                      <w:szCs w:val="21"/>
                    </w:rPr>
                  </w:pPr>
                  <w:r>
                    <w:rPr>
                      <w:color w:val="000000" w:themeColor="text1"/>
                      <w:szCs w:val="21"/>
                    </w:rPr>
                    <w:t>镍</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0.04L</w:t>
                  </w:r>
                </w:p>
              </w:tc>
              <w:tc>
                <w:tcPr>
                  <w:tcW w:w="2342" w:type="dxa"/>
                  <w:vAlign w:val="center"/>
                </w:tcPr>
                <w:p>
                  <w:pPr>
                    <w:pStyle w:val="24"/>
                    <w:spacing w:line="360" w:lineRule="exact"/>
                    <w:rPr>
                      <w:color w:val="000000" w:themeColor="text1"/>
                      <w:szCs w:val="21"/>
                    </w:rPr>
                  </w:pPr>
                  <w:r>
                    <w:rPr>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color w:val="000000" w:themeColor="text1"/>
                      <w:szCs w:val="21"/>
                    </w:rPr>
                    <w:t>13</w:t>
                  </w:r>
                </w:p>
              </w:tc>
              <w:tc>
                <w:tcPr>
                  <w:tcW w:w="2892" w:type="dxa"/>
                  <w:gridSpan w:val="2"/>
                  <w:vAlign w:val="center"/>
                </w:tcPr>
                <w:p>
                  <w:pPr>
                    <w:pStyle w:val="24"/>
                    <w:spacing w:line="360" w:lineRule="exact"/>
                    <w:rPr>
                      <w:color w:val="000000" w:themeColor="text1"/>
                      <w:szCs w:val="21"/>
                    </w:rPr>
                  </w:pPr>
                  <w:r>
                    <w:rPr>
                      <w:rFonts w:hint="eastAsia"/>
                      <w:color w:val="000000" w:themeColor="text1"/>
                      <w:szCs w:val="21"/>
                    </w:rPr>
                    <w:t>总</w:t>
                  </w:r>
                  <w:r>
                    <w:rPr>
                      <w:color w:val="000000" w:themeColor="text1"/>
                      <w:szCs w:val="21"/>
                    </w:rPr>
                    <w:t>银</w:t>
                  </w:r>
                </w:p>
              </w:tc>
              <w:tc>
                <w:tcPr>
                  <w:tcW w:w="2284"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0.01L</w:t>
                  </w:r>
                </w:p>
              </w:tc>
              <w:tc>
                <w:tcPr>
                  <w:tcW w:w="2342" w:type="dxa"/>
                  <w:vAlign w:val="center"/>
                </w:tcPr>
                <w:p>
                  <w:pPr>
                    <w:pStyle w:val="24"/>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color w:val="000000" w:themeColor="text1"/>
                      <w:szCs w:val="21"/>
                    </w:rPr>
                    <w:t>14</w:t>
                  </w:r>
                </w:p>
              </w:tc>
              <w:tc>
                <w:tcPr>
                  <w:tcW w:w="2892" w:type="dxa"/>
                  <w:gridSpan w:val="2"/>
                  <w:vAlign w:val="center"/>
                </w:tcPr>
                <w:p>
                  <w:pPr>
                    <w:pStyle w:val="24"/>
                    <w:spacing w:line="360" w:lineRule="exact"/>
                    <w:rPr>
                      <w:color w:val="000000" w:themeColor="text1"/>
                      <w:szCs w:val="21"/>
                    </w:rPr>
                  </w:pPr>
                  <w:r>
                    <w:rPr>
                      <w:color w:val="000000" w:themeColor="text1"/>
                      <w:szCs w:val="21"/>
                    </w:rPr>
                    <w:t>砷</w:t>
                  </w:r>
                </w:p>
              </w:tc>
              <w:tc>
                <w:tcPr>
                  <w:tcW w:w="2284"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0.2L</w:t>
                  </w:r>
                </w:p>
              </w:tc>
              <w:tc>
                <w:tcPr>
                  <w:tcW w:w="2342" w:type="dxa"/>
                  <w:vAlign w:val="center"/>
                </w:tcPr>
                <w:p>
                  <w:pPr>
                    <w:pStyle w:val="24"/>
                    <w:spacing w:line="360" w:lineRule="exact"/>
                    <w:rPr>
                      <w:color w:val="000000" w:themeColor="text1"/>
                      <w:szCs w:val="21"/>
                    </w:rPr>
                  </w:pPr>
                  <w:r>
                    <w:rPr>
                      <w:color w:val="000000" w:themeColor="text1"/>
                      <w:szCs w:val="21"/>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color w:val="000000" w:themeColor="text1"/>
                      <w:szCs w:val="21"/>
                    </w:rPr>
                    <w:t>15</w:t>
                  </w:r>
                </w:p>
              </w:tc>
              <w:tc>
                <w:tcPr>
                  <w:tcW w:w="2892" w:type="dxa"/>
                  <w:gridSpan w:val="2"/>
                  <w:vAlign w:val="center"/>
                </w:tcPr>
                <w:p>
                  <w:pPr>
                    <w:pStyle w:val="24"/>
                    <w:spacing w:line="360" w:lineRule="exact"/>
                    <w:rPr>
                      <w:color w:val="000000" w:themeColor="text1"/>
                      <w:szCs w:val="21"/>
                    </w:rPr>
                  </w:pPr>
                  <w:r>
                    <w:rPr>
                      <w:color w:val="000000" w:themeColor="text1"/>
                      <w:szCs w:val="21"/>
                    </w:rPr>
                    <w:t>硒</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0.5L</w:t>
                  </w:r>
                </w:p>
              </w:tc>
              <w:tc>
                <w:tcPr>
                  <w:tcW w:w="2342" w:type="dxa"/>
                  <w:vAlign w:val="center"/>
                </w:tcPr>
                <w:p>
                  <w:pPr>
                    <w:pStyle w:val="24"/>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color w:val="000000" w:themeColor="text1"/>
                      <w:szCs w:val="21"/>
                    </w:rPr>
                    <w:t>16</w:t>
                  </w:r>
                </w:p>
              </w:tc>
              <w:tc>
                <w:tcPr>
                  <w:tcW w:w="2892" w:type="dxa"/>
                  <w:gridSpan w:val="2"/>
                  <w:vAlign w:val="center"/>
                </w:tcPr>
                <w:p>
                  <w:pPr>
                    <w:pStyle w:val="24"/>
                    <w:spacing w:line="360" w:lineRule="exact"/>
                    <w:rPr>
                      <w:color w:val="000000" w:themeColor="text1"/>
                      <w:szCs w:val="21"/>
                    </w:rPr>
                  </w:pPr>
                  <w:r>
                    <w:rPr>
                      <w:color w:val="000000" w:themeColor="text1"/>
                      <w:szCs w:val="21"/>
                    </w:rPr>
                    <w:t>氟化物</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1.28</w:t>
                  </w:r>
                </w:p>
              </w:tc>
              <w:tc>
                <w:tcPr>
                  <w:tcW w:w="2342" w:type="dxa"/>
                  <w:vAlign w:val="center"/>
                </w:tcPr>
                <w:p>
                  <w:pPr>
                    <w:pStyle w:val="24"/>
                    <w:spacing w:line="360" w:lineRule="exact"/>
                    <w:rPr>
                      <w:color w:val="000000" w:themeColor="text1"/>
                      <w:szCs w:val="21"/>
                    </w:rPr>
                  </w:pPr>
                  <w:r>
                    <w:rPr>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7" w:type="dxa"/>
                  <w:vAlign w:val="center"/>
                </w:tcPr>
                <w:p>
                  <w:pPr>
                    <w:pStyle w:val="24"/>
                    <w:spacing w:line="360" w:lineRule="exact"/>
                    <w:rPr>
                      <w:color w:val="000000" w:themeColor="text1"/>
                      <w:szCs w:val="21"/>
                    </w:rPr>
                  </w:pPr>
                  <w:r>
                    <w:rPr>
                      <w:rFonts w:hint="eastAsia"/>
                      <w:color w:val="000000" w:themeColor="text1"/>
                      <w:szCs w:val="21"/>
                    </w:rPr>
                    <w:t>17</w:t>
                  </w:r>
                </w:p>
              </w:tc>
              <w:tc>
                <w:tcPr>
                  <w:tcW w:w="2892" w:type="dxa"/>
                  <w:gridSpan w:val="2"/>
                  <w:vAlign w:val="center"/>
                </w:tcPr>
                <w:p>
                  <w:pPr>
                    <w:pStyle w:val="24"/>
                    <w:spacing w:line="360" w:lineRule="exact"/>
                    <w:rPr>
                      <w:color w:val="000000" w:themeColor="text1"/>
                      <w:szCs w:val="21"/>
                    </w:rPr>
                  </w:pPr>
                  <w:r>
                    <w:rPr>
                      <w:color w:val="000000" w:themeColor="text1"/>
                      <w:szCs w:val="21"/>
                    </w:rPr>
                    <w:t>氰化物</w:t>
                  </w:r>
                </w:p>
              </w:tc>
              <w:tc>
                <w:tcPr>
                  <w:tcW w:w="2284" w:type="dxa"/>
                  <w:tcBorders>
                    <w:right w:val="single" w:color="auto" w:sz="4" w:space="0"/>
                  </w:tcBorders>
                </w:tcPr>
                <w:p>
                  <w:pPr>
                    <w:pStyle w:val="24"/>
                    <w:spacing w:line="360" w:lineRule="exact"/>
                    <w:rPr>
                      <w:color w:val="000000" w:themeColor="text1"/>
                      <w:szCs w:val="21"/>
                    </w:rPr>
                  </w:pPr>
                  <w:r>
                    <w:rPr>
                      <w:color w:val="000000" w:themeColor="text1"/>
                      <w:szCs w:val="21"/>
                    </w:rPr>
                    <w:t>0.004L</w:t>
                  </w:r>
                </w:p>
              </w:tc>
              <w:tc>
                <w:tcPr>
                  <w:tcW w:w="2342" w:type="dxa"/>
                  <w:vAlign w:val="center"/>
                </w:tcPr>
                <w:p>
                  <w:pPr>
                    <w:pStyle w:val="24"/>
                    <w:spacing w:line="360" w:lineRule="exact"/>
                    <w:rPr>
                      <w:color w:val="000000" w:themeColor="text1"/>
                      <w:szCs w:val="21"/>
                    </w:rPr>
                  </w:pPr>
                  <w:r>
                    <w:rPr>
                      <w:color w:val="000000" w:themeColor="text1"/>
                      <w:szCs w:val="21"/>
                    </w:rPr>
                    <w:t>0.5</w:t>
                  </w:r>
                </w:p>
              </w:tc>
            </w:tr>
          </w:tbl>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一般工业固体废物贮存和填埋污染控制标准》（GB18599-2020）的规定，水浸实验获得的浸出液中，任何一种污染物的浓度均未超过《污水综合排放标准》（GB8978-1996）最高允许排放浓度，且pH值在6-9范围之内，因此该氧化锌尾渣渣属于第I类一般工业固体废物。</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2.5.2 辅料性质及来源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项目采用物理方法进行磁选和重选，不添加任何药剂。</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2.5.3 燃料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w:t>
            </w:r>
            <w:r>
              <w:rPr>
                <w:rFonts w:hint="eastAsia" w:ascii="Times New Roman" w:hAnsi="Times New Roman" w:cs="Times New Roman"/>
                <w:color w:val="000000" w:themeColor="text1"/>
                <w:sz w:val="24"/>
                <w:szCs w:val="24"/>
              </w:rPr>
              <w:t>烘干系统</w:t>
            </w:r>
            <w:r>
              <w:rPr>
                <w:rFonts w:ascii="Times New Roman" w:hAnsi="Times New Roman" w:cs="Times New Roman"/>
                <w:color w:val="000000" w:themeColor="text1"/>
                <w:sz w:val="24"/>
                <w:szCs w:val="24"/>
              </w:rPr>
              <w:t>使用清洁能源天然气作为燃料</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根据设计，本项目天然气用量约为</w:t>
            </w:r>
            <w:r>
              <w:rPr>
                <w:rFonts w:hint="eastAsia" w:ascii="Times New Roman" w:hAnsi="Times New Roman" w:cs="Times New Roman"/>
                <w:color w:val="000000" w:themeColor="text1"/>
                <w:sz w:val="24"/>
                <w:szCs w:val="24"/>
              </w:rPr>
              <w:t>150</w:t>
            </w:r>
            <w:r>
              <w:rPr>
                <w:rFonts w:ascii="Times New Roman" w:hAnsi="Times New Roman" w:cs="Times New Roman"/>
                <w:color w:val="000000" w:themeColor="text1"/>
                <w:sz w:val="24"/>
                <w:szCs w:val="24"/>
              </w:rPr>
              <w:t>万m³/a。</w:t>
            </w:r>
          </w:p>
          <w:p>
            <w:pPr>
              <w:autoSpaceDE w:val="0"/>
              <w:autoSpaceDN w:val="0"/>
              <w:spacing w:line="360" w:lineRule="auto"/>
              <w:ind w:firstLine="241" w:firstLineChars="100"/>
              <w:rPr>
                <w:rFonts w:ascii="Times New Roman" w:hAnsi="Times New Roman" w:cs="Times New Roman"/>
                <w:b/>
                <w:color w:val="000000" w:themeColor="text1"/>
                <w:sz w:val="24"/>
                <w:szCs w:val="24"/>
              </w:rPr>
            </w:pPr>
            <w:bookmarkStart w:id="2" w:name="_Toc493693537"/>
            <w:r>
              <w:rPr>
                <w:rFonts w:ascii="Times New Roman" w:hAnsi="Times New Roman" w:cs="Times New Roman"/>
                <w:b/>
                <w:color w:val="000000" w:themeColor="text1"/>
                <w:sz w:val="24"/>
                <w:szCs w:val="24"/>
              </w:rPr>
              <w:t>2.6 物料平衡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根据项目生产工艺分析，本项目物料平衡如下</w:t>
            </w:r>
            <w:r>
              <w:rPr>
                <w:rFonts w:hint="eastAsia" w:ascii="Times New Roman" w:hAnsi="Times New Roman" w:cs="Times New Roman"/>
                <w:color w:val="000000" w:themeColor="text1"/>
                <w:sz w:val="24"/>
                <w:szCs w:val="24"/>
              </w:rPr>
              <w:t>图</w:t>
            </w:r>
            <w:r>
              <w:rPr>
                <w:rFonts w:ascii="Times New Roman" w:hAnsi="Times New Roman" w:cs="Times New Roman"/>
                <w:color w:val="000000" w:themeColor="text1"/>
                <w:sz w:val="24"/>
                <w:szCs w:val="24"/>
              </w:rPr>
              <w:t>所示。</w:t>
            </w:r>
          </w:p>
          <w:p>
            <w:pPr>
              <w:spacing w:line="360" w:lineRule="auto"/>
              <w:jc w:val="center"/>
              <w:rPr>
                <w:rFonts w:ascii="Times New Roman" w:hAnsi="Times New Roman" w:cs="Times New Roman"/>
                <w:color w:val="000000" w:themeColor="text1"/>
                <w:sz w:val="24"/>
                <w:szCs w:val="24"/>
              </w:rPr>
            </w:pPr>
            <w:r>
              <w:rPr>
                <w:color w:val="000000" w:themeColor="text1"/>
              </w:rPr>
              <w:object>
                <v:shape id="_x0000_i1025" o:spt="75" type="#_x0000_t75" style="height:182.1pt;width:333.9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pStyle w:val="26"/>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图2.6-1 本项目物料平衡图</w:t>
            </w:r>
            <w:r>
              <w:rPr>
                <w:rFonts w:hint="eastAsia" w:hAnsi="Times New Roman" w:eastAsiaTheme="minorEastAsia"/>
                <w:bCs/>
                <w:snapToGrid w:val="0"/>
                <w:color w:val="000000" w:themeColor="text1"/>
                <w:sz w:val="21"/>
                <w:szCs w:val="21"/>
              </w:rPr>
              <w:t xml:space="preserve"> t/a</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劳动定员及工作制度</w:t>
            </w:r>
            <w:bookmarkEnd w:id="2"/>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2.7.1 劳动定员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根据项目特点，</w:t>
            </w:r>
            <w:r>
              <w:rPr>
                <w:rFonts w:hint="eastAsia" w:ascii="Times New Roman" w:hAnsi="Times New Roman" w:cs="Times New Roman"/>
                <w:bCs/>
                <w:color w:val="000000" w:themeColor="text1"/>
                <w:sz w:val="24"/>
                <w:szCs w:val="24"/>
              </w:rPr>
              <w:t>本项目拟设置员工20人，均在</w:t>
            </w:r>
            <w:r>
              <w:rPr>
                <w:rFonts w:ascii="Times New Roman" w:hAnsi="Times New Roman" w:cs="Times New Roman"/>
                <w:bCs/>
                <w:color w:val="000000" w:themeColor="text1"/>
                <w:sz w:val="24"/>
                <w:szCs w:val="24"/>
              </w:rPr>
              <w:t>均在厂区吃饭，但住宿人数约为</w:t>
            </w:r>
            <w:r>
              <w:rPr>
                <w:rFonts w:hint="eastAsia" w:ascii="Times New Roman" w:hAnsi="Times New Roman" w:cs="Times New Roman"/>
                <w:bCs/>
                <w:color w:val="000000" w:themeColor="text1"/>
                <w:sz w:val="24"/>
                <w:szCs w:val="24"/>
              </w:rPr>
              <w:t>20</w:t>
            </w:r>
            <w:r>
              <w:rPr>
                <w:rFonts w:ascii="Times New Roman" w:hAnsi="Times New Roman" w:cs="Times New Roman"/>
                <w:bCs/>
                <w:color w:val="000000" w:themeColor="text1"/>
                <w:sz w:val="24"/>
                <w:szCs w:val="24"/>
              </w:rPr>
              <w:t>人，其余</w:t>
            </w:r>
            <w:r>
              <w:rPr>
                <w:rFonts w:hint="eastAsia"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人回家住宿。</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2.7.2 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年工作330d，实行每天3班制，每班8h。</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hint="eastAsia"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1" w:type="dxa"/>
            <w:vAlign w:val="center"/>
          </w:tcPr>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2.7.1 施工期工艺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本项目在现有厂区内进行项目建设，施工期主要建设内容为</w:t>
            </w:r>
            <w:r>
              <w:rPr>
                <w:rFonts w:hint="eastAsia" w:ascii="Times New Roman" w:hAnsi="Times New Roman" w:cs="Times New Roman"/>
                <w:bCs/>
                <w:color w:val="000000" w:themeColor="text1"/>
                <w:sz w:val="24"/>
                <w:szCs w:val="24"/>
              </w:rPr>
              <w:t>厂房建设、</w:t>
            </w:r>
            <w:r>
              <w:rPr>
                <w:rFonts w:ascii="Times New Roman" w:hAnsi="Times New Roman" w:cs="Times New Roman"/>
                <w:bCs/>
                <w:color w:val="000000" w:themeColor="text1"/>
                <w:sz w:val="24"/>
                <w:szCs w:val="24"/>
              </w:rPr>
              <w:t>生产及环保设备的安装</w:t>
            </w:r>
            <w:r>
              <w:rPr>
                <w:rFonts w:hint="eastAsia" w:ascii="Times New Roman" w:hAnsi="Times New Roman" w:cs="Times New Roman"/>
                <w:bCs/>
                <w:color w:val="000000" w:themeColor="text1"/>
                <w:sz w:val="24"/>
                <w:szCs w:val="24"/>
              </w:rPr>
              <w:t>、废渣暂存库等环保设施建设等，</w:t>
            </w:r>
            <w:r>
              <w:rPr>
                <w:rFonts w:ascii="Times New Roman" w:hAnsi="Times New Roman" w:cs="Times New Roman"/>
                <w:bCs/>
                <w:color w:val="000000" w:themeColor="text1"/>
                <w:sz w:val="24"/>
                <w:szCs w:val="24"/>
              </w:rPr>
              <w:t>主要为施工废气、施工噪声、施工固废等。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2.7.2 运营期生产工艺</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（1）工艺流程图示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根据设计，项目工艺流程及产污节点如下图所示：</w:t>
            </w:r>
          </w:p>
          <w:p>
            <w:pPr>
              <w:spacing w:line="360" w:lineRule="auto"/>
              <w:jc w:val="center"/>
              <w:rPr>
                <w:rFonts w:ascii="Times New Roman" w:hAnsi="Times New Roman" w:cs="Times New Roman"/>
                <w:bCs/>
                <w:color w:val="000000" w:themeColor="text1"/>
                <w:sz w:val="24"/>
                <w:szCs w:val="24"/>
              </w:rPr>
            </w:pPr>
            <w:r>
              <w:rPr>
                <w:color w:val="000000" w:themeColor="text1"/>
              </w:rPr>
              <w:object>
                <v:shape id="_x0000_i1026" o:spt="75" type="#_x0000_t75" style="height:479.3pt;width:424.95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图5.2.1-1  项目运营期流程及产污环节图</w:t>
            </w:r>
          </w:p>
          <w:p>
            <w:pPr>
              <w:spacing w:beforeLines="50"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（2）工艺流程简述</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①I段球磨</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项目对昆明合旺有色金属有限公司生产线产生的氧化锌尾渣进行综合利用，项目拟处理的氧化锌尾渣先进入原料仓暂存，暂存后在I段球磨工序设置了1台</w:t>
            </w:r>
            <w:r>
              <w:rPr>
                <w:rFonts w:ascii="Times New Roman" w:hAnsi="Times New Roman" w:cs="Times New Roman"/>
                <w:bCs/>
                <w:color w:val="000000" w:themeColor="text1"/>
                <w:sz w:val="24"/>
                <w:szCs w:val="24"/>
              </w:rPr>
              <w:t>MQG1836</w:t>
            </w:r>
            <w:r>
              <w:rPr>
                <w:rFonts w:hint="eastAsia" w:ascii="Times New Roman" w:hAnsi="Times New Roman" w:cs="Times New Roman"/>
                <w:bCs/>
                <w:color w:val="000000" w:themeColor="text1"/>
                <w:sz w:val="24"/>
                <w:szCs w:val="24"/>
              </w:rPr>
              <w:t>格子型对其进行球磨，球磨过程需添加水，球磨后是氧化锌尾渣的粒径小于200目，再进入磁选工序。</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②磁选</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项目磁选工序设置了1台型号为</w:t>
            </w:r>
            <w:r>
              <w:rPr>
                <w:rFonts w:ascii="Times New Roman" w:hAnsi="Times New Roman" w:cs="Times New Roman"/>
                <w:bCs/>
                <w:color w:val="000000" w:themeColor="text1"/>
                <w:sz w:val="24"/>
                <w:szCs w:val="24"/>
              </w:rPr>
              <w:t>CTB1021</w:t>
            </w:r>
            <w:r>
              <w:rPr>
                <w:rFonts w:hint="eastAsia" w:ascii="Times New Roman" w:hAnsi="Times New Roman" w:cs="Times New Roman"/>
                <w:bCs/>
                <w:color w:val="000000" w:themeColor="text1"/>
                <w:sz w:val="24"/>
                <w:szCs w:val="24"/>
              </w:rPr>
              <w:t>的磁选机，对I段球磨后的氧化锌尾渣进行磁选，磁选过程需添加水，磁选后将磁性物和非磁性物进行分离，分离后磁性物进入磁性物选别车间，非磁性物进入非磁性物选别车间。</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③磁性物选别车间</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经预处理车间磁选后的磁性物的主要成分包括单质铁、含铁氧化物及少量杂质。为进一步提高磁性物的价值，拟设置磁性物选别车间将磁性物中的价值最高的还原铁粉（单质铁）和次铁粉（含铁氧化物）等进行分离。磁性物选别车间建筑面积约为950</w:t>
            </w:r>
            <w:r>
              <w:rPr>
                <w:rFonts w:ascii="Times New Roman" w:hAnsi="Times New Roman" w:cs="Times New Roman"/>
                <w:bCs/>
                <w:color w:val="000000" w:themeColor="text1"/>
                <w:sz w:val="24"/>
                <w:szCs w:val="24"/>
              </w:rPr>
              <w:t>m²</w:t>
            </w:r>
            <w:r>
              <w:rPr>
                <w:rFonts w:hint="eastAsia" w:ascii="Times New Roman" w:hAnsi="Times New Roman" w:cs="Times New Roman"/>
                <w:bCs/>
                <w:color w:val="000000" w:themeColor="text1"/>
                <w:sz w:val="24"/>
                <w:szCs w:val="24"/>
              </w:rPr>
              <w:t>，包括：细筛工序、II段球磨工序、磁性物重选工序、还原铁粉生产工序、次铁粉生产工序</w:t>
            </w:r>
            <w:r>
              <w:rPr>
                <w:rFonts w:ascii="Times New Roman" w:hAnsi="Times New Roman" w:cs="Times New Roman"/>
                <w:bCs/>
                <w:color w:val="000000" w:themeColor="text1"/>
                <w:sz w:val="24"/>
                <w:szCs w:val="24"/>
              </w:rPr>
              <w:t>。</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⑴高频细筛</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项目拟设置1台1021型高频细筛对预处理车间磁选工序选别得到的磁性物进行筛分，其中筛上物（粒度＞100目）进入II段球磨工序；筛下物（粒度≤100目）进入磁性物重选。</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2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⑵</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II段球磨</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项目II段球磨拟设置一台</w:t>
            </w:r>
            <w:r>
              <w:rPr>
                <w:rFonts w:ascii="Times New Roman" w:hAnsi="Times New Roman" w:cs="Times New Roman"/>
                <w:bCs/>
                <w:color w:val="000000" w:themeColor="text1"/>
                <w:sz w:val="24"/>
                <w:szCs w:val="24"/>
              </w:rPr>
              <w:t>MQY1245</w:t>
            </w:r>
            <w:r>
              <w:rPr>
                <w:rFonts w:hint="eastAsia" w:ascii="Times New Roman" w:hAnsi="Times New Roman" w:cs="Times New Roman"/>
                <w:bCs/>
                <w:color w:val="000000" w:themeColor="text1"/>
                <w:sz w:val="24"/>
                <w:szCs w:val="24"/>
              </w:rPr>
              <w:t>溢流型球磨机对筛上物（粒度＞100目）进行II段球磨，球磨后的物质再进入细筛进行高频细筛进行再次筛分。</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3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⑶</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磁性物重选</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磁性物重选工序设置4套螺旋溜槽和4套云天摇床对粒度≤100目的磁性物进行重选，该利用铁单质的密度大于其他含铁氧化物的密度的特点，可有效将还原铁粉（单质铁）和次铁粉（含铁氧化物）进行分离，重选过程需添加水。</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4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⑷</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还原铁粉生产</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经磁性物重选分离得到的还原铁粉（单质铁）进入还原铁粉生产工序，在该工序内，经过脱水、烘干和包装后得到还原铁粉产品。</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1 \* GB4</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㈠</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脱水</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还原铁粉生产工序配套设置了1台</w:t>
            </w:r>
            <w:r>
              <w:rPr>
                <w:rFonts w:ascii="Times New Roman" w:hAnsi="Times New Roman" w:cs="Times New Roman"/>
                <w:bCs/>
                <w:color w:val="000000" w:themeColor="text1"/>
                <w:sz w:val="24"/>
                <w:szCs w:val="24"/>
              </w:rPr>
              <w:t>GW-3</w:t>
            </w:r>
            <w:r>
              <w:rPr>
                <w:rFonts w:hint="eastAsia" w:ascii="Times New Roman" w:hAnsi="Times New Roman" w:cs="Times New Roman"/>
                <w:bCs/>
                <w:color w:val="000000" w:themeColor="text1"/>
                <w:sz w:val="24"/>
                <w:szCs w:val="24"/>
              </w:rPr>
              <w:t>过滤机进行脱水，该过程会产生一定量的废水，废水经废水收集调节池收集后进入八级沉淀池沉淀处理，处理后泵至回水池回用于生产，不外排。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2 \* GB4</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㈡</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烘干</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脱水后的还原铁粉（单质铁）进入烘干系统进行烘干，烘干系统设置了1台Φ1200*21000烘干机，烘干使用的热量由1套天然气燃烧机提供，该燃烧机对空气进行加热，加热后的空气（含烟气）进入烘干机内与还原铁粉逆流接触进行烘干；使还原铁粉含水率≤1%。</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烘干过程主要污染物为烘干废气，其中包括燃烧机燃气产生的烟尘、SO</w:t>
            </w:r>
            <w:r>
              <w:rPr>
                <w:rFonts w:hint="eastAsia" w:ascii="Times New Roman" w:hAnsi="Times New Roman" w:cs="Times New Roman"/>
                <w:bCs/>
                <w:color w:val="000000" w:themeColor="text1"/>
                <w:sz w:val="24"/>
                <w:szCs w:val="24"/>
                <w:vertAlign w:val="subscript"/>
              </w:rPr>
              <w:t>2</w:t>
            </w:r>
            <w:r>
              <w:rPr>
                <w:rFonts w:hint="eastAsia" w:ascii="Times New Roman" w:hAnsi="Times New Roman" w:cs="Times New Roman"/>
                <w:bCs/>
                <w:color w:val="000000" w:themeColor="text1"/>
                <w:sz w:val="24"/>
                <w:szCs w:val="24"/>
              </w:rPr>
              <w:t>、NOx和烘干粉尘，该工序产生的废气均由烘干机内排出，针对烘干工序产生的废气，项目拟设置</w:t>
            </w:r>
            <w:r>
              <w:rPr>
                <w:rFonts w:ascii="Times New Roman" w:hAnsi="Times New Roman" w:cs="Times New Roman"/>
                <w:bCs/>
                <w:color w:val="000000" w:themeColor="text1"/>
                <w:sz w:val="24"/>
                <w:szCs w:val="24"/>
              </w:rPr>
              <w:t>旋风除尘器</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布袋除尘器</w:t>
            </w:r>
            <w:r>
              <w:rPr>
                <w:rFonts w:hint="eastAsia" w:ascii="Times New Roman" w:hAnsi="Times New Roman" w:cs="Times New Roman"/>
                <w:bCs/>
                <w:color w:val="000000" w:themeColor="text1"/>
                <w:sz w:val="24"/>
                <w:szCs w:val="24"/>
              </w:rPr>
              <w:t>对其进行处理，其中旋风除尘效率为70%，布袋除尘除尘效率为96%，则综合除尘效率约为98.8%，该系统处理风量为6000m³/h；烘干废气经处理后通过</w:t>
            </w:r>
            <w:r>
              <w:rPr>
                <w:rFonts w:ascii="Times New Roman" w:hAnsi="Times New Roman" w:cs="Times New Roman"/>
                <w:bCs/>
                <w:color w:val="000000" w:themeColor="text1"/>
                <w:sz w:val="24"/>
                <w:szCs w:val="24"/>
              </w:rPr>
              <w:t>1根Φ0.4m、高15m的排气筒（DA001）外排。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3 \* GB4</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㈢</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包装</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经烘干及得到还原铁粉产品，对其进行包装入库后外卖。</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5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⑸</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次铁粉生产</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经磁性物重选分离得到的次铁粉（含铁氧化物）进入次铁粉生产工序，在该工序内，经过弱磁选、浓密和板框压滤后得到次铁粉产品。</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1 \* GB4</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㈠</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弱磁选</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由于磁性物重选分离的次铁粉（含铁氧化物）含有一定量的杂质，因此次铁粉生产拟设置1台</w:t>
            </w:r>
            <w:r>
              <w:rPr>
                <w:rFonts w:ascii="Times New Roman" w:hAnsi="Times New Roman" w:cs="Times New Roman"/>
                <w:bCs/>
                <w:color w:val="000000" w:themeColor="text1"/>
                <w:sz w:val="24"/>
                <w:szCs w:val="24"/>
              </w:rPr>
              <w:t>CTB091</w:t>
            </w:r>
            <w:r>
              <w:rPr>
                <w:rFonts w:hint="eastAsia" w:ascii="Times New Roman" w:hAnsi="Times New Roman" w:cs="Times New Roman"/>
                <w:bCs/>
                <w:color w:val="000000" w:themeColor="text1"/>
                <w:sz w:val="24"/>
                <w:szCs w:val="24"/>
              </w:rPr>
              <w:t>8弱磁机对次铁粉进行弱磁选，从而将次铁粉和杂质进行分离，得到的次铁粉进入浓密工序，而而磁选后的杂质进入非磁性物的重选工序。</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2 \* GB4</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㈡</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浓密</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针对磁选后得到的次铁粉，设置1个FNX-10斜管浓密箱对其进行浓密，浓密后的次铁粉进入压滤工序；该过程会产生一定量的废水，废水经废水收集调节池收集后进入八级沉淀池沉淀处理，处理后泵至回水池回用于生产，不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3 \* GB4</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㈢</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板框压滤</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项目设置了2台50</w:t>
            </w:r>
            <w:r>
              <w:rPr>
                <w:rFonts w:ascii="Times New Roman" w:hAnsi="Times New Roman" w:cs="Times New Roman"/>
                <w:bCs/>
                <w:color w:val="000000" w:themeColor="text1"/>
                <w:sz w:val="24"/>
                <w:szCs w:val="24"/>
              </w:rPr>
              <w:t>m²</w:t>
            </w:r>
            <w:r>
              <w:rPr>
                <w:rFonts w:hint="eastAsia" w:ascii="Times New Roman" w:hAnsi="Times New Roman" w:cs="Times New Roman"/>
                <w:bCs/>
                <w:color w:val="000000" w:themeColor="text1"/>
                <w:sz w:val="24"/>
                <w:szCs w:val="24"/>
              </w:rPr>
              <w:t>的板框压滤机对经浓密后的次铁粉进行压滤，压滤后得到次铁粉产品。压滤废水经废水收集调节池收集后进入八级沉淀池沉淀处理，处理后泵至回水池回用于生产，不外排。</w:t>
            </w:r>
          </w:p>
          <w:p>
            <w:pPr>
              <w:spacing w:line="360" w:lineRule="auto"/>
              <w:ind w:firstLine="482" w:firstLineChars="200"/>
              <w:rPr>
                <w:rFonts w:ascii="Times New Roman" w:hAnsi="Times New Roman" w:cs="Times New Roman"/>
                <w:bCs/>
                <w:color w:val="000000" w:themeColor="text1"/>
                <w:sz w:val="24"/>
                <w:szCs w:val="24"/>
              </w:rPr>
            </w:pPr>
            <w:r>
              <w:rPr>
                <w:rFonts w:hint="eastAsia" w:ascii="Times New Roman" w:hAnsi="Times New Roman" w:cs="Times New Roman"/>
                <w:b/>
                <w:bCs/>
                <w:color w:val="000000" w:themeColor="text1"/>
                <w:sz w:val="24"/>
                <w:szCs w:val="24"/>
              </w:rPr>
              <w:t>④非磁性物选别车间</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根据项目特点，经预处理车间磁选后的非磁性物的主要成分包括煤和废渣。为进一步提高非磁性物的价值，拟设置非磁性物选别车间将非磁性物中的有价值的煤进行选别。工艺包括：非磁性物重选工序、煤粉生产工序、废渣脱水工序</w:t>
            </w:r>
            <w:r>
              <w:rPr>
                <w:rFonts w:ascii="Times New Roman" w:hAnsi="Times New Roman" w:cs="Times New Roman"/>
                <w:bCs/>
                <w:color w:val="000000" w:themeColor="text1"/>
                <w:sz w:val="24"/>
                <w:szCs w:val="24"/>
              </w:rPr>
              <w:t>。</w:t>
            </w:r>
            <w:r>
              <w:rPr>
                <w:rFonts w:hint="eastAsia" w:ascii="Times New Roman" w:hAnsi="Times New Roman" w:cs="Times New Roman"/>
                <w:bCs/>
                <w:color w:val="000000" w:themeColor="text1"/>
                <w:sz w:val="24"/>
                <w:szCs w:val="24"/>
              </w:rPr>
              <w:t>具体如下：</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⑴非磁性物重选</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非磁性物重选设置3套选煤螺旋流槽，利用煤密度较小的特点对其进行重选，重选过程将较轻物质（煤）和较重物质（废渣）进行分离。分离后较轻物质（煤）进入煤粉生产工序，而较重物质（废渣）进入废渣脱水工序</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2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⑵</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煤粉生产工序</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1 \* GB4</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㈠</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浓密</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针对非磁性物重选过程得到的煤粉，设置1个FNX-10斜管浓密箱对其进行浓密，浓密后的煤粉进入压滤工序；该过程会产生一定量的废水，废水经废水收集调节池收集后进入八级沉淀池沉淀处理，处理后泵至回水池回用于生产，不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2 \* GB4</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㈡</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板框压滤</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项目设置了2台150</w:t>
            </w:r>
            <w:r>
              <w:rPr>
                <w:rFonts w:ascii="Times New Roman" w:hAnsi="Times New Roman" w:cs="Times New Roman"/>
                <w:bCs/>
                <w:color w:val="000000" w:themeColor="text1"/>
                <w:sz w:val="24"/>
                <w:szCs w:val="24"/>
              </w:rPr>
              <w:t>m²</w:t>
            </w:r>
            <w:r>
              <w:rPr>
                <w:rFonts w:hint="eastAsia" w:ascii="Times New Roman" w:hAnsi="Times New Roman" w:cs="Times New Roman"/>
                <w:bCs/>
                <w:color w:val="000000" w:themeColor="text1"/>
                <w:sz w:val="24"/>
                <w:szCs w:val="24"/>
              </w:rPr>
              <w:t>的板框压滤机对经浓密后的煤粉进行压滤，压滤后得到煤粉产品，运输至厂区燃煤堆场，供次氧化锌生产线使用。压滤废水经废水收集调节池收集后进入八级沉淀池沉淀处理，处理后泵至回水池回用于生产，不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3 \* GB2</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⑶</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废渣脱水工序</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1 \* GB4</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㈠</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浓密</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针对非磁性物重选过程产生的废渣，设置2个FNX-10斜管浓密箱对其进行浓密，浓密后的废渣进入过滤工序；该过程会产生一定量的废水，废水经废水收集调节池收集后进入八级沉淀池沉淀处理，处理后泵至回水池回用于生产，不外排。</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w:instrText>
            </w:r>
            <w:r>
              <w:rPr>
                <w:rFonts w:hint="eastAsia" w:ascii="Times New Roman" w:hAnsi="Times New Roman" w:cs="Times New Roman"/>
                <w:b/>
                <w:bCs/>
                <w:color w:val="000000" w:themeColor="text1"/>
                <w:sz w:val="24"/>
                <w:szCs w:val="24"/>
              </w:rPr>
              <w:instrText xml:space="preserve">= 2 \* GB4</w:instrText>
            </w:r>
            <w:r>
              <w:rPr>
                <w:rFonts w:ascii="Times New Roman" w:hAnsi="Times New Roman" w:cs="Times New Roman"/>
                <w:b/>
                <w:bCs/>
                <w:color w:val="000000" w:themeColor="text1"/>
                <w:sz w:val="24"/>
                <w:szCs w:val="24"/>
              </w:rPr>
              <w:instrText xml:space="preserve"> </w:instrText>
            </w:r>
            <w:r>
              <w:rPr>
                <w:rFonts w:ascii="Times New Roman" w:hAnsi="Times New Roman" w:cs="Times New Roman"/>
                <w:b/>
                <w:bCs/>
                <w:color w:val="000000" w:themeColor="text1"/>
                <w:sz w:val="24"/>
                <w:szCs w:val="24"/>
              </w:rPr>
              <w:fldChar w:fldCharType="separate"/>
            </w:r>
            <w:r>
              <w:rPr>
                <w:rFonts w:hint="eastAsia" w:ascii="Times New Roman" w:hAnsi="Times New Roman" w:cs="Times New Roman"/>
                <w:b/>
                <w:bCs/>
                <w:color w:val="000000" w:themeColor="text1"/>
                <w:sz w:val="24"/>
                <w:szCs w:val="24"/>
              </w:rPr>
              <w:t>㈡</w:t>
            </w:r>
            <w:r>
              <w:rPr>
                <w:rFonts w:ascii="Times New Roman" w:hAnsi="Times New Roman" w:cs="Times New Roman"/>
                <w:b/>
                <w:bCs/>
                <w:color w:val="000000" w:themeColor="text1"/>
                <w:sz w:val="24"/>
                <w:szCs w:val="24"/>
              </w:rPr>
              <w:fldChar w:fldCharType="end"/>
            </w:r>
            <w:r>
              <w:rPr>
                <w:rFonts w:hint="eastAsia" w:ascii="Times New Roman" w:hAnsi="Times New Roman" w:cs="Times New Roman"/>
                <w:b/>
                <w:bCs/>
                <w:color w:val="000000" w:themeColor="text1"/>
                <w:sz w:val="24"/>
                <w:szCs w:val="24"/>
              </w:rPr>
              <w:t>过滤</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项目设置了1台GP-30-6盘式过滤机对经浓密后的废渣进行过滤，过滤后的废渣，运输至废渣暂存库暂存后，一部分用于会泽县强胜页岩砖厂作为制砖原料，剩余部分委托</w:t>
            </w:r>
            <w:r>
              <w:rPr>
                <w:rFonts w:ascii="Times New Roman" w:hAnsi="Times New Roman" w:cs="Times New Roman"/>
                <w:bCs/>
                <w:color w:val="000000" w:themeColor="text1"/>
                <w:sz w:val="24"/>
                <w:szCs w:val="24"/>
              </w:rPr>
              <w:t>四方地工业园区弃渣场处置</w:t>
            </w:r>
            <w:r>
              <w:rPr>
                <w:rFonts w:hint="eastAsia" w:ascii="Times New Roman" w:hAnsi="Times New Roman" w:cs="Times New Roman"/>
                <w:bCs/>
                <w:color w:val="000000" w:themeColor="text1"/>
                <w:sz w:val="24"/>
                <w:szCs w:val="24"/>
              </w:rPr>
              <w:t>。过滤废水经废水收集调节池收集后进入八级沉淀池沉淀处理，处理后泵至回水池回用于生产，不外排。</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2.8.1 施工期产污环节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本项目在现有厂区内进行项目建设，施工期主要建设内容为</w:t>
            </w:r>
            <w:r>
              <w:rPr>
                <w:rFonts w:hint="eastAsia" w:ascii="Times New Roman" w:hAnsi="Times New Roman" w:cs="Times New Roman"/>
                <w:bCs/>
                <w:color w:val="000000" w:themeColor="text1"/>
                <w:sz w:val="24"/>
                <w:szCs w:val="24"/>
              </w:rPr>
              <w:t>厂房建设、</w:t>
            </w:r>
            <w:r>
              <w:rPr>
                <w:rFonts w:ascii="Times New Roman" w:hAnsi="Times New Roman" w:cs="Times New Roman"/>
                <w:bCs/>
                <w:color w:val="000000" w:themeColor="text1"/>
                <w:sz w:val="24"/>
                <w:szCs w:val="24"/>
              </w:rPr>
              <w:t>生产及环保设备的安装</w:t>
            </w:r>
            <w:r>
              <w:rPr>
                <w:rFonts w:hint="eastAsia" w:ascii="Times New Roman" w:hAnsi="Times New Roman" w:cs="Times New Roman"/>
                <w:bCs/>
                <w:color w:val="000000" w:themeColor="text1"/>
                <w:sz w:val="24"/>
                <w:szCs w:val="24"/>
              </w:rPr>
              <w:t>、废渣暂存库等环保设施建设等，</w:t>
            </w:r>
            <w:r>
              <w:rPr>
                <w:rFonts w:ascii="Times New Roman" w:hAnsi="Times New Roman" w:cs="Times New Roman"/>
                <w:bCs/>
                <w:color w:val="000000" w:themeColor="text1"/>
                <w:sz w:val="24"/>
                <w:szCs w:val="24"/>
              </w:rPr>
              <w:t>主要为施工废气、施工噪声、施工固废等。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根据项目工艺流程可知，本项目运营期产污环节具体如下。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根据项目建设内容及生产工艺，本项目生产工艺各环节均为含水作业</w:t>
            </w:r>
            <w:r>
              <w:rPr>
                <w:rFonts w:hint="eastAsia" w:ascii="Times New Roman" w:hAnsi="Times New Roman" w:cs="Times New Roman"/>
                <w:color w:val="000000" w:themeColor="text1"/>
                <w:sz w:val="24"/>
                <w:szCs w:val="24"/>
              </w:rPr>
              <w:t>，基本无废气产生，主要废气产生节点为烘干线废气和废渣暂存库扬尘。</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根据项目产污环节可知，</w:t>
            </w:r>
            <w:r>
              <w:rPr>
                <w:rFonts w:hint="eastAsia" w:ascii="Times New Roman" w:hAnsi="Times New Roman" w:cs="Times New Roman"/>
                <w:color w:val="000000" w:themeColor="text1"/>
                <w:sz w:val="24"/>
                <w:szCs w:val="24"/>
              </w:rPr>
              <w:t>本项目废水类型包括生产废水、生活污水和初期雨水。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pStyle w:val="32"/>
              <w:ind w:firstLine="480"/>
              <w:rPr>
                <w:rFonts w:eastAsiaTheme="minorEastAsia"/>
                <w:color w:val="000000" w:themeColor="text1"/>
                <w:szCs w:val="24"/>
              </w:rPr>
            </w:pPr>
            <w:r>
              <w:rPr>
                <w:rFonts w:eastAsiaTheme="minorEastAsia"/>
                <w:color w:val="000000" w:themeColor="text1"/>
                <w:szCs w:val="24"/>
              </w:rPr>
              <w:t>根据项目工程内容及生产工艺，本项目产生的固体废物包括：</w:t>
            </w:r>
            <w:r>
              <w:rPr>
                <w:rFonts w:hint="eastAsia" w:eastAsiaTheme="minorEastAsia"/>
                <w:color w:val="000000" w:themeColor="text1"/>
                <w:szCs w:val="24"/>
              </w:rPr>
              <w:t>项目对氧化锌尾渣利用后剩余的废渣、</w:t>
            </w:r>
            <w:r>
              <w:rPr>
                <w:rFonts w:eastAsiaTheme="minorEastAsia"/>
                <w:color w:val="000000" w:themeColor="text1"/>
                <w:szCs w:val="24"/>
              </w:rPr>
              <w:t>旋风除尘器和布袋除尘器收集粉尘、设备维修产生的废机油及废弃沾油抹布、生活垃圾。</w:t>
            </w: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1" w:type="dxa"/>
            <w:vAlign w:val="center"/>
          </w:tcPr>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本项目为新建项目，根据调查，与本项目</w:t>
            </w:r>
            <w:r>
              <w:rPr>
                <w:rFonts w:ascii="Times New Roman" w:hAnsi="Times New Roman" w:cs="Times New Roman"/>
                <w:color w:val="000000" w:themeColor="text1"/>
                <w:sz w:val="24"/>
                <w:szCs w:val="24"/>
              </w:rPr>
              <w:t>原有环境污染问题</w:t>
            </w:r>
            <w:r>
              <w:rPr>
                <w:rFonts w:hint="eastAsia" w:ascii="Times New Roman" w:hAnsi="Times New Roman" w:cs="Times New Roman"/>
                <w:color w:val="000000" w:themeColor="text1"/>
                <w:sz w:val="24"/>
                <w:szCs w:val="24"/>
              </w:rPr>
              <w:t>主要为本项目依托工程存在的环境问题，具体如下：</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（1）存在的环境问题</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①根据调查，项目厂区已</w:t>
            </w:r>
            <w:r>
              <w:rPr>
                <w:rFonts w:ascii="Times New Roman" w:hAnsi="Times New Roman" w:cs="Times New Roman"/>
                <w:color w:val="000000" w:themeColor="text1"/>
                <w:sz w:val="24"/>
                <w:szCs w:val="24"/>
              </w:rPr>
              <w:t>在</w:t>
            </w:r>
            <w:r>
              <w:rPr>
                <w:rFonts w:hint="eastAsia" w:ascii="Times New Roman" w:hAnsi="Times New Roman" w:cs="Times New Roman"/>
                <w:color w:val="000000" w:themeColor="text1"/>
                <w:sz w:val="24"/>
                <w:szCs w:val="24"/>
              </w:rPr>
              <w:t>厂区生产线</w:t>
            </w:r>
            <w:r>
              <w:rPr>
                <w:rFonts w:ascii="Times New Roman" w:hAnsi="Times New Roman" w:cs="Times New Roman"/>
                <w:color w:val="000000" w:themeColor="text1"/>
                <w:sz w:val="24"/>
                <w:szCs w:val="24"/>
              </w:rPr>
              <w:t>旁设置1个</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m²的危险废物贮存间对项目区废机油等危险废物进行暂存</w:t>
            </w:r>
            <w:r>
              <w:rPr>
                <w:rFonts w:hint="eastAsia" w:ascii="Times New Roman" w:hAnsi="Times New Roman" w:cs="Times New Roman"/>
                <w:color w:val="000000" w:themeColor="text1"/>
                <w:sz w:val="24"/>
                <w:szCs w:val="24"/>
              </w:rPr>
              <w:t>；虽然</w:t>
            </w:r>
            <w:r>
              <w:rPr>
                <w:rFonts w:ascii="Times New Roman" w:hAnsi="Times New Roman" w:cs="Times New Roman"/>
                <w:color w:val="000000" w:themeColor="text1"/>
                <w:sz w:val="24"/>
                <w:szCs w:val="24"/>
              </w:rPr>
              <w:t>危险废物贮存间</w:t>
            </w:r>
            <w:r>
              <w:rPr>
                <w:rFonts w:hint="eastAsia" w:ascii="Times New Roman" w:hAnsi="Times New Roman" w:cs="Times New Roman"/>
                <w:color w:val="000000" w:themeColor="text1"/>
                <w:sz w:val="24"/>
                <w:szCs w:val="24"/>
              </w:rPr>
              <w:t>地面采用了钢板进行防渗，但裙墙防渗达不到防渗要求，且标识标牌不能满足要求。具体如下：</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drawing>
                <wp:inline distT="0" distB="0" distL="0" distR="0">
                  <wp:extent cx="2400935" cy="1799590"/>
                  <wp:effectExtent l="19050" t="0" r="0" b="0"/>
                  <wp:docPr id="85" name="图片 85" descr="C:\Users\Administrator\Desktop\微信图片_20210809184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C:\Users\Administrator\Desktop\微信图片_20210809184758.jpg"/>
                          <pic:cNvPicPr>
                            <a:picLocks noChangeAspect="1" noChangeArrowheads="1"/>
                          </pic:cNvPicPr>
                        </pic:nvPicPr>
                        <pic:blipFill>
                          <a:blip r:embed="rId9" cstate="print"/>
                          <a:srcRect/>
                          <a:stretch>
                            <a:fillRect/>
                          </a:stretch>
                        </pic:blipFill>
                        <pic:spPr>
                          <a:xfrm>
                            <a:off x="0" y="0"/>
                            <a:ext cx="2401200" cy="1800000"/>
                          </a:xfrm>
                          <a:prstGeom prst="rect">
                            <a:avLst/>
                          </a:prstGeom>
                          <a:noFill/>
                          <a:ln w="9525">
                            <a:noFill/>
                            <a:miter lim="800000"/>
                            <a:headEnd/>
                            <a:tailEnd/>
                          </a:ln>
                        </pic:spPr>
                      </pic:pic>
                    </a:graphicData>
                  </a:graphic>
                </wp:inline>
              </w:drawing>
            </w:r>
            <w:r>
              <w:rPr>
                <w:rFonts w:hint="eastAsia" w:ascii="Times New Roman" w:cs="Times New Roman" w:hAnsiTheme="minorEastAsia"/>
                <w:b/>
                <w:color w:val="000000" w:themeColor="text1"/>
                <w:szCs w:val="24"/>
              </w:rPr>
              <w:t xml:space="preserve">  </w:t>
            </w:r>
            <w:r>
              <w:rPr>
                <w:rFonts w:ascii="Times New Roman" w:cs="Times New Roman" w:hAnsiTheme="minorEastAsia"/>
                <w:b/>
                <w:color w:val="000000" w:themeColor="text1"/>
                <w:szCs w:val="24"/>
              </w:rPr>
              <w:drawing>
                <wp:inline distT="0" distB="0" distL="0" distR="0">
                  <wp:extent cx="2400935" cy="1799590"/>
                  <wp:effectExtent l="19050" t="0" r="0" b="0"/>
                  <wp:docPr id="86" name="图片 86" descr="C:\Users\Administrator\Desktop\微信图片_20210809184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C:\Users\Administrator\Desktop\微信图片_20210809184811.jpg"/>
                          <pic:cNvPicPr>
                            <a:picLocks noChangeAspect="1" noChangeArrowheads="1"/>
                          </pic:cNvPicPr>
                        </pic:nvPicPr>
                        <pic:blipFill>
                          <a:blip r:embed="rId10" cstate="print"/>
                          <a:srcRect/>
                          <a:stretch>
                            <a:fillRect/>
                          </a:stretch>
                        </pic:blipFill>
                        <pic:spPr>
                          <a:xfrm>
                            <a:off x="0" y="0"/>
                            <a:ext cx="2401200" cy="1800000"/>
                          </a:xfrm>
                          <a:prstGeom prst="rect">
                            <a:avLst/>
                          </a:prstGeom>
                          <a:noFill/>
                          <a:ln w="9525">
                            <a:noFill/>
                            <a:miter lim="800000"/>
                            <a:headEnd/>
                            <a:tailEnd/>
                          </a:ln>
                        </pic:spPr>
                      </pic:pic>
                    </a:graphicData>
                  </a:graphic>
                </wp:inline>
              </w:drawing>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危险废物贮存间</w:t>
            </w:r>
            <w:r>
              <w:rPr>
                <w:rFonts w:hint="eastAsia" w:ascii="Times New Roman" w:cs="Times New Roman" w:hAnsiTheme="minorEastAsia"/>
                <w:b/>
                <w:color w:val="000000" w:themeColor="text1"/>
                <w:szCs w:val="24"/>
              </w:rPr>
              <w:t xml:space="preserve">标识牌          </w:t>
            </w:r>
            <w:r>
              <w:rPr>
                <w:rFonts w:ascii="Times New Roman" w:cs="Times New Roman" w:hAnsiTheme="minorEastAsia"/>
                <w:b/>
                <w:color w:val="000000" w:themeColor="text1"/>
                <w:szCs w:val="24"/>
              </w:rPr>
              <w:t>危险废物贮存间</w:t>
            </w:r>
            <w:r>
              <w:rPr>
                <w:rFonts w:hint="eastAsia" w:ascii="Times New Roman" w:cs="Times New Roman" w:hAnsiTheme="minorEastAsia"/>
                <w:b/>
                <w:color w:val="000000" w:themeColor="text1"/>
                <w:szCs w:val="24"/>
              </w:rPr>
              <w:t>内部</w:t>
            </w:r>
          </w:p>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②根据调查，项目区设置有食堂，但未设置隔油池。</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③根据调查，项目拟设置的600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废渣暂存库，拟利用现有渣库进行改造设置600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的废渣暂存库，该渣库设有顶棚，但无三面围挡设施。具体如下：</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drawing>
                <wp:inline distT="0" distB="0" distL="0" distR="0">
                  <wp:extent cx="2399665" cy="1799590"/>
                  <wp:effectExtent l="19050" t="0" r="510" b="0"/>
                  <wp:docPr id="90" name="图片 90" descr="E:\工作\2东川\1合旺项目\现场照片\IMG_5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E:\工作\2东川\1合旺项目\现场照片\IMG_5938.JPG"/>
                          <pic:cNvPicPr>
                            <a:picLocks noChangeAspect="1" noChangeArrowheads="1"/>
                          </pic:cNvPicPr>
                        </pic:nvPicPr>
                        <pic:blipFill>
                          <a:blip r:embed="rId11" cstate="print"/>
                          <a:srcRect/>
                          <a:stretch>
                            <a:fillRect/>
                          </a:stretch>
                        </pic:blipFill>
                        <pic:spPr>
                          <a:xfrm>
                            <a:off x="0" y="0"/>
                            <a:ext cx="2399790" cy="1800000"/>
                          </a:xfrm>
                          <a:prstGeom prst="rect">
                            <a:avLst/>
                          </a:prstGeom>
                          <a:noFill/>
                          <a:ln w="9525">
                            <a:noFill/>
                            <a:miter lim="800000"/>
                            <a:headEnd/>
                            <a:tailEnd/>
                          </a:ln>
                        </pic:spPr>
                      </pic:pic>
                    </a:graphicData>
                  </a:graphic>
                </wp:inline>
              </w:drawing>
            </w:r>
            <w:r>
              <w:rPr>
                <w:rFonts w:hint="eastAsia" w:ascii="Times New Roman" w:cs="Times New Roman" w:hAnsiTheme="minorEastAsia"/>
                <w:b/>
                <w:color w:val="000000" w:themeColor="text1"/>
                <w:szCs w:val="24"/>
              </w:rPr>
              <w:t xml:space="preserve">  </w:t>
            </w:r>
            <w:r>
              <w:rPr>
                <w:rFonts w:ascii="Times New Roman" w:cs="Times New Roman" w:hAnsiTheme="minorEastAsia"/>
                <w:b/>
                <w:color w:val="000000" w:themeColor="text1"/>
                <w:szCs w:val="24"/>
              </w:rPr>
              <w:drawing>
                <wp:inline distT="0" distB="0" distL="0" distR="0">
                  <wp:extent cx="2399665" cy="1799590"/>
                  <wp:effectExtent l="19050" t="0" r="510" b="0"/>
                  <wp:docPr id="89" name="图片 89" descr="E:\工作\2东川\1合旺项目\现场照片\IMG_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E:\工作\2东川\1合旺项目\现场照片\IMG_5936.JPG"/>
                          <pic:cNvPicPr>
                            <a:picLocks noChangeAspect="1" noChangeArrowheads="1"/>
                          </pic:cNvPicPr>
                        </pic:nvPicPr>
                        <pic:blipFill>
                          <a:blip r:embed="rId12" cstate="print"/>
                          <a:srcRect/>
                          <a:stretch>
                            <a:fillRect/>
                          </a:stretch>
                        </pic:blipFill>
                        <pic:spPr>
                          <a:xfrm>
                            <a:off x="0" y="0"/>
                            <a:ext cx="2399790" cy="1800000"/>
                          </a:xfrm>
                          <a:prstGeom prst="rect">
                            <a:avLst/>
                          </a:prstGeom>
                          <a:noFill/>
                          <a:ln w="9525">
                            <a:noFill/>
                            <a:miter lim="800000"/>
                            <a:headEnd/>
                            <a:tailEnd/>
                          </a:ln>
                        </pic:spPr>
                      </pic:pic>
                    </a:graphicData>
                  </a:graphic>
                </wp:inline>
              </w:drawing>
            </w:r>
          </w:p>
          <w:p>
            <w:pPr>
              <w:jc w:val="center"/>
              <w:rPr>
                <w:rFonts w:ascii="Times New Roman" w:cs="Times New Roman" w:hAnsiTheme="minorEastAsia"/>
                <w:b/>
                <w:color w:val="000000" w:themeColor="text1"/>
                <w:szCs w:val="24"/>
              </w:rPr>
            </w:pPr>
            <w:r>
              <w:rPr>
                <w:rFonts w:hint="eastAsia" w:ascii="Times New Roman" w:cs="Times New Roman" w:hAnsiTheme="minorEastAsia"/>
                <w:b/>
                <w:color w:val="000000" w:themeColor="text1"/>
                <w:szCs w:val="24"/>
              </w:rPr>
              <w:t>拟设置的废渣暂存库现状                拟设置的废渣暂存库现状</w:t>
            </w:r>
          </w:p>
          <w:p>
            <w:pPr>
              <w:spacing w:beforeLines="50"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（2）整改要求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①环评提出，对</w:t>
            </w:r>
            <w:r>
              <w:rPr>
                <w:rFonts w:ascii="Times New Roman" w:hAnsi="Times New Roman" w:cs="Times New Roman"/>
                <w:color w:val="000000" w:themeColor="text1"/>
                <w:sz w:val="24"/>
                <w:szCs w:val="24"/>
              </w:rPr>
              <w:t>危险废物贮存间</w:t>
            </w:r>
            <w:r>
              <w:rPr>
                <w:rFonts w:hint="eastAsia" w:ascii="Times New Roman" w:hAnsi="Times New Roman" w:cs="Times New Roman"/>
                <w:color w:val="000000" w:themeColor="text1"/>
                <w:sz w:val="24"/>
                <w:szCs w:val="24"/>
              </w:rPr>
              <w:t>进行完善，包括规范设置标识标牌，进行裙墙防渗，内部设置导流渠和收集池。</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②环评提出，</w:t>
            </w:r>
            <w:r>
              <w:rPr>
                <w:rFonts w:ascii="Times New Roman" w:hAnsi="Times New Roman" w:cs="Times New Roman"/>
                <w:color w:val="000000" w:themeColor="text1"/>
                <w:sz w:val="24"/>
                <w:szCs w:val="24"/>
              </w:rPr>
              <w:t>针对项目厨房生活污水，拟配套设置1个1m³的隔油池对其进行预处理。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③建设过程中对废渣暂存库设置三面围挡。</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15"/>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32"/>
              <w:ind w:firstLine="482"/>
              <w:rPr>
                <w:rFonts w:eastAsiaTheme="minorEastAsia"/>
                <w:b/>
                <w:color w:val="000000" w:themeColor="text1"/>
                <w:szCs w:val="24"/>
              </w:rPr>
            </w:pPr>
            <w:r>
              <w:rPr>
                <w:rFonts w:eastAsiaTheme="minorEastAsia"/>
                <w:b/>
                <w:color w:val="000000" w:themeColor="text1"/>
                <w:szCs w:val="24"/>
              </w:rPr>
              <w:t>3.1.1 环境空气质量现状</w:t>
            </w:r>
          </w:p>
          <w:p>
            <w:pPr>
              <w:pStyle w:val="32"/>
              <w:ind w:firstLine="480"/>
              <w:rPr>
                <w:rFonts w:hAnsiTheme="minorEastAsia" w:eastAsiaTheme="minorEastAsia"/>
                <w:color w:val="000000" w:themeColor="text1"/>
                <w:szCs w:val="24"/>
              </w:rPr>
            </w:pPr>
            <w:r>
              <w:rPr>
                <w:rFonts w:hAnsiTheme="minorEastAsia" w:eastAsiaTheme="minorEastAsia"/>
                <w:color w:val="000000" w:themeColor="text1"/>
                <w:szCs w:val="24"/>
              </w:rPr>
              <w:t>本项目属于东川区行政区划范围内；根据昆明市东川区人民政府办公室发布的发布的《东川区城市环境空气质量周报》，监测数据源自东川区空气自动站2020年3月23日-2020年3月29日的监测结果，如下表所示。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3.1.1-1 </w:t>
            </w:r>
            <w:r>
              <w:rPr>
                <w:rFonts w:ascii="Times New Roman" w:cs="Times New Roman" w:hAnsiTheme="minorEastAsia"/>
                <w:b/>
                <w:color w:val="000000" w:themeColor="text1"/>
                <w:szCs w:val="24"/>
              </w:rPr>
              <w:t>东川区空气自动站</w:t>
            </w:r>
            <w:r>
              <w:rPr>
                <w:rFonts w:ascii="Times New Roman" w:hAnsi="Times New Roman" w:cs="Times New Roman"/>
                <w:b/>
                <w:color w:val="000000" w:themeColor="text1"/>
                <w:szCs w:val="24"/>
              </w:rPr>
              <w:t>2020年3月23日-29日</w:t>
            </w:r>
            <w:r>
              <w:rPr>
                <w:rFonts w:ascii="Times New Roman" w:cs="Times New Roman" w:hAnsiTheme="minorEastAsia"/>
                <w:b/>
                <w:color w:val="000000" w:themeColor="text1"/>
                <w:szCs w:val="24"/>
              </w:rPr>
              <w:t>环境空气检测结果一览表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0"/>
              <w:gridCol w:w="411"/>
              <w:gridCol w:w="1199"/>
              <w:gridCol w:w="1067"/>
              <w:gridCol w:w="1067"/>
              <w:gridCol w:w="1153"/>
              <w:gridCol w:w="1134"/>
              <w:gridCol w:w="914"/>
              <w:gridCol w:w="10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Align w:val="center"/>
                </w:tcPr>
                <w:p>
                  <w:pPr>
                    <w:pStyle w:val="24"/>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站点</w:t>
                  </w:r>
                </w:p>
              </w:tc>
              <w:tc>
                <w:tcPr>
                  <w:tcW w:w="1610" w:type="dxa"/>
                  <w:gridSpan w:val="2"/>
                  <w:vAlign w:val="center"/>
                </w:tcPr>
                <w:p>
                  <w:pPr>
                    <w:pStyle w:val="24"/>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监测时间</w:t>
                  </w:r>
                </w:p>
              </w:tc>
              <w:tc>
                <w:tcPr>
                  <w:tcW w:w="1067" w:type="dxa"/>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SO</w:t>
                  </w:r>
                  <w:r>
                    <w:rPr>
                      <w:rFonts w:eastAsiaTheme="minorEastAsia"/>
                      <w:color w:val="000000" w:themeColor="text1"/>
                      <w:szCs w:val="21"/>
                      <w:vertAlign w:val="subscript"/>
                      <w:lang w:val="en-US"/>
                    </w:rPr>
                    <w:t>2</w:t>
                  </w:r>
                </w:p>
                <w:p>
                  <w:pPr>
                    <w:pStyle w:val="24"/>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067" w:type="dxa"/>
                  <w:vAlign w:val="center"/>
                </w:tcPr>
                <w:p>
                  <w:pPr>
                    <w:pStyle w:val="24"/>
                    <w:spacing w:line="360" w:lineRule="exact"/>
                    <w:ind w:left="11"/>
                    <w:rPr>
                      <w:rFonts w:eastAsiaTheme="minorEastAsia"/>
                      <w:color w:val="000000" w:themeColor="text1"/>
                      <w:szCs w:val="21"/>
                      <w:vertAlign w:val="subscript"/>
                      <w:lang w:val="en-US"/>
                    </w:rPr>
                  </w:pPr>
                  <w:r>
                    <w:rPr>
                      <w:rFonts w:eastAsiaTheme="minorEastAsia"/>
                      <w:color w:val="000000" w:themeColor="text1"/>
                      <w:szCs w:val="21"/>
                      <w:lang w:val="en-US"/>
                    </w:rPr>
                    <w:t>NO</w:t>
                  </w:r>
                  <w:r>
                    <w:rPr>
                      <w:rFonts w:eastAsiaTheme="minorEastAsia"/>
                      <w:color w:val="000000" w:themeColor="text1"/>
                      <w:szCs w:val="21"/>
                      <w:vertAlign w:val="subscript"/>
                      <w:lang w:val="en-US"/>
                    </w:rPr>
                    <w:t>2</w:t>
                  </w:r>
                </w:p>
                <w:p>
                  <w:pPr>
                    <w:pStyle w:val="24"/>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153" w:type="dxa"/>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CO</w:t>
                  </w:r>
                </w:p>
                <w:p>
                  <w:pPr>
                    <w:pStyle w:val="24"/>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mg/m³</w:t>
                  </w:r>
                  <w:r>
                    <w:rPr>
                      <w:rFonts w:hAnsiTheme="minorEastAsia" w:eastAsiaTheme="minorEastAsia"/>
                      <w:color w:val="000000" w:themeColor="text1"/>
                      <w:szCs w:val="21"/>
                      <w:lang w:val="en-US"/>
                    </w:rPr>
                    <w:t>）</w:t>
                  </w:r>
                </w:p>
              </w:tc>
              <w:tc>
                <w:tcPr>
                  <w:tcW w:w="1134" w:type="dxa"/>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O</w:t>
                  </w:r>
                  <w:r>
                    <w:rPr>
                      <w:rFonts w:eastAsiaTheme="minorEastAsia"/>
                      <w:color w:val="000000" w:themeColor="text1"/>
                      <w:szCs w:val="21"/>
                      <w:vertAlign w:val="subscript"/>
                      <w:lang w:val="en-US"/>
                    </w:rPr>
                    <w:t>3</w:t>
                  </w:r>
                  <w:r>
                    <w:rPr>
                      <w:rFonts w:eastAsiaTheme="minorEastAsia"/>
                      <w:color w:val="000000" w:themeColor="text1"/>
                      <w:szCs w:val="21"/>
                      <w:lang w:val="en-US"/>
                    </w:rPr>
                    <w:t>-8h</w:t>
                  </w:r>
                </w:p>
                <w:p>
                  <w:pPr>
                    <w:pStyle w:val="24"/>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914" w:type="dxa"/>
                  <w:vAlign w:val="center"/>
                </w:tcPr>
                <w:p>
                  <w:pPr>
                    <w:pStyle w:val="24"/>
                    <w:spacing w:line="360" w:lineRule="exact"/>
                    <w:ind w:left="11"/>
                    <w:rPr>
                      <w:rFonts w:eastAsiaTheme="minorEastAsia"/>
                      <w:color w:val="000000" w:themeColor="text1"/>
                      <w:szCs w:val="21"/>
                      <w:vertAlign w:val="subscript"/>
                      <w:lang w:val="en-US"/>
                    </w:rPr>
                  </w:pPr>
                  <w:r>
                    <w:rPr>
                      <w:rFonts w:eastAsiaTheme="minorEastAsia"/>
                      <w:color w:val="000000" w:themeColor="text1"/>
                      <w:szCs w:val="21"/>
                      <w:lang w:val="en-US"/>
                    </w:rPr>
                    <w:t>PM</w:t>
                  </w:r>
                  <w:r>
                    <w:rPr>
                      <w:rFonts w:eastAsiaTheme="minorEastAsia"/>
                      <w:color w:val="000000" w:themeColor="text1"/>
                      <w:szCs w:val="21"/>
                      <w:vertAlign w:val="subscript"/>
                      <w:lang w:val="en-US"/>
                    </w:rPr>
                    <w:t>10</w:t>
                  </w:r>
                </w:p>
                <w:p>
                  <w:pPr>
                    <w:pStyle w:val="24"/>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000" w:type="dxa"/>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PM</w:t>
                  </w:r>
                  <w:r>
                    <w:rPr>
                      <w:rFonts w:eastAsiaTheme="minorEastAsia"/>
                      <w:color w:val="000000" w:themeColor="text1"/>
                      <w:szCs w:val="21"/>
                      <w:vertAlign w:val="subscript"/>
                      <w:lang w:val="en-US"/>
                    </w:rPr>
                    <w:t>2.5</w:t>
                  </w: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restart"/>
                  <w:vAlign w:val="center"/>
                </w:tcPr>
                <w:p>
                  <w:pPr>
                    <w:pStyle w:val="24"/>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东川区空气自动站</w:t>
                  </w:r>
                </w:p>
              </w:tc>
              <w:tc>
                <w:tcPr>
                  <w:tcW w:w="411" w:type="dxa"/>
                  <w:vMerge w:val="restart"/>
                  <w:vAlign w:val="center"/>
                </w:tcPr>
                <w:p>
                  <w:pPr>
                    <w:pStyle w:val="24"/>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日均值</w:t>
                  </w:r>
                </w:p>
              </w:tc>
              <w:tc>
                <w:tcPr>
                  <w:tcW w:w="1199" w:type="dxa"/>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2020.3.23</w:t>
                  </w:r>
                </w:p>
              </w:tc>
              <w:tc>
                <w:tcPr>
                  <w:tcW w:w="1067"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9</w:t>
                  </w:r>
                </w:p>
              </w:tc>
              <w:tc>
                <w:tcPr>
                  <w:tcW w:w="1067"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10</w:t>
                  </w:r>
                </w:p>
              </w:tc>
              <w:tc>
                <w:tcPr>
                  <w:tcW w:w="1153"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0.7</w:t>
                  </w:r>
                </w:p>
              </w:tc>
              <w:tc>
                <w:tcPr>
                  <w:tcW w:w="1134"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109</w:t>
                  </w:r>
                </w:p>
              </w:tc>
              <w:tc>
                <w:tcPr>
                  <w:tcW w:w="914"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53</w:t>
                  </w:r>
                </w:p>
              </w:tc>
              <w:tc>
                <w:tcPr>
                  <w:tcW w:w="1000"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4"/>
                    <w:spacing w:line="360" w:lineRule="exact"/>
                    <w:ind w:left="11"/>
                    <w:rPr>
                      <w:rFonts w:eastAsiaTheme="minorEastAsia"/>
                      <w:color w:val="000000" w:themeColor="text1"/>
                      <w:szCs w:val="21"/>
                      <w:lang w:val="en-US"/>
                    </w:rPr>
                  </w:pPr>
                </w:p>
              </w:tc>
              <w:tc>
                <w:tcPr>
                  <w:tcW w:w="411" w:type="dxa"/>
                  <w:vMerge w:val="continue"/>
                  <w:vAlign w:val="center"/>
                </w:tcPr>
                <w:p>
                  <w:pPr>
                    <w:pStyle w:val="24"/>
                    <w:spacing w:line="360" w:lineRule="exact"/>
                    <w:ind w:left="11"/>
                    <w:rPr>
                      <w:rFonts w:eastAsiaTheme="minorEastAsia"/>
                      <w:color w:val="000000" w:themeColor="text1"/>
                      <w:szCs w:val="21"/>
                      <w:lang w:val="en-US"/>
                    </w:rPr>
                  </w:pPr>
                </w:p>
              </w:tc>
              <w:tc>
                <w:tcPr>
                  <w:tcW w:w="1199" w:type="dxa"/>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4</w:t>
                  </w:r>
                </w:p>
              </w:tc>
              <w:tc>
                <w:tcPr>
                  <w:tcW w:w="1067"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9</w:t>
                  </w:r>
                </w:p>
              </w:tc>
              <w:tc>
                <w:tcPr>
                  <w:tcW w:w="1067"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10</w:t>
                  </w:r>
                </w:p>
              </w:tc>
              <w:tc>
                <w:tcPr>
                  <w:tcW w:w="1153"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0.7</w:t>
                  </w:r>
                </w:p>
              </w:tc>
              <w:tc>
                <w:tcPr>
                  <w:tcW w:w="1134"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109</w:t>
                  </w:r>
                </w:p>
              </w:tc>
              <w:tc>
                <w:tcPr>
                  <w:tcW w:w="914"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47</w:t>
                  </w:r>
                </w:p>
              </w:tc>
              <w:tc>
                <w:tcPr>
                  <w:tcW w:w="1000"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4"/>
                    <w:spacing w:line="360" w:lineRule="exact"/>
                    <w:ind w:left="11"/>
                    <w:rPr>
                      <w:rFonts w:eastAsiaTheme="minorEastAsia"/>
                      <w:color w:val="000000" w:themeColor="text1"/>
                      <w:szCs w:val="21"/>
                      <w:lang w:val="en-US"/>
                    </w:rPr>
                  </w:pPr>
                </w:p>
              </w:tc>
              <w:tc>
                <w:tcPr>
                  <w:tcW w:w="411" w:type="dxa"/>
                  <w:vMerge w:val="continue"/>
                  <w:vAlign w:val="center"/>
                </w:tcPr>
                <w:p>
                  <w:pPr>
                    <w:pStyle w:val="24"/>
                    <w:spacing w:line="360" w:lineRule="exact"/>
                    <w:ind w:left="11"/>
                    <w:rPr>
                      <w:rFonts w:eastAsiaTheme="minorEastAsia"/>
                      <w:color w:val="000000" w:themeColor="text1"/>
                      <w:szCs w:val="21"/>
                      <w:lang w:val="en-US"/>
                    </w:rPr>
                  </w:pPr>
                </w:p>
              </w:tc>
              <w:tc>
                <w:tcPr>
                  <w:tcW w:w="1199" w:type="dxa"/>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5</w:t>
                  </w:r>
                </w:p>
              </w:tc>
              <w:tc>
                <w:tcPr>
                  <w:tcW w:w="1067"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7</w:t>
                  </w:r>
                </w:p>
              </w:tc>
              <w:tc>
                <w:tcPr>
                  <w:tcW w:w="1067"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6</w:t>
                  </w:r>
                </w:p>
              </w:tc>
              <w:tc>
                <w:tcPr>
                  <w:tcW w:w="1153"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0.6</w:t>
                  </w:r>
                </w:p>
              </w:tc>
              <w:tc>
                <w:tcPr>
                  <w:tcW w:w="1134"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118</w:t>
                  </w:r>
                </w:p>
              </w:tc>
              <w:tc>
                <w:tcPr>
                  <w:tcW w:w="914"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38</w:t>
                  </w:r>
                </w:p>
              </w:tc>
              <w:tc>
                <w:tcPr>
                  <w:tcW w:w="1000"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4"/>
                    <w:spacing w:line="360" w:lineRule="exact"/>
                    <w:ind w:left="11"/>
                    <w:rPr>
                      <w:rFonts w:eastAsiaTheme="minorEastAsia"/>
                      <w:color w:val="000000" w:themeColor="text1"/>
                      <w:szCs w:val="21"/>
                      <w:lang w:val="en-US"/>
                    </w:rPr>
                  </w:pPr>
                </w:p>
              </w:tc>
              <w:tc>
                <w:tcPr>
                  <w:tcW w:w="411" w:type="dxa"/>
                  <w:vMerge w:val="continue"/>
                  <w:vAlign w:val="center"/>
                </w:tcPr>
                <w:p>
                  <w:pPr>
                    <w:pStyle w:val="24"/>
                    <w:spacing w:line="360" w:lineRule="exact"/>
                    <w:ind w:left="11"/>
                    <w:rPr>
                      <w:rFonts w:eastAsiaTheme="minorEastAsia"/>
                      <w:color w:val="000000" w:themeColor="text1"/>
                      <w:szCs w:val="21"/>
                      <w:lang w:val="en-US"/>
                    </w:rPr>
                  </w:pPr>
                </w:p>
              </w:tc>
              <w:tc>
                <w:tcPr>
                  <w:tcW w:w="1199" w:type="dxa"/>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6</w:t>
                  </w:r>
                </w:p>
              </w:tc>
              <w:tc>
                <w:tcPr>
                  <w:tcW w:w="1067"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6</w:t>
                  </w:r>
                </w:p>
              </w:tc>
              <w:tc>
                <w:tcPr>
                  <w:tcW w:w="1067"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5</w:t>
                  </w:r>
                </w:p>
              </w:tc>
              <w:tc>
                <w:tcPr>
                  <w:tcW w:w="1153"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0.6</w:t>
                  </w:r>
                </w:p>
              </w:tc>
              <w:tc>
                <w:tcPr>
                  <w:tcW w:w="1134"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101</w:t>
                  </w:r>
                </w:p>
              </w:tc>
              <w:tc>
                <w:tcPr>
                  <w:tcW w:w="914"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25</w:t>
                  </w:r>
                </w:p>
              </w:tc>
              <w:tc>
                <w:tcPr>
                  <w:tcW w:w="1000"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4"/>
                    <w:spacing w:line="360" w:lineRule="exact"/>
                    <w:ind w:left="11"/>
                    <w:rPr>
                      <w:rFonts w:eastAsiaTheme="minorEastAsia"/>
                      <w:color w:val="000000" w:themeColor="text1"/>
                      <w:szCs w:val="21"/>
                      <w:lang w:val="en-US"/>
                    </w:rPr>
                  </w:pPr>
                </w:p>
              </w:tc>
              <w:tc>
                <w:tcPr>
                  <w:tcW w:w="411" w:type="dxa"/>
                  <w:vMerge w:val="continue"/>
                  <w:vAlign w:val="center"/>
                </w:tcPr>
                <w:p>
                  <w:pPr>
                    <w:pStyle w:val="24"/>
                    <w:spacing w:line="360" w:lineRule="exact"/>
                    <w:ind w:left="11"/>
                    <w:rPr>
                      <w:rFonts w:eastAsiaTheme="minorEastAsia"/>
                      <w:color w:val="000000" w:themeColor="text1"/>
                      <w:szCs w:val="21"/>
                      <w:lang w:val="en-US"/>
                    </w:rPr>
                  </w:pPr>
                </w:p>
              </w:tc>
              <w:tc>
                <w:tcPr>
                  <w:tcW w:w="1199" w:type="dxa"/>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7</w:t>
                  </w:r>
                </w:p>
              </w:tc>
              <w:tc>
                <w:tcPr>
                  <w:tcW w:w="1067"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7</w:t>
                  </w:r>
                </w:p>
              </w:tc>
              <w:tc>
                <w:tcPr>
                  <w:tcW w:w="1067"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8</w:t>
                  </w:r>
                </w:p>
              </w:tc>
              <w:tc>
                <w:tcPr>
                  <w:tcW w:w="1153"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0.7</w:t>
                  </w:r>
                </w:p>
              </w:tc>
              <w:tc>
                <w:tcPr>
                  <w:tcW w:w="1134"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113</w:t>
                  </w:r>
                </w:p>
              </w:tc>
              <w:tc>
                <w:tcPr>
                  <w:tcW w:w="914"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39</w:t>
                  </w:r>
                </w:p>
              </w:tc>
              <w:tc>
                <w:tcPr>
                  <w:tcW w:w="1000"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4"/>
                    <w:spacing w:line="360" w:lineRule="exact"/>
                    <w:ind w:left="11"/>
                    <w:rPr>
                      <w:rFonts w:eastAsiaTheme="minorEastAsia"/>
                      <w:color w:val="000000" w:themeColor="text1"/>
                      <w:szCs w:val="21"/>
                      <w:lang w:val="en-US"/>
                    </w:rPr>
                  </w:pPr>
                </w:p>
              </w:tc>
              <w:tc>
                <w:tcPr>
                  <w:tcW w:w="411" w:type="dxa"/>
                  <w:vMerge w:val="continue"/>
                  <w:vAlign w:val="center"/>
                </w:tcPr>
                <w:p>
                  <w:pPr>
                    <w:pStyle w:val="24"/>
                    <w:spacing w:line="360" w:lineRule="exact"/>
                    <w:ind w:left="11"/>
                    <w:rPr>
                      <w:rFonts w:eastAsiaTheme="minorEastAsia"/>
                      <w:color w:val="000000" w:themeColor="text1"/>
                      <w:szCs w:val="21"/>
                      <w:lang w:val="en-US"/>
                    </w:rPr>
                  </w:pPr>
                </w:p>
              </w:tc>
              <w:tc>
                <w:tcPr>
                  <w:tcW w:w="1199" w:type="dxa"/>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8</w:t>
                  </w:r>
                </w:p>
              </w:tc>
              <w:tc>
                <w:tcPr>
                  <w:tcW w:w="1067"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47</w:t>
                  </w:r>
                </w:p>
              </w:tc>
              <w:tc>
                <w:tcPr>
                  <w:tcW w:w="1067"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11</w:t>
                  </w:r>
                </w:p>
              </w:tc>
              <w:tc>
                <w:tcPr>
                  <w:tcW w:w="1153"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0.7</w:t>
                  </w:r>
                </w:p>
              </w:tc>
              <w:tc>
                <w:tcPr>
                  <w:tcW w:w="1134"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102</w:t>
                  </w:r>
                </w:p>
              </w:tc>
              <w:tc>
                <w:tcPr>
                  <w:tcW w:w="914"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56</w:t>
                  </w:r>
                </w:p>
              </w:tc>
              <w:tc>
                <w:tcPr>
                  <w:tcW w:w="1000"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4"/>
                    <w:spacing w:line="360" w:lineRule="exact"/>
                    <w:ind w:left="11"/>
                    <w:rPr>
                      <w:rFonts w:eastAsiaTheme="minorEastAsia"/>
                      <w:color w:val="000000" w:themeColor="text1"/>
                      <w:szCs w:val="21"/>
                      <w:lang w:val="en-US"/>
                    </w:rPr>
                  </w:pPr>
                </w:p>
              </w:tc>
              <w:tc>
                <w:tcPr>
                  <w:tcW w:w="411" w:type="dxa"/>
                  <w:vMerge w:val="continue"/>
                  <w:vAlign w:val="center"/>
                </w:tcPr>
                <w:p>
                  <w:pPr>
                    <w:pStyle w:val="24"/>
                    <w:spacing w:line="360" w:lineRule="exact"/>
                    <w:ind w:left="11"/>
                    <w:rPr>
                      <w:rFonts w:eastAsiaTheme="minorEastAsia"/>
                      <w:color w:val="000000" w:themeColor="text1"/>
                      <w:szCs w:val="21"/>
                      <w:lang w:val="en-US"/>
                    </w:rPr>
                  </w:pPr>
                </w:p>
              </w:tc>
              <w:tc>
                <w:tcPr>
                  <w:tcW w:w="1199" w:type="dxa"/>
                  <w:vAlign w:val="center"/>
                </w:tcPr>
                <w:p>
                  <w:pPr>
                    <w:pStyle w:val="24"/>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9</w:t>
                  </w:r>
                </w:p>
              </w:tc>
              <w:tc>
                <w:tcPr>
                  <w:tcW w:w="1067"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19</w:t>
                  </w:r>
                </w:p>
              </w:tc>
              <w:tc>
                <w:tcPr>
                  <w:tcW w:w="1067"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8</w:t>
                  </w:r>
                </w:p>
              </w:tc>
              <w:tc>
                <w:tcPr>
                  <w:tcW w:w="1153"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0.6</w:t>
                  </w:r>
                </w:p>
              </w:tc>
              <w:tc>
                <w:tcPr>
                  <w:tcW w:w="1134"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104</w:t>
                  </w:r>
                </w:p>
              </w:tc>
              <w:tc>
                <w:tcPr>
                  <w:tcW w:w="914"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58</w:t>
                  </w:r>
                </w:p>
              </w:tc>
              <w:tc>
                <w:tcPr>
                  <w:tcW w:w="1000"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0" w:type="dxa"/>
                  <w:gridSpan w:val="3"/>
                  <w:vAlign w:val="center"/>
                </w:tcPr>
                <w:p>
                  <w:pPr>
                    <w:pStyle w:val="24"/>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标准值</w:t>
                  </w:r>
                </w:p>
              </w:tc>
              <w:tc>
                <w:tcPr>
                  <w:tcW w:w="1067" w:type="dxa"/>
                  <w:vAlign w:val="center"/>
                </w:tcPr>
                <w:p>
                  <w:pPr>
                    <w:pStyle w:val="24"/>
                    <w:spacing w:line="360" w:lineRule="exact"/>
                    <w:rPr>
                      <w:rFonts w:eastAsiaTheme="minorEastAsia"/>
                      <w:color w:val="000000" w:themeColor="text1"/>
                      <w:szCs w:val="21"/>
                      <w:lang w:val="en-US"/>
                    </w:rPr>
                  </w:pPr>
                  <w:r>
                    <w:rPr>
                      <w:rFonts w:eastAsiaTheme="minorEastAsia"/>
                      <w:color w:val="000000" w:themeColor="text1"/>
                      <w:szCs w:val="21"/>
                      <w:lang w:val="en-US"/>
                    </w:rPr>
                    <w:t>150</w:t>
                  </w:r>
                </w:p>
              </w:tc>
              <w:tc>
                <w:tcPr>
                  <w:tcW w:w="1067" w:type="dxa"/>
                  <w:vAlign w:val="center"/>
                </w:tcPr>
                <w:p>
                  <w:pPr>
                    <w:pStyle w:val="24"/>
                    <w:spacing w:line="360" w:lineRule="exact"/>
                    <w:rPr>
                      <w:rFonts w:eastAsiaTheme="minorEastAsia"/>
                      <w:color w:val="000000" w:themeColor="text1"/>
                      <w:szCs w:val="21"/>
                      <w:lang w:val="en-US"/>
                    </w:rPr>
                  </w:pPr>
                  <w:r>
                    <w:rPr>
                      <w:rFonts w:eastAsiaTheme="minorEastAsia"/>
                      <w:color w:val="000000" w:themeColor="text1"/>
                      <w:szCs w:val="21"/>
                      <w:lang w:val="en-US"/>
                    </w:rPr>
                    <w:t>80</w:t>
                  </w:r>
                </w:p>
              </w:tc>
              <w:tc>
                <w:tcPr>
                  <w:tcW w:w="1153" w:type="dxa"/>
                  <w:vAlign w:val="center"/>
                </w:tcPr>
                <w:p>
                  <w:pPr>
                    <w:pStyle w:val="24"/>
                    <w:spacing w:line="360" w:lineRule="exact"/>
                    <w:rPr>
                      <w:rFonts w:eastAsiaTheme="minorEastAsia"/>
                      <w:color w:val="000000" w:themeColor="text1"/>
                      <w:szCs w:val="21"/>
                      <w:lang w:val="en-US"/>
                    </w:rPr>
                  </w:pPr>
                  <w:r>
                    <w:rPr>
                      <w:rFonts w:eastAsiaTheme="minorEastAsia"/>
                      <w:color w:val="000000" w:themeColor="text1"/>
                      <w:szCs w:val="21"/>
                      <w:lang w:val="en-US"/>
                    </w:rPr>
                    <w:t>4</w:t>
                  </w:r>
                </w:p>
              </w:tc>
              <w:tc>
                <w:tcPr>
                  <w:tcW w:w="1134" w:type="dxa"/>
                  <w:vAlign w:val="center"/>
                </w:tcPr>
                <w:p>
                  <w:pPr>
                    <w:pStyle w:val="24"/>
                    <w:spacing w:line="360" w:lineRule="exact"/>
                    <w:rPr>
                      <w:rFonts w:eastAsiaTheme="minorEastAsia"/>
                      <w:color w:val="000000" w:themeColor="text1"/>
                      <w:szCs w:val="21"/>
                      <w:lang w:val="en-US"/>
                    </w:rPr>
                  </w:pPr>
                  <w:r>
                    <w:rPr>
                      <w:rFonts w:eastAsiaTheme="minorEastAsia"/>
                      <w:color w:val="000000" w:themeColor="text1"/>
                      <w:szCs w:val="21"/>
                      <w:lang w:val="en-US"/>
                    </w:rPr>
                    <w:t>160</w:t>
                  </w:r>
                </w:p>
              </w:tc>
              <w:tc>
                <w:tcPr>
                  <w:tcW w:w="914" w:type="dxa"/>
                  <w:vAlign w:val="center"/>
                </w:tcPr>
                <w:p>
                  <w:pPr>
                    <w:pStyle w:val="24"/>
                    <w:spacing w:line="360" w:lineRule="exact"/>
                    <w:rPr>
                      <w:rFonts w:eastAsiaTheme="minorEastAsia"/>
                      <w:color w:val="000000" w:themeColor="text1"/>
                      <w:szCs w:val="21"/>
                      <w:lang w:val="en-US"/>
                    </w:rPr>
                  </w:pPr>
                  <w:r>
                    <w:rPr>
                      <w:rFonts w:eastAsiaTheme="minorEastAsia"/>
                      <w:color w:val="000000" w:themeColor="text1"/>
                      <w:szCs w:val="21"/>
                      <w:lang w:val="en-US"/>
                    </w:rPr>
                    <w:t>150</w:t>
                  </w:r>
                </w:p>
              </w:tc>
              <w:tc>
                <w:tcPr>
                  <w:tcW w:w="1000" w:type="dxa"/>
                  <w:vAlign w:val="center"/>
                </w:tcPr>
                <w:p>
                  <w:pPr>
                    <w:pStyle w:val="24"/>
                    <w:spacing w:line="360" w:lineRule="exact"/>
                    <w:rPr>
                      <w:rFonts w:eastAsiaTheme="minorEastAsia"/>
                      <w:color w:val="000000" w:themeColor="text1"/>
                      <w:szCs w:val="21"/>
                      <w:lang w:val="en-US"/>
                    </w:rPr>
                  </w:pPr>
                  <w:r>
                    <w:rPr>
                      <w:rFonts w:eastAsiaTheme="minorEastAsia"/>
                      <w:color w:val="000000" w:themeColor="text1"/>
                      <w:szCs w:val="21"/>
                      <w:lang w:val="en-US"/>
                    </w:rPr>
                    <w:t>75</w:t>
                  </w:r>
                </w:p>
              </w:tc>
            </w:tr>
          </w:tbl>
          <w:p>
            <w:pPr>
              <w:pStyle w:val="32"/>
              <w:spacing w:beforeLines="50"/>
              <w:ind w:firstLine="480"/>
              <w:rPr>
                <w:rFonts w:eastAsiaTheme="minorEastAsia"/>
                <w:color w:val="000000" w:themeColor="text1"/>
                <w:szCs w:val="24"/>
              </w:rPr>
            </w:pPr>
            <w:r>
              <w:rPr>
                <w:rFonts w:eastAsiaTheme="minorEastAsia"/>
                <w:color w:val="000000" w:themeColor="text1"/>
                <w:szCs w:val="24"/>
              </w:rPr>
              <w:t>由上表可知，根据东川区空气自动站2020年3月23日-29日连续7天的监测结果，东川区环境空气质量可达到《环境空气质量标准》（GB3095-2012）二级标准。</w:t>
            </w:r>
          </w:p>
          <w:p>
            <w:pPr>
              <w:pStyle w:val="32"/>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32"/>
              <w:ind w:firstLine="480"/>
              <w:rPr>
                <w:color w:val="000000" w:themeColor="text1"/>
                <w:szCs w:val="24"/>
              </w:rPr>
            </w:pPr>
            <w:r>
              <w:rPr>
                <w:color w:val="000000" w:themeColor="text1"/>
                <w:szCs w:val="24"/>
              </w:rPr>
              <w:t>本项目区属于小江的汇水范围，小江位于项目区西南侧1085m。</w:t>
            </w:r>
            <w:r>
              <w:rPr>
                <w:rFonts w:hint="eastAsia"/>
                <w:color w:val="000000" w:themeColor="text1"/>
                <w:szCs w:val="24"/>
              </w:rPr>
              <w:t>根据云南省水利厅发布的《云南省水功能区划》（2014版），小江（清水海-入金沙江口段）到2030年的水质目标为III类水体，</w:t>
            </w:r>
            <w:r>
              <w:rPr>
                <w:color w:val="000000" w:themeColor="text1"/>
                <w:szCs w:val="24"/>
              </w:rPr>
              <w:t>执行《地表水环境质量标准》（GB3838-2002）I</w:t>
            </w:r>
            <w:r>
              <w:rPr>
                <w:rFonts w:hint="eastAsia"/>
                <w:color w:val="000000" w:themeColor="text1"/>
                <w:szCs w:val="24"/>
              </w:rPr>
              <w:t>II</w:t>
            </w:r>
            <w:r>
              <w:rPr>
                <w:color w:val="000000" w:themeColor="text1"/>
                <w:szCs w:val="24"/>
              </w:rPr>
              <w:t>类水标准。</w:t>
            </w:r>
            <w:r>
              <w:rPr>
                <w:rFonts w:hAnsiTheme="minorEastAsia" w:eastAsiaTheme="minorEastAsia"/>
                <w:color w:val="000000" w:themeColor="text1"/>
                <w:szCs w:val="24"/>
              </w:rPr>
              <w:t>在评价期间，收集了东川区环境监测站</w:t>
            </w:r>
            <w:r>
              <w:rPr>
                <w:rFonts w:eastAsiaTheme="minorEastAsia"/>
                <w:color w:val="000000" w:themeColor="text1"/>
                <w:szCs w:val="24"/>
              </w:rPr>
              <w:t>2019</w:t>
            </w:r>
            <w:r>
              <w:rPr>
                <w:rFonts w:hAnsiTheme="minorEastAsia" w:eastAsiaTheme="minorEastAsia"/>
                <w:color w:val="000000" w:themeColor="text1"/>
                <w:szCs w:val="24"/>
              </w:rPr>
              <w:t>年</w:t>
            </w:r>
            <w:r>
              <w:rPr>
                <w:rFonts w:eastAsiaTheme="minorEastAsia"/>
                <w:color w:val="000000" w:themeColor="text1"/>
                <w:szCs w:val="24"/>
              </w:rPr>
              <w:t>9</w:t>
            </w:r>
            <w:r>
              <w:rPr>
                <w:rFonts w:hAnsiTheme="minorEastAsia" w:eastAsiaTheme="minorEastAsia"/>
                <w:color w:val="000000" w:themeColor="text1"/>
                <w:szCs w:val="24"/>
              </w:rPr>
              <w:t>月对小江的板河口断面的常规监测数据，如下表所示。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3.1.2-1 </w:t>
            </w:r>
            <w:r>
              <w:rPr>
                <w:rFonts w:ascii="Times New Roman" w:cs="Times New Roman" w:hAnsiTheme="minorEastAsia"/>
                <w:b/>
                <w:color w:val="000000" w:themeColor="text1"/>
                <w:szCs w:val="24"/>
              </w:rPr>
              <w:t>项目区域地表水体小江水质检测结果一览表</w:t>
            </w:r>
            <w:r>
              <w:rPr>
                <w:rFonts w:ascii="Times New Roman" w:hAnsi="Times New Roman" w:cs="Times New Roman"/>
                <w:b/>
                <w:color w:val="000000" w:themeColor="text1"/>
                <w:szCs w:val="24"/>
              </w:rPr>
              <w:t xml:space="preserve"> </w:t>
            </w:r>
            <w:r>
              <w:rPr>
                <w:rFonts w:ascii="Times New Roman" w:cs="Times New Roman" w:hAnsiTheme="minorEastAsia"/>
                <w:b/>
                <w:color w:val="000000" w:themeColor="text1"/>
                <w:szCs w:val="24"/>
              </w:rPr>
              <w:t>单位：</w:t>
            </w:r>
            <w:r>
              <w:rPr>
                <w:rFonts w:ascii="Times New Roman" w:hAnsi="Times New Roman" w:cs="Times New Roman"/>
                <w:b/>
                <w:color w:val="000000" w:themeColor="text1"/>
                <w:szCs w:val="24"/>
              </w:rPr>
              <w:t>mg/L</w:t>
            </w:r>
          </w:p>
          <w:tbl>
            <w:tblPr>
              <w:tblStyle w:val="14"/>
              <w:tblW w:w="5000" w:type="pct"/>
              <w:tblInd w:w="0" w:type="dxa"/>
              <w:tblLayout w:type="fixed"/>
              <w:tblCellMar>
                <w:top w:w="0" w:type="dxa"/>
                <w:left w:w="108" w:type="dxa"/>
                <w:bottom w:w="0" w:type="dxa"/>
                <w:right w:w="108" w:type="dxa"/>
              </w:tblCellMar>
            </w:tblPr>
            <w:tblGrid>
              <w:gridCol w:w="1073"/>
              <w:gridCol w:w="2389"/>
              <w:gridCol w:w="1739"/>
              <w:gridCol w:w="1427"/>
              <w:gridCol w:w="1977"/>
            </w:tblGrid>
            <w:tr>
              <w:tblPrEx>
                <w:tblCellMar>
                  <w:top w:w="0" w:type="dxa"/>
                  <w:left w:w="108" w:type="dxa"/>
                  <w:bottom w:w="0" w:type="dxa"/>
                  <w:right w:w="108" w:type="dxa"/>
                </w:tblCellMar>
              </w:tblPrEx>
              <w:trPr>
                <w:trHeight w:val="148"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序号</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监测项目</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板河口</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标准值</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达标情况</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1</w:t>
                  </w:r>
                </w:p>
              </w:tc>
              <w:tc>
                <w:tcPr>
                  <w:tcW w:w="2018"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pH</w:t>
                  </w:r>
                  <w:r>
                    <w:rPr>
                      <w:rFonts w:hAnsiTheme="minorEastAsia" w:eastAsiaTheme="minorEastAsia"/>
                      <w:color w:val="000000" w:themeColor="text1"/>
                      <w:szCs w:val="21"/>
                    </w:rPr>
                    <w:t>（无量纲）</w:t>
                  </w:r>
                </w:p>
              </w:tc>
              <w:tc>
                <w:tcPr>
                  <w:tcW w:w="1469"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bCs w:val="0"/>
                      <w:color w:val="000000" w:themeColor="text1"/>
                      <w:szCs w:val="24"/>
                    </w:rPr>
                  </w:pPr>
                  <w:r>
                    <w:rPr>
                      <w:rFonts w:eastAsiaTheme="minorEastAsia"/>
                      <w:bCs w:val="0"/>
                      <w:color w:val="000000" w:themeColor="text1"/>
                      <w:szCs w:val="24"/>
                    </w:rPr>
                    <w:t>8.41</w:t>
                  </w:r>
                </w:p>
              </w:tc>
              <w:tc>
                <w:tcPr>
                  <w:tcW w:w="1205"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6-9</w:t>
                  </w:r>
                </w:p>
              </w:tc>
              <w:tc>
                <w:tcPr>
                  <w:tcW w:w="1670"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2</w:t>
                  </w:r>
                </w:p>
              </w:tc>
              <w:tc>
                <w:tcPr>
                  <w:tcW w:w="2018"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COD</w:t>
                  </w:r>
                  <w:r>
                    <w:rPr>
                      <w:rFonts w:eastAsiaTheme="minorEastAsia"/>
                      <w:color w:val="000000" w:themeColor="text1"/>
                      <w:szCs w:val="21"/>
                      <w:vertAlign w:val="subscript"/>
                    </w:rPr>
                    <w:t>Cr</w:t>
                  </w:r>
                </w:p>
              </w:tc>
              <w:tc>
                <w:tcPr>
                  <w:tcW w:w="1469"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bCs w:val="0"/>
                      <w:color w:val="000000" w:themeColor="text1"/>
                      <w:szCs w:val="24"/>
                    </w:rPr>
                  </w:pPr>
                  <w:r>
                    <w:rPr>
                      <w:rFonts w:eastAsiaTheme="minorEastAsia"/>
                      <w:bCs w:val="0"/>
                      <w:color w:val="000000" w:themeColor="text1"/>
                      <w:szCs w:val="24"/>
                    </w:rPr>
                    <w:t>5</w:t>
                  </w:r>
                </w:p>
              </w:tc>
              <w:tc>
                <w:tcPr>
                  <w:tcW w:w="1205"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2</w:t>
                  </w:r>
                  <w:r>
                    <w:rPr>
                      <w:rFonts w:eastAsiaTheme="minorEastAsia"/>
                      <w:color w:val="000000" w:themeColor="text1"/>
                      <w:szCs w:val="21"/>
                    </w:rPr>
                    <w:t>0</w:t>
                  </w:r>
                </w:p>
              </w:tc>
              <w:tc>
                <w:tcPr>
                  <w:tcW w:w="1670"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3</w:t>
                  </w:r>
                </w:p>
              </w:tc>
              <w:tc>
                <w:tcPr>
                  <w:tcW w:w="2018"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469"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bCs w:val="0"/>
                      <w:color w:val="000000" w:themeColor="text1"/>
                      <w:szCs w:val="24"/>
                    </w:rPr>
                  </w:pPr>
                  <w:r>
                    <w:rPr>
                      <w:rFonts w:eastAsiaTheme="minorEastAsia"/>
                      <w:bCs w:val="0"/>
                      <w:color w:val="000000" w:themeColor="text1"/>
                      <w:szCs w:val="24"/>
                    </w:rPr>
                    <w:t>2</w:t>
                  </w:r>
                </w:p>
              </w:tc>
              <w:tc>
                <w:tcPr>
                  <w:tcW w:w="1205"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4</w:t>
                  </w:r>
                </w:p>
              </w:tc>
              <w:tc>
                <w:tcPr>
                  <w:tcW w:w="1670"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5</w:t>
                  </w:r>
                </w:p>
              </w:tc>
              <w:tc>
                <w:tcPr>
                  <w:tcW w:w="2018"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469"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bCs w:val="0"/>
                      <w:color w:val="000000" w:themeColor="text1"/>
                      <w:szCs w:val="24"/>
                    </w:rPr>
                  </w:pPr>
                  <w:r>
                    <w:rPr>
                      <w:rFonts w:eastAsiaTheme="minorEastAsia"/>
                      <w:bCs w:val="0"/>
                      <w:color w:val="000000" w:themeColor="text1"/>
                      <w:szCs w:val="24"/>
                    </w:rPr>
                    <w:t>0.32</w:t>
                  </w:r>
                </w:p>
              </w:tc>
              <w:tc>
                <w:tcPr>
                  <w:tcW w:w="1205"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color w:val="000000" w:themeColor="text1"/>
                      <w:szCs w:val="21"/>
                    </w:rPr>
                    <w:t>≤1.</w:t>
                  </w:r>
                  <w:r>
                    <w:rPr>
                      <w:rFonts w:hint="eastAsia"/>
                      <w:color w:val="000000" w:themeColor="text1"/>
                      <w:szCs w:val="21"/>
                    </w:rPr>
                    <w:t>0</w:t>
                  </w:r>
                </w:p>
              </w:tc>
              <w:tc>
                <w:tcPr>
                  <w:tcW w:w="1670"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6</w:t>
                  </w:r>
                </w:p>
              </w:tc>
              <w:tc>
                <w:tcPr>
                  <w:tcW w:w="2018"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总磷</w:t>
                  </w:r>
                </w:p>
              </w:tc>
              <w:tc>
                <w:tcPr>
                  <w:tcW w:w="1469"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bCs w:val="0"/>
                      <w:color w:val="000000" w:themeColor="text1"/>
                      <w:szCs w:val="24"/>
                    </w:rPr>
                  </w:pPr>
                  <w:r>
                    <w:rPr>
                      <w:rFonts w:eastAsiaTheme="minorEastAsia"/>
                      <w:bCs w:val="0"/>
                      <w:color w:val="000000" w:themeColor="text1"/>
                      <w:szCs w:val="24"/>
                    </w:rPr>
                    <w:t>0.12</w:t>
                  </w:r>
                </w:p>
              </w:tc>
              <w:tc>
                <w:tcPr>
                  <w:tcW w:w="1205"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color w:val="000000" w:themeColor="text1"/>
                      <w:szCs w:val="21"/>
                    </w:rPr>
                    <w:t>≤0.</w:t>
                  </w:r>
                  <w:r>
                    <w:rPr>
                      <w:rFonts w:hint="eastAsia"/>
                      <w:color w:val="000000" w:themeColor="text1"/>
                      <w:szCs w:val="21"/>
                    </w:rPr>
                    <w:t>2</w:t>
                  </w:r>
                </w:p>
              </w:tc>
              <w:tc>
                <w:tcPr>
                  <w:tcW w:w="1670"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7</w:t>
                  </w:r>
                </w:p>
              </w:tc>
              <w:tc>
                <w:tcPr>
                  <w:tcW w:w="2018"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硫化物</w:t>
                  </w:r>
                </w:p>
              </w:tc>
              <w:tc>
                <w:tcPr>
                  <w:tcW w:w="1469"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bCs w:val="0"/>
                      <w:color w:val="000000" w:themeColor="text1"/>
                      <w:szCs w:val="24"/>
                    </w:rPr>
                  </w:pPr>
                  <w:r>
                    <w:rPr>
                      <w:rFonts w:eastAsiaTheme="minorEastAsia"/>
                      <w:bCs w:val="0"/>
                      <w:color w:val="000000" w:themeColor="text1"/>
                      <w:szCs w:val="24"/>
                    </w:rPr>
                    <w:t>0.005L</w:t>
                  </w:r>
                </w:p>
              </w:tc>
              <w:tc>
                <w:tcPr>
                  <w:tcW w:w="1205"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2</w:t>
                  </w:r>
                </w:p>
              </w:tc>
              <w:tc>
                <w:tcPr>
                  <w:tcW w:w="1670"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8</w:t>
                  </w:r>
                </w:p>
              </w:tc>
              <w:tc>
                <w:tcPr>
                  <w:tcW w:w="2018"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锌</w:t>
                  </w:r>
                </w:p>
              </w:tc>
              <w:tc>
                <w:tcPr>
                  <w:tcW w:w="1469"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bCs w:val="0"/>
                      <w:color w:val="000000" w:themeColor="text1"/>
                      <w:szCs w:val="24"/>
                    </w:rPr>
                  </w:pPr>
                  <w:r>
                    <w:rPr>
                      <w:rFonts w:eastAsiaTheme="minorEastAsia"/>
                      <w:bCs w:val="0"/>
                      <w:color w:val="000000" w:themeColor="text1"/>
                      <w:szCs w:val="24"/>
                    </w:rPr>
                    <w:t>0.05L</w:t>
                  </w:r>
                </w:p>
              </w:tc>
              <w:tc>
                <w:tcPr>
                  <w:tcW w:w="1205"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color w:val="000000" w:themeColor="text1"/>
                      <w:szCs w:val="21"/>
                    </w:rPr>
                    <w:t>≤1.0</w:t>
                  </w:r>
                </w:p>
              </w:tc>
              <w:tc>
                <w:tcPr>
                  <w:tcW w:w="1670" w:type="dxa"/>
                  <w:tcBorders>
                    <w:top w:val="nil"/>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9</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铅</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bCs w:val="0"/>
                      <w:color w:val="000000" w:themeColor="text1"/>
                      <w:szCs w:val="24"/>
                    </w:rPr>
                  </w:pPr>
                  <w:r>
                    <w:rPr>
                      <w:rFonts w:eastAsiaTheme="minorEastAsia"/>
                      <w:bCs w:val="0"/>
                      <w:color w:val="000000" w:themeColor="text1"/>
                      <w:szCs w:val="24"/>
                    </w:rPr>
                    <w:t>0.002L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color w:val="000000" w:themeColor="text1"/>
                      <w:szCs w:val="21"/>
                    </w:rPr>
                    <w:t>≤0.05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10</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镉</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bCs w:val="0"/>
                      <w:color w:val="000000" w:themeColor="text1"/>
                      <w:szCs w:val="24"/>
                    </w:rPr>
                  </w:pPr>
                  <w:r>
                    <w:rPr>
                      <w:rFonts w:eastAsiaTheme="minorEastAsia"/>
                      <w:bCs w:val="0"/>
                      <w:color w:val="000000" w:themeColor="text1"/>
                      <w:szCs w:val="24"/>
                    </w:rPr>
                    <w:t>0.0005</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color w:val="000000" w:themeColor="text1"/>
                      <w:szCs w:val="21"/>
                    </w:rPr>
                    <w:t>≤0.005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11</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砷</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bCs w:val="0"/>
                      <w:color w:val="000000" w:themeColor="text1"/>
                      <w:szCs w:val="24"/>
                    </w:rPr>
                  </w:pPr>
                  <w:r>
                    <w:rPr>
                      <w:rFonts w:eastAsiaTheme="minorEastAsia"/>
                      <w:bCs w:val="0"/>
                      <w:color w:val="000000" w:themeColor="text1"/>
                      <w:szCs w:val="24"/>
                    </w:rPr>
                    <w:t>0.0390</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color w:val="000000" w:themeColor="text1"/>
                      <w:szCs w:val="21"/>
                    </w:rPr>
                    <w:t>≤0.05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12</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铜</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bCs w:val="0"/>
                      <w:color w:val="000000" w:themeColor="text1"/>
                      <w:szCs w:val="24"/>
                    </w:rPr>
                  </w:pPr>
                  <w:r>
                    <w:rPr>
                      <w:rFonts w:eastAsiaTheme="minorEastAsia"/>
                      <w:bCs w:val="0"/>
                      <w:color w:val="000000" w:themeColor="text1"/>
                      <w:szCs w:val="24"/>
                    </w:rPr>
                    <w:t>0.001</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color w:val="000000" w:themeColor="text1"/>
                      <w:szCs w:val="21"/>
                    </w:rPr>
                    <w:t>≤1.0</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13</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氟化物</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bCs w:val="0"/>
                      <w:color w:val="000000" w:themeColor="text1"/>
                      <w:szCs w:val="24"/>
                    </w:rPr>
                  </w:pPr>
                  <w:r>
                    <w:rPr>
                      <w:rFonts w:eastAsiaTheme="minorEastAsia"/>
                      <w:bCs w:val="0"/>
                      <w:color w:val="000000" w:themeColor="text1"/>
                      <w:szCs w:val="24"/>
                    </w:rPr>
                    <w:t>0.23</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≤1.</w:t>
                  </w:r>
                  <w:r>
                    <w:rPr>
                      <w:rFonts w:hint="eastAsia" w:eastAsiaTheme="minorEastAsia"/>
                      <w:color w:val="000000" w:themeColor="text1"/>
                      <w:szCs w:val="21"/>
                    </w:rPr>
                    <w:t>0</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14</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汞</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bCs w:val="0"/>
                      <w:color w:val="000000" w:themeColor="text1"/>
                      <w:sz w:val="20"/>
                    </w:rPr>
                  </w:pPr>
                  <w:r>
                    <w:rPr>
                      <w:rFonts w:eastAsiaTheme="minorEastAsia"/>
                      <w:bCs w:val="0"/>
                      <w:color w:val="000000" w:themeColor="text1"/>
                      <w:sz w:val="20"/>
                    </w:rPr>
                    <w:t>0.00004L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color w:val="000000" w:themeColor="text1"/>
                      <w:szCs w:val="21"/>
                    </w:rPr>
                    <w:t>≤</w:t>
                  </w:r>
                  <w:r>
                    <w:rPr>
                      <w:rFonts w:hint="eastAsia"/>
                      <w:color w:val="000000" w:themeColor="text1"/>
                      <w:szCs w:val="21"/>
                    </w:rPr>
                    <w:t>0.0001</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15</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石油类</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0.01L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color w:val="000000" w:themeColor="text1"/>
                      <w:szCs w:val="21"/>
                    </w:rPr>
                    <w:t>≤0.</w:t>
                  </w:r>
                  <w:r>
                    <w:rPr>
                      <w:rFonts w:hint="eastAsia"/>
                      <w:color w:val="000000" w:themeColor="text1"/>
                      <w:szCs w:val="21"/>
                    </w:rPr>
                    <w:t>0</w:t>
                  </w:r>
                  <w:r>
                    <w:rPr>
                      <w:color w:val="000000" w:themeColor="text1"/>
                      <w:szCs w:val="21"/>
                    </w:rPr>
                    <w:t>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16</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阴离子表面活性剂</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0.05L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color w:val="000000" w:themeColor="text1"/>
                      <w:szCs w:val="21"/>
                    </w:rPr>
                    <w:t>≤0.</w:t>
                  </w:r>
                  <w:r>
                    <w:rPr>
                      <w:rFonts w:hint="eastAsia"/>
                      <w:color w:val="000000" w:themeColor="text1"/>
                      <w:szCs w:val="21"/>
                    </w:rPr>
                    <w:t>2</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17</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粪大肠菌群</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3300</w:t>
                  </w:r>
                  <w:r>
                    <w:rPr>
                      <w:rFonts w:hAnsiTheme="minorEastAsia" w:eastAsiaTheme="minorEastAsia"/>
                      <w:color w:val="000000" w:themeColor="text1"/>
                      <w:szCs w:val="21"/>
                    </w:rPr>
                    <w:t>个</w:t>
                  </w:r>
                  <w:r>
                    <w:rPr>
                      <w:rFonts w:eastAsiaTheme="minorEastAsia"/>
                      <w:color w:val="000000" w:themeColor="text1"/>
                      <w:szCs w:val="21"/>
                    </w:rPr>
                    <w:t>/L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color w:val="000000" w:themeColor="text1"/>
                      <w:szCs w:val="21"/>
                    </w:rPr>
                    <w:t>20000个/L</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18</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六价铬</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0.004L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color w:val="000000" w:themeColor="text1"/>
                      <w:szCs w:val="21"/>
                    </w:rPr>
                    <w:t>≤</w:t>
                  </w:r>
                  <w:r>
                    <w:rPr>
                      <w:rFonts w:hint="eastAsia"/>
                      <w:color w:val="000000" w:themeColor="text1"/>
                      <w:szCs w:val="21"/>
                    </w:rPr>
                    <w:t>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24"/>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bl>
          <w:p>
            <w:pPr>
              <w:pStyle w:val="32"/>
              <w:spacing w:beforeLines="50"/>
              <w:ind w:firstLine="480"/>
              <w:rPr>
                <w:rFonts w:eastAsiaTheme="minorEastAsia"/>
                <w:color w:val="000000" w:themeColor="text1"/>
                <w:szCs w:val="24"/>
              </w:rPr>
            </w:pPr>
            <w:r>
              <w:rPr>
                <w:rFonts w:eastAsiaTheme="minorEastAsia"/>
                <w:color w:val="000000" w:themeColor="text1"/>
                <w:szCs w:val="24"/>
              </w:rPr>
              <w:t>根据以上监测结果可知，本项目地表水小江水质可达到《地表水环境质量标准》（GB3838-2002）I</w:t>
            </w:r>
            <w:r>
              <w:rPr>
                <w:rFonts w:hint="eastAsia" w:eastAsiaTheme="minorEastAsia"/>
                <w:color w:val="000000" w:themeColor="text1"/>
                <w:szCs w:val="24"/>
              </w:rPr>
              <w:t>II</w:t>
            </w:r>
            <w:r>
              <w:rPr>
                <w:rFonts w:eastAsiaTheme="minorEastAsia"/>
                <w:color w:val="000000" w:themeColor="text1"/>
                <w:szCs w:val="24"/>
              </w:rPr>
              <w:t>类标准。</w:t>
            </w:r>
          </w:p>
          <w:p>
            <w:pPr>
              <w:pStyle w:val="32"/>
              <w:ind w:firstLine="482"/>
              <w:rPr>
                <w:rFonts w:eastAsiaTheme="minorEastAsia"/>
                <w:b/>
                <w:color w:val="000000" w:themeColor="text1"/>
                <w:szCs w:val="24"/>
              </w:rPr>
            </w:pPr>
            <w:r>
              <w:rPr>
                <w:rFonts w:eastAsiaTheme="minorEastAsia"/>
                <w:b/>
                <w:color w:val="000000" w:themeColor="text1"/>
                <w:szCs w:val="24"/>
              </w:rPr>
              <w:t>3.1.</w:t>
            </w:r>
            <w:r>
              <w:rPr>
                <w:rFonts w:hint="eastAsia" w:eastAsiaTheme="minorEastAsia"/>
                <w:b/>
                <w:color w:val="000000" w:themeColor="text1"/>
                <w:szCs w:val="24"/>
              </w:rPr>
              <w:t>3</w:t>
            </w:r>
            <w:r>
              <w:rPr>
                <w:rFonts w:eastAsiaTheme="minorEastAsia"/>
                <w:b/>
                <w:color w:val="000000" w:themeColor="text1"/>
                <w:szCs w:val="24"/>
              </w:rPr>
              <w:t xml:space="preserve"> 声环境质量现状</w:t>
            </w:r>
          </w:p>
          <w:p>
            <w:pPr>
              <w:pStyle w:val="32"/>
              <w:ind w:firstLine="480"/>
              <w:rPr>
                <w:rFonts w:eastAsiaTheme="minorEastAsia"/>
                <w:color w:val="000000" w:themeColor="text1"/>
                <w:szCs w:val="24"/>
              </w:rPr>
            </w:pPr>
            <w:r>
              <w:rPr>
                <w:rFonts w:eastAsiaTheme="minorEastAsia"/>
                <w:color w:val="000000" w:themeColor="text1"/>
                <w:szCs w:val="24"/>
              </w:rPr>
              <w:t>本项目位于东川区再就业特区四方地工业园区昆明合旺有色金属有限公司厂区，按照《声环境功能区划分技术规范》（GB/T15190-2014）的划分要求，项目区域为3类区。在项目区50m范围内无声环境保护目标；根据《建设项目环境影响报告表编制技术指南》（污染影响类）（试行）的要求，</w:t>
            </w:r>
            <w:r>
              <w:rPr>
                <w:rFonts w:hint="eastAsia" w:eastAsiaTheme="minorEastAsia"/>
                <w:color w:val="000000" w:themeColor="text1"/>
                <w:szCs w:val="24"/>
              </w:rPr>
              <w:t>可不进行声环境质量现状调查，</w:t>
            </w:r>
            <w:r>
              <w:rPr>
                <w:rFonts w:eastAsiaTheme="minorEastAsia"/>
                <w:color w:val="000000" w:themeColor="text1"/>
                <w:szCs w:val="24"/>
              </w:rPr>
              <w:t>根据实际情况，预计项目区域声环境可达到《声环境质量标准》（GB3096-2008）3类区标准。</w:t>
            </w:r>
          </w:p>
          <w:p>
            <w:pPr>
              <w:pStyle w:val="32"/>
              <w:ind w:firstLine="482"/>
              <w:rPr>
                <w:rFonts w:eastAsiaTheme="minorEastAsia"/>
                <w:b/>
                <w:color w:val="000000" w:themeColor="text1"/>
                <w:szCs w:val="24"/>
              </w:rPr>
            </w:pPr>
            <w:bookmarkStart w:id="3" w:name="_Toc248077256"/>
            <w:r>
              <w:rPr>
                <w:rFonts w:eastAsiaTheme="minorEastAsia"/>
                <w:b/>
                <w:color w:val="000000" w:themeColor="text1"/>
                <w:szCs w:val="24"/>
              </w:rPr>
              <w:t>3.1.</w:t>
            </w:r>
            <w:r>
              <w:rPr>
                <w:rFonts w:hint="eastAsia" w:eastAsiaTheme="minorEastAsia"/>
                <w:b/>
                <w:color w:val="000000" w:themeColor="text1"/>
                <w:szCs w:val="24"/>
              </w:rPr>
              <w:t>4</w:t>
            </w:r>
            <w:r>
              <w:rPr>
                <w:rFonts w:eastAsiaTheme="minorEastAsia"/>
                <w:b/>
                <w:color w:val="000000" w:themeColor="text1"/>
                <w:szCs w:val="24"/>
              </w:rPr>
              <w:t xml:space="preserve"> 生态环境质量现状</w:t>
            </w:r>
            <w:bookmarkEnd w:id="3"/>
          </w:p>
          <w:p>
            <w:pPr>
              <w:pStyle w:val="32"/>
              <w:ind w:firstLine="480"/>
              <w:rPr>
                <w:rFonts w:eastAsiaTheme="minorEastAsia"/>
                <w:color w:val="000000" w:themeColor="text1"/>
                <w:szCs w:val="24"/>
              </w:rPr>
            </w:pPr>
            <w:r>
              <w:rPr>
                <w:rFonts w:eastAsiaTheme="minorEastAsia"/>
                <w:color w:val="000000" w:themeColor="text1"/>
                <w:szCs w:val="24"/>
              </w:rPr>
              <w:t>本项目位于东川区再就业特区四方地工业园区昆明合旺有色金属有限公司厂区，根据现场调查，厂区范围主要为人工生态系统，随着原有厂区企业多年的生产经营，该区域的天然植被已较少，总体来说该区域地表植被种类较少，生物多样性较差，生态环境自身调控能力较低。项目区及周边200m范围内未发现珍稀濒危和国家重点保护野生动植物，无国家重点保护的鸟类、两栖类、爬行类、哺乳类动物种类分布。</w:t>
            </w: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32"/>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pStyle w:val="32"/>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32"/>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2"/>
              <w:ind w:firstLine="480"/>
              <w:rPr>
                <w:rFonts w:eastAsiaTheme="minorEastAsia"/>
                <w:color w:val="000000" w:themeColor="text1"/>
                <w:szCs w:val="24"/>
              </w:rPr>
            </w:pPr>
            <w:r>
              <w:rPr>
                <w:rFonts w:eastAsiaTheme="minorEastAsia"/>
                <w:color w:val="000000" w:themeColor="text1"/>
                <w:szCs w:val="24"/>
              </w:rPr>
              <w:t>本项目位于东川区再就业特区四方地工业园区昆明合旺有色金属有限公司厂区，根据调查，本项目厂界外500m范围内</w:t>
            </w:r>
            <w:r>
              <w:rPr>
                <w:rFonts w:hint="eastAsia" w:eastAsiaTheme="minorEastAsia"/>
                <w:color w:val="000000" w:themeColor="text1"/>
                <w:szCs w:val="24"/>
              </w:rPr>
              <w:t>无大气环境保护目标。</w:t>
            </w:r>
          </w:p>
          <w:p>
            <w:pPr>
              <w:pStyle w:val="32"/>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32"/>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根据《建设项目环境影响报告表编制技术指南》（污染影响类）（试行）的要求，未要求设施地表水环境保护目标；但项目所在区域属于</w:t>
            </w:r>
            <w:r>
              <w:rPr>
                <w:rFonts w:hint="eastAsia" w:eastAsiaTheme="minorEastAsia"/>
                <w:color w:val="000000" w:themeColor="text1"/>
                <w:szCs w:val="24"/>
              </w:rPr>
              <w:t>小江</w:t>
            </w:r>
            <w:r>
              <w:rPr>
                <w:rFonts w:eastAsiaTheme="minorEastAsia"/>
                <w:color w:val="000000" w:themeColor="text1"/>
                <w:szCs w:val="24"/>
              </w:rPr>
              <w:t>的汇水范围，因此拟将</w:t>
            </w:r>
            <w:r>
              <w:rPr>
                <w:rFonts w:hint="eastAsia" w:eastAsiaTheme="minorEastAsia"/>
                <w:color w:val="000000" w:themeColor="text1"/>
                <w:szCs w:val="24"/>
              </w:rPr>
              <w:t>小江</w:t>
            </w:r>
            <w:r>
              <w:rPr>
                <w:rFonts w:eastAsiaTheme="minorEastAsia"/>
                <w:color w:val="000000" w:themeColor="text1"/>
                <w:szCs w:val="24"/>
              </w:rPr>
              <w:t>列入本项目水环境保护目标。具体如下表所示。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表3.2.2-1  地表水环境保护目标及保护级别一览表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136"/>
              <w:gridCol w:w="2114"/>
              <w:gridCol w:w="1338"/>
              <w:gridCol w:w="1075"/>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类别</w:t>
                  </w:r>
                </w:p>
              </w:tc>
              <w:tc>
                <w:tcPr>
                  <w:tcW w:w="110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保护目标</w:t>
                  </w:r>
                </w:p>
              </w:tc>
              <w:tc>
                <w:tcPr>
                  <w:tcW w:w="2046"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坐标</w:t>
                  </w:r>
                </w:p>
              </w:tc>
              <w:tc>
                <w:tcPr>
                  <w:tcW w:w="1295"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与项目区的方位及距离</w:t>
                  </w:r>
                </w:p>
              </w:tc>
              <w:tc>
                <w:tcPr>
                  <w:tcW w:w="1041"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高差</w:t>
                  </w:r>
                </w:p>
              </w:tc>
              <w:tc>
                <w:tcPr>
                  <w:tcW w:w="1996"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52" w:type="dxa"/>
                  <w:tcBorders>
                    <w:top w:val="single" w:color="auto" w:sz="4" w:space="0"/>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地表水</w:t>
                  </w:r>
                </w:p>
              </w:tc>
              <w:tc>
                <w:tcPr>
                  <w:tcW w:w="1100" w:type="dxa"/>
                  <w:tcBorders>
                    <w:top w:val="single" w:color="auto" w:sz="4" w:space="0"/>
                    <w:left w:val="single" w:color="auto" w:sz="4" w:space="0"/>
                    <w:right w:val="single" w:color="auto" w:sz="4" w:space="0"/>
                  </w:tcBorders>
                  <w:vAlign w:val="center"/>
                </w:tcPr>
                <w:p>
                  <w:pPr>
                    <w:pStyle w:val="24"/>
                    <w:spacing w:line="360" w:lineRule="exact"/>
                    <w:rPr>
                      <w:color w:val="000000" w:themeColor="text1"/>
                      <w:szCs w:val="21"/>
                    </w:rPr>
                  </w:pPr>
                  <w:r>
                    <w:rPr>
                      <w:bCs w:val="0"/>
                      <w:color w:val="000000" w:themeColor="text1"/>
                      <w:szCs w:val="24"/>
                    </w:rPr>
                    <w:t>小江</w:t>
                  </w:r>
                </w:p>
              </w:tc>
              <w:tc>
                <w:tcPr>
                  <w:tcW w:w="2046" w:type="dxa"/>
                  <w:tcBorders>
                    <w:top w:val="single" w:color="auto" w:sz="4" w:space="0"/>
                    <w:left w:val="single" w:color="auto" w:sz="4" w:space="0"/>
                    <w:right w:val="single" w:color="auto" w:sz="4" w:space="0"/>
                  </w:tcBorders>
                  <w:vAlign w:val="center"/>
                </w:tcPr>
                <w:p>
                  <w:pPr>
                    <w:pStyle w:val="24"/>
                    <w:spacing w:line="360" w:lineRule="exact"/>
                    <w:ind w:firstLine="210" w:firstLineChars="100"/>
                    <w:jc w:val="left"/>
                    <w:rPr>
                      <w:color w:val="000000" w:themeColor="text1"/>
                      <w:szCs w:val="21"/>
                    </w:rPr>
                  </w:pPr>
                  <w:r>
                    <w:rPr>
                      <w:color w:val="000000" w:themeColor="text1"/>
                      <w:szCs w:val="21"/>
                    </w:rPr>
                    <w:t>起点：东经103°0</w:t>
                  </w:r>
                  <w:r>
                    <w:rPr>
                      <w:rFonts w:hint="eastAsia"/>
                      <w:color w:val="000000" w:themeColor="text1"/>
                      <w:szCs w:val="21"/>
                    </w:rPr>
                    <w:t>7</w:t>
                  </w:r>
                  <w:r>
                    <w:rPr>
                      <w:color w:val="000000" w:themeColor="text1"/>
                      <w:szCs w:val="21"/>
                    </w:rPr>
                    <w:t>′</w:t>
                  </w:r>
                  <w:r>
                    <w:rPr>
                      <w:rFonts w:hint="eastAsia"/>
                      <w:color w:val="000000" w:themeColor="text1"/>
                      <w:szCs w:val="21"/>
                    </w:rPr>
                    <w:t>6.56</w:t>
                  </w:r>
                  <w:r>
                    <w:rPr>
                      <w:color w:val="000000" w:themeColor="text1"/>
                      <w:szCs w:val="21"/>
                    </w:rPr>
                    <w:t>″，北纬26°0</w:t>
                  </w:r>
                  <w:r>
                    <w:rPr>
                      <w:rFonts w:hint="eastAsia"/>
                      <w:color w:val="000000" w:themeColor="text1"/>
                      <w:szCs w:val="21"/>
                    </w:rPr>
                    <w:t>9</w:t>
                  </w:r>
                  <w:r>
                    <w:rPr>
                      <w:color w:val="000000" w:themeColor="text1"/>
                      <w:szCs w:val="21"/>
                    </w:rPr>
                    <w:t>′</w:t>
                  </w:r>
                  <w:r>
                    <w:rPr>
                      <w:rFonts w:hint="eastAsia"/>
                      <w:color w:val="000000" w:themeColor="text1"/>
                      <w:szCs w:val="21"/>
                    </w:rPr>
                    <w:t>58.83</w:t>
                  </w:r>
                  <w:r>
                    <w:rPr>
                      <w:color w:val="000000" w:themeColor="text1"/>
                      <w:szCs w:val="21"/>
                    </w:rPr>
                    <w:t>″；</w:t>
                  </w:r>
                </w:p>
                <w:p>
                  <w:pPr>
                    <w:pStyle w:val="24"/>
                    <w:spacing w:line="360" w:lineRule="exact"/>
                    <w:ind w:firstLine="210" w:firstLineChars="100"/>
                    <w:jc w:val="left"/>
                    <w:rPr>
                      <w:color w:val="000000" w:themeColor="text1"/>
                      <w:szCs w:val="21"/>
                    </w:rPr>
                  </w:pPr>
                  <w:r>
                    <w:rPr>
                      <w:color w:val="000000" w:themeColor="text1"/>
                      <w:szCs w:val="21"/>
                    </w:rPr>
                    <w:t>终点：东经103°06′</w:t>
                  </w:r>
                  <w:r>
                    <w:rPr>
                      <w:rFonts w:hint="eastAsia"/>
                      <w:color w:val="000000" w:themeColor="text1"/>
                      <w:szCs w:val="21"/>
                    </w:rPr>
                    <w:t>5.69</w:t>
                  </w:r>
                  <w:r>
                    <w:rPr>
                      <w:color w:val="000000" w:themeColor="text1"/>
                      <w:szCs w:val="21"/>
                    </w:rPr>
                    <w:t>″，北纬26°10′</w:t>
                  </w:r>
                  <w:r>
                    <w:rPr>
                      <w:rFonts w:hint="eastAsia"/>
                      <w:color w:val="000000" w:themeColor="text1"/>
                      <w:szCs w:val="21"/>
                    </w:rPr>
                    <w:t>59.86</w:t>
                  </w:r>
                  <w:r>
                    <w:rPr>
                      <w:color w:val="000000" w:themeColor="text1"/>
                      <w:szCs w:val="21"/>
                    </w:rPr>
                    <w:t>″；</w:t>
                  </w:r>
                </w:p>
              </w:tc>
              <w:tc>
                <w:tcPr>
                  <w:tcW w:w="1295"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bCs w:val="0"/>
                      <w:color w:val="000000" w:themeColor="text1"/>
                      <w:szCs w:val="24"/>
                    </w:rPr>
                    <w:t>西南侧1085m</w:t>
                  </w:r>
                </w:p>
              </w:tc>
              <w:tc>
                <w:tcPr>
                  <w:tcW w:w="1041"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rFonts w:hint="eastAsia"/>
                      <w:color w:val="000000" w:themeColor="text1"/>
                      <w:szCs w:val="21"/>
                    </w:rPr>
                    <w:t>415</w:t>
                  </w:r>
                  <w:r>
                    <w:rPr>
                      <w:color w:val="000000" w:themeColor="text1"/>
                      <w:szCs w:val="21"/>
                    </w:rPr>
                    <w:t>m</w:t>
                  </w:r>
                </w:p>
              </w:tc>
              <w:tc>
                <w:tcPr>
                  <w:tcW w:w="1996" w:type="dxa"/>
                  <w:tcBorders>
                    <w:top w:val="single" w:color="auto" w:sz="4" w:space="0"/>
                    <w:left w:val="single" w:color="auto" w:sz="4" w:space="0"/>
                    <w:right w:val="single" w:color="auto" w:sz="4" w:space="0"/>
                  </w:tcBorders>
                  <w:vAlign w:val="center"/>
                </w:tcPr>
                <w:p>
                  <w:pPr>
                    <w:pStyle w:val="24"/>
                    <w:spacing w:line="360" w:lineRule="exact"/>
                    <w:ind w:firstLine="210" w:firstLineChars="100"/>
                    <w:jc w:val="left"/>
                    <w:rPr>
                      <w:color w:val="000000" w:themeColor="text1"/>
                      <w:szCs w:val="21"/>
                    </w:rPr>
                  </w:pPr>
                  <w:r>
                    <w:rPr>
                      <w:color w:val="000000" w:themeColor="text1"/>
                      <w:szCs w:val="21"/>
                    </w:rPr>
                    <w:t>《地表水环境质量标准》（GB3838-2002）I</w:t>
                  </w:r>
                  <w:r>
                    <w:rPr>
                      <w:rFonts w:hint="eastAsia"/>
                      <w:color w:val="000000" w:themeColor="text1"/>
                      <w:szCs w:val="21"/>
                    </w:rPr>
                    <w:t>II</w:t>
                  </w:r>
                  <w:r>
                    <w:rPr>
                      <w:color w:val="000000" w:themeColor="text1"/>
                      <w:szCs w:val="21"/>
                    </w:rPr>
                    <w:t>类标准</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32"/>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本项目位于东川区再就业特区四方地工业园区昆明合旺有色金属有限公司厂区，本项目选址不涉及到地下水集中式饮用水水源和热水、矿泉水、温泉等特殊地下水资源。</w:t>
            </w:r>
          </w:p>
          <w:p>
            <w:pPr>
              <w:pStyle w:val="32"/>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32"/>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根据《建设项目环境影响报告表编制技术指南》（污染影响类）（试行）的要求，本项目声环境评价范围为50m，根据现场调查，本项目50m范围内无声环境保护目标。</w:t>
            </w:r>
          </w:p>
          <w:p>
            <w:pPr>
              <w:pStyle w:val="32"/>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32"/>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本项目位于东川区再就业特区四方地工业园区昆明合旺有色金属有限公司厂区，属于工业园区，且不新增用地，因此不设置生态环境保护目标。</w:t>
            </w: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p>
            <w:pPr>
              <w:pStyle w:val="32"/>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只需填写污染物控制标准，不需填写环境质量标准。但由于环评涉及环境质量现状评价，因此拟填写环境质量标准和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环境质量标准</w:t>
            </w:r>
          </w:p>
          <w:p>
            <w:pPr>
              <w:pStyle w:val="32"/>
              <w:ind w:firstLine="482"/>
              <w:rPr>
                <w:rFonts w:eastAsiaTheme="minorEastAsia"/>
                <w:b/>
                <w:color w:val="000000" w:themeColor="text1"/>
                <w:szCs w:val="24"/>
              </w:rPr>
            </w:pPr>
            <w:r>
              <w:rPr>
                <w:rFonts w:eastAsiaTheme="minorEastAsia"/>
                <w:b/>
                <w:color w:val="000000" w:themeColor="text1"/>
                <w:szCs w:val="24"/>
              </w:rPr>
              <w:t>3.3.1环境空气质量标准</w:t>
            </w:r>
          </w:p>
          <w:p>
            <w:pPr>
              <w:pStyle w:val="32"/>
              <w:ind w:firstLine="480"/>
              <w:rPr>
                <w:rFonts w:eastAsiaTheme="minorEastAsia"/>
                <w:color w:val="000000" w:themeColor="text1"/>
                <w:szCs w:val="24"/>
              </w:rPr>
            </w:pPr>
            <w:r>
              <w:rPr>
                <w:rFonts w:eastAsiaTheme="minorEastAsia"/>
                <w:color w:val="000000" w:themeColor="text1"/>
                <w:szCs w:val="24"/>
              </w:rPr>
              <w:t>本项目位于东川区再就业特区四方地工业园区昆明合旺有色金属有限公司厂区区，属于环境空气二类区，执行《环境空气质量标准》（GB3095-2012）二级标准。标准限值详见下表。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环境空气污染物浓度限值</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979"/>
              <w:gridCol w:w="184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污染物项目</w:t>
                  </w: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平均时间</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二级浓度限值</w:t>
                  </w:r>
                </w:p>
              </w:tc>
              <w:tc>
                <w:tcPr>
                  <w:tcW w:w="1198" w:type="dxa"/>
                  <w:tcBorders>
                    <w:top w:val="single" w:color="auto" w:sz="4" w:space="0"/>
                    <w:left w:val="single" w:color="000000"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restar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二氧化硫（SO</w:t>
                  </w:r>
                  <w:r>
                    <w:rPr>
                      <w:color w:val="000000" w:themeColor="text1"/>
                      <w:szCs w:val="21"/>
                      <w:vertAlign w:val="subscript"/>
                    </w:rPr>
                    <w:t>2</w:t>
                  </w:r>
                  <w:r>
                    <w:rPr>
                      <w:color w:val="000000" w:themeColor="text1"/>
                      <w:szCs w:val="21"/>
                    </w:rPr>
                    <w:t>）</w:t>
                  </w: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60</w:t>
                  </w:r>
                </w:p>
              </w:tc>
              <w:tc>
                <w:tcPr>
                  <w:tcW w:w="1198" w:type="dxa"/>
                  <w:vMerge w:val="restart"/>
                  <w:tcBorders>
                    <w:top w:val="single" w:color="auto" w:sz="4" w:space="0"/>
                    <w:left w:val="single" w:color="000000" w:sz="4" w:space="0"/>
                    <w:right w:val="single" w:color="auto" w:sz="4" w:space="0"/>
                  </w:tcBorders>
                  <w:vAlign w:val="center"/>
                </w:tcPr>
                <w:p>
                  <w:pPr>
                    <w:pStyle w:val="24"/>
                    <w:spacing w:line="360" w:lineRule="exact"/>
                    <w:rPr>
                      <w:color w:val="000000" w:themeColor="text1"/>
                      <w:szCs w:val="21"/>
                    </w:rPr>
                  </w:pPr>
                  <w:r>
                    <w:rPr>
                      <w:color w:val="000000" w:themeColor="text1"/>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24小时平均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150</w:t>
                  </w:r>
                </w:p>
              </w:tc>
              <w:tc>
                <w:tcPr>
                  <w:tcW w:w="1198"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1小时平均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500</w:t>
                  </w:r>
                </w:p>
              </w:tc>
              <w:tc>
                <w:tcPr>
                  <w:tcW w:w="1198"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restart"/>
                  <w:tcBorders>
                    <w:top w:val="single" w:color="auto" w:sz="4" w:space="0"/>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二氧化氮（NO</w:t>
                  </w:r>
                  <w:r>
                    <w:rPr>
                      <w:color w:val="000000" w:themeColor="text1"/>
                      <w:szCs w:val="21"/>
                      <w:vertAlign w:val="subscript"/>
                    </w:rPr>
                    <w:t>2</w:t>
                  </w:r>
                  <w:r>
                    <w:rPr>
                      <w:color w:val="000000" w:themeColor="text1"/>
                      <w:szCs w:val="21"/>
                    </w:rPr>
                    <w:t>）</w:t>
                  </w: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40</w:t>
                  </w:r>
                </w:p>
              </w:tc>
              <w:tc>
                <w:tcPr>
                  <w:tcW w:w="1198"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24小时平均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80</w:t>
                  </w:r>
                </w:p>
              </w:tc>
              <w:tc>
                <w:tcPr>
                  <w:tcW w:w="1198"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1小时平均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200</w:t>
                  </w:r>
                </w:p>
              </w:tc>
              <w:tc>
                <w:tcPr>
                  <w:tcW w:w="1198" w:type="dxa"/>
                  <w:vMerge w:val="continue"/>
                  <w:tcBorders>
                    <w:left w:val="single" w:color="000000" w:sz="4" w:space="0"/>
                    <w:bottom w:val="single" w:color="auto"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restart"/>
                  <w:tcBorders>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一氧化碳（CO）</w:t>
                  </w: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24小时平均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4</w:t>
                  </w:r>
                </w:p>
              </w:tc>
              <w:tc>
                <w:tcPr>
                  <w:tcW w:w="1198" w:type="dxa"/>
                  <w:vMerge w:val="restart"/>
                  <w:tcBorders>
                    <w:top w:val="single" w:color="auto" w:sz="4" w:space="0"/>
                    <w:left w:val="single" w:color="000000" w:sz="4" w:space="0"/>
                    <w:right w:val="single" w:color="auto" w:sz="4" w:space="0"/>
                  </w:tcBorders>
                  <w:vAlign w:val="center"/>
                </w:tcPr>
                <w:p>
                  <w:pPr>
                    <w:pStyle w:val="24"/>
                    <w:spacing w:line="360" w:lineRule="exact"/>
                    <w:rPr>
                      <w:color w:val="000000" w:themeColor="text1"/>
                      <w:szCs w:val="21"/>
                    </w:rPr>
                  </w:pPr>
                  <w:r>
                    <w:rPr>
                      <w:color w:val="000000" w:themeColor="text1"/>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1小时平均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10</w:t>
                  </w:r>
                </w:p>
              </w:tc>
              <w:tc>
                <w:tcPr>
                  <w:tcW w:w="1198" w:type="dxa"/>
                  <w:vMerge w:val="continue"/>
                  <w:tcBorders>
                    <w:left w:val="single" w:color="000000" w:sz="4" w:space="0"/>
                    <w:bottom w:val="single" w:color="auto"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restart"/>
                  <w:tcBorders>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臭氧（O</w:t>
                  </w:r>
                  <w:r>
                    <w:rPr>
                      <w:color w:val="000000" w:themeColor="text1"/>
                      <w:szCs w:val="21"/>
                      <w:vertAlign w:val="subscript"/>
                    </w:rPr>
                    <w:t>3</w:t>
                  </w:r>
                  <w:r>
                    <w:rPr>
                      <w:color w:val="000000" w:themeColor="text1"/>
                      <w:szCs w:val="21"/>
                    </w:rPr>
                    <w:t>）</w:t>
                  </w: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日最大8小时平均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160</w:t>
                  </w:r>
                </w:p>
              </w:tc>
              <w:tc>
                <w:tcPr>
                  <w:tcW w:w="1198" w:type="dxa"/>
                  <w:vMerge w:val="restart"/>
                  <w:tcBorders>
                    <w:left w:val="single" w:color="000000" w:sz="4" w:space="0"/>
                    <w:right w:val="single" w:color="auto" w:sz="4" w:space="0"/>
                  </w:tcBorders>
                  <w:vAlign w:val="center"/>
                </w:tcPr>
                <w:p>
                  <w:pPr>
                    <w:pStyle w:val="24"/>
                    <w:spacing w:line="360" w:lineRule="exact"/>
                    <w:rPr>
                      <w:color w:val="000000" w:themeColor="text1"/>
                      <w:szCs w:val="21"/>
                    </w:rPr>
                  </w:pPr>
                  <w:r>
                    <w:rPr>
                      <w:color w:val="000000" w:themeColor="text1"/>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1小时平均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200</w:t>
                  </w:r>
                </w:p>
              </w:tc>
              <w:tc>
                <w:tcPr>
                  <w:tcW w:w="1198"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restart"/>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颗粒物（粒径小于等于10um）</w:t>
                  </w: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70</w:t>
                  </w:r>
                </w:p>
              </w:tc>
              <w:tc>
                <w:tcPr>
                  <w:tcW w:w="1198"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24小时平均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150</w:t>
                  </w:r>
                </w:p>
              </w:tc>
              <w:tc>
                <w:tcPr>
                  <w:tcW w:w="1198"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restart"/>
                  <w:tcBorders>
                    <w:top w:val="single" w:color="auto" w:sz="4" w:space="0"/>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颗粒物（粒径小于等于2.5um）</w:t>
                  </w: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35</w:t>
                  </w:r>
                </w:p>
              </w:tc>
              <w:tc>
                <w:tcPr>
                  <w:tcW w:w="1198"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24小时平均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75</w:t>
                  </w:r>
                </w:p>
              </w:tc>
              <w:tc>
                <w:tcPr>
                  <w:tcW w:w="1198"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restart"/>
                  <w:tcBorders>
                    <w:left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总悬浮颗粒物（TSP）</w:t>
                  </w: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200</w:t>
                  </w:r>
                </w:p>
              </w:tc>
              <w:tc>
                <w:tcPr>
                  <w:tcW w:w="1198" w:type="dxa"/>
                  <w:vMerge w:val="continue"/>
                  <w:tcBorders>
                    <w:left w:val="single" w:color="000000" w:sz="4" w:space="0"/>
                    <w:right w:val="single" w:color="auto" w:sz="4" w:space="0"/>
                  </w:tcBorders>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left w:val="single" w:color="auto" w:sz="4" w:space="0"/>
                    <w:right w:val="single" w:color="auto" w:sz="4" w:space="0"/>
                  </w:tcBorders>
                  <w:vAlign w:val="center"/>
                </w:tcPr>
                <w:p>
                  <w:pPr>
                    <w:pStyle w:val="24"/>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24小时平均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24"/>
                    <w:spacing w:line="360" w:lineRule="exact"/>
                    <w:rPr>
                      <w:color w:val="000000" w:themeColor="text1"/>
                      <w:szCs w:val="21"/>
                    </w:rPr>
                  </w:pPr>
                  <w:r>
                    <w:rPr>
                      <w:color w:val="000000" w:themeColor="text1"/>
                      <w:szCs w:val="21"/>
                    </w:rPr>
                    <w:t>300</w:t>
                  </w:r>
                </w:p>
              </w:tc>
              <w:tc>
                <w:tcPr>
                  <w:tcW w:w="1198" w:type="dxa"/>
                  <w:vMerge w:val="continue"/>
                  <w:tcBorders>
                    <w:left w:val="single" w:color="000000" w:sz="4" w:space="0"/>
                    <w:bottom w:val="single" w:color="auto" w:sz="4" w:space="0"/>
                    <w:right w:val="single" w:color="auto" w:sz="4" w:space="0"/>
                  </w:tcBorders>
                  <w:vAlign w:val="center"/>
                </w:tcPr>
                <w:p>
                  <w:pPr>
                    <w:pStyle w:val="24"/>
                    <w:spacing w:line="360" w:lineRule="exact"/>
                    <w:rPr>
                      <w:color w:val="000000" w:themeColor="text1"/>
                      <w:szCs w:val="21"/>
                    </w:rPr>
                  </w:pP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3.3.2 地表水环境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本项目区属于小江的汇水范围，小江位于项目区西南侧1085m。</w:t>
            </w:r>
            <w:r>
              <w:rPr>
                <w:rFonts w:hint="eastAsia" w:ascii="Times New Roman" w:hAnsi="Times New Roman" w:cs="Times New Roman"/>
                <w:color w:val="000000" w:themeColor="text1"/>
                <w:sz w:val="24"/>
                <w:szCs w:val="24"/>
              </w:rPr>
              <w:t>根据云南省水利厅发布的《云南省水功能区划》（2014版），小江（清水海-入金沙江口段）到2030年的水质目标为III类水体，</w:t>
            </w:r>
            <w:r>
              <w:rPr>
                <w:rFonts w:ascii="Times New Roman" w:hAnsi="Times New Roman" w:cs="Times New Roman"/>
                <w:color w:val="000000" w:themeColor="text1"/>
                <w:sz w:val="24"/>
                <w:szCs w:val="24"/>
              </w:rPr>
              <w:t>执行《地表水环境质量标准》（GB3838-2002）I</w:t>
            </w:r>
            <w:r>
              <w:rPr>
                <w:rFonts w:hint="eastAsia" w:ascii="Times New Roman" w:hAnsi="Times New Roman" w:cs="Times New Roman"/>
                <w:color w:val="000000" w:themeColor="text1"/>
                <w:sz w:val="24"/>
                <w:szCs w:val="24"/>
              </w:rPr>
              <w:t>II</w:t>
            </w:r>
            <w:r>
              <w:rPr>
                <w:rFonts w:ascii="Times New Roman" w:hAnsi="Times New Roman" w:cs="Times New Roman"/>
                <w:color w:val="000000" w:themeColor="text1"/>
                <w:sz w:val="24"/>
                <w:szCs w:val="24"/>
              </w:rPr>
              <w:t>类水标准。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标准限值详见下表。</w:t>
            </w: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表3.3.2-1 地表水环境质量评价标准值  单位：mg/L</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85"/>
              <w:gridCol w:w="1554"/>
              <w:gridCol w:w="1563"/>
              <w:gridCol w:w="2182"/>
              <w:gridCol w:w="17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5" w:type="dxa"/>
                  <w:vAlign w:val="center"/>
                </w:tcPr>
                <w:p>
                  <w:pPr>
                    <w:pStyle w:val="24"/>
                    <w:spacing w:line="360" w:lineRule="exact"/>
                    <w:ind w:left="11"/>
                    <w:rPr>
                      <w:color w:val="000000" w:themeColor="text1"/>
                      <w:szCs w:val="21"/>
                    </w:rPr>
                  </w:pPr>
                  <w:r>
                    <w:rPr>
                      <w:color w:val="000000" w:themeColor="text1"/>
                      <w:szCs w:val="21"/>
                    </w:rPr>
                    <w:t>项目</w:t>
                  </w:r>
                </w:p>
              </w:tc>
              <w:tc>
                <w:tcPr>
                  <w:tcW w:w="1554" w:type="dxa"/>
                  <w:vAlign w:val="center"/>
                </w:tcPr>
                <w:p>
                  <w:pPr>
                    <w:pStyle w:val="24"/>
                    <w:spacing w:line="360" w:lineRule="exact"/>
                    <w:ind w:left="11"/>
                    <w:rPr>
                      <w:color w:val="000000" w:themeColor="text1"/>
                      <w:szCs w:val="21"/>
                    </w:rPr>
                  </w:pPr>
                  <w:r>
                    <w:rPr>
                      <w:color w:val="000000" w:themeColor="text1"/>
                      <w:szCs w:val="21"/>
                    </w:rPr>
                    <w:t>pH</w:t>
                  </w:r>
                </w:p>
              </w:tc>
              <w:tc>
                <w:tcPr>
                  <w:tcW w:w="1563" w:type="dxa"/>
                  <w:vAlign w:val="center"/>
                </w:tcPr>
                <w:p>
                  <w:pPr>
                    <w:pStyle w:val="24"/>
                    <w:spacing w:line="360" w:lineRule="exact"/>
                    <w:ind w:left="11"/>
                    <w:rPr>
                      <w:color w:val="000000" w:themeColor="text1"/>
                      <w:szCs w:val="21"/>
                    </w:rPr>
                  </w:pPr>
                  <w:r>
                    <w:rPr>
                      <w:color w:val="000000" w:themeColor="text1"/>
                      <w:szCs w:val="21"/>
                    </w:rPr>
                    <w:t>CODcr</w:t>
                  </w:r>
                </w:p>
              </w:tc>
              <w:tc>
                <w:tcPr>
                  <w:tcW w:w="2182" w:type="dxa"/>
                  <w:vAlign w:val="center"/>
                </w:tcPr>
                <w:p>
                  <w:pPr>
                    <w:pStyle w:val="24"/>
                    <w:spacing w:line="360" w:lineRule="exact"/>
                    <w:ind w:left="11"/>
                    <w:rPr>
                      <w:color w:val="000000" w:themeColor="text1"/>
                      <w:szCs w:val="21"/>
                    </w:rPr>
                  </w:pPr>
                  <w:r>
                    <w:rPr>
                      <w:color w:val="000000" w:themeColor="text1"/>
                      <w:szCs w:val="21"/>
                    </w:rPr>
                    <w:t>BOD</w:t>
                  </w:r>
                  <w:r>
                    <w:rPr>
                      <w:color w:val="000000" w:themeColor="text1"/>
                      <w:szCs w:val="21"/>
                      <w:vertAlign w:val="subscript"/>
                    </w:rPr>
                    <w:t>5</w:t>
                  </w:r>
                </w:p>
              </w:tc>
              <w:tc>
                <w:tcPr>
                  <w:tcW w:w="1721" w:type="dxa"/>
                  <w:vAlign w:val="center"/>
                </w:tcPr>
                <w:p>
                  <w:pPr>
                    <w:pStyle w:val="24"/>
                    <w:spacing w:line="360" w:lineRule="exact"/>
                    <w:ind w:left="11"/>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5" w:type="dxa"/>
                  <w:vAlign w:val="center"/>
                </w:tcPr>
                <w:p>
                  <w:pPr>
                    <w:pStyle w:val="24"/>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554" w:type="dxa"/>
                  <w:vAlign w:val="center"/>
                </w:tcPr>
                <w:p>
                  <w:pPr>
                    <w:pStyle w:val="24"/>
                    <w:spacing w:line="360" w:lineRule="exact"/>
                    <w:ind w:left="11"/>
                    <w:rPr>
                      <w:color w:val="000000" w:themeColor="text1"/>
                      <w:szCs w:val="21"/>
                    </w:rPr>
                  </w:pPr>
                  <w:r>
                    <w:rPr>
                      <w:color w:val="000000" w:themeColor="text1"/>
                      <w:szCs w:val="21"/>
                    </w:rPr>
                    <w:t>6-9</w:t>
                  </w:r>
                </w:p>
              </w:tc>
              <w:tc>
                <w:tcPr>
                  <w:tcW w:w="1563" w:type="dxa"/>
                  <w:vAlign w:val="center"/>
                </w:tcPr>
                <w:p>
                  <w:pPr>
                    <w:pStyle w:val="24"/>
                    <w:spacing w:line="360" w:lineRule="exact"/>
                    <w:ind w:left="11"/>
                    <w:rPr>
                      <w:color w:val="000000" w:themeColor="text1"/>
                      <w:szCs w:val="21"/>
                    </w:rPr>
                  </w:pPr>
                  <w:r>
                    <w:rPr>
                      <w:color w:val="000000" w:themeColor="text1"/>
                      <w:szCs w:val="21"/>
                    </w:rPr>
                    <w:t>≤20</w:t>
                  </w:r>
                </w:p>
              </w:tc>
              <w:tc>
                <w:tcPr>
                  <w:tcW w:w="2182" w:type="dxa"/>
                  <w:vAlign w:val="center"/>
                </w:tcPr>
                <w:p>
                  <w:pPr>
                    <w:pStyle w:val="24"/>
                    <w:spacing w:line="360" w:lineRule="exact"/>
                    <w:ind w:left="11"/>
                    <w:rPr>
                      <w:color w:val="000000" w:themeColor="text1"/>
                      <w:szCs w:val="21"/>
                    </w:rPr>
                  </w:pPr>
                  <w:r>
                    <w:rPr>
                      <w:color w:val="000000" w:themeColor="text1"/>
                      <w:szCs w:val="21"/>
                    </w:rPr>
                    <w:t>≤4</w:t>
                  </w:r>
                </w:p>
              </w:tc>
              <w:tc>
                <w:tcPr>
                  <w:tcW w:w="1721" w:type="dxa"/>
                  <w:vAlign w:val="center"/>
                </w:tcPr>
                <w:p>
                  <w:pPr>
                    <w:pStyle w:val="24"/>
                    <w:spacing w:line="360" w:lineRule="exact"/>
                    <w:ind w:left="11"/>
                    <w:rPr>
                      <w:color w:val="000000" w:themeColor="text1"/>
                      <w:szCs w:val="21"/>
                    </w:rPr>
                  </w:pPr>
                  <w:r>
                    <w:rPr>
                      <w:color w:val="000000" w:themeColor="text1"/>
                      <w:szCs w:val="21"/>
                    </w:rPr>
                    <w:t>≤1.</w:t>
                  </w:r>
                  <w:r>
                    <w:rPr>
                      <w:rFonts w:hint="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5" w:type="dxa"/>
                  <w:vAlign w:val="center"/>
                </w:tcPr>
                <w:p>
                  <w:pPr>
                    <w:pStyle w:val="24"/>
                    <w:spacing w:line="360" w:lineRule="exact"/>
                    <w:ind w:left="11"/>
                    <w:rPr>
                      <w:color w:val="000000" w:themeColor="text1"/>
                      <w:szCs w:val="21"/>
                    </w:rPr>
                  </w:pPr>
                  <w:r>
                    <w:rPr>
                      <w:color w:val="000000" w:themeColor="text1"/>
                      <w:szCs w:val="21"/>
                    </w:rPr>
                    <w:t>项目</w:t>
                  </w:r>
                </w:p>
              </w:tc>
              <w:tc>
                <w:tcPr>
                  <w:tcW w:w="1554" w:type="dxa"/>
                  <w:vAlign w:val="center"/>
                </w:tcPr>
                <w:p>
                  <w:pPr>
                    <w:pStyle w:val="24"/>
                    <w:spacing w:line="360" w:lineRule="exact"/>
                    <w:ind w:left="11"/>
                    <w:rPr>
                      <w:color w:val="000000" w:themeColor="text1"/>
                      <w:szCs w:val="21"/>
                    </w:rPr>
                  </w:pPr>
                  <w:r>
                    <w:rPr>
                      <w:color w:val="000000" w:themeColor="text1"/>
                      <w:szCs w:val="21"/>
                    </w:rPr>
                    <w:t>总磷</w:t>
                  </w:r>
                </w:p>
              </w:tc>
              <w:tc>
                <w:tcPr>
                  <w:tcW w:w="1563" w:type="dxa"/>
                  <w:vAlign w:val="center"/>
                </w:tcPr>
                <w:p>
                  <w:pPr>
                    <w:pStyle w:val="24"/>
                    <w:spacing w:line="360" w:lineRule="exact"/>
                    <w:ind w:left="11"/>
                    <w:rPr>
                      <w:color w:val="000000" w:themeColor="text1"/>
                      <w:szCs w:val="21"/>
                    </w:rPr>
                  </w:pPr>
                  <w:r>
                    <w:rPr>
                      <w:color w:val="000000" w:themeColor="text1"/>
                      <w:szCs w:val="21"/>
                    </w:rPr>
                    <w:t>石油类</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阴离子表面活性剂</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粪大肠菌群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5" w:type="dxa"/>
                  <w:vAlign w:val="center"/>
                </w:tcPr>
                <w:p>
                  <w:pPr>
                    <w:pStyle w:val="24"/>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554" w:type="dxa"/>
                  <w:vAlign w:val="center"/>
                </w:tcPr>
                <w:p>
                  <w:pPr>
                    <w:pStyle w:val="24"/>
                    <w:spacing w:line="360" w:lineRule="exact"/>
                    <w:ind w:left="11"/>
                    <w:rPr>
                      <w:color w:val="000000" w:themeColor="text1"/>
                      <w:szCs w:val="21"/>
                    </w:rPr>
                  </w:pPr>
                  <w:r>
                    <w:rPr>
                      <w:color w:val="000000" w:themeColor="text1"/>
                      <w:szCs w:val="21"/>
                    </w:rPr>
                    <w:t>≤0.</w:t>
                  </w:r>
                  <w:r>
                    <w:rPr>
                      <w:rFonts w:hint="eastAsia"/>
                      <w:color w:val="000000" w:themeColor="text1"/>
                      <w:szCs w:val="21"/>
                    </w:rPr>
                    <w:t>2</w:t>
                  </w:r>
                </w:p>
              </w:tc>
              <w:tc>
                <w:tcPr>
                  <w:tcW w:w="1563" w:type="dxa"/>
                  <w:vAlign w:val="center"/>
                </w:tcPr>
                <w:p>
                  <w:pPr>
                    <w:pStyle w:val="24"/>
                    <w:spacing w:line="360" w:lineRule="exact"/>
                    <w:ind w:left="11"/>
                    <w:rPr>
                      <w:color w:val="000000" w:themeColor="text1"/>
                      <w:szCs w:val="21"/>
                    </w:rPr>
                  </w:pPr>
                  <w:r>
                    <w:rPr>
                      <w:color w:val="000000" w:themeColor="text1"/>
                      <w:szCs w:val="21"/>
                    </w:rPr>
                    <w:t>≤0.</w:t>
                  </w:r>
                  <w:r>
                    <w:rPr>
                      <w:rFonts w:hint="eastAsia"/>
                      <w:color w:val="000000" w:themeColor="text1"/>
                      <w:szCs w:val="21"/>
                    </w:rPr>
                    <w:t>0</w:t>
                  </w:r>
                  <w:r>
                    <w:rPr>
                      <w:color w:val="000000" w:themeColor="text1"/>
                      <w:szCs w:val="21"/>
                    </w:rPr>
                    <w:t>5</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r>
                    <w:rPr>
                      <w:rFonts w:hint="eastAsia" w:ascii="Times New Roman" w:hAnsi="Times New Roman" w:eastAsia="宋体" w:cs="Times New Roman"/>
                      <w:bCs/>
                      <w:snapToGrid w:val="0"/>
                      <w:color w:val="000000" w:themeColor="text1"/>
                      <w:kern w:val="32"/>
                      <w:lang w:val="zh-CN"/>
                    </w:rPr>
                    <w:t>2</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20000个/L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5" w:type="dxa"/>
                  <w:vAlign w:val="center"/>
                </w:tcPr>
                <w:p>
                  <w:pPr>
                    <w:pStyle w:val="24"/>
                    <w:spacing w:line="360" w:lineRule="exact"/>
                    <w:ind w:left="11"/>
                    <w:rPr>
                      <w:color w:val="000000" w:themeColor="text1"/>
                      <w:szCs w:val="21"/>
                    </w:rPr>
                  </w:pPr>
                  <w:r>
                    <w:rPr>
                      <w:color w:val="000000" w:themeColor="text1"/>
                      <w:szCs w:val="21"/>
                    </w:rPr>
                    <w:t>项目</w:t>
                  </w:r>
                </w:p>
              </w:tc>
              <w:tc>
                <w:tcPr>
                  <w:tcW w:w="1554" w:type="dxa"/>
                  <w:vAlign w:val="center"/>
                </w:tcPr>
                <w:p>
                  <w:pPr>
                    <w:pStyle w:val="24"/>
                    <w:spacing w:line="360" w:lineRule="exact"/>
                    <w:ind w:left="11"/>
                    <w:rPr>
                      <w:color w:val="000000" w:themeColor="text1"/>
                      <w:szCs w:val="21"/>
                    </w:rPr>
                  </w:pPr>
                  <w:r>
                    <w:rPr>
                      <w:rFonts w:hint="eastAsia"/>
                      <w:color w:val="000000" w:themeColor="text1"/>
                      <w:szCs w:val="21"/>
                    </w:rPr>
                    <w:t>Hg</w:t>
                  </w:r>
                </w:p>
              </w:tc>
              <w:tc>
                <w:tcPr>
                  <w:tcW w:w="1563" w:type="dxa"/>
                  <w:vAlign w:val="center"/>
                </w:tcPr>
                <w:p>
                  <w:pPr>
                    <w:pStyle w:val="24"/>
                    <w:spacing w:line="360" w:lineRule="exact"/>
                    <w:ind w:left="11"/>
                    <w:rPr>
                      <w:color w:val="000000" w:themeColor="text1"/>
                      <w:szCs w:val="21"/>
                    </w:rPr>
                  </w:pPr>
                  <w:r>
                    <w:rPr>
                      <w:rFonts w:hint="eastAsia"/>
                      <w:color w:val="000000" w:themeColor="text1"/>
                      <w:szCs w:val="21"/>
                    </w:rPr>
                    <w:t>六价铬</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Cu</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5" w:type="dxa"/>
                  <w:vAlign w:val="center"/>
                </w:tcPr>
                <w:p>
                  <w:pPr>
                    <w:pStyle w:val="24"/>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554" w:type="dxa"/>
                  <w:vAlign w:val="center"/>
                </w:tcPr>
                <w:p>
                  <w:pPr>
                    <w:pStyle w:val="24"/>
                    <w:spacing w:line="360" w:lineRule="exact"/>
                    <w:ind w:left="11"/>
                    <w:rPr>
                      <w:color w:val="000000" w:themeColor="text1"/>
                      <w:szCs w:val="21"/>
                    </w:rPr>
                  </w:pPr>
                  <w:r>
                    <w:rPr>
                      <w:color w:val="000000" w:themeColor="text1"/>
                      <w:szCs w:val="21"/>
                    </w:rPr>
                    <w:t>≤</w:t>
                  </w:r>
                  <w:r>
                    <w:rPr>
                      <w:rFonts w:hint="eastAsia"/>
                      <w:color w:val="000000" w:themeColor="text1"/>
                      <w:szCs w:val="21"/>
                    </w:rPr>
                    <w:t>0.0001</w:t>
                  </w:r>
                </w:p>
              </w:tc>
              <w:tc>
                <w:tcPr>
                  <w:tcW w:w="1563" w:type="dxa"/>
                  <w:vAlign w:val="center"/>
                </w:tcPr>
                <w:p>
                  <w:pPr>
                    <w:pStyle w:val="24"/>
                    <w:spacing w:line="360" w:lineRule="exact"/>
                    <w:ind w:left="11"/>
                    <w:rPr>
                      <w:color w:val="000000" w:themeColor="text1"/>
                      <w:szCs w:val="21"/>
                    </w:rPr>
                  </w:pPr>
                  <w:r>
                    <w:rPr>
                      <w:color w:val="000000" w:themeColor="text1"/>
                      <w:szCs w:val="21"/>
                    </w:rPr>
                    <w:t>≤</w:t>
                  </w:r>
                  <w:r>
                    <w:rPr>
                      <w:rFonts w:hint="eastAsia"/>
                      <w:color w:val="000000" w:themeColor="text1"/>
                      <w:szCs w:val="21"/>
                    </w:rPr>
                    <w:t>0.05</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5" w:type="dxa"/>
                  <w:vAlign w:val="center"/>
                </w:tcPr>
                <w:p>
                  <w:pPr>
                    <w:pStyle w:val="24"/>
                    <w:spacing w:line="360" w:lineRule="exact"/>
                    <w:ind w:left="11"/>
                    <w:rPr>
                      <w:color w:val="000000" w:themeColor="text1"/>
                      <w:szCs w:val="21"/>
                    </w:rPr>
                  </w:pPr>
                  <w:r>
                    <w:rPr>
                      <w:color w:val="000000" w:themeColor="text1"/>
                      <w:szCs w:val="21"/>
                    </w:rPr>
                    <w:t>项目</w:t>
                  </w:r>
                </w:p>
              </w:tc>
              <w:tc>
                <w:tcPr>
                  <w:tcW w:w="1554" w:type="dxa"/>
                  <w:vAlign w:val="center"/>
                </w:tcPr>
                <w:p>
                  <w:pPr>
                    <w:pStyle w:val="24"/>
                    <w:spacing w:line="360" w:lineRule="exact"/>
                    <w:ind w:left="11"/>
                    <w:rPr>
                      <w:color w:val="000000" w:themeColor="text1"/>
                      <w:szCs w:val="21"/>
                    </w:rPr>
                  </w:pPr>
                  <w:r>
                    <w:rPr>
                      <w:color w:val="000000" w:themeColor="text1"/>
                      <w:szCs w:val="21"/>
                    </w:rPr>
                    <w:t>Pb</w:t>
                  </w:r>
                </w:p>
              </w:tc>
              <w:tc>
                <w:tcPr>
                  <w:tcW w:w="1563" w:type="dxa"/>
                  <w:vAlign w:val="center"/>
                </w:tcPr>
                <w:p>
                  <w:pPr>
                    <w:pStyle w:val="24"/>
                    <w:spacing w:line="360" w:lineRule="exact"/>
                    <w:ind w:left="11"/>
                    <w:rPr>
                      <w:color w:val="000000" w:themeColor="text1"/>
                      <w:szCs w:val="21"/>
                    </w:rPr>
                  </w:pPr>
                  <w:r>
                    <w:rPr>
                      <w:color w:val="000000" w:themeColor="text1"/>
                      <w:szCs w:val="21"/>
                    </w:rPr>
                    <w:t>Cd</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Zn</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氟化物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5" w:type="dxa"/>
                  <w:vAlign w:val="center"/>
                </w:tcPr>
                <w:p>
                  <w:pPr>
                    <w:pStyle w:val="24"/>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554" w:type="dxa"/>
                  <w:vAlign w:val="center"/>
                </w:tcPr>
                <w:p>
                  <w:pPr>
                    <w:pStyle w:val="24"/>
                    <w:spacing w:line="360" w:lineRule="exact"/>
                    <w:ind w:left="11"/>
                    <w:rPr>
                      <w:color w:val="000000" w:themeColor="text1"/>
                      <w:szCs w:val="21"/>
                    </w:rPr>
                  </w:pPr>
                  <w:r>
                    <w:rPr>
                      <w:color w:val="000000" w:themeColor="text1"/>
                      <w:szCs w:val="21"/>
                    </w:rPr>
                    <w:t>≤0.05</w:t>
                  </w:r>
                </w:p>
              </w:tc>
              <w:tc>
                <w:tcPr>
                  <w:tcW w:w="1563" w:type="dxa"/>
                  <w:vAlign w:val="center"/>
                </w:tcPr>
                <w:p>
                  <w:pPr>
                    <w:pStyle w:val="24"/>
                    <w:spacing w:line="360" w:lineRule="exact"/>
                    <w:ind w:left="11"/>
                    <w:rPr>
                      <w:color w:val="000000" w:themeColor="text1"/>
                      <w:szCs w:val="21"/>
                    </w:rPr>
                  </w:pPr>
                  <w:r>
                    <w:rPr>
                      <w:color w:val="000000" w:themeColor="text1"/>
                      <w:szCs w:val="21"/>
                    </w:rPr>
                    <w:t>≤0.005</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r>
                    <w:rPr>
                      <w:rFonts w:hint="eastAsia" w:ascii="Times New Roman" w:hAnsi="Times New Roman" w:eastAsia="宋体" w:cs="Times New Roman"/>
                      <w:bCs/>
                      <w:snapToGrid w:val="0"/>
                      <w:color w:val="000000" w:themeColor="text1"/>
                      <w:kern w:val="32"/>
                      <w:lang w:val="zh-CN"/>
                    </w:rPr>
                    <w:t>1.0</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3.3.3 地下水质量标准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根据调查，项目所在区域的地下水主要功能为工农业用水，属于地下水质量III类。项目区域地下水执行《地下水质量标准》（GB/T14848-2017）Ⅲ类标准，标准值如下表所示。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地下水质量标准限值  mg/L</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48"/>
              <w:gridCol w:w="1420"/>
              <w:gridCol w:w="1561"/>
              <w:gridCol w:w="1136"/>
              <w:gridCol w:w="1278"/>
              <w:gridCol w:w="994"/>
              <w:gridCol w:w="10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4"/>
                    <w:spacing w:line="360" w:lineRule="exact"/>
                    <w:rPr>
                      <w:color w:val="000000" w:themeColor="text1"/>
                      <w:szCs w:val="21"/>
                    </w:rPr>
                  </w:pPr>
                  <w:r>
                    <w:rPr>
                      <w:color w:val="000000" w:themeColor="text1"/>
                      <w:szCs w:val="21"/>
                    </w:rPr>
                    <w:t>污染物</w:t>
                  </w:r>
                </w:p>
              </w:tc>
              <w:tc>
                <w:tcPr>
                  <w:tcW w:w="1418" w:type="dxa"/>
                  <w:vAlign w:val="center"/>
                </w:tcPr>
                <w:p>
                  <w:pPr>
                    <w:pStyle w:val="24"/>
                    <w:spacing w:line="360" w:lineRule="exact"/>
                    <w:rPr>
                      <w:color w:val="000000" w:themeColor="text1"/>
                      <w:szCs w:val="21"/>
                    </w:rPr>
                  </w:pPr>
                  <w:r>
                    <w:rPr>
                      <w:color w:val="000000" w:themeColor="text1"/>
                      <w:szCs w:val="21"/>
                    </w:rPr>
                    <w:t>pH（无量纲）</w:t>
                  </w:r>
                </w:p>
              </w:tc>
              <w:tc>
                <w:tcPr>
                  <w:tcW w:w="1559" w:type="dxa"/>
                  <w:vAlign w:val="center"/>
                </w:tcPr>
                <w:p>
                  <w:pPr>
                    <w:pStyle w:val="24"/>
                    <w:spacing w:line="360" w:lineRule="exact"/>
                    <w:rPr>
                      <w:color w:val="000000" w:themeColor="text1"/>
                      <w:szCs w:val="21"/>
                    </w:rPr>
                  </w:pPr>
                  <w:r>
                    <w:rPr>
                      <w:color w:val="000000" w:themeColor="text1"/>
                      <w:szCs w:val="21"/>
                    </w:rPr>
                    <w:t>总硬度</w:t>
                  </w:r>
                </w:p>
              </w:tc>
              <w:tc>
                <w:tcPr>
                  <w:tcW w:w="1134" w:type="dxa"/>
                  <w:vAlign w:val="center"/>
                </w:tcPr>
                <w:p>
                  <w:pPr>
                    <w:pStyle w:val="24"/>
                    <w:spacing w:line="360" w:lineRule="exact"/>
                    <w:rPr>
                      <w:color w:val="000000" w:themeColor="text1"/>
                      <w:szCs w:val="21"/>
                    </w:rPr>
                  </w:pPr>
                  <w:r>
                    <w:rPr>
                      <w:color w:val="000000" w:themeColor="text1"/>
                      <w:szCs w:val="21"/>
                    </w:rPr>
                    <w:t>硫酸盐</w:t>
                  </w:r>
                </w:p>
              </w:tc>
              <w:tc>
                <w:tcPr>
                  <w:tcW w:w="1276" w:type="dxa"/>
                  <w:vAlign w:val="center"/>
                </w:tcPr>
                <w:p>
                  <w:pPr>
                    <w:pStyle w:val="24"/>
                    <w:spacing w:line="360" w:lineRule="exact"/>
                    <w:rPr>
                      <w:color w:val="000000" w:themeColor="text1"/>
                      <w:szCs w:val="21"/>
                    </w:rPr>
                  </w:pPr>
                  <w:r>
                    <w:rPr>
                      <w:color w:val="000000" w:themeColor="text1"/>
                      <w:szCs w:val="21"/>
                    </w:rPr>
                    <w:t>氯化物</w:t>
                  </w:r>
                </w:p>
              </w:tc>
              <w:tc>
                <w:tcPr>
                  <w:tcW w:w="992" w:type="dxa"/>
                  <w:vAlign w:val="center"/>
                </w:tcPr>
                <w:p>
                  <w:pPr>
                    <w:pStyle w:val="24"/>
                    <w:spacing w:line="360" w:lineRule="exact"/>
                    <w:rPr>
                      <w:color w:val="000000" w:themeColor="text1"/>
                      <w:szCs w:val="21"/>
                    </w:rPr>
                  </w:pPr>
                  <w:r>
                    <w:rPr>
                      <w:color w:val="000000" w:themeColor="text1"/>
                      <w:szCs w:val="21"/>
                    </w:rPr>
                    <w:t>汞</w:t>
                  </w:r>
                </w:p>
              </w:tc>
              <w:tc>
                <w:tcPr>
                  <w:tcW w:w="1066" w:type="dxa"/>
                  <w:vAlign w:val="center"/>
                </w:tcPr>
                <w:p>
                  <w:pPr>
                    <w:pStyle w:val="24"/>
                    <w:spacing w:line="360" w:lineRule="exact"/>
                    <w:rPr>
                      <w:color w:val="000000" w:themeColor="text1"/>
                      <w:szCs w:val="21"/>
                    </w:rPr>
                  </w:pPr>
                  <w:r>
                    <w:rPr>
                      <w:color w:val="000000" w:themeColor="text1"/>
                      <w:szCs w:val="21"/>
                    </w:rPr>
                    <w:t>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4"/>
                    <w:spacing w:line="360" w:lineRule="exact"/>
                    <w:rPr>
                      <w:color w:val="000000" w:themeColor="text1"/>
                      <w:szCs w:val="21"/>
                    </w:rPr>
                  </w:pPr>
                  <w:r>
                    <w:rPr>
                      <w:color w:val="000000" w:themeColor="text1"/>
                      <w:szCs w:val="21"/>
                    </w:rPr>
                    <w:t>标准值</w:t>
                  </w:r>
                </w:p>
              </w:tc>
              <w:tc>
                <w:tcPr>
                  <w:tcW w:w="1418" w:type="dxa"/>
                  <w:vAlign w:val="center"/>
                </w:tcPr>
                <w:p>
                  <w:pPr>
                    <w:pStyle w:val="24"/>
                    <w:spacing w:line="360" w:lineRule="exact"/>
                    <w:rPr>
                      <w:color w:val="000000" w:themeColor="text1"/>
                      <w:szCs w:val="21"/>
                    </w:rPr>
                  </w:pPr>
                  <w:r>
                    <w:rPr>
                      <w:color w:val="000000" w:themeColor="text1"/>
                      <w:szCs w:val="21"/>
                    </w:rPr>
                    <w:t>6.5-8.5</w:t>
                  </w:r>
                </w:p>
              </w:tc>
              <w:tc>
                <w:tcPr>
                  <w:tcW w:w="1559" w:type="dxa"/>
                  <w:vAlign w:val="center"/>
                </w:tcPr>
                <w:p>
                  <w:pPr>
                    <w:pStyle w:val="24"/>
                    <w:spacing w:line="360" w:lineRule="exact"/>
                    <w:rPr>
                      <w:color w:val="000000" w:themeColor="text1"/>
                      <w:szCs w:val="21"/>
                    </w:rPr>
                  </w:pPr>
                  <w:r>
                    <w:rPr>
                      <w:color w:val="000000" w:themeColor="text1"/>
                      <w:szCs w:val="21"/>
                    </w:rPr>
                    <w:t>≤450</w:t>
                  </w:r>
                </w:p>
              </w:tc>
              <w:tc>
                <w:tcPr>
                  <w:tcW w:w="1134" w:type="dxa"/>
                  <w:vAlign w:val="center"/>
                </w:tcPr>
                <w:p>
                  <w:pPr>
                    <w:pStyle w:val="24"/>
                    <w:spacing w:line="360" w:lineRule="exact"/>
                    <w:rPr>
                      <w:color w:val="000000" w:themeColor="text1"/>
                      <w:szCs w:val="21"/>
                    </w:rPr>
                  </w:pPr>
                  <w:r>
                    <w:rPr>
                      <w:color w:val="000000" w:themeColor="text1"/>
                      <w:szCs w:val="21"/>
                    </w:rPr>
                    <w:t>≤250</w:t>
                  </w:r>
                </w:p>
              </w:tc>
              <w:tc>
                <w:tcPr>
                  <w:tcW w:w="1276" w:type="dxa"/>
                  <w:vAlign w:val="center"/>
                </w:tcPr>
                <w:p>
                  <w:pPr>
                    <w:pStyle w:val="24"/>
                    <w:spacing w:line="360" w:lineRule="exact"/>
                    <w:rPr>
                      <w:color w:val="000000" w:themeColor="text1"/>
                      <w:szCs w:val="21"/>
                    </w:rPr>
                  </w:pPr>
                  <w:r>
                    <w:rPr>
                      <w:color w:val="000000" w:themeColor="text1"/>
                      <w:szCs w:val="21"/>
                    </w:rPr>
                    <w:t>≤250</w:t>
                  </w:r>
                </w:p>
              </w:tc>
              <w:tc>
                <w:tcPr>
                  <w:tcW w:w="992" w:type="dxa"/>
                  <w:vAlign w:val="center"/>
                </w:tcPr>
                <w:p>
                  <w:pPr>
                    <w:pStyle w:val="24"/>
                    <w:spacing w:line="360" w:lineRule="exact"/>
                    <w:rPr>
                      <w:color w:val="000000" w:themeColor="text1"/>
                      <w:szCs w:val="21"/>
                    </w:rPr>
                  </w:pPr>
                  <w:r>
                    <w:rPr>
                      <w:color w:val="000000" w:themeColor="text1"/>
                      <w:szCs w:val="21"/>
                    </w:rPr>
                    <w:t>≤0.001</w:t>
                  </w:r>
                </w:p>
              </w:tc>
              <w:tc>
                <w:tcPr>
                  <w:tcW w:w="1066" w:type="dxa"/>
                  <w:vAlign w:val="center"/>
                </w:tcPr>
                <w:p>
                  <w:pPr>
                    <w:pStyle w:val="24"/>
                    <w:spacing w:line="360" w:lineRule="exact"/>
                    <w:rPr>
                      <w:color w:val="000000" w:themeColor="text1"/>
                      <w:szCs w:val="21"/>
                    </w:rPr>
                  </w:pPr>
                  <w:r>
                    <w:rPr>
                      <w:color w:val="000000" w:themeColor="text1"/>
                      <w:szCs w:val="21"/>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4"/>
                    <w:spacing w:line="360" w:lineRule="exact"/>
                    <w:rPr>
                      <w:color w:val="000000" w:themeColor="text1"/>
                      <w:szCs w:val="21"/>
                    </w:rPr>
                  </w:pPr>
                  <w:r>
                    <w:rPr>
                      <w:color w:val="000000" w:themeColor="text1"/>
                      <w:szCs w:val="21"/>
                    </w:rPr>
                    <w:t>污染物</w:t>
                  </w:r>
                </w:p>
              </w:tc>
              <w:tc>
                <w:tcPr>
                  <w:tcW w:w="1418" w:type="dxa"/>
                  <w:vAlign w:val="center"/>
                </w:tcPr>
                <w:p>
                  <w:pPr>
                    <w:pStyle w:val="24"/>
                    <w:spacing w:line="360" w:lineRule="exact"/>
                    <w:rPr>
                      <w:color w:val="000000" w:themeColor="text1"/>
                      <w:szCs w:val="21"/>
                    </w:rPr>
                  </w:pPr>
                  <w:r>
                    <w:rPr>
                      <w:color w:val="000000" w:themeColor="text1"/>
                      <w:szCs w:val="21"/>
                    </w:rPr>
                    <w:t>硝酸盐</w:t>
                  </w:r>
                </w:p>
              </w:tc>
              <w:tc>
                <w:tcPr>
                  <w:tcW w:w="1559" w:type="dxa"/>
                  <w:vAlign w:val="center"/>
                </w:tcPr>
                <w:p>
                  <w:pPr>
                    <w:pStyle w:val="24"/>
                    <w:spacing w:line="360" w:lineRule="exact"/>
                    <w:rPr>
                      <w:color w:val="000000" w:themeColor="text1"/>
                      <w:szCs w:val="21"/>
                    </w:rPr>
                  </w:pPr>
                  <w:r>
                    <w:rPr>
                      <w:color w:val="000000" w:themeColor="text1"/>
                      <w:szCs w:val="21"/>
                    </w:rPr>
                    <w:t>亚硝酸盐</w:t>
                  </w:r>
                </w:p>
              </w:tc>
              <w:tc>
                <w:tcPr>
                  <w:tcW w:w="1134" w:type="dxa"/>
                  <w:vAlign w:val="center"/>
                </w:tcPr>
                <w:p>
                  <w:pPr>
                    <w:pStyle w:val="24"/>
                    <w:spacing w:line="360" w:lineRule="exact"/>
                    <w:rPr>
                      <w:color w:val="000000" w:themeColor="text1"/>
                      <w:szCs w:val="21"/>
                    </w:rPr>
                  </w:pPr>
                  <w:r>
                    <w:rPr>
                      <w:color w:val="000000" w:themeColor="text1"/>
                      <w:szCs w:val="21"/>
                    </w:rPr>
                    <w:t>锌</w:t>
                  </w:r>
                </w:p>
              </w:tc>
              <w:tc>
                <w:tcPr>
                  <w:tcW w:w="1276" w:type="dxa"/>
                  <w:vAlign w:val="center"/>
                </w:tcPr>
                <w:p>
                  <w:pPr>
                    <w:pStyle w:val="24"/>
                    <w:spacing w:line="360" w:lineRule="exact"/>
                    <w:rPr>
                      <w:color w:val="000000" w:themeColor="text1"/>
                      <w:szCs w:val="21"/>
                    </w:rPr>
                  </w:pPr>
                  <w:r>
                    <w:rPr>
                      <w:color w:val="000000" w:themeColor="text1"/>
                      <w:szCs w:val="21"/>
                    </w:rPr>
                    <w:t>氨氮</w:t>
                  </w:r>
                </w:p>
              </w:tc>
              <w:tc>
                <w:tcPr>
                  <w:tcW w:w="992" w:type="dxa"/>
                  <w:vAlign w:val="center"/>
                </w:tcPr>
                <w:p>
                  <w:pPr>
                    <w:pStyle w:val="24"/>
                    <w:spacing w:line="360" w:lineRule="exact"/>
                    <w:rPr>
                      <w:color w:val="000000" w:themeColor="text1"/>
                      <w:szCs w:val="21"/>
                    </w:rPr>
                  </w:pPr>
                  <w:r>
                    <w:rPr>
                      <w:color w:val="000000" w:themeColor="text1"/>
                      <w:szCs w:val="21"/>
                    </w:rPr>
                    <w:t>铅</w:t>
                  </w:r>
                </w:p>
              </w:tc>
              <w:tc>
                <w:tcPr>
                  <w:tcW w:w="1066" w:type="dxa"/>
                  <w:vAlign w:val="center"/>
                </w:tcPr>
                <w:p>
                  <w:pPr>
                    <w:pStyle w:val="24"/>
                    <w:spacing w:line="360" w:lineRule="exact"/>
                    <w:rPr>
                      <w:color w:val="000000" w:themeColor="text1"/>
                      <w:szCs w:val="21"/>
                    </w:rPr>
                  </w:pPr>
                  <w:r>
                    <w:rPr>
                      <w:color w:val="000000" w:themeColor="text1"/>
                      <w:szCs w:val="21"/>
                    </w:rPr>
                    <w:t>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4"/>
                    <w:spacing w:line="360" w:lineRule="exact"/>
                    <w:rPr>
                      <w:color w:val="000000" w:themeColor="text1"/>
                      <w:szCs w:val="21"/>
                    </w:rPr>
                  </w:pPr>
                  <w:r>
                    <w:rPr>
                      <w:color w:val="000000" w:themeColor="text1"/>
                      <w:szCs w:val="21"/>
                    </w:rPr>
                    <w:t>标准值</w:t>
                  </w:r>
                </w:p>
              </w:tc>
              <w:tc>
                <w:tcPr>
                  <w:tcW w:w="1418" w:type="dxa"/>
                  <w:vAlign w:val="center"/>
                </w:tcPr>
                <w:p>
                  <w:pPr>
                    <w:pStyle w:val="24"/>
                    <w:spacing w:line="360" w:lineRule="exact"/>
                    <w:rPr>
                      <w:color w:val="000000" w:themeColor="text1"/>
                      <w:szCs w:val="21"/>
                    </w:rPr>
                  </w:pPr>
                  <w:r>
                    <w:rPr>
                      <w:color w:val="000000" w:themeColor="text1"/>
                      <w:szCs w:val="21"/>
                    </w:rPr>
                    <w:t>≤20.0</w:t>
                  </w:r>
                </w:p>
              </w:tc>
              <w:tc>
                <w:tcPr>
                  <w:tcW w:w="1559" w:type="dxa"/>
                  <w:vAlign w:val="center"/>
                </w:tcPr>
                <w:p>
                  <w:pPr>
                    <w:pStyle w:val="24"/>
                    <w:spacing w:line="360" w:lineRule="exact"/>
                    <w:rPr>
                      <w:color w:val="000000" w:themeColor="text1"/>
                      <w:szCs w:val="21"/>
                    </w:rPr>
                  </w:pPr>
                  <w:r>
                    <w:rPr>
                      <w:color w:val="000000" w:themeColor="text1"/>
                      <w:szCs w:val="21"/>
                    </w:rPr>
                    <w:t>≤1.0</w:t>
                  </w:r>
                </w:p>
              </w:tc>
              <w:tc>
                <w:tcPr>
                  <w:tcW w:w="1134" w:type="dxa"/>
                  <w:vAlign w:val="center"/>
                </w:tcPr>
                <w:p>
                  <w:pPr>
                    <w:pStyle w:val="24"/>
                    <w:spacing w:line="360" w:lineRule="exact"/>
                    <w:rPr>
                      <w:color w:val="000000" w:themeColor="text1"/>
                      <w:szCs w:val="21"/>
                    </w:rPr>
                  </w:pPr>
                  <w:r>
                    <w:rPr>
                      <w:color w:val="000000" w:themeColor="text1"/>
                      <w:szCs w:val="21"/>
                    </w:rPr>
                    <w:t>≤1.0</w:t>
                  </w:r>
                </w:p>
              </w:tc>
              <w:tc>
                <w:tcPr>
                  <w:tcW w:w="1276" w:type="dxa"/>
                  <w:vAlign w:val="center"/>
                </w:tcPr>
                <w:p>
                  <w:pPr>
                    <w:pStyle w:val="24"/>
                    <w:spacing w:line="360" w:lineRule="exact"/>
                    <w:rPr>
                      <w:color w:val="000000" w:themeColor="text1"/>
                      <w:szCs w:val="21"/>
                    </w:rPr>
                  </w:pPr>
                  <w:r>
                    <w:rPr>
                      <w:color w:val="000000" w:themeColor="text1"/>
                      <w:szCs w:val="21"/>
                    </w:rPr>
                    <w:t>≤0.50</w:t>
                  </w:r>
                </w:p>
              </w:tc>
              <w:tc>
                <w:tcPr>
                  <w:tcW w:w="992" w:type="dxa"/>
                  <w:vAlign w:val="center"/>
                </w:tcPr>
                <w:p>
                  <w:pPr>
                    <w:pStyle w:val="24"/>
                    <w:spacing w:line="360" w:lineRule="exact"/>
                    <w:rPr>
                      <w:color w:val="000000" w:themeColor="text1"/>
                      <w:szCs w:val="21"/>
                    </w:rPr>
                  </w:pPr>
                  <w:r>
                    <w:rPr>
                      <w:color w:val="000000" w:themeColor="text1"/>
                      <w:szCs w:val="21"/>
                    </w:rPr>
                    <w:t>≤0.01</w:t>
                  </w:r>
                </w:p>
              </w:tc>
              <w:tc>
                <w:tcPr>
                  <w:tcW w:w="1066" w:type="dxa"/>
                  <w:vAlign w:val="center"/>
                </w:tcPr>
                <w:p>
                  <w:pPr>
                    <w:pStyle w:val="24"/>
                    <w:spacing w:line="360" w:lineRule="exact"/>
                    <w:rPr>
                      <w:color w:val="000000" w:themeColor="text1"/>
                      <w:szCs w:val="21"/>
                    </w:rPr>
                  </w:pPr>
                  <w:r>
                    <w:rPr>
                      <w:color w:val="000000" w:themeColor="text1"/>
                      <w:szCs w:val="21"/>
                    </w:rPr>
                    <w:t>≤0.20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4"/>
                    <w:spacing w:line="360" w:lineRule="exact"/>
                    <w:rPr>
                      <w:color w:val="000000" w:themeColor="text1"/>
                      <w:szCs w:val="21"/>
                    </w:rPr>
                  </w:pPr>
                  <w:r>
                    <w:rPr>
                      <w:color w:val="000000" w:themeColor="text1"/>
                      <w:szCs w:val="21"/>
                    </w:rPr>
                    <w:t>污染物</w:t>
                  </w:r>
                </w:p>
              </w:tc>
              <w:tc>
                <w:tcPr>
                  <w:tcW w:w="1418" w:type="dxa"/>
                  <w:vAlign w:val="center"/>
                </w:tcPr>
                <w:p>
                  <w:pPr>
                    <w:pStyle w:val="24"/>
                    <w:spacing w:line="360" w:lineRule="exact"/>
                    <w:rPr>
                      <w:color w:val="000000" w:themeColor="text1"/>
                      <w:szCs w:val="21"/>
                    </w:rPr>
                  </w:pPr>
                  <w:r>
                    <w:rPr>
                      <w:color w:val="000000" w:themeColor="text1"/>
                      <w:szCs w:val="21"/>
                    </w:rPr>
                    <w:t>六价铬</w:t>
                  </w:r>
                </w:p>
              </w:tc>
              <w:tc>
                <w:tcPr>
                  <w:tcW w:w="1559" w:type="dxa"/>
                  <w:vAlign w:val="center"/>
                </w:tcPr>
                <w:p>
                  <w:pPr>
                    <w:pStyle w:val="24"/>
                    <w:spacing w:line="360" w:lineRule="exact"/>
                    <w:rPr>
                      <w:color w:val="000000" w:themeColor="text1"/>
                      <w:szCs w:val="21"/>
                    </w:rPr>
                  </w:pPr>
                  <w:r>
                    <w:rPr>
                      <w:color w:val="000000" w:themeColor="text1"/>
                      <w:szCs w:val="21"/>
                    </w:rPr>
                    <w:t>砷</w:t>
                  </w:r>
                </w:p>
              </w:tc>
              <w:tc>
                <w:tcPr>
                  <w:tcW w:w="1134" w:type="dxa"/>
                  <w:vAlign w:val="center"/>
                </w:tcPr>
                <w:p>
                  <w:pPr>
                    <w:pStyle w:val="24"/>
                    <w:spacing w:line="360" w:lineRule="exact"/>
                    <w:rPr>
                      <w:color w:val="000000" w:themeColor="text1"/>
                      <w:szCs w:val="21"/>
                    </w:rPr>
                  </w:pPr>
                  <w:r>
                    <w:rPr>
                      <w:color w:val="000000" w:themeColor="text1"/>
                      <w:szCs w:val="21"/>
                    </w:rPr>
                    <w:t>镉</w:t>
                  </w:r>
                </w:p>
              </w:tc>
              <w:tc>
                <w:tcPr>
                  <w:tcW w:w="1276" w:type="dxa"/>
                  <w:vAlign w:val="center"/>
                </w:tcPr>
                <w:p>
                  <w:pPr>
                    <w:pStyle w:val="24"/>
                    <w:spacing w:line="360" w:lineRule="exact"/>
                    <w:rPr>
                      <w:color w:val="000000" w:themeColor="text1"/>
                      <w:szCs w:val="21"/>
                    </w:rPr>
                  </w:pPr>
                  <w:r>
                    <w:rPr>
                      <w:color w:val="000000" w:themeColor="text1"/>
                      <w:szCs w:val="21"/>
                    </w:rPr>
                    <w:t>耗氧量</w:t>
                  </w:r>
                </w:p>
              </w:tc>
              <w:tc>
                <w:tcPr>
                  <w:tcW w:w="992" w:type="dxa"/>
                  <w:vAlign w:val="center"/>
                </w:tcPr>
                <w:p>
                  <w:pPr>
                    <w:pStyle w:val="24"/>
                    <w:spacing w:line="360" w:lineRule="exact"/>
                    <w:rPr>
                      <w:color w:val="000000" w:themeColor="text1"/>
                      <w:szCs w:val="21"/>
                    </w:rPr>
                  </w:pPr>
                  <w:r>
                    <w:rPr>
                      <w:color w:val="000000" w:themeColor="text1"/>
                      <w:szCs w:val="21"/>
                    </w:rPr>
                    <w:t>钠</w:t>
                  </w:r>
                </w:p>
              </w:tc>
              <w:tc>
                <w:tcPr>
                  <w:tcW w:w="1066" w:type="dxa"/>
                  <w:vAlign w:val="center"/>
                </w:tcPr>
                <w:p>
                  <w:pPr>
                    <w:pStyle w:val="24"/>
                    <w:spacing w:line="360" w:lineRule="exact"/>
                    <w:rPr>
                      <w:color w:val="000000" w:themeColor="text1"/>
                      <w:szCs w:val="21"/>
                    </w:rPr>
                  </w:pPr>
                  <w:r>
                    <w:rPr>
                      <w:color w:val="000000" w:themeColor="text1"/>
                      <w:szCs w:val="21"/>
                    </w:rPr>
                    <w:t>氟化物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4"/>
                    <w:spacing w:line="360" w:lineRule="exact"/>
                    <w:rPr>
                      <w:color w:val="000000" w:themeColor="text1"/>
                      <w:szCs w:val="21"/>
                    </w:rPr>
                  </w:pPr>
                  <w:r>
                    <w:rPr>
                      <w:color w:val="000000" w:themeColor="text1"/>
                      <w:szCs w:val="21"/>
                    </w:rPr>
                    <w:t>标准值</w:t>
                  </w:r>
                </w:p>
              </w:tc>
              <w:tc>
                <w:tcPr>
                  <w:tcW w:w="1418" w:type="dxa"/>
                  <w:vAlign w:val="center"/>
                </w:tcPr>
                <w:p>
                  <w:pPr>
                    <w:pStyle w:val="24"/>
                    <w:spacing w:line="360" w:lineRule="exact"/>
                    <w:rPr>
                      <w:color w:val="000000" w:themeColor="text1"/>
                      <w:szCs w:val="21"/>
                    </w:rPr>
                  </w:pPr>
                  <w:r>
                    <w:rPr>
                      <w:color w:val="000000" w:themeColor="text1"/>
                      <w:szCs w:val="21"/>
                    </w:rPr>
                    <w:t>≤0.05</w:t>
                  </w:r>
                </w:p>
              </w:tc>
              <w:tc>
                <w:tcPr>
                  <w:tcW w:w="1559" w:type="dxa"/>
                  <w:vAlign w:val="center"/>
                </w:tcPr>
                <w:p>
                  <w:pPr>
                    <w:pStyle w:val="24"/>
                    <w:spacing w:line="360" w:lineRule="exact"/>
                    <w:rPr>
                      <w:color w:val="000000" w:themeColor="text1"/>
                      <w:szCs w:val="21"/>
                    </w:rPr>
                  </w:pPr>
                  <w:r>
                    <w:rPr>
                      <w:color w:val="000000" w:themeColor="text1"/>
                      <w:szCs w:val="21"/>
                    </w:rPr>
                    <w:t>≤0.01</w:t>
                  </w:r>
                </w:p>
              </w:tc>
              <w:tc>
                <w:tcPr>
                  <w:tcW w:w="1134" w:type="dxa"/>
                  <w:vAlign w:val="center"/>
                </w:tcPr>
                <w:p>
                  <w:pPr>
                    <w:pStyle w:val="24"/>
                    <w:spacing w:line="360" w:lineRule="exact"/>
                    <w:rPr>
                      <w:color w:val="000000" w:themeColor="text1"/>
                      <w:szCs w:val="21"/>
                    </w:rPr>
                  </w:pPr>
                  <w:r>
                    <w:rPr>
                      <w:color w:val="000000" w:themeColor="text1"/>
                      <w:szCs w:val="21"/>
                    </w:rPr>
                    <w:t>≤0.005</w:t>
                  </w:r>
                </w:p>
              </w:tc>
              <w:tc>
                <w:tcPr>
                  <w:tcW w:w="1276" w:type="dxa"/>
                  <w:vAlign w:val="center"/>
                </w:tcPr>
                <w:p>
                  <w:pPr>
                    <w:pStyle w:val="24"/>
                    <w:spacing w:line="360" w:lineRule="exact"/>
                    <w:rPr>
                      <w:color w:val="000000" w:themeColor="text1"/>
                      <w:szCs w:val="21"/>
                    </w:rPr>
                  </w:pPr>
                  <w:r>
                    <w:rPr>
                      <w:color w:val="000000" w:themeColor="text1"/>
                      <w:szCs w:val="21"/>
                    </w:rPr>
                    <w:t>≤3.0</w:t>
                  </w:r>
                </w:p>
              </w:tc>
              <w:tc>
                <w:tcPr>
                  <w:tcW w:w="992" w:type="dxa"/>
                  <w:vAlign w:val="center"/>
                </w:tcPr>
                <w:p>
                  <w:pPr>
                    <w:pStyle w:val="24"/>
                    <w:spacing w:line="360" w:lineRule="exact"/>
                    <w:rPr>
                      <w:color w:val="000000" w:themeColor="text1"/>
                      <w:szCs w:val="21"/>
                    </w:rPr>
                  </w:pPr>
                  <w:r>
                    <w:rPr>
                      <w:color w:val="000000" w:themeColor="text1"/>
                      <w:szCs w:val="21"/>
                    </w:rPr>
                    <w:t>≤200</w:t>
                  </w:r>
                </w:p>
              </w:tc>
              <w:tc>
                <w:tcPr>
                  <w:tcW w:w="1066" w:type="dxa"/>
                  <w:vAlign w:val="center"/>
                </w:tcPr>
                <w:p>
                  <w:pPr>
                    <w:pStyle w:val="24"/>
                    <w:spacing w:line="360" w:lineRule="exact"/>
                    <w:rPr>
                      <w:color w:val="000000" w:themeColor="text1"/>
                      <w:szCs w:val="21"/>
                    </w:rPr>
                  </w:pPr>
                  <w:r>
                    <w:rPr>
                      <w:color w:val="000000" w:themeColor="text1"/>
                      <w:szCs w:val="21"/>
                    </w:rPr>
                    <w:t>≤1.0</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3.3.4 声环境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东川区再就业特区四方地工业园区昆明合旺有色金属有限公司厂区，根据《云南省东川再就业特色产业园--四方地碧谷产业园规划修编（2014-2025）环境影响报告书》的要求，园区声环境属于3类区，声环境执行《声环境质量标准》（GB3096-2008）3类区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表3.3.4-1  环境噪声限值  单位：dB（A）</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268"/>
              <w:gridCol w:w="2127"/>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152" w:type="dxa"/>
                  <w:vMerge w:val="restart"/>
                  <w:vAlign w:val="center"/>
                </w:tcPr>
                <w:p>
                  <w:pPr>
                    <w:pStyle w:val="24"/>
                    <w:spacing w:line="360" w:lineRule="exact"/>
                    <w:rPr>
                      <w:color w:val="000000" w:themeColor="text1"/>
                      <w:szCs w:val="21"/>
                    </w:rPr>
                  </w:pPr>
                  <w:r>
                    <w:rPr>
                      <w:color w:val="000000" w:themeColor="text1"/>
                      <w:szCs w:val="21"/>
                    </w:rPr>
                    <w:t>执行区域</w:t>
                  </w:r>
                </w:p>
              </w:tc>
              <w:tc>
                <w:tcPr>
                  <w:tcW w:w="2268" w:type="dxa"/>
                  <w:vMerge w:val="restart"/>
                  <w:vAlign w:val="center"/>
                </w:tcPr>
                <w:p>
                  <w:pPr>
                    <w:pStyle w:val="24"/>
                    <w:spacing w:line="360" w:lineRule="exact"/>
                    <w:rPr>
                      <w:color w:val="000000" w:themeColor="text1"/>
                      <w:szCs w:val="21"/>
                    </w:rPr>
                  </w:pPr>
                  <w:r>
                    <w:rPr>
                      <w:color w:val="000000" w:themeColor="text1"/>
                      <w:szCs w:val="21"/>
                    </w:rPr>
                    <w:t>声环境功能区类别</w:t>
                  </w:r>
                </w:p>
              </w:tc>
              <w:tc>
                <w:tcPr>
                  <w:tcW w:w="4185" w:type="dxa"/>
                  <w:gridSpan w:val="2"/>
                  <w:vAlign w:val="center"/>
                </w:tcPr>
                <w:p>
                  <w:pPr>
                    <w:pStyle w:val="24"/>
                    <w:spacing w:line="360" w:lineRule="exact"/>
                    <w:rPr>
                      <w:color w:val="000000" w:themeColor="text1"/>
                      <w:szCs w:val="21"/>
                    </w:rPr>
                  </w:pPr>
                  <w:r>
                    <w:rPr>
                      <w:color w:val="000000" w:themeColor="text1"/>
                      <w:szCs w:val="21"/>
                    </w:rPr>
                    <w:t>等效声级Leq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152" w:type="dxa"/>
                  <w:vMerge w:val="continue"/>
                  <w:vAlign w:val="center"/>
                </w:tcPr>
                <w:p>
                  <w:pPr>
                    <w:pStyle w:val="24"/>
                    <w:spacing w:line="360" w:lineRule="exact"/>
                    <w:rPr>
                      <w:color w:val="000000" w:themeColor="text1"/>
                      <w:szCs w:val="21"/>
                    </w:rPr>
                  </w:pPr>
                </w:p>
              </w:tc>
              <w:tc>
                <w:tcPr>
                  <w:tcW w:w="2268" w:type="dxa"/>
                  <w:vMerge w:val="continue"/>
                  <w:vAlign w:val="center"/>
                </w:tcPr>
                <w:p>
                  <w:pPr>
                    <w:pStyle w:val="24"/>
                    <w:spacing w:line="360" w:lineRule="exact"/>
                    <w:rPr>
                      <w:color w:val="000000" w:themeColor="text1"/>
                      <w:szCs w:val="21"/>
                    </w:rPr>
                  </w:pPr>
                </w:p>
              </w:tc>
              <w:tc>
                <w:tcPr>
                  <w:tcW w:w="2127" w:type="dxa"/>
                  <w:vAlign w:val="center"/>
                </w:tcPr>
                <w:p>
                  <w:pPr>
                    <w:pStyle w:val="24"/>
                    <w:spacing w:line="360" w:lineRule="exact"/>
                    <w:rPr>
                      <w:color w:val="000000" w:themeColor="text1"/>
                      <w:szCs w:val="21"/>
                    </w:rPr>
                  </w:pPr>
                  <w:r>
                    <w:rPr>
                      <w:color w:val="000000" w:themeColor="text1"/>
                      <w:szCs w:val="21"/>
                    </w:rPr>
                    <w:t>昼间</w:t>
                  </w:r>
                </w:p>
              </w:tc>
              <w:tc>
                <w:tcPr>
                  <w:tcW w:w="2058" w:type="dxa"/>
                  <w:vAlign w:val="center"/>
                </w:tcPr>
                <w:p>
                  <w:pPr>
                    <w:pStyle w:val="24"/>
                    <w:spacing w:line="360" w:lineRule="exact"/>
                    <w:rPr>
                      <w:color w:val="000000" w:themeColor="text1"/>
                      <w:szCs w:val="21"/>
                    </w:rPr>
                  </w:pPr>
                  <w:r>
                    <w:rPr>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152" w:type="dxa"/>
                  <w:vAlign w:val="center"/>
                </w:tcPr>
                <w:p>
                  <w:pPr>
                    <w:pStyle w:val="24"/>
                    <w:spacing w:line="360" w:lineRule="exact"/>
                    <w:rPr>
                      <w:color w:val="000000" w:themeColor="text1"/>
                      <w:szCs w:val="21"/>
                    </w:rPr>
                  </w:pPr>
                  <w:r>
                    <w:rPr>
                      <w:color w:val="000000" w:themeColor="text1"/>
                      <w:szCs w:val="21"/>
                    </w:rPr>
                    <w:t>工业园区</w:t>
                  </w:r>
                </w:p>
              </w:tc>
              <w:tc>
                <w:tcPr>
                  <w:tcW w:w="2268" w:type="dxa"/>
                  <w:vAlign w:val="center"/>
                </w:tcPr>
                <w:p>
                  <w:pPr>
                    <w:pStyle w:val="24"/>
                    <w:spacing w:line="360" w:lineRule="exact"/>
                    <w:rPr>
                      <w:color w:val="000000" w:themeColor="text1"/>
                      <w:szCs w:val="21"/>
                    </w:rPr>
                  </w:pPr>
                  <w:r>
                    <w:rPr>
                      <w:color w:val="000000" w:themeColor="text1"/>
                      <w:szCs w:val="21"/>
                    </w:rPr>
                    <w:t>3类</w:t>
                  </w:r>
                </w:p>
              </w:tc>
              <w:tc>
                <w:tcPr>
                  <w:tcW w:w="2127" w:type="dxa"/>
                  <w:vAlign w:val="center"/>
                </w:tcPr>
                <w:p>
                  <w:pPr>
                    <w:pStyle w:val="24"/>
                    <w:spacing w:line="360" w:lineRule="exact"/>
                    <w:rPr>
                      <w:color w:val="000000" w:themeColor="text1"/>
                      <w:szCs w:val="21"/>
                    </w:rPr>
                  </w:pPr>
                  <w:r>
                    <w:rPr>
                      <w:color w:val="000000" w:themeColor="text1"/>
                      <w:szCs w:val="21"/>
                    </w:rPr>
                    <w:t>65</w:t>
                  </w:r>
                </w:p>
              </w:tc>
              <w:tc>
                <w:tcPr>
                  <w:tcW w:w="2058" w:type="dxa"/>
                  <w:vAlign w:val="center"/>
                </w:tcPr>
                <w:p>
                  <w:pPr>
                    <w:pStyle w:val="24"/>
                    <w:spacing w:line="360" w:lineRule="exact"/>
                    <w:rPr>
                      <w:color w:val="000000" w:themeColor="text1"/>
                      <w:szCs w:val="21"/>
                    </w:rPr>
                  </w:pPr>
                  <w:r>
                    <w:rPr>
                      <w:color w:val="000000" w:themeColor="text1"/>
                      <w:szCs w:val="21"/>
                    </w:rPr>
                    <w:t>55</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3.3.5 土壤环境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本项目位于东川区再就业特区四方地工业园区昆明合旺有色金属有限公司厂区，属于工业用地，土壤环境执行《土壤环境质量 建设用地土壤污染风险管控标准（试行）》（GB36600-2018）中第二类用地筛选值和管控值标准。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表3.3.5-1 建设用地土壤污染风险筛选值和管制值 mg/kg</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26"/>
              <w:gridCol w:w="2102"/>
              <w:gridCol w:w="2100"/>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vMerge w:val="restart"/>
                  <w:tcBorders>
                    <w:top w:val="single" w:color="auto" w:sz="8" w:space="0"/>
                    <w:left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序号</w:t>
                  </w:r>
                </w:p>
              </w:tc>
              <w:tc>
                <w:tcPr>
                  <w:tcW w:w="887" w:type="pct"/>
                  <w:vMerge w:val="restart"/>
                  <w:tcBorders>
                    <w:top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污染物项目</w:t>
                  </w:r>
                </w:p>
              </w:tc>
              <w:tc>
                <w:tcPr>
                  <w:tcW w:w="1222" w:type="pct"/>
                  <w:vMerge w:val="restart"/>
                  <w:tcBorders>
                    <w:top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CAS编号</w:t>
                  </w:r>
                </w:p>
              </w:tc>
              <w:tc>
                <w:tcPr>
                  <w:tcW w:w="2411" w:type="pct"/>
                  <w:gridSpan w:val="2"/>
                  <w:tcBorders>
                    <w:top w:val="single" w:color="auto" w:sz="8" w:space="0"/>
                  </w:tcBorders>
                  <w:vAlign w:val="center"/>
                </w:tcPr>
                <w:p>
                  <w:pPr>
                    <w:pStyle w:val="24"/>
                    <w:spacing w:line="360" w:lineRule="exact"/>
                    <w:rPr>
                      <w:color w:val="000000" w:themeColor="text1"/>
                      <w:szCs w:val="21"/>
                    </w:rPr>
                  </w:pPr>
                  <w:r>
                    <w:rPr>
                      <w:color w:val="000000" w:themeColor="text1"/>
                      <w:szCs w:val="21"/>
                    </w:rPr>
                    <w:t>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80" w:type="pct"/>
                  <w:vMerge w:val="continue"/>
                  <w:tcBorders>
                    <w:left w:val="single" w:color="auto" w:sz="8" w:space="0"/>
                  </w:tcBorders>
                  <w:shd w:val="clear" w:color="auto" w:fill="auto"/>
                  <w:vAlign w:val="center"/>
                </w:tcPr>
                <w:p>
                  <w:pPr>
                    <w:pStyle w:val="24"/>
                    <w:spacing w:line="360" w:lineRule="exact"/>
                    <w:rPr>
                      <w:color w:val="000000" w:themeColor="text1"/>
                      <w:szCs w:val="21"/>
                    </w:rPr>
                  </w:pPr>
                </w:p>
              </w:tc>
              <w:tc>
                <w:tcPr>
                  <w:tcW w:w="887" w:type="pct"/>
                  <w:vMerge w:val="continue"/>
                  <w:shd w:val="clear" w:color="auto" w:fill="auto"/>
                  <w:vAlign w:val="center"/>
                </w:tcPr>
                <w:p>
                  <w:pPr>
                    <w:pStyle w:val="24"/>
                    <w:spacing w:line="360" w:lineRule="exact"/>
                    <w:rPr>
                      <w:color w:val="000000" w:themeColor="text1"/>
                      <w:szCs w:val="21"/>
                    </w:rPr>
                  </w:pPr>
                </w:p>
              </w:tc>
              <w:tc>
                <w:tcPr>
                  <w:tcW w:w="1222" w:type="pct"/>
                  <w:vMerge w:val="continue"/>
                  <w:shd w:val="clear" w:color="auto" w:fill="auto"/>
                  <w:vAlign w:val="center"/>
                </w:tcPr>
                <w:p>
                  <w:pPr>
                    <w:pStyle w:val="24"/>
                    <w:spacing w:line="360" w:lineRule="exact"/>
                    <w:rPr>
                      <w:color w:val="000000" w:themeColor="text1"/>
                      <w:szCs w:val="21"/>
                    </w:rPr>
                  </w:pPr>
                </w:p>
              </w:tc>
              <w:tc>
                <w:tcPr>
                  <w:tcW w:w="1221" w:type="pct"/>
                  <w:tcBorders>
                    <w:top w:val="single" w:color="auto" w:sz="8" w:space="0"/>
                  </w:tcBorders>
                  <w:vAlign w:val="center"/>
                </w:tcPr>
                <w:p>
                  <w:pPr>
                    <w:pStyle w:val="24"/>
                    <w:spacing w:line="360" w:lineRule="exact"/>
                    <w:rPr>
                      <w:color w:val="000000" w:themeColor="text1"/>
                      <w:szCs w:val="21"/>
                    </w:rPr>
                  </w:pPr>
                  <w:r>
                    <w:rPr>
                      <w:color w:val="000000" w:themeColor="text1"/>
                      <w:szCs w:val="21"/>
                    </w:rPr>
                    <w:t>筛选值</w:t>
                  </w:r>
                </w:p>
              </w:tc>
              <w:tc>
                <w:tcPr>
                  <w:tcW w:w="1190" w:type="pct"/>
                  <w:tcBorders>
                    <w:top w:val="single" w:color="auto" w:sz="8" w:space="0"/>
                  </w:tcBorders>
                  <w:vAlign w:val="center"/>
                </w:tcPr>
                <w:p>
                  <w:pPr>
                    <w:pStyle w:val="24"/>
                    <w:spacing w:line="360" w:lineRule="exact"/>
                    <w:rPr>
                      <w:color w:val="000000" w:themeColor="text1"/>
                      <w:szCs w:val="21"/>
                    </w:rPr>
                  </w:pPr>
                  <w:r>
                    <w:rPr>
                      <w:color w:val="000000" w:themeColor="text1"/>
                      <w:szCs w:val="21"/>
                    </w:rPr>
                    <w:t>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1</w:t>
                  </w:r>
                </w:p>
              </w:tc>
              <w:tc>
                <w:tcPr>
                  <w:tcW w:w="887" w:type="pct"/>
                  <w:shd w:val="clear" w:color="auto" w:fill="auto"/>
                  <w:vAlign w:val="center"/>
                </w:tcPr>
                <w:p>
                  <w:pPr>
                    <w:pStyle w:val="24"/>
                    <w:spacing w:line="360" w:lineRule="exact"/>
                    <w:rPr>
                      <w:color w:val="000000" w:themeColor="text1"/>
                      <w:szCs w:val="21"/>
                    </w:rPr>
                  </w:pPr>
                  <w:r>
                    <w:rPr>
                      <w:color w:val="000000" w:themeColor="text1"/>
                      <w:szCs w:val="21"/>
                    </w:rPr>
                    <w:t>砷</w:t>
                  </w:r>
                </w:p>
              </w:tc>
              <w:tc>
                <w:tcPr>
                  <w:tcW w:w="1222" w:type="pct"/>
                  <w:shd w:val="clear" w:color="auto" w:fill="auto"/>
                  <w:vAlign w:val="center"/>
                </w:tcPr>
                <w:p>
                  <w:pPr>
                    <w:pStyle w:val="24"/>
                    <w:spacing w:line="360" w:lineRule="exact"/>
                    <w:rPr>
                      <w:color w:val="000000" w:themeColor="text1"/>
                      <w:szCs w:val="21"/>
                    </w:rPr>
                  </w:pPr>
                  <w:r>
                    <w:rPr>
                      <w:color w:val="000000" w:themeColor="text1"/>
                      <w:szCs w:val="21"/>
                    </w:rPr>
                    <w:t>7440-38-2</w:t>
                  </w:r>
                </w:p>
              </w:tc>
              <w:tc>
                <w:tcPr>
                  <w:tcW w:w="1221" w:type="pct"/>
                  <w:tcBorders>
                    <w:top w:val="single" w:color="auto" w:sz="8" w:space="0"/>
                  </w:tcBorders>
                  <w:vAlign w:val="center"/>
                </w:tcPr>
                <w:p>
                  <w:pPr>
                    <w:pStyle w:val="24"/>
                    <w:spacing w:line="360" w:lineRule="exact"/>
                    <w:rPr>
                      <w:color w:val="000000" w:themeColor="text1"/>
                      <w:szCs w:val="21"/>
                    </w:rPr>
                  </w:pPr>
                  <w:r>
                    <w:rPr>
                      <w:color w:val="000000" w:themeColor="text1"/>
                      <w:szCs w:val="21"/>
                    </w:rPr>
                    <w:t>60</w:t>
                  </w:r>
                </w:p>
              </w:tc>
              <w:tc>
                <w:tcPr>
                  <w:tcW w:w="1190" w:type="pct"/>
                  <w:tcBorders>
                    <w:top w:val="single" w:color="auto" w:sz="8" w:space="0"/>
                  </w:tcBorders>
                  <w:vAlign w:val="center"/>
                </w:tcPr>
                <w:p>
                  <w:pPr>
                    <w:pStyle w:val="24"/>
                    <w:spacing w:line="360" w:lineRule="exact"/>
                    <w:rPr>
                      <w:color w:val="000000" w:themeColor="text1"/>
                      <w:szCs w:val="21"/>
                    </w:rPr>
                  </w:pPr>
                  <w:r>
                    <w:rPr>
                      <w:color w:val="000000" w:themeColor="text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2</w:t>
                  </w:r>
                </w:p>
              </w:tc>
              <w:tc>
                <w:tcPr>
                  <w:tcW w:w="887" w:type="pct"/>
                  <w:shd w:val="clear" w:color="auto" w:fill="auto"/>
                  <w:vAlign w:val="center"/>
                </w:tcPr>
                <w:p>
                  <w:pPr>
                    <w:pStyle w:val="24"/>
                    <w:spacing w:line="360" w:lineRule="exact"/>
                    <w:rPr>
                      <w:color w:val="000000" w:themeColor="text1"/>
                      <w:szCs w:val="21"/>
                    </w:rPr>
                  </w:pPr>
                  <w:r>
                    <w:rPr>
                      <w:color w:val="000000" w:themeColor="text1"/>
                      <w:szCs w:val="21"/>
                    </w:rPr>
                    <w:t>镉</w:t>
                  </w:r>
                </w:p>
              </w:tc>
              <w:tc>
                <w:tcPr>
                  <w:tcW w:w="1222" w:type="pct"/>
                  <w:shd w:val="clear" w:color="auto" w:fill="auto"/>
                  <w:vAlign w:val="center"/>
                </w:tcPr>
                <w:p>
                  <w:pPr>
                    <w:pStyle w:val="24"/>
                    <w:spacing w:line="360" w:lineRule="exact"/>
                    <w:rPr>
                      <w:color w:val="000000" w:themeColor="text1"/>
                      <w:szCs w:val="21"/>
                    </w:rPr>
                  </w:pPr>
                  <w:r>
                    <w:rPr>
                      <w:color w:val="000000" w:themeColor="text1"/>
                      <w:szCs w:val="21"/>
                    </w:rPr>
                    <w:t>7440-43-9</w:t>
                  </w:r>
                </w:p>
              </w:tc>
              <w:tc>
                <w:tcPr>
                  <w:tcW w:w="1221" w:type="pct"/>
                  <w:tcBorders>
                    <w:top w:val="single" w:color="auto" w:sz="8" w:space="0"/>
                  </w:tcBorders>
                  <w:vAlign w:val="center"/>
                </w:tcPr>
                <w:p>
                  <w:pPr>
                    <w:pStyle w:val="24"/>
                    <w:spacing w:line="360" w:lineRule="exact"/>
                    <w:rPr>
                      <w:color w:val="000000" w:themeColor="text1"/>
                      <w:szCs w:val="21"/>
                    </w:rPr>
                  </w:pPr>
                  <w:r>
                    <w:rPr>
                      <w:color w:val="000000" w:themeColor="text1"/>
                      <w:szCs w:val="21"/>
                    </w:rPr>
                    <w:t>65</w:t>
                  </w:r>
                </w:p>
              </w:tc>
              <w:tc>
                <w:tcPr>
                  <w:tcW w:w="1190" w:type="pct"/>
                  <w:tcBorders>
                    <w:top w:val="single" w:color="auto" w:sz="8" w:space="0"/>
                  </w:tcBorders>
                  <w:vAlign w:val="center"/>
                </w:tcPr>
                <w:p>
                  <w:pPr>
                    <w:pStyle w:val="24"/>
                    <w:spacing w:line="360" w:lineRule="exact"/>
                    <w:rPr>
                      <w:color w:val="000000" w:themeColor="text1"/>
                      <w:szCs w:val="21"/>
                    </w:rPr>
                  </w:pPr>
                  <w:r>
                    <w:rPr>
                      <w:color w:val="000000" w:themeColor="text1"/>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3</w:t>
                  </w:r>
                </w:p>
              </w:tc>
              <w:tc>
                <w:tcPr>
                  <w:tcW w:w="887" w:type="pct"/>
                  <w:shd w:val="clear" w:color="auto" w:fill="auto"/>
                  <w:vAlign w:val="center"/>
                </w:tcPr>
                <w:p>
                  <w:pPr>
                    <w:pStyle w:val="24"/>
                    <w:spacing w:line="360" w:lineRule="exact"/>
                    <w:rPr>
                      <w:color w:val="000000" w:themeColor="text1"/>
                      <w:szCs w:val="21"/>
                    </w:rPr>
                  </w:pPr>
                  <w:r>
                    <w:rPr>
                      <w:color w:val="000000" w:themeColor="text1"/>
                      <w:szCs w:val="21"/>
                    </w:rPr>
                    <w:t>铬（六价）</w:t>
                  </w:r>
                </w:p>
              </w:tc>
              <w:tc>
                <w:tcPr>
                  <w:tcW w:w="1222" w:type="pct"/>
                  <w:shd w:val="clear" w:color="auto" w:fill="auto"/>
                  <w:vAlign w:val="center"/>
                </w:tcPr>
                <w:p>
                  <w:pPr>
                    <w:pStyle w:val="24"/>
                    <w:spacing w:line="360" w:lineRule="exact"/>
                    <w:rPr>
                      <w:color w:val="000000" w:themeColor="text1"/>
                      <w:szCs w:val="21"/>
                    </w:rPr>
                  </w:pPr>
                  <w:r>
                    <w:rPr>
                      <w:color w:val="000000" w:themeColor="text1"/>
                      <w:szCs w:val="21"/>
                    </w:rPr>
                    <w:t>18540-29-9</w:t>
                  </w:r>
                </w:p>
              </w:tc>
              <w:tc>
                <w:tcPr>
                  <w:tcW w:w="1221" w:type="pct"/>
                  <w:tcBorders>
                    <w:top w:val="single" w:color="auto" w:sz="8" w:space="0"/>
                  </w:tcBorders>
                  <w:vAlign w:val="center"/>
                </w:tcPr>
                <w:p>
                  <w:pPr>
                    <w:pStyle w:val="24"/>
                    <w:spacing w:line="360" w:lineRule="exact"/>
                    <w:rPr>
                      <w:color w:val="000000" w:themeColor="text1"/>
                      <w:szCs w:val="21"/>
                    </w:rPr>
                  </w:pPr>
                  <w:r>
                    <w:rPr>
                      <w:color w:val="000000" w:themeColor="text1"/>
                      <w:szCs w:val="21"/>
                    </w:rPr>
                    <w:t>5.7</w:t>
                  </w:r>
                </w:p>
              </w:tc>
              <w:tc>
                <w:tcPr>
                  <w:tcW w:w="1190" w:type="pct"/>
                  <w:tcBorders>
                    <w:top w:val="single" w:color="auto" w:sz="8" w:space="0"/>
                  </w:tcBorders>
                  <w:vAlign w:val="center"/>
                </w:tcPr>
                <w:p>
                  <w:pPr>
                    <w:pStyle w:val="24"/>
                    <w:spacing w:line="360" w:lineRule="exact"/>
                    <w:rPr>
                      <w:color w:val="000000" w:themeColor="text1"/>
                      <w:szCs w:val="21"/>
                    </w:rPr>
                  </w:pPr>
                  <w:r>
                    <w:rPr>
                      <w:color w:val="000000" w:themeColor="text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4</w:t>
                  </w:r>
                </w:p>
              </w:tc>
              <w:tc>
                <w:tcPr>
                  <w:tcW w:w="887" w:type="pct"/>
                  <w:shd w:val="clear" w:color="auto" w:fill="auto"/>
                  <w:vAlign w:val="center"/>
                </w:tcPr>
                <w:p>
                  <w:pPr>
                    <w:pStyle w:val="24"/>
                    <w:spacing w:line="360" w:lineRule="exact"/>
                    <w:rPr>
                      <w:color w:val="000000" w:themeColor="text1"/>
                      <w:szCs w:val="21"/>
                    </w:rPr>
                  </w:pPr>
                  <w:r>
                    <w:rPr>
                      <w:color w:val="000000" w:themeColor="text1"/>
                      <w:szCs w:val="21"/>
                    </w:rPr>
                    <w:t>铜</w:t>
                  </w:r>
                </w:p>
              </w:tc>
              <w:tc>
                <w:tcPr>
                  <w:tcW w:w="1222" w:type="pct"/>
                  <w:shd w:val="clear" w:color="auto" w:fill="auto"/>
                  <w:vAlign w:val="center"/>
                </w:tcPr>
                <w:p>
                  <w:pPr>
                    <w:pStyle w:val="24"/>
                    <w:spacing w:line="360" w:lineRule="exact"/>
                    <w:rPr>
                      <w:color w:val="000000" w:themeColor="text1"/>
                      <w:szCs w:val="21"/>
                    </w:rPr>
                  </w:pPr>
                  <w:r>
                    <w:rPr>
                      <w:color w:val="000000" w:themeColor="text1"/>
                      <w:szCs w:val="21"/>
                    </w:rPr>
                    <w:t>7440-50-8</w:t>
                  </w:r>
                </w:p>
              </w:tc>
              <w:tc>
                <w:tcPr>
                  <w:tcW w:w="1221" w:type="pct"/>
                  <w:vAlign w:val="center"/>
                </w:tcPr>
                <w:p>
                  <w:pPr>
                    <w:pStyle w:val="24"/>
                    <w:spacing w:line="360" w:lineRule="exact"/>
                    <w:rPr>
                      <w:color w:val="000000" w:themeColor="text1"/>
                      <w:szCs w:val="21"/>
                    </w:rPr>
                  </w:pPr>
                  <w:r>
                    <w:rPr>
                      <w:color w:val="000000" w:themeColor="text1"/>
                      <w:szCs w:val="21"/>
                    </w:rPr>
                    <w:t>18000</w:t>
                  </w:r>
                </w:p>
              </w:tc>
              <w:tc>
                <w:tcPr>
                  <w:tcW w:w="1190" w:type="pct"/>
                  <w:vAlign w:val="center"/>
                </w:tcPr>
                <w:p>
                  <w:pPr>
                    <w:pStyle w:val="24"/>
                    <w:spacing w:line="360" w:lineRule="exact"/>
                    <w:rPr>
                      <w:color w:val="000000" w:themeColor="text1"/>
                      <w:szCs w:val="21"/>
                    </w:rPr>
                  </w:pPr>
                  <w:r>
                    <w:rPr>
                      <w:color w:val="000000" w:themeColor="text1"/>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5</w:t>
                  </w:r>
                </w:p>
              </w:tc>
              <w:tc>
                <w:tcPr>
                  <w:tcW w:w="887" w:type="pct"/>
                  <w:shd w:val="clear" w:color="auto" w:fill="auto"/>
                  <w:vAlign w:val="center"/>
                </w:tcPr>
                <w:p>
                  <w:pPr>
                    <w:pStyle w:val="24"/>
                    <w:spacing w:line="360" w:lineRule="exact"/>
                    <w:rPr>
                      <w:color w:val="000000" w:themeColor="text1"/>
                      <w:szCs w:val="21"/>
                    </w:rPr>
                  </w:pPr>
                  <w:r>
                    <w:rPr>
                      <w:color w:val="000000" w:themeColor="text1"/>
                      <w:szCs w:val="21"/>
                    </w:rPr>
                    <w:t>铅</w:t>
                  </w:r>
                </w:p>
              </w:tc>
              <w:tc>
                <w:tcPr>
                  <w:tcW w:w="1222" w:type="pct"/>
                  <w:shd w:val="clear" w:color="auto" w:fill="auto"/>
                  <w:vAlign w:val="center"/>
                </w:tcPr>
                <w:p>
                  <w:pPr>
                    <w:pStyle w:val="24"/>
                    <w:spacing w:line="360" w:lineRule="exact"/>
                    <w:rPr>
                      <w:color w:val="000000" w:themeColor="text1"/>
                      <w:szCs w:val="21"/>
                    </w:rPr>
                  </w:pPr>
                  <w:r>
                    <w:rPr>
                      <w:color w:val="000000" w:themeColor="text1"/>
                      <w:szCs w:val="21"/>
                    </w:rPr>
                    <w:t>7439-92-1</w:t>
                  </w:r>
                </w:p>
              </w:tc>
              <w:tc>
                <w:tcPr>
                  <w:tcW w:w="1221" w:type="pct"/>
                  <w:vAlign w:val="center"/>
                </w:tcPr>
                <w:p>
                  <w:pPr>
                    <w:pStyle w:val="24"/>
                    <w:spacing w:line="360" w:lineRule="exact"/>
                    <w:rPr>
                      <w:color w:val="000000" w:themeColor="text1"/>
                      <w:szCs w:val="21"/>
                    </w:rPr>
                  </w:pPr>
                  <w:r>
                    <w:rPr>
                      <w:color w:val="000000" w:themeColor="text1"/>
                      <w:szCs w:val="21"/>
                    </w:rPr>
                    <w:t>800</w:t>
                  </w:r>
                </w:p>
              </w:tc>
              <w:tc>
                <w:tcPr>
                  <w:tcW w:w="1190" w:type="pct"/>
                  <w:vAlign w:val="center"/>
                </w:tcPr>
                <w:p>
                  <w:pPr>
                    <w:pStyle w:val="24"/>
                    <w:spacing w:line="360" w:lineRule="exact"/>
                    <w:rPr>
                      <w:color w:val="000000" w:themeColor="text1"/>
                      <w:szCs w:val="21"/>
                    </w:rPr>
                  </w:pPr>
                  <w:r>
                    <w:rPr>
                      <w:color w:val="000000" w:themeColor="text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6</w:t>
                  </w:r>
                </w:p>
              </w:tc>
              <w:tc>
                <w:tcPr>
                  <w:tcW w:w="887" w:type="pct"/>
                  <w:shd w:val="clear" w:color="auto" w:fill="auto"/>
                  <w:vAlign w:val="center"/>
                </w:tcPr>
                <w:p>
                  <w:pPr>
                    <w:pStyle w:val="24"/>
                    <w:spacing w:line="360" w:lineRule="exact"/>
                    <w:rPr>
                      <w:color w:val="000000" w:themeColor="text1"/>
                      <w:szCs w:val="21"/>
                    </w:rPr>
                  </w:pPr>
                  <w:r>
                    <w:rPr>
                      <w:color w:val="000000" w:themeColor="text1"/>
                      <w:szCs w:val="21"/>
                    </w:rPr>
                    <w:t>汞</w:t>
                  </w:r>
                </w:p>
              </w:tc>
              <w:tc>
                <w:tcPr>
                  <w:tcW w:w="1222" w:type="pct"/>
                  <w:shd w:val="clear" w:color="auto" w:fill="auto"/>
                  <w:vAlign w:val="center"/>
                </w:tcPr>
                <w:p>
                  <w:pPr>
                    <w:pStyle w:val="24"/>
                    <w:spacing w:line="360" w:lineRule="exact"/>
                    <w:rPr>
                      <w:color w:val="000000" w:themeColor="text1"/>
                      <w:szCs w:val="21"/>
                    </w:rPr>
                  </w:pPr>
                  <w:r>
                    <w:rPr>
                      <w:color w:val="000000" w:themeColor="text1"/>
                      <w:szCs w:val="21"/>
                    </w:rPr>
                    <w:t>7439-97-6</w:t>
                  </w:r>
                </w:p>
              </w:tc>
              <w:tc>
                <w:tcPr>
                  <w:tcW w:w="1221" w:type="pct"/>
                  <w:vAlign w:val="center"/>
                </w:tcPr>
                <w:p>
                  <w:pPr>
                    <w:pStyle w:val="24"/>
                    <w:spacing w:line="360" w:lineRule="exact"/>
                    <w:rPr>
                      <w:color w:val="000000" w:themeColor="text1"/>
                      <w:szCs w:val="21"/>
                    </w:rPr>
                  </w:pPr>
                  <w:r>
                    <w:rPr>
                      <w:color w:val="000000" w:themeColor="text1"/>
                      <w:szCs w:val="21"/>
                    </w:rPr>
                    <w:t>38</w:t>
                  </w:r>
                </w:p>
              </w:tc>
              <w:tc>
                <w:tcPr>
                  <w:tcW w:w="1190" w:type="pct"/>
                  <w:vAlign w:val="center"/>
                </w:tcPr>
                <w:p>
                  <w:pPr>
                    <w:pStyle w:val="24"/>
                    <w:spacing w:line="360" w:lineRule="exact"/>
                    <w:rPr>
                      <w:color w:val="000000" w:themeColor="text1"/>
                      <w:szCs w:val="21"/>
                    </w:rPr>
                  </w:pPr>
                  <w:r>
                    <w:rPr>
                      <w:color w:val="000000" w:themeColor="text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bottom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7</w:t>
                  </w:r>
                </w:p>
              </w:tc>
              <w:tc>
                <w:tcPr>
                  <w:tcW w:w="887" w:type="pct"/>
                  <w:tcBorders>
                    <w:bottom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镍</w:t>
                  </w:r>
                </w:p>
              </w:tc>
              <w:tc>
                <w:tcPr>
                  <w:tcW w:w="1222" w:type="pct"/>
                  <w:tcBorders>
                    <w:bottom w:val="single" w:color="auto" w:sz="8" w:space="0"/>
                  </w:tcBorders>
                  <w:shd w:val="clear" w:color="auto" w:fill="auto"/>
                  <w:vAlign w:val="center"/>
                </w:tcPr>
                <w:p>
                  <w:pPr>
                    <w:pStyle w:val="24"/>
                    <w:spacing w:line="360" w:lineRule="exact"/>
                    <w:rPr>
                      <w:color w:val="000000" w:themeColor="text1"/>
                      <w:szCs w:val="21"/>
                    </w:rPr>
                  </w:pPr>
                  <w:r>
                    <w:rPr>
                      <w:color w:val="000000" w:themeColor="text1"/>
                      <w:szCs w:val="21"/>
                    </w:rPr>
                    <w:t>7440-02-0</w:t>
                  </w:r>
                </w:p>
              </w:tc>
              <w:tc>
                <w:tcPr>
                  <w:tcW w:w="1221" w:type="pct"/>
                  <w:tcBorders>
                    <w:bottom w:val="single" w:color="auto" w:sz="8" w:space="0"/>
                  </w:tcBorders>
                  <w:vAlign w:val="center"/>
                </w:tcPr>
                <w:p>
                  <w:pPr>
                    <w:pStyle w:val="24"/>
                    <w:spacing w:line="360" w:lineRule="exact"/>
                    <w:rPr>
                      <w:color w:val="000000" w:themeColor="text1"/>
                      <w:szCs w:val="21"/>
                    </w:rPr>
                  </w:pPr>
                  <w:r>
                    <w:rPr>
                      <w:color w:val="000000" w:themeColor="text1"/>
                      <w:szCs w:val="21"/>
                    </w:rPr>
                    <w:t>900</w:t>
                  </w:r>
                </w:p>
              </w:tc>
              <w:tc>
                <w:tcPr>
                  <w:tcW w:w="1190" w:type="pct"/>
                  <w:tcBorders>
                    <w:bottom w:val="single" w:color="auto" w:sz="8" w:space="0"/>
                  </w:tcBorders>
                  <w:vAlign w:val="center"/>
                </w:tcPr>
                <w:p>
                  <w:pPr>
                    <w:pStyle w:val="24"/>
                    <w:spacing w:line="360" w:lineRule="exact"/>
                    <w:rPr>
                      <w:color w:val="000000" w:themeColor="text1"/>
                      <w:szCs w:val="21"/>
                    </w:rPr>
                  </w:pPr>
                  <w:r>
                    <w:rPr>
                      <w:color w:val="000000" w:themeColor="text1"/>
                      <w:szCs w:val="21"/>
                    </w:rPr>
                    <w:t>2000</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 污染物排放控制标准</w:t>
            </w:r>
          </w:p>
          <w:p>
            <w:pPr>
              <w:pStyle w:val="32"/>
              <w:ind w:firstLine="482"/>
              <w:rPr>
                <w:rFonts w:eastAsiaTheme="minorEastAsia"/>
                <w:b/>
                <w:color w:val="000000" w:themeColor="text1"/>
                <w:szCs w:val="24"/>
              </w:rPr>
            </w:pPr>
            <w:r>
              <w:rPr>
                <w:rFonts w:eastAsiaTheme="minorEastAsia"/>
                <w:b/>
                <w:color w:val="000000" w:themeColor="text1"/>
                <w:szCs w:val="24"/>
              </w:rPr>
              <w:t>3.4.1 废气排放标准</w:t>
            </w:r>
          </w:p>
          <w:p>
            <w:pPr>
              <w:pStyle w:val="32"/>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施工期扬尘</w:t>
            </w:r>
            <w:r>
              <w:rPr>
                <w:rFonts w:ascii="Times New Roman" w:hAnsi="Times New Roman" w:cs="Times New Roman"/>
                <w:color w:val="000000" w:themeColor="text1"/>
                <w:sz w:val="24"/>
                <w:szCs w:val="24"/>
              </w:rPr>
              <w:t>执行《大气污染物综合排放标准》（GB16297-1996）中表2无组织排放监控浓度限值，周界外浓度最高点≤1</w:t>
            </w:r>
            <w:r>
              <w:rPr>
                <w:rFonts w:hint="eastAsia"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mg/m³。</w:t>
            </w:r>
          </w:p>
          <w:p>
            <w:pPr>
              <w:pStyle w:val="32"/>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项目产生的废气主要为烘干线废气和废渣暂存库扬尘。</w:t>
            </w:r>
          </w:p>
          <w:p>
            <w:pPr>
              <w:pStyle w:val="32"/>
              <w:ind w:firstLine="482"/>
              <w:rPr>
                <w:rFonts w:eastAsiaTheme="minorEastAsia"/>
                <w:b/>
                <w:color w:val="000000" w:themeColor="text1"/>
                <w:szCs w:val="24"/>
              </w:rPr>
            </w:pPr>
            <w:r>
              <w:rPr>
                <w:rFonts w:hint="eastAsia" w:eastAsiaTheme="minorEastAsia"/>
                <w:b/>
                <w:color w:val="000000" w:themeColor="text1"/>
                <w:szCs w:val="24"/>
              </w:rPr>
              <w:t>①烘干线废气执行标准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本项目设置1台燃气烘干机加热空气对还原铁粉进行烘干，烘干线废气包括燃烧机天然气燃烧产生的烟尘、SO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、NOx、烘干粉尘，均通过排气筒（DA001）外排；因此烘干线废气</w:t>
            </w:r>
            <w:r>
              <w:rPr>
                <w:rFonts w:ascii="Times New Roman" w:hAnsi="Times New Roman" w:cs="Times New Roman"/>
                <w:color w:val="000000" w:themeColor="text1"/>
                <w:sz w:val="24"/>
                <w:szCs w:val="24"/>
              </w:rPr>
              <w:t>执行《工业炉窑大气污染物排放标准》（GB9078-1996）中表2中干燥炉、窑的二级标准限值。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3.4.1-1</w:t>
            </w:r>
            <w:r>
              <w:rPr>
                <w:rFonts w:ascii="Times New Roman" w:hAnsi="Times New Roman" w:cs="Times New Roman"/>
                <w:b/>
                <w:color w:val="000000" w:themeColor="text1"/>
                <w:szCs w:val="24"/>
              </w:rPr>
              <w:t xml:space="preserve">  《工业炉窑大气污染物排放标准》二级标准排放限值  单位：mg/Nm³</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01"/>
              <w:gridCol w:w="4401"/>
              <w:gridCol w:w="22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98" w:type="dxa"/>
                  <w:vAlign w:val="center"/>
                </w:tcPr>
                <w:p>
                  <w:pPr>
                    <w:pStyle w:val="24"/>
                    <w:spacing w:line="360" w:lineRule="exact"/>
                    <w:rPr>
                      <w:color w:val="000000" w:themeColor="text1"/>
                      <w:szCs w:val="21"/>
                    </w:rPr>
                  </w:pPr>
                  <w:r>
                    <w:rPr>
                      <w:color w:val="000000" w:themeColor="text1"/>
                      <w:szCs w:val="21"/>
                    </w:rPr>
                    <w:t>炉窑名称</w:t>
                  </w:r>
                </w:p>
              </w:tc>
              <w:tc>
                <w:tcPr>
                  <w:tcW w:w="4394" w:type="dxa"/>
                  <w:vAlign w:val="center"/>
                </w:tcPr>
                <w:p>
                  <w:pPr>
                    <w:pStyle w:val="24"/>
                    <w:spacing w:line="360" w:lineRule="exact"/>
                    <w:rPr>
                      <w:color w:val="000000" w:themeColor="text1"/>
                      <w:szCs w:val="21"/>
                    </w:rPr>
                  </w:pPr>
                  <w:r>
                    <w:rPr>
                      <w:color w:val="000000" w:themeColor="text1"/>
                      <w:szCs w:val="21"/>
                    </w:rPr>
                    <w:t>污染物名称</w:t>
                  </w:r>
                </w:p>
              </w:tc>
              <w:tc>
                <w:tcPr>
                  <w:tcW w:w="2200" w:type="dxa"/>
                  <w:vAlign w:val="center"/>
                </w:tcPr>
                <w:p>
                  <w:pPr>
                    <w:pStyle w:val="24"/>
                    <w:spacing w:line="360" w:lineRule="exact"/>
                    <w:rPr>
                      <w:color w:val="000000" w:themeColor="text1"/>
                      <w:szCs w:val="21"/>
                    </w:rPr>
                  </w:pPr>
                  <w:r>
                    <w:rPr>
                      <w:color w:val="000000" w:themeColor="text1"/>
                      <w:szCs w:val="21"/>
                    </w:rPr>
                    <w:t>排放标准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98" w:type="dxa"/>
                  <w:vMerge w:val="restart"/>
                  <w:vAlign w:val="center"/>
                </w:tcPr>
                <w:p>
                  <w:pPr>
                    <w:pStyle w:val="24"/>
                    <w:spacing w:line="360" w:lineRule="exact"/>
                    <w:rPr>
                      <w:color w:val="000000" w:themeColor="text1"/>
                      <w:szCs w:val="21"/>
                    </w:rPr>
                  </w:pPr>
                  <w:r>
                    <w:rPr>
                      <w:color w:val="000000" w:themeColor="text1"/>
                      <w:szCs w:val="21"/>
                    </w:rPr>
                    <w:t>干燥炉、窑</w:t>
                  </w:r>
                </w:p>
              </w:tc>
              <w:tc>
                <w:tcPr>
                  <w:tcW w:w="4394" w:type="dxa"/>
                  <w:vAlign w:val="center"/>
                </w:tcPr>
                <w:p>
                  <w:pPr>
                    <w:pStyle w:val="24"/>
                    <w:spacing w:line="360" w:lineRule="exact"/>
                    <w:rPr>
                      <w:color w:val="000000" w:themeColor="text1"/>
                      <w:szCs w:val="21"/>
                    </w:rPr>
                  </w:pPr>
                  <w:r>
                    <w:rPr>
                      <w:color w:val="000000" w:themeColor="text1"/>
                      <w:szCs w:val="21"/>
                    </w:rPr>
                    <w:t>烟尘</w:t>
                  </w:r>
                </w:p>
              </w:tc>
              <w:tc>
                <w:tcPr>
                  <w:tcW w:w="2200" w:type="dxa"/>
                  <w:vAlign w:val="center"/>
                </w:tcPr>
                <w:p>
                  <w:pPr>
                    <w:pStyle w:val="24"/>
                    <w:spacing w:line="360" w:lineRule="exact"/>
                    <w:rPr>
                      <w:color w:val="000000" w:themeColor="text1"/>
                      <w:szCs w:val="21"/>
                    </w:rPr>
                  </w:pPr>
                  <w:r>
                    <w:rPr>
                      <w:color w:val="000000" w:themeColor="text1"/>
                      <w:szCs w:val="21"/>
                    </w:rPr>
                    <w:t>200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98" w:type="dxa"/>
                  <w:vMerge w:val="continue"/>
                  <w:vAlign w:val="center"/>
                </w:tcPr>
                <w:p>
                  <w:pPr>
                    <w:pStyle w:val="24"/>
                    <w:spacing w:line="360" w:lineRule="exact"/>
                    <w:rPr>
                      <w:color w:val="000000" w:themeColor="text1"/>
                      <w:szCs w:val="21"/>
                    </w:rPr>
                  </w:pPr>
                </w:p>
              </w:tc>
              <w:tc>
                <w:tcPr>
                  <w:tcW w:w="4394" w:type="dxa"/>
                  <w:vAlign w:val="center"/>
                </w:tcPr>
                <w:p>
                  <w:pPr>
                    <w:pStyle w:val="24"/>
                    <w:spacing w:line="360" w:lineRule="exact"/>
                    <w:rPr>
                      <w:color w:val="000000" w:themeColor="text1"/>
                      <w:szCs w:val="21"/>
                    </w:rPr>
                  </w:pPr>
                  <w:r>
                    <w:rPr>
                      <w:color w:val="000000" w:themeColor="text1"/>
                      <w:szCs w:val="21"/>
                    </w:rPr>
                    <w:t>排气筒最低允许高度（m）</w:t>
                  </w:r>
                </w:p>
              </w:tc>
              <w:tc>
                <w:tcPr>
                  <w:tcW w:w="2200" w:type="dxa"/>
                  <w:vAlign w:val="center"/>
                </w:tcPr>
                <w:p>
                  <w:pPr>
                    <w:pStyle w:val="24"/>
                    <w:spacing w:line="360" w:lineRule="exact"/>
                    <w:rPr>
                      <w:color w:val="000000" w:themeColor="text1"/>
                      <w:szCs w:val="21"/>
                    </w:rPr>
                  </w:pPr>
                  <w:r>
                    <w:rPr>
                      <w:color w:val="000000" w:themeColor="text1"/>
                      <w:szCs w:val="21"/>
                    </w:rPr>
                    <w:t>15</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由于《工业炉窑大气污染物排放标准》（GB9078-1996）中没有NOx</w:t>
            </w:r>
            <w:r>
              <w:rPr>
                <w:rFonts w:hint="eastAsia" w:ascii="Times New Roman" w:hAnsi="Times New Roman" w:cs="Times New Roman"/>
                <w:color w:val="000000" w:themeColor="text1"/>
                <w:sz w:val="24"/>
                <w:szCs w:val="24"/>
              </w:rPr>
              <w:t>和燃气产生SO</w:t>
            </w:r>
            <w:r>
              <w:rPr>
                <w:rFonts w:hint="eastAsia"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的标准限值，</w:t>
            </w:r>
            <w:r>
              <w:rPr>
                <w:rFonts w:hint="eastAsia" w:ascii="Times New Roman" w:hAnsi="Times New Roman" w:cs="Times New Roman"/>
                <w:color w:val="000000" w:themeColor="text1"/>
                <w:sz w:val="24"/>
                <w:szCs w:val="24"/>
              </w:rPr>
              <w:t>因此SO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和NOx参照执行《锅炉大气污染物排放标准》（GB13271-2014）标准限值。</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3.4.1-2</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锅炉大气污染物排放标准</w:t>
            </w:r>
            <w:r>
              <w:rPr>
                <w:rFonts w:ascii="Times New Roman" w:hAnsi="Times New Roman" w:cs="Times New Roman"/>
                <w:b/>
                <w:color w:val="000000" w:themeColor="text1"/>
                <w:szCs w:val="24"/>
              </w:rPr>
              <w:t>》排放限值  单位：mg/Nm³</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01"/>
              <w:gridCol w:w="4401"/>
              <w:gridCol w:w="22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98" w:type="dxa"/>
                  <w:vAlign w:val="center"/>
                </w:tcPr>
                <w:p>
                  <w:pPr>
                    <w:pStyle w:val="24"/>
                    <w:spacing w:line="360" w:lineRule="exact"/>
                    <w:rPr>
                      <w:color w:val="000000" w:themeColor="text1"/>
                      <w:szCs w:val="21"/>
                    </w:rPr>
                  </w:pPr>
                  <w:r>
                    <w:rPr>
                      <w:rFonts w:hint="eastAsia"/>
                      <w:color w:val="000000" w:themeColor="text1"/>
                      <w:szCs w:val="21"/>
                    </w:rPr>
                    <w:t>燃料类型</w:t>
                  </w:r>
                </w:p>
              </w:tc>
              <w:tc>
                <w:tcPr>
                  <w:tcW w:w="4394" w:type="dxa"/>
                  <w:vAlign w:val="center"/>
                </w:tcPr>
                <w:p>
                  <w:pPr>
                    <w:pStyle w:val="24"/>
                    <w:spacing w:line="360" w:lineRule="exact"/>
                    <w:rPr>
                      <w:color w:val="000000" w:themeColor="text1"/>
                      <w:szCs w:val="21"/>
                    </w:rPr>
                  </w:pPr>
                  <w:r>
                    <w:rPr>
                      <w:color w:val="000000" w:themeColor="text1"/>
                      <w:szCs w:val="21"/>
                    </w:rPr>
                    <w:t>污染物名称</w:t>
                  </w:r>
                </w:p>
              </w:tc>
              <w:tc>
                <w:tcPr>
                  <w:tcW w:w="2200" w:type="dxa"/>
                  <w:vAlign w:val="center"/>
                </w:tcPr>
                <w:p>
                  <w:pPr>
                    <w:pStyle w:val="24"/>
                    <w:spacing w:line="360" w:lineRule="exact"/>
                    <w:rPr>
                      <w:color w:val="000000" w:themeColor="text1"/>
                      <w:szCs w:val="21"/>
                    </w:rPr>
                  </w:pPr>
                  <w:r>
                    <w:rPr>
                      <w:color w:val="000000" w:themeColor="text1"/>
                      <w:szCs w:val="21"/>
                    </w:rPr>
                    <w:t>排放标准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98" w:type="dxa"/>
                  <w:vMerge w:val="restart"/>
                  <w:vAlign w:val="center"/>
                </w:tcPr>
                <w:p>
                  <w:pPr>
                    <w:pStyle w:val="24"/>
                    <w:spacing w:line="360" w:lineRule="exact"/>
                    <w:rPr>
                      <w:color w:val="000000" w:themeColor="text1"/>
                      <w:szCs w:val="21"/>
                    </w:rPr>
                  </w:pPr>
                  <w:r>
                    <w:rPr>
                      <w:rFonts w:hint="eastAsia"/>
                      <w:color w:val="000000" w:themeColor="text1"/>
                      <w:szCs w:val="21"/>
                    </w:rPr>
                    <w:t>燃气</w:t>
                  </w:r>
                </w:p>
              </w:tc>
              <w:tc>
                <w:tcPr>
                  <w:tcW w:w="4394" w:type="dxa"/>
                  <w:vAlign w:val="center"/>
                </w:tcPr>
                <w:p>
                  <w:pPr>
                    <w:pStyle w:val="24"/>
                    <w:spacing w:line="360" w:lineRule="exact"/>
                    <w:rPr>
                      <w:color w:val="000000" w:themeColor="text1"/>
                      <w:szCs w:val="21"/>
                    </w:rPr>
                  </w:pPr>
                  <w:r>
                    <w:rPr>
                      <w:rFonts w:hint="eastAsia"/>
                      <w:color w:val="000000" w:themeColor="text1"/>
                      <w:szCs w:val="21"/>
                    </w:rPr>
                    <w:t>SO</w:t>
                  </w:r>
                  <w:r>
                    <w:rPr>
                      <w:rFonts w:hint="eastAsia"/>
                      <w:color w:val="000000" w:themeColor="text1"/>
                      <w:szCs w:val="21"/>
                      <w:vertAlign w:val="subscript"/>
                    </w:rPr>
                    <w:t>2</w:t>
                  </w:r>
                </w:p>
              </w:tc>
              <w:tc>
                <w:tcPr>
                  <w:tcW w:w="2200" w:type="dxa"/>
                  <w:vAlign w:val="center"/>
                </w:tcPr>
                <w:p>
                  <w:pPr>
                    <w:pStyle w:val="24"/>
                    <w:spacing w:line="360" w:lineRule="exact"/>
                    <w:rPr>
                      <w:color w:val="000000" w:themeColor="text1"/>
                      <w:szCs w:val="21"/>
                    </w:rPr>
                  </w:pPr>
                  <w:r>
                    <w:rPr>
                      <w:rFonts w:hint="eastAsia"/>
                      <w:color w:val="000000" w:themeColor="text1"/>
                      <w:szCs w:val="21"/>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98" w:type="dxa"/>
                  <w:vMerge w:val="continue"/>
                  <w:vAlign w:val="center"/>
                </w:tcPr>
                <w:p>
                  <w:pPr>
                    <w:pStyle w:val="24"/>
                    <w:spacing w:line="360" w:lineRule="exact"/>
                    <w:rPr>
                      <w:color w:val="000000" w:themeColor="text1"/>
                      <w:szCs w:val="21"/>
                    </w:rPr>
                  </w:pPr>
                </w:p>
              </w:tc>
              <w:tc>
                <w:tcPr>
                  <w:tcW w:w="4394" w:type="dxa"/>
                  <w:vAlign w:val="center"/>
                </w:tcPr>
                <w:p>
                  <w:pPr>
                    <w:pStyle w:val="24"/>
                    <w:spacing w:line="360" w:lineRule="exact"/>
                    <w:rPr>
                      <w:color w:val="000000" w:themeColor="text1"/>
                      <w:szCs w:val="21"/>
                    </w:rPr>
                  </w:pPr>
                  <w:r>
                    <w:rPr>
                      <w:rFonts w:hint="eastAsia"/>
                      <w:color w:val="000000" w:themeColor="text1"/>
                      <w:szCs w:val="21"/>
                    </w:rPr>
                    <w:t>NOx</w:t>
                  </w:r>
                </w:p>
              </w:tc>
              <w:tc>
                <w:tcPr>
                  <w:tcW w:w="2200" w:type="dxa"/>
                  <w:vAlign w:val="center"/>
                </w:tcPr>
                <w:p>
                  <w:pPr>
                    <w:pStyle w:val="24"/>
                    <w:spacing w:line="360" w:lineRule="exact"/>
                    <w:rPr>
                      <w:color w:val="000000" w:themeColor="text1"/>
                      <w:szCs w:val="21"/>
                    </w:rPr>
                  </w:pPr>
                  <w:r>
                    <w:rPr>
                      <w:rFonts w:hint="eastAsia"/>
                      <w:color w:val="000000" w:themeColor="text1"/>
                      <w:szCs w:val="21"/>
                    </w:rPr>
                    <w:t>200</w:t>
                  </w:r>
                </w:p>
              </w:tc>
            </w:tr>
          </w:tbl>
          <w:p>
            <w:pPr>
              <w:pStyle w:val="32"/>
              <w:spacing w:beforeLines="50"/>
              <w:ind w:firstLine="482"/>
              <w:rPr>
                <w:rFonts w:eastAsiaTheme="minorEastAsia"/>
                <w:b/>
                <w:color w:val="000000" w:themeColor="text1"/>
                <w:szCs w:val="24"/>
              </w:rPr>
            </w:pPr>
            <w:r>
              <w:rPr>
                <w:rFonts w:hint="eastAsia" w:eastAsiaTheme="minorEastAsia"/>
                <w:b/>
                <w:color w:val="000000" w:themeColor="text1"/>
                <w:szCs w:val="24"/>
              </w:rPr>
              <w:t>②废渣暂存库扬尘执行标准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项目废渣暂存库产生的扬尘执行</w:t>
            </w:r>
            <w:r>
              <w:rPr>
                <w:rFonts w:ascii="Times New Roman" w:hAnsi="Times New Roman" w:cs="Times New Roman"/>
                <w:color w:val="000000" w:themeColor="text1"/>
                <w:sz w:val="24"/>
                <w:szCs w:val="24"/>
              </w:rPr>
              <w:t>《大气污染物综合排放标准》（GB16297-1996）</w:t>
            </w:r>
            <w:r>
              <w:rPr>
                <w:rFonts w:hint="eastAsia" w:ascii="Times New Roman" w:hAnsi="Times New Roman" w:cs="Times New Roman"/>
                <w:color w:val="000000" w:themeColor="text1"/>
                <w:sz w:val="24"/>
                <w:szCs w:val="24"/>
              </w:rPr>
              <w:t>无组织排放标准，标准值如下表所示。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 xml:space="preserve">3.4.1-3 </w:t>
            </w:r>
            <w:r>
              <w:rPr>
                <w:rFonts w:ascii="Times New Roman" w:hAnsi="Times New Roman" w:cs="Times New Roman"/>
                <w:b/>
                <w:color w:val="000000" w:themeColor="text1"/>
                <w:szCs w:val="24"/>
              </w:rPr>
              <w:t xml:space="preserve"> 《大气污染物综合排放标准》</w:t>
            </w:r>
            <w:r>
              <w:rPr>
                <w:rFonts w:hint="eastAsia" w:ascii="Times New Roman" w:hAnsi="Times New Roman" w:cs="Times New Roman"/>
                <w:b/>
                <w:color w:val="000000" w:themeColor="text1"/>
                <w:szCs w:val="24"/>
              </w:rPr>
              <w:t>无组织</w:t>
            </w:r>
            <w:r>
              <w:rPr>
                <w:rFonts w:ascii="Times New Roman" w:hAnsi="Times New Roman" w:cs="Times New Roman"/>
                <w:b/>
                <w:color w:val="000000" w:themeColor="text1"/>
                <w:szCs w:val="24"/>
              </w:rPr>
              <w:t>排放限值 单位mg/Nm³</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350"/>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dxa"/>
                  <w:vAlign w:val="center"/>
                </w:tcPr>
                <w:p>
                  <w:pPr>
                    <w:pStyle w:val="24"/>
                    <w:spacing w:line="360" w:lineRule="exact"/>
                    <w:rPr>
                      <w:color w:val="000000" w:themeColor="text1"/>
                      <w:szCs w:val="21"/>
                    </w:rPr>
                  </w:pPr>
                  <w:r>
                    <w:rPr>
                      <w:color w:val="000000" w:themeColor="text1"/>
                      <w:szCs w:val="21"/>
                    </w:rPr>
                    <w:t>项目</w:t>
                  </w:r>
                </w:p>
              </w:tc>
              <w:tc>
                <w:tcPr>
                  <w:tcW w:w="2350" w:type="dxa"/>
                  <w:vAlign w:val="center"/>
                </w:tcPr>
                <w:p>
                  <w:pPr>
                    <w:pStyle w:val="24"/>
                    <w:spacing w:line="360" w:lineRule="exact"/>
                    <w:rPr>
                      <w:color w:val="000000" w:themeColor="text1"/>
                      <w:szCs w:val="21"/>
                    </w:rPr>
                  </w:pPr>
                  <w:r>
                    <w:rPr>
                      <w:color w:val="000000" w:themeColor="text1"/>
                      <w:szCs w:val="21"/>
                    </w:rPr>
                    <w:t>最高允许排放浓度限值</w:t>
                  </w:r>
                </w:p>
              </w:tc>
              <w:tc>
                <w:tcPr>
                  <w:tcW w:w="4116" w:type="dxa"/>
                  <w:vAlign w:val="center"/>
                </w:tcPr>
                <w:p>
                  <w:pPr>
                    <w:pStyle w:val="24"/>
                    <w:spacing w:line="360" w:lineRule="exact"/>
                    <w:rPr>
                      <w:color w:val="000000" w:themeColor="text1"/>
                      <w:szCs w:val="21"/>
                    </w:rPr>
                  </w:pPr>
                  <w:r>
                    <w:rPr>
                      <w:color w:val="000000" w:themeColor="text1"/>
                      <w:szCs w:val="21"/>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dxa"/>
                  <w:vAlign w:val="center"/>
                </w:tcPr>
                <w:p>
                  <w:pPr>
                    <w:pStyle w:val="24"/>
                    <w:spacing w:line="360" w:lineRule="exact"/>
                    <w:rPr>
                      <w:color w:val="000000" w:themeColor="text1"/>
                      <w:szCs w:val="21"/>
                    </w:rPr>
                  </w:pPr>
                  <w:r>
                    <w:rPr>
                      <w:rFonts w:hint="eastAsia"/>
                      <w:color w:val="000000" w:themeColor="text1"/>
                      <w:szCs w:val="21"/>
                    </w:rPr>
                    <w:t>颗粒物</w:t>
                  </w:r>
                </w:p>
              </w:tc>
              <w:tc>
                <w:tcPr>
                  <w:tcW w:w="2350" w:type="dxa"/>
                  <w:vAlign w:val="center"/>
                </w:tcPr>
                <w:p>
                  <w:pPr>
                    <w:pStyle w:val="24"/>
                    <w:spacing w:line="360" w:lineRule="exact"/>
                    <w:rPr>
                      <w:color w:val="000000" w:themeColor="text1"/>
                      <w:szCs w:val="21"/>
                    </w:rPr>
                  </w:pPr>
                  <w:r>
                    <w:rPr>
                      <w:color w:val="000000" w:themeColor="text1"/>
                      <w:szCs w:val="21"/>
                    </w:rPr>
                    <w:t>≤1.0</w:t>
                  </w:r>
                </w:p>
              </w:tc>
              <w:tc>
                <w:tcPr>
                  <w:tcW w:w="4116" w:type="dxa"/>
                  <w:vAlign w:val="center"/>
                </w:tcPr>
                <w:p>
                  <w:pPr>
                    <w:pStyle w:val="24"/>
                    <w:spacing w:line="360" w:lineRule="exact"/>
                    <w:rPr>
                      <w:color w:val="000000" w:themeColor="text1"/>
                      <w:szCs w:val="21"/>
                    </w:rPr>
                  </w:pPr>
                  <w:r>
                    <w:rPr>
                      <w:color w:val="000000" w:themeColor="text1"/>
                      <w:szCs w:val="21"/>
                    </w:rPr>
                    <w:t>周外界浓度</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3.4.2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根据项目特点，本项目施工量较小，施工过程使用的少量施工用水全部自然蒸发，无废水产生。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项目运营期废水包括生产废水、初期雨水和生活污水。</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①生产废水和初期雨水执行标准</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color w:val="000000" w:themeColor="text1"/>
                <w:sz w:val="24"/>
                <w:szCs w:val="24"/>
              </w:rPr>
              <w:t>项目产生的生产废水</w:t>
            </w:r>
            <w:r>
              <w:rPr>
                <w:rFonts w:hint="eastAsia" w:ascii="Times New Roman" w:hAnsi="Times New Roman" w:cs="Times New Roman"/>
                <w:bCs/>
                <w:color w:val="000000" w:themeColor="text1"/>
                <w:sz w:val="24"/>
                <w:szCs w:val="24"/>
              </w:rPr>
              <w:t>经废水收集调节池收集、初期雨水经初期雨水收集池收集；生产废水和初期雨水收集后进入八级沉淀池沉淀处理，处理后泵至回水池回用于生产，不外排。</w:t>
            </w:r>
            <w:r>
              <w:rPr>
                <w:rFonts w:hint="eastAsia" w:ascii="Times New Roman" w:hAnsi="Times New Roman" w:cs="Times New Roman"/>
                <w:color w:val="000000" w:themeColor="text1"/>
                <w:sz w:val="24"/>
                <w:szCs w:val="24"/>
              </w:rPr>
              <w:t>参照</w:t>
            </w:r>
            <w:r>
              <w:rPr>
                <w:rFonts w:ascii="Times New Roman" w:hAnsi="Times New Roman" w:cs="Times New Roman"/>
                <w:color w:val="000000" w:themeColor="text1"/>
                <w:sz w:val="24"/>
                <w:szCs w:val="24"/>
              </w:rPr>
              <w:t>执行《城市污水再生利用  工业用水水质》（GB/T 19923-2005）标准，标准值如下表所示。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3.4.2</w:t>
            </w:r>
            <w:r>
              <w:rPr>
                <w:rFonts w:ascii="Times New Roman" w:hAnsi="Times New Roman" w:cs="Times New Roman"/>
                <w:b/>
                <w:color w:val="000000" w:themeColor="text1"/>
                <w:szCs w:val="24"/>
              </w:rPr>
              <w:t>-</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城市污水再生利用  工业用水水质标准限值</w:t>
            </w:r>
          </w:p>
          <w:tbl>
            <w:tblPr>
              <w:tblStyle w:val="14"/>
              <w:tblW w:w="5000" w:type="pct"/>
              <w:jc w:val="center"/>
              <w:tblLayout w:type="fixed"/>
              <w:tblCellMar>
                <w:top w:w="0" w:type="dxa"/>
                <w:left w:w="0" w:type="dxa"/>
                <w:bottom w:w="0" w:type="dxa"/>
                <w:right w:w="0" w:type="dxa"/>
              </w:tblCellMar>
            </w:tblPr>
            <w:tblGrid>
              <w:gridCol w:w="1178"/>
              <w:gridCol w:w="4825"/>
              <w:gridCol w:w="2592"/>
            </w:tblGrid>
            <w:tr>
              <w:tblPrEx>
                <w:tblCellMar>
                  <w:top w:w="0" w:type="dxa"/>
                  <w:left w:w="0" w:type="dxa"/>
                  <w:bottom w:w="0" w:type="dxa"/>
                  <w:right w:w="0" w:type="dxa"/>
                </w:tblCellMar>
              </w:tblPrEx>
              <w:trPr>
                <w:cantSplit/>
                <w:trHeight w:val="58" w:hRule="atLeast"/>
                <w:jc w:val="center"/>
              </w:trPr>
              <w:tc>
                <w:tcPr>
                  <w:tcW w:w="1234" w:type="dxa"/>
                  <w:tcBorders>
                    <w:top w:val="single" w:color="auto" w:sz="8" w:space="0"/>
                    <w:left w:val="single" w:color="auto" w:sz="8" w:space="0"/>
                    <w:bottom w:val="single" w:color="auto" w:sz="8" w:space="0"/>
                    <w:right w:val="single" w:color="auto" w:sz="8" w:space="0"/>
                  </w:tcBorders>
                  <w:vAlign w:val="center"/>
                </w:tcPr>
                <w:p>
                  <w:pPr>
                    <w:pStyle w:val="24"/>
                    <w:spacing w:line="360" w:lineRule="exact"/>
                    <w:rPr>
                      <w:color w:val="000000" w:themeColor="text1"/>
                      <w:szCs w:val="21"/>
                    </w:rPr>
                  </w:pPr>
                  <w:r>
                    <w:rPr>
                      <w:color w:val="000000" w:themeColor="text1"/>
                      <w:szCs w:val="21"/>
                    </w:rPr>
                    <w:t>序号</w:t>
                  </w:r>
                </w:p>
              </w:tc>
              <w:tc>
                <w:tcPr>
                  <w:tcW w:w="5103" w:type="dxa"/>
                  <w:tcBorders>
                    <w:top w:val="single" w:color="auto" w:sz="8" w:space="0"/>
                    <w:left w:val="nil"/>
                    <w:bottom w:val="single" w:color="auto" w:sz="8" w:space="0"/>
                    <w:right w:val="single" w:color="auto" w:sz="8" w:space="0"/>
                  </w:tcBorders>
                  <w:vAlign w:val="center"/>
                </w:tcPr>
                <w:p>
                  <w:pPr>
                    <w:pStyle w:val="24"/>
                    <w:spacing w:line="360" w:lineRule="exact"/>
                    <w:rPr>
                      <w:color w:val="000000" w:themeColor="text1"/>
                      <w:szCs w:val="21"/>
                    </w:rPr>
                  </w:pPr>
                  <w:r>
                    <w:rPr>
                      <w:color w:val="000000" w:themeColor="text1"/>
                      <w:szCs w:val="21"/>
                    </w:rPr>
                    <w:t>控制项目</w:t>
                  </w:r>
                </w:p>
              </w:tc>
              <w:tc>
                <w:tcPr>
                  <w:tcW w:w="2735" w:type="dxa"/>
                  <w:tcBorders>
                    <w:top w:val="single" w:color="auto" w:sz="8" w:space="0"/>
                    <w:left w:val="nil"/>
                    <w:bottom w:val="single" w:color="auto" w:sz="8" w:space="0"/>
                    <w:right w:val="single" w:color="auto" w:sz="8" w:space="0"/>
                  </w:tcBorders>
                  <w:vAlign w:val="center"/>
                </w:tcPr>
                <w:p>
                  <w:pPr>
                    <w:pStyle w:val="24"/>
                    <w:spacing w:line="360" w:lineRule="exact"/>
                    <w:rPr>
                      <w:color w:val="000000" w:themeColor="text1"/>
                      <w:szCs w:val="21"/>
                    </w:rPr>
                  </w:pPr>
                  <w:r>
                    <w:rPr>
                      <w:color w:val="000000" w:themeColor="text1"/>
                      <w:szCs w:val="21"/>
                    </w:rPr>
                    <w:t>工艺与产品用水</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pH值</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6.5-8.5</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悬浮物（SS）（mg/L） ≤</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浊度（NTU）≤</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5</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色度（度）≤</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30</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生化需氧量（BOD5）（mg/L）≤</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10</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化学需氧量（CODcr）（mg/L）≤</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60</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铁（mg/L）≤</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0.3</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8</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锰（mg/L）≤</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0.1</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9</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氯离子（mg/L）≤</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250</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10</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二氧化硅（SiO</w:t>
                  </w:r>
                  <w:r>
                    <w:rPr>
                      <w:color w:val="000000" w:themeColor="text1"/>
                      <w:szCs w:val="21"/>
                      <w:vertAlign w:val="subscript"/>
                    </w:rPr>
                    <w:t>2</w:t>
                  </w:r>
                  <w:r>
                    <w:rPr>
                      <w:color w:val="000000" w:themeColor="text1"/>
                      <w:szCs w:val="21"/>
                    </w:rPr>
                    <w:t>）≤</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30</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11</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总硬度（以CaCO</w:t>
                  </w:r>
                  <w:r>
                    <w:rPr>
                      <w:color w:val="000000" w:themeColor="text1"/>
                      <w:szCs w:val="21"/>
                      <w:vertAlign w:val="subscript"/>
                    </w:rPr>
                    <w:t>3</w:t>
                  </w:r>
                  <w:r>
                    <w:rPr>
                      <w:color w:val="000000" w:themeColor="text1"/>
                      <w:szCs w:val="21"/>
                    </w:rPr>
                    <w:t>计/mg/L）≤</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450</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12</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总碱度（以CaCO</w:t>
                  </w:r>
                  <w:r>
                    <w:rPr>
                      <w:color w:val="000000" w:themeColor="text1"/>
                      <w:szCs w:val="21"/>
                      <w:vertAlign w:val="subscript"/>
                    </w:rPr>
                    <w:t>3</w:t>
                  </w:r>
                  <w:r>
                    <w:rPr>
                      <w:color w:val="000000" w:themeColor="text1"/>
                      <w:szCs w:val="21"/>
                    </w:rPr>
                    <w:t>计 mg/L）≤</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350</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13</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硫酸盐（mg/L）≤</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250</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14</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氨氮（以N计 mg/L）≤</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10</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15</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总磷（以P计 mg/L）≤</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1</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16</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溶解性总固体（mg/L）≤</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1000</w:t>
                  </w:r>
                </w:p>
              </w:tc>
            </w:tr>
            <w:tr>
              <w:tblPrEx>
                <w:tblCellMar>
                  <w:top w:w="0" w:type="dxa"/>
                  <w:left w:w="0" w:type="dxa"/>
                  <w:bottom w:w="0" w:type="dxa"/>
                  <w:right w:w="0" w:type="dxa"/>
                </w:tblCellMar>
              </w:tblPrEx>
              <w:trPr>
                <w:cantSplit/>
                <w:jc w:val="center"/>
              </w:trPr>
              <w:tc>
                <w:tcPr>
                  <w:tcW w:w="12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17</w:t>
                  </w:r>
                </w:p>
              </w:tc>
              <w:tc>
                <w:tcPr>
                  <w:tcW w:w="510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石油类（mg/L）≤</w:t>
                  </w:r>
                </w:p>
              </w:tc>
              <w:tc>
                <w:tcPr>
                  <w:tcW w:w="27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4"/>
                    <w:spacing w:line="360" w:lineRule="exact"/>
                    <w:rPr>
                      <w:color w:val="000000" w:themeColor="text1"/>
                      <w:szCs w:val="21"/>
                    </w:rPr>
                  </w:pPr>
                  <w:r>
                    <w:rPr>
                      <w:color w:val="000000" w:themeColor="text1"/>
                      <w:szCs w:val="21"/>
                    </w:rPr>
                    <w:t>1</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区生活污水经隔油池、化粪池处理后，通过园区污水管网进入四方地与碧谷园区污水处理厂处理。四方地与碧谷园区污水处理厂采用二级处理工艺，生活污水经隔油池、化粪池处理后，通过园区污水管网进入四方地与碧谷园区污水处理厂处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执行《污水排入城镇下水道水质标准》（GB/T31962-2015）的B等级标准。标准限值详见下表。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3.4.2-2</w:t>
            </w:r>
            <w:r>
              <w:rPr>
                <w:rFonts w:ascii="Times New Roman" w:hAnsi="Times New Roman" w:cs="Times New Roman"/>
                <w:b/>
                <w:color w:val="000000" w:themeColor="text1"/>
                <w:szCs w:val="24"/>
              </w:rPr>
              <w:t xml:space="preserve"> 污水排入城镇下水道水质控制项目限值  mg/L</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4"/>
              <w:gridCol w:w="851"/>
              <w:gridCol w:w="850"/>
              <w:gridCol w:w="752"/>
              <w:gridCol w:w="675"/>
              <w:gridCol w:w="674"/>
              <w:gridCol w:w="675"/>
              <w:gridCol w:w="807"/>
              <w:gridCol w:w="674"/>
              <w:gridCol w:w="675"/>
              <w:gridCol w:w="11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3"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项目类别</w:t>
                  </w:r>
                </w:p>
              </w:tc>
              <w:tc>
                <w:tcPr>
                  <w:tcW w:w="899"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pH</w:t>
                  </w:r>
                </w:p>
              </w:tc>
              <w:tc>
                <w:tcPr>
                  <w:tcW w:w="898"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CODcr</w:t>
                  </w:r>
                </w:p>
              </w:tc>
              <w:tc>
                <w:tcPr>
                  <w:tcW w:w="792"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709"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氨氮</w:t>
                  </w:r>
                </w:p>
              </w:tc>
              <w:tc>
                <w:tcPr>
                  <w:tcW w:w="708"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总氮</w:t>
                  </w:r>
                </w:p>
              </w:tc>
              <w:tc>
                <w:tcPr>
                  <w:tcW w:w="709"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总磷</w:t>
                  </w:r>
                </w:p>
              </w:tc>
              <w:tc>
                <w:tcPr>
                  <w:tcW w:w="851"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动植物油</w:t>
                  </w:r>
                </w:p>
              </w:tc>
              <w:tc>
                <w:tcPr>
                  <w:tcW w:w="708"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SS</w:t>
                  </w:r>
                </w:p>
              </w:tc>
              <w:tc>
                <w:tcPr>
                  <w:tcW w:w="709"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石油类</w:t>
                  </w:r>
                </w:p>
              </w:tc>
              <w:tc>
                <w:tcPr>
                  <w:tcW w:w="1176"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阴离子表面活性剂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3"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B等级</w:t>
                  </w:r>
                </w:p>
              </w:tc>
              <w:tc>
                <w:tcPr>
                  <w:tcW w:w="899"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6.5-9.5</w:t>
                  </w:r>
                </w:p>
              </w:tc>
              <w:tc>
                <w:tcPr>
                  <w:tcW w:w="898"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≤500</w:t>
                  </w:r>
                </w:p>
              </w:tc>
              <w:tc>
                <w:tcPr>
                  <w:tcW w:w="792"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≤350</w:t>
                  </w:r>
                </w:p>
              </w:tc>
              <w:tc>
                <w:tcPr>
                  <w:tcW w:w="709"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≤45</w:t>
                  </w:r>
                </w:p>
              </w:tc>
              <w:tc>
                <w:tcPr>
                  <w:tcW w:w="708"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≤70</w:t>
                  </w:r>
                </w:p>
              </w:tc>
              <w:tc>
                <w:tcPr>
                  <w:tcW w:w="709"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≤8</w:t>
                  </w:r>
                </w:p>
              </w:tc>
              <w:tc>
                <w:tcPr>
                  <w:tcW w:w="851"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≤100</w:t>
                  </w:r>
                </w:p>
              </w:tc>
              <w:tc>
                <w:tcPr>
                  <w:tcW w:w="708"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≤400</w:t>
                  </w:r>
                </w:p>
              </w:tc>
              <w:tc>
                <w:tcPr>
                  <w:tcW w:w="709"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15</w:t>
                  </w:r>
                </w:p>
              </w:tc>
              <w:tc>
                <w:tcPr>
                  <w:tcW w:w="1176"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≤20</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3.4.3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表3.4.3-1 建筑施工场界噪声标准限值  单位：dB（A）</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857" w:type="dxa"/>
                  <w:gridSpan w:val="2"/>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24"/>
                    <w:spacing w:line="360" w:lineRule="exact"/>
                    <w:ind w:left="11"/>
                    <w:rPr>
                      <w:rFonts w:eastAsiaTheme="minorEastAsia"/>
                      <w:color w:val="000000" w:themeColor="text1"/>
                      <w:szCs w:val="21"/>
                    </w:rPr>
                  </w:pPr>
                </w:p>
              </w:tc>
              <w:tc>
                <w:tcPr>
                  <w:tcW w:w="2977"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880"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977"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70</w:t>
                  </w:r>
                </w:p>
              </w:tc>
              <w:tc>
                <w:tcPr>
                  <w:tcW w:w="2880" w:type="dxa"/>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项目位于东川区再就业特区四方地工业园区昆明合旺有色金属有限公司厂区，本项目噪声执行《工业企业厂界环境噪声排放标准》（GB12348-2008）3类标准。标准限值详见下表。</w:t>
            </w: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表3.4.3-2 《工业企业厂界环境噪声排放标准》  Leq[dB（A）</w:t>
            </w:r>
          </w:p>
          <w:tbl>
            <w:tblPr>
              <w:tblStyle w:val="14"/>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20"/>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24"/>
                    <w:spacing w:line="360" w:lineRule="exact"/>
                    <w:ind w:left="11"/>
                    <w:rPr>
                      <w:rFonts w:eastAsiaTheme="minorEastAsia"/>
                      <w:color w:val="000000" w:themeColor="text1"/>
                      <w:szCs w:val="21"/>
                    </w:rPr>
                  </w:pP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24"/>
                    <w:spacing w:line="360" w:lineRule="exact"/>
                    <w:ind w:left="11"/>
                    <w:rPr>
                      <w:rFonts w:eastAsiaTheme="minorEastAsia"/>
                      <w:color w:val="000000" w:themeColor="text1"/>
                      <w:szCs w:val="21"/>
                    </w:rPr>
                  </w:pPr>
                  <w:r>
                    <w:rPr>
                      <w:rFonts w:eastAsiaTheme="minorEastAsia"/>
                      <w:color w:val="000000" w:themeColor="text1"/>
                      <w:szCs w:val="21"/>
                    </w:rPr>
                    <w:t>3类</w:t>
                  </w: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32"/>
              <w:spacing w:beforeLines="50"/>
              <w:ind w:firstLine="482"/>
              <w:rPr>
                <w:rFonts w:eastAsiaTheme="minorEastAsia"/>
                <w:b/>
                <w:color w:val="000000" w:themeColor="text1"/>
                <w:szCs w:val="24"/>
              </w:rPr>
            </w:pPr>
            <w:r>
              <w:rPr>
                <w:rFonts w:eastAsiaTheme="minorEastAsia"/>
                <w:b/>
                <w:color w:val="000000" w:themeColor="text1"/>
                <w:szCs w:val="24"/>
              </w:rPr>
              <w:t>3.4.4 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危险废物执行《危险废物贮存污染控制标准》（GB18597-2001）及修改单。</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一般固体废物处置执行《一般工业固体废物贮存和填埋污染控制标准》（GB18599-2020）。</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③氧化锌尾渣及废渣</w:t>
            </w:r>
            <w:r>
              <w:rPr>
                <w:rFonts w:ascii="Times New Roman" w:hAnsi="Times New Roman" w:cs="Times New Roman"/>
                <w:color w:val="000000" w:themeColor="text1"/>
                <w:sz w:val="24"/>
                <w:szCs w:val="24"/>
              </w:rPr>
              <w:t>属性判断标准如下：氧化锌尾渣及废渣执行《危险废物鉴别标准 腐蚀性鉴别》（GB5085.1-2007）和《危险废物鉴别标准 浸出毒性鉴别》（GB5085.3-2007）标准要求，标准值如下表所示。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3.4.4-1</w:t>
            </w:r>
            <w:r>
              <w:rPr>
                <w:rFonts w:ascii="Times New Roman" w:hAnsi="Times New Roman" w:cs="Times New Roman"/>
                <w:b/>
                <w:color w:val="000000" w:themeColor="text1"/>
                <w:szCs w:val="24"/>
              </w:rPr>
              <w:t xml:space="preserve">  腐蚀性、浸出毒性限值一览表 mg/L</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59"/>
              <w:gridCol w:w="1137"/>
              <w:gridCol w:w="2838"/>
              <w:gridCol w:w="27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Align w:val="center"/>
                </w:tcPr>
                <w:p>
                  <w:pPr>
                    <w:pStyle w:val="24"/>
                    <w:spacing w:line="360" w:lineRule="exact"/>
                    <w:rPr>
                      <w:color w:val="000000" w:themeColor="text1"/>
                      <w:szCs w:val="21"/>
                    </w:rPr>
                  </w:pPr>
                  <w:r>
                    <w:rPr>
                      <w:color w:val="000000" w:themeColor="text1"/>
                      <w:szCs w:val="21"/>
                    </w:rPr>
                    <w:t>鉴别标准</w:t>
                  </w:r>
                </w:p>
              </w:tc>
              <w:tc>
                <w:tcPr>
                  <w:tcW w:w="1126" w:type="dxa"/>
                  <w:vAlign w:val="center"/>
                </w:tcPr>
                <w:p>
                  <w:pPr>
                    <w:pStyle w:val="24"/>
                    <w:spacing w:line="360" w:lineRule="exact"/>
                    <w:rPr>
                      <w:color w:val="000000" w:themeColor="text1"/>
                      <w:szCs w:val="21"/>
                    </w:rPr>
                  </w:pPr>
                  <w:r>
                    <w:rPr>
                      <w:color w:val="000000" w:themeColor="text1"/>
                      <w:szCs w:val="21"/>
                    </w:rPr>
                    <w:t>序号</w:t>
                  </w:r>
                </w:p>
              </w:tc>
              <w:tc>
                <w:tcPr>
                  <w:tcW w:w="2811" w:type="dxa"/>
                  <w:vAlign w:val="center"/>
                </w:tcPr>
                <w:p>
                  <w:pPr>
                    <w:pStyle w:val="24"/>
                    <w:spacing w:line="360" w:lineRule="exact"/>
                    <w:rPr>
                      <w:color w:val="000000" w:themeColor="text1"/>
                      <w:szCs w:val="21"/>
                    </w:rPr>
                  </w:pPr>
                  <w:r>
                    <w:rPr>
                      <w:color w:val="000000" w:themeColor="text1"/>
                      <w:szCs w:val="21"/>
                    </w:rPr>
                    <w:t>污染因子</w:t>
                  </w:r>
                </w:p>
              </w:tc>
              <w:tc>
                <w:tcPr>
                  <w:tcW w:w="2744" w:type="dxa"/>
                  <w:vAlign w:val="center"/>
                </w:tcPr>
                <w:p>
                  <w:pPr>
                    <w:pStyle w:val="24"/>
                    <w:spacing w:line="360" w:lineRule="exact"/>
                    <w:rPr>
                      <w:color w:val="000000" w:themeColor="text1"/>
                      <w:szCs w:val="21"/>
                    </w:rPr>
                  </w:pPr>
                  <w:r>
                    <w:rPr>
                      <w:color w:val="000000" w:themeColor="text1"/>
                      <w:szCs w:val="21"/>
                    </w:rPr>
                    <w:t>危险废物参考标准值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Align w:val="center"/>
                </w:tcPr>
                <w:p>
                  <w:pPr>
                    <w:pStyle w:val="24"/>
                    <w:spacing w:line="360" w:lineRule="exact"/>
                    <w:rPr>
                      <w:color w:val="000000" w:themeColor="text1"/>
                      <w:szCs w:val="21"/>
                    </w:rPr>
                  </w:pPr>
                  <w:r>
                    <w:rPr>
                      <w:color w:val="000000" w:themeColor="text1"/>
                      <w:szCs w:val="21"/>
                    </w:rPr>
                    <w:t>腐蚀性鉴别</w:t>
                  </w:r>
                </w:p>
              </w:tc>
              <w:tc>
                <w:tcPr>
                  <w:tcW w:w="1126" w:type="dxa"/>
                  <w:vAlign w:val="center"/>
                </w:tcPr>
                <w:p>
                  <w:pPr>
                    <w:pStyle w:val="24"/>
                    <w:spacing w:line="360" w:lineRule="exact"/>
                    <w:rPr>
                      <w:color w:val="000000" w:themeColor="text1"/>
                      <w:szCs w:val="21"/>
                    </w:rPr>
                  </w:pPr>
                  <w:r>
                    <w:rPr>
                      <w:color w:val="000000" w:themeColor="text1"/>
                      <w:szCs w:val="21"/>
                    </w:rPr>
                    <w:t>1</w:t>
                  </w:r>
                </w:p>
              </w:tc>
              <w:tc>
                <w:tcPr>
                  <w:tcW w:w="2811" w:type="dxa"/>
                  <w:vAlign w:val="center"/>
                </w:tcPr>
                <w:p>
                  <w:pPr>
                    <w:pStyle w:val="24"/>
                    <w:spacing w:line="360" w:lineRule="exact"/>
                    <w:rPr>
                      <w:color w:val="000000" w:themeColor="text1"/>
                      <w:szCs w:val="21"/>
                    </w:rPr>
                  </w:pPr>
                  <w:r>
                    <w:rPr>
                      <w:color w:val="000000" w:themeColor="text1"/>
                      <w:szCs w:val="21"/>
                    </w:rPr>
                    <w:t>pH值</w:t>
                  </w:r>
                </w:p>
              </w:tc>
              <w:tc>
                <w:tcPr>
                  <w:tcW w:w="2744" w:type="dxa"/>
                  <w:vAlign w:val="center"/>
                </w:tcPr>
                <w:p>
                  <w:pPr>
                    <w:pStyle w:val="24"/>
                    <w:spacing w:line="360" w:lineRule="exact"/>
                    <w:rPr>
                      <w:color w:val="000000" w:themeColor="text1"/>
                      <w:szCs w:val="21"/>
                    </w:rPr>
                  </w:pPr>
                  <w:r>
                    <w:rPr>
                      <w:color w:val="000000" w:themeColor="text1"/>
                      <w:szCs w:val="21"/>
                    </w:rPr>
                    <w:t>≥12.5或≤2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restart"/>
                  <w:vAlign w:val="center"/>
                </w:tcPr>
                <w:p>
                  <w:pPr>
                    <w:pStyle w:val="24"/>
                    <w:spacing w:line="360" w:lineRule="exact"/>
                    <w:rPr>
                      <w:color w:val="000000" w:themeColor="text1"/>
                      <w:szCs w:val="21"/>
                    </w:rPr>
                  </w:pPr>
                  <w:r>
                    <w:rPr>
                      <w:color w:val="000000" w:themeColor="text1"/>
                      <w:szCs w:val="21"/>
                    </w:rPr>
                    <w:t>浸出毒性鉴别</w:t>
                  </w:r>
                </w:p>
              </w:tc>
              <w:tc>
                <w:tcPr>
                  <w:tcW w:w="1126" w:type="dxa"/>
                  <w:vAlign w:val="center"/>
                </w:tcPr>
                <w:p>
                  <w:pPr>
                    <w:pStyle w:val="24"/>
                    <w:spacing w:line="360" w:lineRule="exact"/>
                    <w:rPr>
                      <w:color w:val="000000" w:themeColor="text1"/>
                      <w:szCs w:val="21"/>
                    </w:rPr>
                  </w:pPr>
                  <w:r>
                    <w:rPr>
                      <w:color w:val="000000" w:themeColor="text1"/>
                      <w:szCs w:val="21"/>
                    </w:rPr>
                    <w:t>1</w:t>
                  </w:r>
                </w:p>
              </w:tc>
              <w:tc>
                <w:tcPr>
                  <w:tcW w:w="2811" w:type="dxa"/>
                  <w:vAlign w:val="center"/>
                </w:tcPr>
                <w:p>
                  <w:pPr>
                    <w:pStyle w:val="24"/>
                    <w:spacing w:line="360" w:lineRule="exact"/>
                    <w:rPr>
                      <w:color w:val="000000" w:themeColor="text1"/>
                      <w:szCs w:val="21"/>
                    </w:rPr>
                  </w:pPr>
                  <w:r>
                    <w:rPr>
                      <w:color w:val="000000" w:themeColor="text1"/>
                      <w:szCs w:val="21"/>
                    </w:rPr>
                    <w:t>氟化物</w:t>
                  </w:r>
                </w:p>
              </w:tc>
              <w:tc>
                <w:tcPr>
                  <w:tcW w:w="2744" w:type="dxa"/>
                  <w:vAlign w:val="center"/>
                </w:tcPr>
                <w:p>
                  <w:pPr>
                    <w:pStyle w:val="24"/>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2</w:t>
                  </w:r>
                </w:p>
              </w:tc>
              <w:tc>
                <w:tcPr>
                  <w:tcW w:w="2811" w:type="dxa"/>
                  <w:vAlign w:val="center"/>
                </w:tcPr>
                <w:p>
                  <w:pPr>
                    <w:pStyle w:val="24"/>
                    <w:spacing w:line="360" w:lineRule="exact"/>
                    <w:rPr>
                      <w:color w:val="000000" w:themeColor="text1"/>
                      <w:szCs w:val="21"/>
                    </w:rPr>
                  </w:pPr>
                  <w:r>
                    <w:rPr>
                      <w:color w:val="000000" w:themeColor="text1"/>
                      <w:szCs w:val="21"/>
                    </w:rPr>
                    <w:t>氰化物</w:t>
                  </w:r>
                </w:p>
              </w:tc>
              <w:tc>
                <w:tcPr>
                  <w:tcW w:w="2744" w:type="dxa"/>
                  <w:vAlign w:val="center"/>
                </w:tcPr>
                <w:p>
                  <w:pPr>
                    <w:pStyle w:val="24"/>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3</w:t>
                  </w:r>
                </w:p>
              </w:tc>
              <w:tc>
                <w:tcPr>
                  <w:tcW w:w="2811" w:type="dxa"/>
                  <w:vAlign w:val="center"/>
                </w:tcPr>
                <w:p>
                  <w:pPr>
                    <w:pStyle w:val="24"/>
                    <w:spacing w:line="360" w:lineRule="exact"/>
                    <w:rPr>
                      <w:color w:val="000000" w:themeColor="text1"/>
                      <w:szCs w:val="21"/>
                    </w:rPr>
                  </w:pPr>
                  <w:r>
                    <w:rPr>
                      <w:color w:val="000000" w:themeColor="text1"/>
                      <w:szCs w:val="21"/>
                    </w:rPr>
                    <w:t>六价铬</w:t>
                  </w:r>
                </w:p>
              </w:tc>
              <w:tc>
                <w:tcPr>
                  <w:tcW w:w="2744" w:type="dxa"/>
                  <w:vAlign w:val="center"/>
                </w:tcPr>
                <w:p>
                  <w:pPr>
                    <w:pStyle w:val="24"/>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4</w:t>
                  </w:r>
                </w:p>
              </w:tc>
              <w:tc>
                <w:tcPr>
                  <w:tcW w:w="2811" w:type="dxa"/>
                  <w:vAlign w:val="center"/>
                </w:tcPr>
                <w:p>
                  <w:pPr>
                    <w:pStyle w:val="24"/>
                    <w:spacing w:line="360" w:lineRule="exact"/>
                    <w:rPr>
                      <w:color w:val="000000" w:themeColor="text1"/>
                      <w:szCs w:val="21"/>
                    </w:rPr>
                  </w:pPr>
                  <w:r>
                    <w:rPr>
                      <w:color w:val="000000" w:themeColor="text1"/>
                      <w:szCs w:val="21"/>
                    </w:rPr>
                    <w:t>铜</w:t>
                  </w:r>
                </w:p>
              </w:tc>
              <w:tc>
                <w:tcPr>
                  <w:tcW w:w="2744" w:type="dxa"/>
                  <w:vAlign w:val="center"/>
                </w:tcPr>
                <w:p>
                  <w:pPr>
                    <w:pStyle w:val="24"/>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5</w:t>
                  </w:r>
                </w:p>
              </w:tc>
              <w:tc>
                <w:tcPr>
                  <w:tcW w:w="2811" w:type="dxa"/>
                  <w:vAlign w:val="center"/>
                </w:tcPr>
                <w:p>
                  <w:pPr>
                    <w:pStyle w:val="24"/>
                    <w:spacing w:line="360" w:lineRule="exact"/>
                    <w:rPr>
                      <w:color w:val="000000" w:themeColor="text1"/>
                      <w:szCs w:val="21"/>
                    </w:rPr>
                  </w:pPr>
                  <w:r>
                    <w:rPr>
                      <w:color w:val="000000" w:themeColor="text1"/>
                      <w:szCs w:val="21"/>
                    </w:rPr>
                    <w:t>锌</w:t>
                  </w:r>
                </w:p>
              </w:tc>
              <w:tc>
                <w:tcPr>
                  <w:tcW w:w="2744" w:type="dxa"/>
                  <w:vAlign w:val="center"/>
                </w:tcPr>
                <w:p>
                  <w:pPr>
                    <w:pStyle w:val="24"/>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6</w:t>
                  </w:r>
                </w:p>
              </w:tc>
              <w:tc>
                <w:tcPr>
                  <w:tcW w:w="2811" w:type="dxa"/>
                  <w:vAlign w:val="center"/>
                </w:tcPr>
                <w:p>
                  <w:pPr>
                    <w:pStyle w:val="24"/>
                    <w:spacing w:line="360" w:lineRule="exact"/>
                    <w:rPr>
                      <w:color w:val="000000" w:themeColor="text1"/>
                      <w:szCs w:val="21"/>
                    </w:rPr>
                  </w:pPr>
                  <w:r>
                    <w:rPr>
                      <w:color w:val="000000" w:themeColor="text1"/>
                      <w:szCs w:val="21"/>
                    </w:rPr>
                    <w:t>砷</w:t>
                  </w:r>
                </w:p>
              </w:tc>
              <w:tc>
                <w:tcPr>
                  <w:tcW w:w="2744" w:type="dxa"/>
                  <w:vAlign w:val="center"/>
                </w:tcPr>
                <w:p>
                  <w:pPr>
                    <w:pStyle w:val="24"/>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7</w:t>
                  </w:r>
                </w:p>
              </w:tc>
              <w:tc>
                <w:tcPr>
                  <w:tcW w:w="2811" w:type="dxa"/>
                  <w:vAlign w:val="center"/>
                </w:tcPr>
                <w:p>
                  <w:pPr>
                    <w:pStyle w:val="24"/>
                    <w:spacing w:line="360" w:lineRule="exact"/>
                    <w:rPr>
                      <w:color w:val="000000" w:themeColor="text1"/>
                      <w:szCs w:val="21"/>
                    </w:rPr>
                  </w:pPr>
                  <w:r>
                    <w:rPr>
                      <w:color w:val="000000" w:themeColor="text1"/>
                      <w:szCs w:val="21"/>
                    </w:rPr>
                    <w:t>镉</w:t>
                  </w:r>
                </w:p>
              </w:tc>
              <w:tc>
                <w:tcPr>
                  <w:tcW w:w="2744" w:type="dxa"/>
                  <w:vAlign w:val="center"/>
                </w:tcPr>
                <w:p>
                  <w:pPr>
                    <w:pStyle w:val="24"/>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8</w:t>
                  </w:r>
                </w:p>
              </w:tc>
              <w:tc>
                <w:tcPr>
                  <w:tcW w:w="2811" w:type="dxa"/>
                  <w:vAlign w:val="center"/>
                </w:tcPr>
                <w:p>
                  <w:pPr>
                    <w:pStyle w:val="24"/>
                    <w:spacing w:line="360" w:lineRule="exact"/>
                    <w:rPr>
                      <w:color w:val="000000" w:themeColor="text1"/>
                      <w:szCs w:val="21"/>
                    </w:rPr>
                  </w:pPr>
                  <w:r>
                    <w:rPr>
                      <w:color w:val="000000" w:themeColor="text1"/>
                      <w:szCs w:val="21"/>
                    </w:rPr>
                    <w:t>铅</w:t>
                  </w:r>
                </w:p>
              </w:tc>
              <w:tc>
                <w:tcPr>
                  <w:tcW w:w="2744" w:type="dxa"/>
                  <w:vAlign w:val="center"/>
                </w:tcPr>
                <w:p>
                  <w:pPr>
                    <w:pStyle w:val="24"/>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9</w:t>
                  </w:r>
                </w:p>
              </w:tc>
              <w:tc>
                <w:tcPr>
                  <w:tcW w:w="2811" w:type="dxa"/>
                  <w:vAlign w:val="center"/>
                </w:tcPr>
                <w:p>
                  <w:pPr>
                    <w:pStyle w:val="24"/>
                    <w:spacing w:line="360" w:lineRule="exact"/>
                    <w:rPr>
                      <w:color w:val="000000" w:themeColor="text1"/>
                      <w:szCs w:val="21"/>
                    </w:rPr>
                  </w:pPr>
                  <w:r>
                    <w:rPr>
                      <w:color w:val="000000" w:themeColor="text1"/>
                      <w:szCs w:val="21"/>
                    </w:rPr>
                    <w:t>硒</w:t>
                  </w:r>
                </w:p>
              </w:tc>
              <w:tc>
                <w:tcPr>
                  <w:tcW w:w="2744" w:type="dxa"/>
                  <w:vAlign w:val="center"/>
                </w:tcPr>
                <w:p>
                  <w:pPr>
                    <w:pStyle w:val="24"/>
                    <w:spacing w:line="360" w:lineRule="exact"/>
                    <w:rPr>
                      <w:color w:val="000000" w:themeColor="text1"/>
                      <w:szCs w:val="21"/>
                    </w:rPr>
                  </w:pPr>
                  <w:r>
                    <w:rPr>
                      <w:color w:val="000000" w:themeColor="text1"/>
                      <w:szCs w:val="2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10</w:t>
                  </w:r>
                </w:p>
              </w:tc>
              <w:tc>
                <w:tcPr>
                  <w:tcW w:w="2811" w:type="dxa"/>
                  <w:vAlign w:val="center"/>
                </w:tcPr>
                <w:p>
                  <w:pPr>
                    <w:pStyle w:val="24"/>
                    <w:spacing w:line="360" w:lineRule="exact"/>
                    <w:rPr>
                      <w:color w:val="000000" w:themeColor="text1"/>
                      <w:szCs w:val="21"/>
                    </w:rPr>
                  </w:pPr>
                  <w:r>
                    <w:rPr>
                      <w:color w:val="000000" w:themeColor="text1"/>
                      <w:szCs w:val="21"/>
                    </w:rPr>
                    <w:t>汞</w:t>
                  </w:r>
                </w:p>
              </w:tc>
              <w:tc>
                <w:tcPr>
                  <w:tcW w:w="2744" w:type="dxa"/>
                  <w:vAlign w:val="center"/>
                </w:tcPr>
                <w:p>
                  <w:pPr>
                    <w:pStyle w:val="24"/>
                    <w:spacing w:line="360" w:lineRule="exact"/>
                    <w:rPr>
                      <w:color w:val="000000" w:themeColor="text1"/>
                      <w:szCs w:val="21"/>
                    </w:rPr>
                  </w:pPr>
                  <w:r>
                    <w:rPr>
                      <w:color w:val="000000" w:themeColor="text1"/>
                      <w:szCs w:val="21"/>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11</w:t>
                  </w:r>
                </w:p>
              </w:tc>
              <w:tc>
                <w:tcPr>
                  <w:tcW w:w="2811" w:type="dxa"/>
                  <w:vAlign w:val="center"/>
                </w:tcPr>
                <w:p>
                  <w:pPr>
                    <w:pStyle w:val="24"/>
                    <w:spacing w:line="360" w:lineRule="exact"/>
                    <w:rPr>
                      <w:color w:val="000000" w:themeColor="text1"/>
                      <w:szCs w:val="21"/>
                    </w:rPr>
                  </w:pPr>
                  <w:r>
                    <w:rPr>
                      <w:color w:val="000000" w:themeColor="text1"/>
                      <w:szCs w:val="21"/>
                    </w:rPr>
                    <w:t>铍</w:t>
                  </w:r>
                </w:p>
              </w:tc>
              <w:tc>
                <w:tcPr>
                  <w:tcW w:w="2744" w:type="dxa"/>
                  <w:vAlign w:val="center"/>
                </w:tcPr>
                <w:p>
                  <w:pPr>
                    <w:pStyle w:val="24"/>
                    <w:spacing w:line="360" w:lineRule="exact"/>
                    <w:rPr>
                      <w:color w:val="000000" w:themeColor="text1"/>
                      <w:szCs w:val="21"/>
                    </w:rPr>
                  </w:pPr>
                  <w:r>
                    <w:rPr>
                      <w:color w:val="000000" w:themeColor="text1"/>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12</w:t>
                  </w:r>
                </w:p>
              </w:tc>
              <w:tc>
                <w:tcPr>
                  <w:tcW w:w="2811" w:type="dxa"/>
                  <w:vAlign w:val="center"/>
                </w:tcPr>
                <w:p>
                  <w:pPr>
                    <w:pStyle w:val="24"/>
                    <w:spacing w:line="360" w:lineRule="exact"/>
                    <w:rPr>
                      <w:color w:val="000000" w:themeColor="text1"/>
                      <w:szCs w:val="21"/>
                    </w:rPr>
                  </w:pPr>
                  <w:r>
                    <w:rPr>
                      <w:color w:val="000000" w:themeColor="text1"/>
                      <w:szCs w:val="21"/>
                    </w:rPr>
                    <w:t>镍</w:t>
                  </w:r>
                </w:p>
              </w:tc>
              <w:tc>
                <w:tcPr>
                  <w:tcW w:w="2744" w:type="dxa"/>
                  <w:vAlign w:val="center"/>
                </w:tcPr>
                <w:p>
                  <w:pPr>
                    <w:pStyle w:val="24"/>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13</w:t>
                  </w:r>
                </w:p>
              </w:tc>
              <w:tc>
                <w:tcPr>
                  <w:tcW w:w="2811" w:type="dxa"/>
                  <w:vAlign w:val="center"/>
                </w:tcPr>
                <w:p>
                  <w:pPr>
                    <w:pStyle w:val="24"/>
                    <w:spacing w:line="360" w:lineRule="exact"/>
                    <w:rPr>
                      <w:color w:val="000000" w:themeColor="text1"/>
                      <w:szCs w:val="21"/>
                    </w:rPr>
                  </w:pPr>
                  <w:r>
                    <w:rPr>
                      <w:color w:val="000000" w:themeColor="text1"/>
                      <w:szCs w:val="21"/>
                    </w:rPr>
                    <w:t>钡</w:t>
                  </w:r>
                </w:p>
              </w:tc>
              <w:tc>
                <w:tcPr>
                  <w:tcW w:w="2744" w:type="dxa"/>
                  <w:vAlign w:val="center"/>
                </w:tcPr>
                <w:p>
                  <w:pPr>
                    <w:pStyle w:val="24"/>
                    <w:spacing w:line="360" w:lineRule="exact"/>
                    <w:rPr>
                      <w:color w:val="000000" w:themeColor="text1"/>
                      <w:szCs w:val="21"/>
                    </w:rPr>
                  </w:pPr>
                  <w:r>
                    <w:rPr>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14</w:t>
                  </w:r>
                </w:p>
              </w:tc>
              <w:tc>
                <w:tcPr>
                  <w:tcW w:w="2811" w:type="dxa"/>
                  <w:vAlign w:val="center"/>
                </w:tcPr>
                <w:p>
                  <w:pPr>
                    <w:pStyle w:val="24"/>
                    <w:spacing w:line="360" w:lineRule="exact"/>
                    <w:rPr>
                      <w:color w:val="000000" w:themeColor="text1"/>
                      <w:szCs w:val="21"/>
                    </w:rPr>
                  </w:pPr>
                  <w:r>
                    <w:rPr>
                      <w:color w:val="000000" w:themeColor="text1"/>
                      <w:szCs w:val="21"/>
                    </w:rPr>
                    <w:t>银</w:t>
                  </w:r>
                </w:p>
              </w:tc>
              <w:tc>
                <w:tcPr>
                  <w:tcW w:w="2744" w:type="dxa"/>
                  <w:vAlign w:val="center"/>
                </w:tcPr>
                <w:p>
                  <w:pPr>
                    <w:pStyle w:val="24"/>
                    <w:spacing w:line="360" w:lineRule="exact"/>
                    <w:rPr>
                      <w:color w:val="000000" w:themeColor="text1"/>
                      <w:szCs w:val="21"/>
                    </w:rPr>
                  </w:pPr>
                  <w:r>
                    <w:rPr>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15</w:t>
                  </w:r>
                </w:p>
              </w:tc>
              <w:tc>
                <w:tcPr>
                  <w:tcW w:w="2811" w:type="dxa"/>
                  <w:vAlign w:val="center"/>
                </w:tcPr>
                <w:p>
                  <w:pPr>
                    <w:pStyle w:val="24"/>
                    <w:spacing w:line="360" w:lineRule="exact"/>
                    <w:rPr>
                      <w:color w:val="000000" w:themeColor="text1"/>
                      <w:szCs w:val="21"/>
                    </w:rPr>
                  </w:pPr>
                  <w:r>
                    <w:rPr>
                      <w:color w:val="000000" w:themeColor="text1"/>
                      <w:szCs w:val="21"/>
                    </w:rPr>
                    <w:t>总铬</w:t>
                  </w:r>
                </w:p>
              </w:tc>
              <w:tc>
                <w:tcPr>
                  <w:tcW w:w="2744" w:type="dxa"/>
                  <w:vAlign w:val="center"/>
                </w:tcPr>
                <w:p>
                  <w:pPr>
                    <w:pStyle w:val="24"/>
                    <w:spacing w:line="360" w:lineRule="exact"/>
                    <w:rPr>
                      <w:color w:val="000000" w:themeColor="text1"/>
                      <w:szCs w:val="21"/>
                    </w:rPr>
                  </w:pPr>
                  <w:r>
                    <w:rPr>
                      <w:color w:val="000000" w:themeColor="text1"/>
                      <w:szCs w:val="21"/>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41" w:type="dxa"/>
                  <w:vMerge w:val="continue"/>
                  <w:vAlign w:val="center"/>
                </w:tcPr>
                <w:p>
                  <w:pPr>
                    <w:pStyle w:val="24"/>
                    <w:spacing w:line="360" w:lineRule="exact"/>
                    <w:rPr>
                      <w:color w:val="000000" w:themeColor="text1"/>
                      <w:szCs w:val="21"/>
                    </w:rPr>
                  </w:pPr>
                </w:p>
              </w:tc>
              <w:tc>
                <w:tcPr>
                  <w:tcW w:w="1126" w:type="dxa"/>
                  <w:vAlign w:val="center"/>
                </w:tcPr>
                <w:p>
                  <w:pPr>
                    <w:pStyle w:val="24"/>
                    <w:spacing w:line="360" w:lineRule="exact"/>
                    <w:rPr>
                      <w:color w:val="000000" w:themeColor="text1"/>
                      <w:szCs w:val="21"/>
                    </w:rPr>
                  </w:pPr>
                  <w:r>
                    <w:rPr>
                      <w:color w:val="000000" w:themeColor="text1"/>
                      <w:szCs w:val="21"/>
                    </w:rPr>
                    <w:t>16</w:t>
                  </w:r>
                </w:p>
              </w:tc>
              <w:tc>
                <w:tcPr>
                  <w:tcW w:w="2811" w:type="dxa"/>
                  <w:vAlign w:val="center"/>
                </w:tcPr>
                <w:p>
                  <w:pPr>
                    <w:pStyle w:val="24"/>
                    <w:spacing w:line="360" w:lineRule="exact"/>
                    <w:rPr>
                      <w:color w:val="000000" w:themeColor="text1"/>
                      <w:szCs w:val="21"/>
                    </w:rPr>
                  </w:pPr>
                  <w:r>
                    <w:rPr>
                      <w:color w:val="000000" w:themeColor="text1"/>
                      <w:szCs w:val="21"/>
                    </w:rPr>
                    <w:t>烷基汞</w:t>
                  </w:r>
                </w:p>
              </w:tc>
              <w:tc>
                <w:tcPr>
                  <w:tcW w:w="2744" w:type="dxa"/>
                  <w:vAlign w:val="center"/>
                </w:tcPr>
                <w:p>
                  <w:pPr>
                    <w:pStyle w:val="24"/>
                    <w:spacing w:line="360" w:lineRule="exact"/>
                    <w:rPr>
                      <w:color w:val="000000" w:themeColor="text1"/>
                      <w:szCs w:val="21"/>
                    </w:rPr>
                  </w:pPr>
                  <w:r>
                    <w:rPr>
                      <w:color w:val="000000" w:themeColor="text1"/>
                      <w:szCs w:val="21"/>
                    </w:rPr>
                    <w:t>不得检出</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若浸出液中任何一种污染物的浓度均未超过上表限值，则该废物不是危险废物。判断固体废物不属于危险废物后，再将浸出液和《污水综合排放标准》（GB8978-1996）一级标准限值进行对照，达到其标准限值，且pH值在6-9范围之内的一般工业固体废物为第I类一般工业固体废物；反之则一般工业固体废物为第II类一般工业固体废物。《污水综合排放标准》（GB8978-1996）一级标准限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3.4</w:t>
            </w:r>
            <w:r>
              <w:rPr>
                <w:rFonts w:ascii="Times New Roman" w:hAnsi="Times New Roman" w:cs="Times New Roman"/>
                <w:b/>
                <w:color w:val="000000" w:themeColor="text1"/>
                <w:szCs w:val="24"/>
              </w:rPr>
              <w:t>.</w:t>
            </w:r>
            <w:r>
              <w:rPr>
                <w:rFonts w:hint="eastAsia" w:ascii="Times New Roman" w:hAnsi="Times New Roman" w:cs="Times New Roman"/>
                <w:b/>
                <w:color w:val="000000" w:themeColor="text1"/>
                <w:szCs w:val="24"/>
              </w:rPr>
              <w:t>4-2</w:t>
            </w:r>
            <w:r>
              <w:rPr>
                <w:rFonts w:ascii="Times New Roman" w:hAnsi="Times New Roman" w:cs="Times New Roman"/>
                <w:b/>
                <w:color w:val="000000" w:themeColor="text1"/>
                <w:szCs w:val="24"/>
              </w:rPr>
              <w:t xml:space="preserve">  污水综合排放标准排放限值    （单位： mg/L，pH除外）</w:t>
            </w:r>
          </w:p>
          <w:tbl>
            <w:tblPr>
              <w:tblStyle w:val="14"/>
              <w:tblW w:w="5000" w:type="pct"/>
              <w:jc w:val="center"/>
              <w:tblLayout w:type="fixed"/>
              <w:tblCellMar>
                <w:top w:w="0" w:type="dxa"/>
                <w:left w:w="108" w:type="dxa"/>
                <w:bottom w:w="0" w:type="dxa"/>
                <w:right w:w="108" w:type="dxa"/>
              </w:tblCellMar>
            </w:tblPr>
            <w:tblGrid>
              <w:gridCol w:w="1653"/>
              <w:gridCol w:w="1118"/>
              <w:gridCol w:w="1113"/>
              <w:gridCol w:w="1109"/>
              <w:gridCol w:w="1109"/>
              <w:gridCol w:w="1109"/>
              <w:gridCol w:w="1394"/>
            </w:tblGrid>
            <w:tr>
              <w:tblPrEx>
                <w:tblCellMar>
                  <w:top w:w="0" w:type="dxa"/>
                  <w:left w:w="108" w:type="dxa"/>
                  <w:bottom w:w="0" w:type="dxa"/>
                  <w:right w:w="108" w:type="dxa"/>
                </w:tblCellMar>
              </w:tblPrEx>
              <w:trPr>
                <w:trHeight w:val="280" w:hRule="atLeast"/>
                <w:jc w:val="center"/>
              </w:trPr>
              <w:tc>
                <w:tcPr>
                  <w:tcW w:w="1677" w:type="dxa"/>
                  <w:tcBorders>
                    <w:top w:val="single" w:color="000000" w:sz="4" w:space="0"/>
                    <w:left w:val="single" w:color="000000" w:sz="4"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项目</w:t>
                  </w:r>
                </w:p>
              </w:tc>
              <w:tc>
                <w:tcPr>
                  <w:tcW w:w="1134" w:type="dxa"/>
                  <w:tcBorders>
                    <w:top w:val="single" w:color="000000" w:sz="4"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pH</w:t>
                  </w:r>
                </w:p>
              </w:tc>
              <w:tc>
                <w:tcPr>
                  <w:tcW w:w="1127" w:type="dxa"/>
                  <w:tcBorders>
                    <w:top w:val="single" w:color="000000" w:sz="4"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总铜</w:t>
                  </w:r>
                </w:p>
              </w:tc>
              <w:tc>
                <w:tcPr>
                  <w:tcW w:w="1123" w:type="dxa"/>
                  <w:tcBorders>
                    <w:top w:val="single" w:color="000000" w:sz="4"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总锌</w:t>
                  </w:r>
                </w:p>
              </w:tc>
              <w:tc>
                <w:tcPr>
                  <w:tcW w:w="1123" w:type="dxa"/>
                  <w:tcBorders>
                    <w:top w:val="single" w:color="000000" w:sz="4"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总铅</w:t>
                  </w:r>
                </w:p>
              </w:tc>
              <w:tc>
                <w:tcPr>
                  <w:tcW w:w="1123" w:type="dxa"/>
                  <w:tcBorders>
                    <w:top w:val="single" w:color="000000" w:sz="4"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总镉</w:t>
                  </w:r>
                </w:p>
              </w:tc>
              <w:tc>
                <w:tcPr>
                  <w:tcW w:w="1413" w:type="dxa"/>
                  <w:tcBorders>
                    <w:top w:val="single" w:color="000000" w:sz="4" w:space="0"/>
                    <w:left w:val="single" w:color="000000" w:sz="6" w:space="0"/>
                    <w:bottom w:val="single" w:color="000000" w:sz="6" w:space="0"/>
                    <w:right w:val="single" w:color="000000" w:sz="4" w:space="0"/>
                  </w:tcBorders>
                  <w:vAlign w:val="center"/>
                </w:tcPr>
                <w:p>
                  <w:pPr>
                    <w:pStyle w:val="24"/>
                    <w:spacing w:line="360" w:lineRule="exact"/>
                    <w:rPr>
                      <w:color w:val="000000" w:themeColor="text1"/>
                      <w:szCs w:val="21"/>
                    </w:rPr>
                  </w:pPr>
                  <w:r>
                    <w:rPr>
                      <w:color w:val="000000" w:themeColor="text1"/>
                      <w:szCs w:val="21"/>
                    </w:rPr>
                    <w:t>六价铬</w:t>
                  </w:r>
                </w:p>
              </w:tc>
            </w:tr>
            <w:tr>
              <w:tblPrEx>
                <w:tblCellMar>
                  <w:top w:w="0" w:type="dxa"/>
                  <w:left w:w="108" w:type="dxa"/>
                  <w:bottom w:w="0" w:type="dxa"/>
                  <w:right w:w="108" w:type="dxa"/>
                </w:tblCellMar>
              </w:tblPrEx>
              <w:trPr>
                <w:trHeight w:val="294" w:hRule="atLeast"/>
                <w:jc w:val="center"/>
              </w:trPr>
              <w:tc>
                <w:tcPr>
                  <w:tcW w:w="1677" w:type="dxa"/>
                  <w:tcBorders>
                    <w:top w:val="single" w:color="000000" w:sz="6" w:space="0"/>
                    <w:left w:val="single" w:color="000000" w:sz="4"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一级标准值</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6-9</w:t>
                  </w:r>
                </w:p>
              </w:tc>
              <w:tc>
                <w:tcPr>
                  <w:tcW w:w="1127"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0.5</w:t>
                  </w:r>
                </w:p>
              </w:tc>
              <w:tc>
                <w:tcPr>
                  <w:tcW w:w="1123"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2.0</w:t>
                  </w:r>
                </w:p>
              </w:tc>
              <w:tc>
                <w:tcPr>
                  <w:tcW w:w="1123"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1.0</w:t>
                  </w:r>
                </w:p>
              </w:tc>
              <w:tc>
                <w:tcPr>
                  <w:tcW w:w="1123"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0.1</w:t>
                  </w:r>
                </w:p>
              </w:tc>
              <w:tc>
                <w:tcPr>
                  <w:tcW w:w="1413" w:type="dxa"/>
                  <w:tcBorders>
                    <w:top w:val="single" w:color="000000" w:sz="6" w:space="0"/>
                    <w:left w:val="single" w:color="000000" w:sz="6" w:space="0"/>
                    <w:bottom w:val="single" w:color="000000" w:sz="6" w:space="0"/>
                    <w:right w:val="single" w:color="000000" w:sz="4" w:space="0"/>
                  </w:tcBorders>
                  <w:vAlign w:val="center"/>
                </w:tcPr>
                <w:p>
                  <w:pPr>
                    <w:pStyle w:val="24"/>
                    <w:spacing w:line="360" w:lineRule="exact"/>
                    <w:rPr>
                      <w:color w:val="000000" w:themeColor="text1"/>
                      <w:szCs w:val="21"/>
                    </w:rPr>
                  </w:pPr>
                  <w:r>
                    <w:rPr>
                      <w:color w:val="000000" w:themeColor="text1"/>
                      <w:szCs w:val="21"/>
                    </w:rPr>
                    <w:t>0.5</w:t>
                  </w:r>
                </w:p>
              </w:tc>
            </w:tr>
            <w:tr>
              <w:tblPrEx>
                <w:tblCellMar>
                  <w:top w:w="0" w:type="dxa"/>
                  <w:left w:w="108" w:type="dxa"/>
                  <w:bottom w:w="0" w:type="dxa"/>
                  <w:right w:w="108" w:type="dxa"/>
                </w:tblCellMar>
              </w:tblPrEx>
              <w:trPr>
                <w:trHeight w:val="294" w:hRule="atLeast"/>
                <w:jc w:val="center"/>
              </w:trPr>
              <w:tc>
                <w:tcPr>
                  <w:tcW w:w="1677" w:type="dxa"/>
                  <w:tcBorders>
                    <w:top w:val="single" w:color="000000" w:sz="6" w:space="0"/>
                    <w:left w:val="single" w:color="000000" w:sz="4"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项目</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总铬</w:t>
                  </w:r>
                </w:p>
              </w:tc>
              <w:tc>
                <w:tcPr>
                  <w:tcW w:w="1127"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总镍</w:t>
                  </w:r>
                </w:p>
              </w:tc>
              <w:tc>
                <w:tcPr>
                  <w:tcW w:w="1123"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总银</w:t>
                  </w:r>
                </w:p>
              </w:tc>
              <w:tc>
                <w:tcPr>
                  <w:tcW w:w="1123"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总砷</w:t>
                  </w:r>
                </w:p>
              </w:tc>
              <w:tc>
                <w:tcPr>
                  <w:tcW w:w="1123" w:type="dxa"/>
                  <w:tcBorders>
                    <w:top w:val="single" w:color="000000" w:sz="6" w:space="0"/>
                    <w:left w:val="single" w:color="000000" w:sz="6" w:space="0"/>
                    <w:bottom w:val="single" w:color="000000" w:sz="6" w:space="0"/>
                    <w:right w:val="single" w:color="000000" w:sz="6" w:space="0"/>
                  </w:tcBorders>
                  <w:vAlign w:val="center"/>
                </w:tcPr>
                <w:p>
                  <w:pPr>
                    <w:pStyle w:val="24"/>
                    <w:spacing w:line="360" w:lineRule="exact"/>
                    <w:rPr>
                      <w:color w:val="000000" w:themeColor="text1"/>
                      <w:szCs w:val="21"/>
                    </w:rPr>
                  </w:pPr>
                  <w:r>
                    <w:rPr>
                      <w:color w:val="000000" w:themeColor="text1"/>
                      <w:szCs w:val="21"/>
                    </w:rPr>
                    <w:t>氟化物</w:t>
                  </w:r>
                </w:p>
              </w:tc>
              <w:tc>
                <w:tcPr>
                  <w:tcW w:w="1413" w:type="dxa"/>
                  <w:tcBorders>
                    <w:top w:val="single" w:color="000000" w:sz="6" w:space="0"/>
                    <w:left w:val="single" w:color="000000" w:sz="6" w:space="0"/>
                    <w:bottom w:val="single" w:color="000000" w:sz="6" w:space="0"/>
                    <w:right w:val="single" w:color="000000" w:sz="4" w:space="0"/>
                  </w:tcBorders>
                  <w:vAlign w:val="center"/>
                </w:tcPr>
                <w:p>
                  <w:pPr>
                    <w:pStyle w:val="24"/>
                    <w:spacing w:line="360" w:lineRule="exact"/>
                    <w:rPr>
                      <w:color w:val="000000" w:themeColor="text1"/>
                      <w:szCs w:val="21"/>
                    </w:rPr>
                  </w:pPr>
                  <w:r>
                    <w:rPr>
                      <w:color w:val="000000" w:themeColor="text1"/>
                      <w:szCs w:val="21"/>
                    </w:rPr>
                    <w:t>--</w:t>
                  </w:r>
                </w:p>
              </w:tc>
            </w:tr>
            <w:tr>
              <w:tblPrEx>
                <w:tblCellMar>
                  <w:top w:w="0" w:type="dxa"/>
                  <w:left w:w="108" w:type="dxa"/>
                  <w:bottom w:w="0" w:type="dxa"/>
                  <w:right w:w="108" w:type="dxa"/>
                </w:tblCellMar>
              </w:tblPrEx>
              <w:trPr>
                <w:trHeight w:val="294" w:hRule="atLeast"/>
                <w:jc w:val="center"/>
              </w:trPr>
              <w:tc>
                <w:tcPr>
                  <w:tcW w:w="1677" w:type="dxa"/>
                  <w:tcBorders>
                    <w:top w:val="single" w:color="000000" w:sz="6" w:space="0"/>
                    <w:left w:val="single" w:color="000000" w:sz="4" w:space="0"/>
                    <w:bottom w:val="single" w:color="000000" w:sz="4" w:space="0"/>
                    <w:right w:val="single" w:color="000000" w:sz="6" w:space="0"/>
                  </w:tcBorders>
                  <w:vAlign w:val="center"/>
                </w:tcPr>
                <w:p>
                  <w:pPr>
                    <w:pStyle w:val="24"/>
                    <w:spacing w:line="360" w:lineRule="exact"/>
                    <w:rPr>
                      <w:color w:val="000000" w:themeColor="text1"/>
                      <w:szCs w:val="21"/>
                    </w:rPr>
                  </w:pPr>
                  <w:r>
                    <w:rPr>
                      <w:color w:val="000000" w:themeColor="text1"/>
                      <w:szCs w:val="21"/>
                    </w:rPr>
                    <w:t>一级标准值</w:t>
                  </w:r>
                </w:p>
              </w:tc>
              <w:tc>
                <w:tcPr>
                  <w:tcW w:w="1134" w:type="dxa"/>
                  <w:tcBorders>
                    <w:top w:val="single" w:color="000000" w:sz="6" w:space="0"/>
                    <w:left w:val="single" w:color="000000" w:sz="6" w:space="0"/>
                    <w:bottom w:val="single" w:color="000000" w:sz="4" w:space="0"/>
                    <w:right w:val="single" w:color="000000" w:sz="6" w:space="0"/>
                  </w:tcBorders>
                  <w:vAlign w:val="center"/>
                </w:tcPr>
                <w:p>
                  <w:pPr>
                    <w:pStyle w:val="24"/>
                    <w:spacing w:line="360" w:lineRule="exact"/>
                    <w:rPr>
                      <w:color w:val="000000" w:themeColor="text1"/>
                      <w:szCs w:val="21"/>
                    </w:rPr>
                  </w:pPr>
                  <w:r>
                    <w:rPr>
                      <w:color w:val="000000" w:themeColor="text1"/>
                      <w:szCs w:val="21"/>
                    </w:rPr>
                    <w:t>1.5</w:t>
                  </w:r>
                </w:p>
              </w:tc>
              <w:tc>
                <w:tcPr>
                  <w:tcW w:w="1127" w:type="dxa"/>
                  <w:tcBorders>
                    <w:top w:val="single" w:color="000000" w:sz="6" w:space="0"/>
                    <w:left w:val="single" w:color="000000" w:sz="6" w:space="0"/>
                    <w:bottom w:val="single" w:color="000000" w:sz="4" w:space="0"/>
                    <w:right w:val="single" w:color="000000" w:sz="6" w:space="0"/>
                  </w:tcBorders>
                  <w:vAlign w:val="center"/>
                </w:tcPr>
                <w:p>
                  <w:pPr>
                    <w:pStyle w:val="24"/>
                    <w:spacing w:line="360" w:lineRule="exact"/>
                    <w:rPr>
                      <w:color w:val="000000" w:themeColor="text1"/>
                      <w:szCs w:val="21"/>
                    </w:rPr>
                  </w:pPr>
                  <w:r>
                    <w:rPr>
                      <w:color w:val="000000" w:themeColor="text1"/>
                      <w:szCs w:val="21"/>
                    </w:rPr>
                    <w:t>1.0</w:t>
                  </w:r>
                </w:p>
              </w:tc>
              <w:tc>
                <w:tcPr>
                  <w:tcW w:w="1123" w:type="dxa"/>
                  <w:tcBorders>
                    <w:top w:val="single" w:color="000000" w:sz="6" w:space="0"/>
                    <w:left w:val="single" w:color="000000" w:sz="6" w:space="0"/>
                    <w:bottom w:val="single" w:color="000000" w:sz="4" w:space="0"/>
                    <w:right w:val="single" w:color="000000" w:sz="6" w:space="0"/>
                  </w:tcBorders>
                  <w:vAlign w:val="center"/>
                </w:tcPr>
                <w:p>
                  <w:pPr>
                    <w:pStyle w:val="24"/>
                    <w:spacing w:line="360" w:lineRule="exact"/>
                    <w:rPr>
                      <w:color w:val="000000" w:themeColor="text1"/>
                      <w:szCs w:val="21"/>
                    </w:rPr>
                  </w:pPr>
                  <w:r>
                    <w:rPr>
                      <w:color w:val="000000" w:themeColor="text1"/>
                      <w:szCs w:val="21"/>
                    </w:rPr>
                    <w:t>0.5</w:t>
                  </w:r>
                </w:p>
              </w:tc>
              <w:tc>
                <w:tcPr>
                  <w:tcW w:w="1123" w:type="dxa"/>
                  <w:tcBorders>
                    <w:top w:val="single" w:color="000000" w:sz="6" w:space="0"/>
                    <w:left w:val="single" w:color="000000" w:sz="6" w:space="0"/>
                    <w:bottom w:val="single" w:color="000000" w:sz="4" w:space="0"/>
                    <w:right w:val="single" w:color="000000" w:sz="6" w:space="0"/>
                  </w:tcBorders>
                  <w:vAlign w:val="center"/>
                </w:tcPr>
                <w:p>
                  <w:pPr>
                    <w:pStyle w:val="24"/>
                    <w:spacing w:line="360" w:lineRule="exact"/>
                    <w:rPr>
                      <w:color w:val="000000" w:themeColor="text1"/>
                      <w:szCs w:val="21"/>
                    </w:rPr>
                  </w:pPr>
                  <w:r>
                    <w:rPr>
                      <w:color w:val="000000" w:themeColor="text1"/>
                      <w:szCs w:val="21"/>
                    </w:rPr>
                    <w:t>0.5</w:t>
                  </w:r>
                </w:p>
              </w:tc>
              <w:tc>
                <w:tcPr>
                  <w:tcW w:w="1123" w:type="dxa"/>
                  <w:tcBorders>
                    <w:top w:val="single" w:color="000000" w:sz="6" w:space="0"/>
                    <w:left w:val="single" w:color="000000" w:sz="6" w:space="0"/>
                    <w:bottom w:val="single" w:color="000000" w:sz="4" w:space="0"/>
                    <w:right w:val="single" w:color="000000" w:sz="6" w:space="0"/>
                  </w:tcBorders>
                  <w:vAlign w:val="center"/>
                </w:tcPr>
                <w:p>
                  <w:pPr>
                    <w:pStyle w:val="24"/>
                    <w:spacing w:line="360" w:lineRule="exact"/>
                    <w:rPr>
                      <w:color w:val="000000" w:themeColor="text1"/>
                      <w:szCs w:val="21"/>
                    </w:rPr>
                  </w:pPr>
                  <w:r>
                    <w:rPr>
                      <w:color w:val="000000" w:themeColor="text1"/>
                      <w:szCs w:val="21"/>
                    </w:rPr>
                    <w:t>10</w:t>
                  </w:r>
                </w:p>
              </w:tc>
              <w:tc>
                <w:tcPr>
                  <w:tcW w:w="1413" w:type="dxa"/>
                  <w:tcBorders>
                    <w:top w:val="single" w:color="000000" w:sz="6" w:space="0"/>
                    <w:left w:val="single" w:color="000000" w:sz="6" w:space="0"/>
                    <w:bottom w:val="single" w:color="000000" w:sz="4" w:space="0"/>
                    <w:right w:val="single" w:color="000000" w:sz="4" w:space="0"/>
                  </w:tcBorders>
                  <w:vAlign w:val="center"/>
                </w:tcPr>
                <w:p>
                  <w:pPr>
                    <w:pStyle w:val="24"/>
                    <w:spacing w:line="360" w:lineRule="exact"/>
                    <w:rPr>
                      <w:color w:val="000000" w:themeColor="text1"/>
                      <w:szCs w:val="21"/>
                    </w:rPr>
                  </w:pPr>
                  <w:r>
                    <w:rPr>
                      <w:color w:val="000000" w:themeColor="text1"/>
                      <w:szCs w:val="21"/>
                    </w:rPr>
                    <w:t>--</w:t>
                  </w:r>
                </w:p>
              </w:tc>
            </w:tr>
          </w:tbl>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1" w:type="dxa"/>
            <w:vAlign w:val="center"/>
          </w:tcPr>
          <w:p>
            <w:pPr>
              <w:spacing w:beforeLines="50" w:line="360" w:lineRule="auto"/>
              <w:ind w:firstLine="360" w:firstLineChars="15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（1）废气产排量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根据工程分析可知，本项目废气产生及排放情况包括</w:t>
            </w:r>
            <w:r>
              <w:rPr>
                <w:rFonts w:hint="eastAsia" w:ascii="Times New Roman" w:hAnsi="Times New Roman" w:cs="Times New Roman"/>
                <w:color w:val="000000" w:themeColor="text1"/>
                <w:sz w:val="24"/>
                <w:szCs w:val="24"/>
              </w:rPr>
              <w:t>烘干线废气和废渣暂存库扬尘</w:t>
            </w:r>
            <w:r>
              <w:rPr>
                <w:rFonts w:ascii="Times New Roman" w:hAnsi="Times New Roman" w:cs="Times New Roman"/>
                <w:color w:val="000000" w:themeColor="text1"/>
                <w:sz w:val="24"/>
                <w:szCs w:val="24"/>
              </w:rPr>
              <w:t>，其中</w:t>
            </w:r>
            <w:r>
              <w:rPr>
                <w:rFonts w:hint="eastAsia" w:ascii="Times New Roman" w:hAnsi="Times New Roman" w:cs="Times New Roman"/>
                <w:color w:val="000000" w:themeColor="text1"/>
                <w:sz w:val="24"/>
                <w:szCs w:val="24"/>
              </w:rPr>
              <w:t>烘干废气中</w:t>
            </w:r>
            <w:r>
              <w:rPr>
                <w:rFonts w:ascii="Times New Roman" w:hAnsi="Times New Roman" w:cs="Times New Roman"/>
                <w:color w:val="000000" w:themeColor="text1"/>
                <w:sz w:val="24"/>
                <w:szCs w:val="24"/>
              </w:rPr>
              <w:t>废气量为</w:t>
            </w:r>
            <w:r>
              <w:rPr>
                <w:rFonts w:hint="eastAsia" w:ascii="Times New Roman" w:hAnsi="Times New Roman" w:cs="Times New Roman"/>
                <w:color w:val="000000" w:themeColor="text1"/>
                <w:sz w:val="24"/>
                <w:szCs w:val="24"/>
              </w:rPr>
              <w:t>4752万</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颗粒物产生量为</w:t>
            </w:r>
            <w:r>
              <w:rPr>
                <w:rFonts w:ascii="Times New Roman" w:hAnsi="Times New Roman" w:cs="Times New Roman"/>
                <w:color w:val="000000" w:themeColor="text1"/>
                <w:sz w:val="24"/>
                <w:szCs w:val="24"/>
              </w:rPr>
              <w:t>8.39t/a</w:t>
            </w:r>
            <w:r>
              <w:rPr>
                <w:rFonts w:hint="eastAsia" w:ascii="Times New Roman" w:hAnsi="Times New Roman" w:cs="Times New Roman"/>
                <w:color w:val="000000" w:themeColor="text1"/>
                <w:sz w:val="24"/>
                <w:szCs w:val="24"/>
              </w:rPr>
              <w:t>，有组织排放量为</w:t>
            </w:r>
            <w:r>
              <w:rPr>
                <w:rFonts w:ascii="Times New Roman" w:hAnsi="Times New Roman" w:cs="Times New Roman"/>
                <w:color w:val="000000" w:themeColor="text1"/>
                <w:sz w:val="24"/>
                <w:szCs w:val="24"/>
              </w:rPr>
              <w:t>1.01t/a</w:t>
            </w:r>
            <w:r>
              <w:rPr>
                <w:rFonts w:hint="eastAsia" w:ascii="Times New Roman" w:hAnsi="Times New Roman" w:cs="Times New Roman"/>
                <w:color w:val="000000" w:themeColor="text1"/>
                <w:sz w:val="24"/>
                <w:szCs w:val="24"/>
              </w:rPr>
              <w:t>，SO</w:t>
            </w:r>
            <w:r>
              <w:rPr>
                <w:rFonts w:hint="eastAsia" w:ascii="Times New Roman" w:hAnsi="Times New Roman" w:cs="Times New Roman"/>
                <w:color w:val="000000" w:themeColor="text1"/>
                <w:sz w:val="24"/>
                <w:szCs w:val="24"/>
                <w:vertAlign w:val="subscript"/>
              </w:rPr>
              <w:t>2</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0.3t/a</w:t>
            </w:r>
            <w:r>
              <w:rPr>
                <w:rFonts w:hint="eastAsia" w:ascii="Times New Roman" w:hAnsi="Times New Roman" w:cs="Times New Roman"/>
                <w:color w:val="000000" w:themeColor="text1"/>
                <w:sz w:val="24"/>
                <w:szCs w:val="24"/>
              </w:rPr>
              <w:t>，有组织排放量为</w:t>
            </w:r>
            <w:r>
              <w:rPr>
                <w:rFonts w:ascii="Times New Roman" w:hAnsi="Times New Roman" w:cs="Times New Roman"/>
                <w:color w:val="000000" w:themeColor="text1"/>
                <w:sz w:val="24"/>
                <w:szCs w:val="24"/>
              </w:rPr>
              <w:t>0.3t/a</w:t>
            </w:r>
            <w:r>
              <w:rPr>
                <w:rFonts w:hint="eastAsia" w:ascii="Times New Roman" w:hAnsi="Times New Roman" w:cs="Times New Roman"/>
                <w:color w:val="000000" w:themeColor="text1"/>
                <w:sz w:val="24"/>
                <w:szCs w:val="24"/>
              </w:rPr>
              <w:t>，NOx产生量为</w:t>
            </w:r>
            <w:r>
              <w:rPr>
                <w:rFonts w:ascii="Times New Roman" w:hAnsi="Times New Roman" w:cs="Times New Roman"/>
                <w:color w:val="000000" w:themeColor="text1"/>
                <w:sz w:val="24"/>
                <w:szCs w:val="24"/>
              </w:rPr>
              <w:t>2.81t/a</w:t>
            </w:r>
            <w:r>
              <w:rPr>
                <w:rFonts w:hint="eastAsia" w:ascii="Times New Roman" w:hAnsi="Times New Roman" w:cs="Times New Roman"/>
                <w:color w:val="000000" w:themeColor="text1"/>
                <w:sz w:val="24"/>
                <w:szCs w:val="24"/>
              </w:rPr>
              <w:t>，有组织排放量为</w:t>
            </w:r>
            <w:r>
              <w:rPr>
                <w:rFonts w:ascii="Times New Roman" w:hAnsi="Times New Roman" w:cs="Times New Roman"/>
                <w:color w:val="000000" w:themeColor="text1"/>
                <w:sz w:val="24"/>
                <w:szCs w:val="24"/>
              </w:rPr>
              <w:t>2.81t/a</w:t>
            </w:r>
            <w:r>
              <w:rPr>
                <w:rFonts w:hint="eastAsia" w:ascii="Times New Roman" w:hAnsi="Times New Roman" w:cs="Times New Roman"/>
                <w:color w:val="000000" w:themeColor="text1"/>
                <w:sz w:val="24"/>
                <w:szCs w:val="24"/>
              </w:rPr>
              <w:t>；无组织粉尘产生量为0.78</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，无组织排放量为</w:t>
            </w:r>
            <w:r>
              <w:rPr>
                <w:rFonts w:ascii="Times New Roman" w:hAnsi="Times New Roman" w:cs="Times New Roman"/>
                <w:color w:val="000000" w:themeColor="text1"/>
                <w:sz w:val="24"/>
                <w:szCs w:val="24"/>
              </w:rPr>
              <w:t>0.</w:t>
            </w:r>
            <w:r>
              <w:rPr>
                <w:rFonts w:hint="eastAsia"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（2）废水产排量</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①生产废水</w:t>
            </w:r>
          </w:p>
          <w:p>
            <w:pPr>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项目生产废水产生量为444001.8</w:t>
            </w:r>
            <w:r>
              <w:rPr>
                <w:rFonts w:ascii="Times New Roman" w:hAnsi="Times New Roman" w:cs="Times New Roman"/>
                <w:color w:val="000000" w:themeColor="text1"/>
                <w:sz w:val="24"/>
                <w:szCs w:val="24"/>
              </w:rPr>
              <w:t xml:space="preserve">m³/a </w:t>
            </w:r>
            <w:r>
              <w:rPr>
                <w:rFonts w:hint="eastAsia" w:ascii="Times New Roman" w:hAnsi="Times New Roman" w:cs="Times New Roman"/>
                <w:color w:val="000000" w:themeColor="text1"/>
                <w:sz w:val="24"/>
                <w:szCs w:val="24"/>
              </w:rPr>
              <w:t>，其中</w:t>
            </w:r>
            <w:r>
              <w:rPr>
                <w:rFonts w:ascii="Times New Roman" w:hAnsi="Times New Roman" w:cs="Times New Roman"/>
                <w:color w:val="000000" w:themeColor="text1"/>
                <w:sz w:val="24"/>
                <w:szCs w:val="24"/>
              </w:rPr>
              <w:t>CODcr产生量为26.64t/a；SS产生量为133.20t/a；NH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-N产生量为0.02t/a；BOD</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产生量为2.00t/a；</w:t>
            </w:r>
            <w:r>
              <w:rPr>
                <w:rFonts w:hint="eastAsia" w:ascii="Times New Roman" w:hAnsi="Times New Roman" w:cs="Times New Roman"/>
                <w:color w:val="000000" w:themeColor="text1"/>
                <w:sz w:val="24"/>
                <w:szCs w:val="24"/>
              </w:rPr>
              <w:t>Cr</w:t>
            </w:r>
            <w:r>
              <w:rPr>
                <w:rFonts w:ascii="Times New Roman" w:hAnsi="Times New Roman" w:cs="Times New Roman"/>
                <w:color w:val="000000" w:themeColor="text1"/>
                <w:sz w:val="24"/>
                <w:szCs w:val="24"/>
              </w:rPr>
              <w:t>产生量为0.003t/a；Pb产生量为0.004t/a；Fe产生量为0.22t/a；氟化物产生量为0.</w:t>
            </w:r>
            <w:r>
              <w:rPr>
                <w:rFonts w:hint="eastAsia" w:ascii="Times New Roman" w:hAnsi="Times New Roman" w:cs="Times New Roman"/>
                <w:color w:val="000000" w:themeColor="text1"/>
                <w:sz w:val="24"/>
                <w:szCs w:val="24"/>
              </w:rPr>
              <w:t>56</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项目拟在生产车间旁配套设置1个有效容积约为</w:t>
            </w:r>
            <w:r>
              <w:rPr>
                <w:rFonts w:ascii="Times New Roman" w:hAnsi="Times New Roman" w:cs="Times New Roman"/>
                <w:color w:val="000000" w:themeColor="text1"/>
                <w:sz w:val="24"/>
                <w:szCs w:val="24"/>
              </w:rPr>
              <w:t>1</w:t>
            </w:r>
            <w:r>
              <w:rPr>
                <w:rFonts w:hint="eastAsia"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m³的</w:t>
            </w:r>
            <w:r>
              <w:rPr>
                <w:rFonts w:hint="eastAsia" w:ascii="Times New Roman" w:hAnsi="Times New Roman" w:cs="Times New Roman"/>
                <w:color w:val="000000" w:themeColor="text1"/>
                <w:sz w:val="24"/>
                <w:szCs w:val="24"/>
              </w:rPr>
              <w:t>废水收集调节池，对各工序产生的废水进行收集、调节后进入有效容积约为640</w:t>
            </w:r>
            <w:r>
              <w:rPr>
                <w:rFonts w:ascii="Times New Roman" w:hAnsi="Times New Roman" w:cs="Times New Roman"/>
                <w:color w:val="000000" w:themeColor="text1"/>
                <w:sz w:val="24"/>
                <w:szCs w:val="24"/>
              </w:rPr>
              <w:t>m³的</w:t>
            </w:r>
            <w:r>
              <w:rPr>
                <w:rFonts w:hint="eastAsia" w:ascii="Times New Roman" w:hAnsi="Times New Roman" w:cs="Times New Roman"/>
                <w:color w:val="000000" w:themeColor="text1"/>
                <w:sz w:val="24"/>
                <w:szCs w:val="24"/>
              </w:rPr>
              <w:t>八级沉淀池进行沉淀处理后，全部回用于生产车间，不外排。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②生活污水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项目生活污水产生量及排放量为422.4m³/a，CODcr产生量为0.15t/a、排放量为0.12t/a；BOD</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产生量为0.09t/a、排放量为0.08t/a；NH3-N产生量为0.02t/a、排放量为0.01t/a；SS产生量为0.13t/a、排放量为0.07t/a；总磷产生量为0.003</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t/a、排放量为0.003t/a；总氮产生量为0.019t/a、排放量为0.017t/a；</w:t>
            </w:r>
            <w:r>
              <w:rPr>
                <w:rFonts w:hint="eastAsia" w:ascii="Times New Roman" w:hAnsi="Times New Roman" w:cs="Times New Roman"/>
                <w:color w:val="000000" w:themeColor="text1"/>
                <w:sz w:val="24"/>
                <w:szCs w:val="24"/>
              </w:rPr>
              <w:t>动植物油</w:t>
            </w:r>
            <w:r>
              <w:rPr>
                <w:rFonts w:ascii="Times New Roman" w:hAnsi="Times New Roman" w:cs="Times New Roman"/>
                <w:color w:val="000000" w:themeColor="text1"/>
                <w:sz w:val="24"/>
                <w:szCs w:val="24"/>
              </w:rPr>
              <w:t>产生量为0.0</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t/a、排放量为0.0</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t/a；阴离子表面活性剂产生量为0.01t/a、排放量为0.0</w:t>
            </w:r>
            <w:r>
              <w:rPr>
                <w:rFonts w:hint="eastAsia" w:ascii="Times New Roman" w:hAnsi="Times New Roman" w:cs="Times New Roman"/>
                <w:color w:val="000000" w:themeColor="text1"/>
                <w:sz w:val="24"/>
                <w:szCs w:val="24"/>
              </w:rPr>
              <w:t>05</w:t>
            </w:r>
            <w:r>
              <w:rPr>
                <w:rFonts w:ascii="Times New Roman" w:hAnsi="Times New Roman" w:cs="Times New Roman"/>
                <w:color w:val="000000" w:themeColor="text1"/>
                <w:sz w:val="24"/>
                <w:szCs w:val="24"/>
              </w:rPr>
              <w:t>t/a。生活污水经隔油池、化粪池处理后可达到《污水排入城镇下水道水质标准》（GB/T31962-2015）B等级标准后，通过园区污水管网进入四方地与碧谷园区污水处理厂处理，因此总量纳入四方地与碧谷园区污水处理厂进行管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项目固体废物产生量包括：</w:t>
            </w:r>
            <w:r>
              <w:rPr>
                <w:rFonts w:hint="eastAsia" w:ascii="Times New Roman" w:hAnsi="Times New Roman" w:cs="Times New Roman"/>
                <w:color w:val="000000" w:themeColor="text1"/>
                <w:sz w:val="24"/>
                <w:szCs w:val="24"/>
              </w:rPr>
              <w:t>废渣产生量14.3万t/a，属于一般工业固体废物。项目拟设置1个600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废渣暂存库对其进行暂存后，一部分用于会泽县强胜页岩砖厂作为制砖原料，剩余部分委托</w:t>
            </w:r>
            <w:r>
              <w:rPr>
                <w:rFonts w:ascii="Times New Roman" w:hAnsi="Times New Roman" w:cs="Times New Roman"/>
                <w:color w:val="000000" w:themeColor="text1"/>
                <w:sz w:val="24"/>
                <w:szCs w:val="24"/>
              </w:rPr>
              <w:t>四方地工业园区弃渣场处置</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收集粉尘</w:t>
            </w:r>
            <w:r>
              <w:rPr>
                <w:rFonts w:hint="eastAsia" w:ascii="Times New Roman" w:hAnsi="Times New Roman" w:cs="Times New Roman"/>
                <w:color w:val="000000" w:themeColor="text1"/>
                <w:sz w:val="24"/>
                <w:szCs w:val="24"/>
              </w:rPr>
              <w:t>产生量约为7.38t/a，主要成分即为还原铁粉作为还原铁粉产品外卖；</w:t>
            </w:r>
            <w:r>
              <w:rPr>
                <w:rFonts w:ascii="Times New Roman" w:hAnsi="Times New Roman" w:cs="Times New Roman"/>
                <w:color w:val="000000" w:themeColor="text1"/>
                <w:sz w:val="24"/>
                <w:szCs w:val="24"/>
              </w:rPr>
              <w:t>废机油产生量约为80kg</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废机油部分用于生产设备润滑使用，无法使用部分委托有资质的单位处置；</w:t>
            </w:r>
            <w:r>
              <w:rPr>
                <w:rFonts w:ascii="Times New Roman" w:hAnsi="Times New Roman" w:cs="Times New Roman"/>
                <w:color w:val="000000" w:themeColor="text1"/>
                <w:sz w:val="24"/>
                <w:szCs w:val="24"/>
              </w:rPr>
              <w:t>废弃沾油抹布产生量为10kg</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委托环卫部门定期清运处置</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生活垃圾产生量为</w:t>
            </w:r>
            <w:r>
              <w:rPr>
                <w:rFonts w:hint="eastAsia" w:ascii="Times New Roman" w:hAnsi="Times New Roman" w:cs="Times New Roman"/>
                <w:color w:val="000000" w:themeColor="text1"/>
                <w:sz w:val="24"/>
                <w:szCs w:val="24"/>
              </w:rPr>
              <w:t>6.6</w:t>
            </w:r>
            <w:r>
              <w:rPr>
                <w:rFonts w:ascii="Times New Roman" w:hAnsi="Times New Roman" w:cs="Times New Roman"/>
                <w:color w:val="000000" w:themeColor="text1"/>
                <w:sz w:val="24"/>
                <w:szCs w:val="24"/>
              </w:rPr>
              <w:t>t/a，委托环卫部门定期清运处置。处置率为100%。</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根据国家要求，需进行总量控制指标的因子主要包括有组织排放的SO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、NOx、有机废气和CODcr、NH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-N；但本项目使用清洁能源，可不进行SO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、NOx的总量控制；</w:t>
            </w:r>
            <w:r>
              <w:rPr>
                <w:rFonts w:hint="eastAsia" w:ascii="Times New Roman" w:hAnsi="Times New Roman" w:cs="Times New Roman"/>
                <w:color w:val="000000" w:themeColor="text1"/>
                <w:sz w:val="24"/>
                <w:szCs w:val="24"/>
              </w:rPr>
              <w:t>生活污水</w:t>
            </w:r>
            <w:r>
              <w:rPr>
                <w:rFonts w:ascii="Times New Roman" w:hAnsi="Times New Roman" w:cs="Times New Roman"/>
                <w:color w:val="000000" w:themeColor="text1"/>
                <w:sz w:val="24"/>
                <w:szCs w:val="24"/>
              </w:rPr>
              <w:t>通过园区污水管网进入四方地与碧谷园区污水处理厂处理，因此总量纳入四方地与碧谷园区污水处理厂进行管理。综上，本项目无总量控制指。</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15"/>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pStyle w:val="32"/>
              <w:ind w:firstLine="482"/>
              <w:rPr>
                <w:rFonts w:eastAsiaTheme="minorEastAsia"/>
                <w:b/>
                <w:color w:val="000000" w:themeColor="text1"/>
                <w:szCs w:val="24"/>
              </w:rPr>
            </w:pPr>
            <w:r>
              <w:rPr>
                <w:rFonts w:eastAsiaTheme="minorEastAsia"/>
                <w:b/>
                <w:color w:val="000000" w:themeColor="text1"/>
                <w:szCs w:val="24"/>
              </w:rPr>
              <w:t>4.1.1 施工期废气污染防治措施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项目施工期拟采取的扬尘防治措施主要包括：</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1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①</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2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②</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尽量避免在大风天气下进行施工作业。根据同类项目工程经验，4级以上大风天气不宜实施土方施工；</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3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③</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另外，在施工期，建设单位、施工单位和监理单位必须严格执行《昆明市人民政府办公厅关于进一步落实工地扬尘污染防治责任的通知》（昆政办【2018】27号）相关规定，具体如下：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）建设单位相关要求</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督促施工单位按规定做好工地现场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浓度达到规定的临界值时，督促施工单位采取相应的应急措施；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）施工单位相关要求</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按规定做好工地现场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浓度超过</w:t>
            </w:r>
            <w:r>
              <w:rPr>
                <w:rFonts w:ascii="Times New Roman" w:hAnsi="Times New Roman" w:cs="Times New Roman"/>
                <w:color w:val="000000" w:themeColor="text1"/>
                <w:sz w:val="24"/>
                <w:szCs w:val="24"/>
              </w:rPr>
              <w:t>60</w:t>
            </w:r>
            <w:r>
              <w:rPr>
                <w:rFonts w:ascii="Times New Roman" w:cs="Times New Roman" w:hAnsiTheme="minorEastAsia"/>
                <w:color w:val="000000" w:themeColor="text1"/>
                <w:sz w:val="24"/>
                <w:szCs w:val="24"/>
              </w:rPr>
              <w:t>时，立即采取洒水降尘</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喷雾降尘等综合降尘措施，</w:t>
            </w:r>
            <w:r>
              <w:rPr>
                <w:rFonts w:ascii="Times New Roman" w:hAnsi="Times New Roman" w:cs="Times New Roman"/>
                <w:color w:val="000000" w:themeColor="text1"/>
                <w:sz w:val="24"/>
                <w:szCs w:val="24"/>
              </w:rPr>
              <w:t>12h</w:t>
            </w:r>
            <w:r>
              <w:rPr>
                <w:rFonts w:ascii="Times New Roman" w:cs="Times New Roman" w:hAnsiTheme="minorEastAsia"/>
                <w:color w:val="000000" w:themeColor="text1"/>
                <w:sz w:val="24"/>
                <w:szCs w:val="24"/>
              </w:rPr>
              <w:t>平均</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浓度超过</w:t>
            </w:r>
            <w:r>
              <w:rPr>
                <w:rFonts w:ascii="Times New Roman" w:hAnsi="Times New Roman" w:cs="Times New Roman"/>
                <w:color w:val="000000" w:themeColor="text1"/>
                <w:sz w:val="24"/>
                <w:szCs w:val="24"/>
              </w:rPr>
              <w:t>100</w:t>
            </w:r>
            <w:r>
              <w:rPr>
                <w:rFonts w:ascii="Times New Roman" w:cs="Times New Roman" w:hAnsiTheme="minorEastAsia"/>
                <w:color w:val="000000" w:themeColor="text1"/>
                <w:sz w:val="24"/>
                <w:szCs w:val="24"/>
              </w:rPr>
              <w:t>时，必须停工整改、加强综合降尘措施；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④</w:t>
            </w:r>
            <w:r>
              <w:rPr>
                <w:rFonts w:ascii="Times New Roman" w:cs="Times New Roman" w:hAnsiTheme="minorEastAsia"/>
                <w:color w:val="000000" w:themeColor="text1"/>
                <w:sz w:val="24"/>
                <w:szCs w:val="24"/>
              </w:rPr>
              <w:t>施工全过程，一是坚持每天自检自查，各项扬尘污染防治措施必须落实到位，特别是洒水、喷淋降尘和渣土、裸露地面的全苫盖；二是每天</w:t>
            </w:r>
            <w:r>
              <w:rPr>
                <w:rFonts w:ascii="Times New Roman" w:hAnsi="Times New Roman" w:cs="Times New Roman"/>
                <w:color w:val="000000" w:themeColor="text1"/>
                <w:sz w:val="24"/>
                <w:szCs w:val="24"/>
              </w:rPr>
              <w:t>24</w:t>
            </w:r>
            <w:r>
              <w:rPr>
                <w:rFonts w:ascii="Times New Roman" w:cs="Times New Roman" w:hAnsiTheme="minorEastAsia"/>
                <w:color w:val="000000" w:themeColor="text1"/>
                <w:sz w:val="24"/>
                <w:szCs w:val="24"/>
              </w:rPr>
              <w:t>小时对进出工地的渣土车等工程车辆进行检查、登记，规范使用</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三池一设备</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⑤</w:t>
            </w:r>
            <w:r>
              <w:rPr>
                <w:rFonts w:ascii="Times New Roman" w:cs="Times New Roman" w:hAnsiTheme="minorEastAsia"/>
                <w:color w:val="000000" w:themeColor="text1"/>
                <w:sz w:val="24"/>
                <w:szCs w:val="24"/>
              </w:rPr>
              <w:t>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）监理单位</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在监理规划、监理实施细则中建立完善的建筑工地扬尘污染防治监理制度、台帐管理制度并严格按要求开展监理工作；</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监督施工单位做好工地现场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浓度超过临界值时，督促施工单位及时采取应急措施；</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④</w:t>
            </w:r>
            <w:r>
              <w:rPr>
                <w:rFonts w:ascii="Times New Roman" w:cs="Times New Roman" w:hAnsiTheme="minorEastAsia"/>
                <w:color w:val="000000" w:themeColor="text1"/>
                <w:sz w:val="24"/>
                <w:szCs w:val="24"/>
              </w:rPr>
              <w:t>安排专门监理人员，每天对施工单位落实苫盖和洒水喷淋降尘措施进行监理，参照</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旁站监理</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模式，每天对施工单位工程车辆监管、规范使用</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三池一设备</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情况进行监理，形成台帐；</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⑤</w:t>
            </w:r>
            <w:r>
              <w:rPr>
                <w:rFonts w:ascii="Times New Roman" w:cs="Times New Roman" w:hAnsiTheme="minorEastAsia"/>
                <w:color w:val="000000" w:themeColor="text1"/>
                <w:sz w:val="24"/>
                <w:szCs w:val="24"/>
              </w:rPr>
              <w:t>对施工单位扬尘污染防治工作不到位的，予以责令整改，拒不整改或整改不到位的及时上报建设单位和项目监督机构。</w:t>
            </w:r>
          </w:p>
          <w:p>
            <w:pPr>
              <w:pStyle w:val="32"/>
              <w:ind w:firstLine="482"/>
              <w:rPr>
                <w:rFonts w:eastAsiaTheme="minorEastAsia"/>
                <w:b/>
                <w:color w:val="000000" w:themeColor="text1"/>
                <w:szCs w:val="24"/>
              </w:rPr>
            </w:pPr>
            <w:r>
              <w:rPr>
                <w:rFonts w:eastAsiaTheme="minorEastAsia"/>
                <w:b/>
                <w:color w:val="000000" w:themeColor="text1"/>
                <w:szCs w:val="24"/>
              </w:rPr>
              <w:t>4.1.2 施工期废水污染防治措施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①施工期施工人员不在项目区食宿，生活污水仅为洗手污水，通过施工场地的临时沉淀池沉淀处理后，回用于施工场地洒水降尘，不外排。</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降尘。</w:t>
            </w:r>
          </w:p>
          <w:p>
            <w:pPr>
              <w:pStyle w:val="32"/>
              <w:ind w:firstLine="482"/>
              <w:rPr>
                <w:rFonts w:eastAsiaTheme="minorEastAsia"/>
                <w:b/>
                <w:color w:val="000000" w:themeColor="text1"/>
                <w:szCs w:val="24"/>
              </w:rPr>
            </w:pPr>
            <w:r>
              <w:rPr>
                <w:rFonts w:eastAsiaTheme="minorEastAsia"/>
                <w:b/>
                <w:color w:val="000000" w:themeColor="text1"/>
                <w:szCs w:val="24"/>
              </w:rPr>
              <w:t>4.1.3 施工期噪声污染防治措施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①加强施工期的操作规范；</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③加强与周围居民的沟通，避免扰民事件发生。</w:t>
            </w:r>
          </w:p>
          <w:p>
            <w:pPr>
              <w:pStyle w:val="32"/>
              <w:ind w:firstLine="482"/>
              <w:rPr>
                <w:rFonts w:eastAsiaTheme="minorEastAsia"/>
                <w:b/>
                <w:color w:val="000000" w:themeColor="text1"/>
                <w:szCs w:val="24"/>
              </w:rPr>
            </w:pPr>
            <w:r>
              <w:rPr>
                <w:rFonts w:eastAsiaTheme="minorEastAsia"/>
                <w:b/>
                <w:color w:val="000000" w:themeColor="text1"/>
                <w:szCs w:val="24"/>
              </w:rPr>
              <w:t>4.1.4 施工期固体废物污染防治措施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①建设垃圾包括混凝土块、废木材、废钢材等，严格按照园区的要求，对其进行分类收集，其中废钢材收集后外售废品收购站，其他不能回收部分运至园区指定地点进行合理处置。</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②生活垃圾委托环卫部门清运处置。</w:t>
            </w: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根据项目建设内容及生产工艺，本项目生产工艺各环节均为含水作业</w:t>
            </w:r>
            <w:r>
              <w:rPr>
                <w:rFonts w:hint="eastAsia" w:ascii="Times New Roman" w:hAnsi="Times New Roman" w:cs="Times New Roman"/>
                <w:color w:val="000000" w:themeColor="text1"/>
                <w:sz w:val="24"/>
                <w:szCs w:val="24"/>
              </w:rPr>
              <w:t>，基本无废气产生，主要废气产生节点为烘干线废气和废渣暂存库扬尘。</w:t>
            </w:r>
            <w:r>
              <w:rPr>
                <w:rFonts w:ascii="Times New Roman" w:hAnsi="Times New Roman" w:cs="Times New Roman"/>
                <w:color w:val="000000" w:themeColor="text1"/>
                <w:sz w:val="24"/>
                <w:szCs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w:t>
            </w:r>
            <w:r>
              <w:rPr>
                <w:rFonts w:hint="eastAsia" w:ascii="Times New Roman" w:hAnsi="Times New Roman" w:cs="Times New Roman"/>
                <w:b/>
                <w:color w:val="000000" w:themeColor="text1"/>
                <w:sz w:val="24"/>
                <w:szCs w:val="24"/>
              </w:rPr>
              <w:t>烘干线废气</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经过脱水后的还原铁粉的含水率约为15%，不能满足产品要求，因此项目拟设置1套烘干系统对其进行烘干，烘干系统设置了1台Φ1200*21000烘干机，烘干使用的热量由1套天然气燃烧机提供，该燃烧机对空气进行加热，加热后的空气（含烟气）进入烘干机内与还原铁粉逆流接触进行烘干；使还原铁粉含水率≤1%。烘干机中湿还原铁粉受热会产生一定量的废气，其主要成分包括燃气产生的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、NOx、烟尘和还原铁粉粉尘，同时还有水蒸气。其产排情况如下。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 xml:space="preserve"> SO</w:t>
            </w:r>
            <w:r>
              <w:rPr>
                <w:rFonts w:ascii="Times New Roman" w:hAnsi="Times New Roman" w:cs="Times New Roman"/>
                <w:b/>
                <w:color w:val="000000" w:themeColor="text1"/>
                <w:sz w:val="24"/>
                <w:szCs w:val="24"/>
                <w:vertAlign w:val="subscript"/>
              </w:rPr>
              <w:t>2</w:t>
            </w:r>
            <w:r>
              <w:rPr>
                <w:rFonts w:ascii="Times New Roman" w:hAnsi="Times New Roman" w:cs="Times New Roman"/>
                <w:b/>
                <w:color w:val="000000" w:themeColor="text1"/>
                <w:sz w:val="24"/>
                <w:szCs w:val="24"/>
              </w:rPr>
              <w:t>产排量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烘干线采用天然气作为燃料，根据设计，该生产线天然气用量约为150万m³/a，天然气属于清洁能源，在燃烧过程中的SO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产生量较低，根据《第一次全国污染源普查工业污染源产排污系数手册》“热力生产和供应行业”中天然气的产污系数，SO2产污系数为0.02Skg/万m³·原料（“S”表示含硫量），又根据《天然气》（GB17820-2018）中二类标准可知，天然气含硫量≤100mg/m³，经计算，天然气燃烧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产生量约为0.3t/a，排放量为0.3t/a，该系统处理风量为</w:t>
            </w: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000m³/h</w:t>
            </w:r>
            <w:r>
              <w:rPr>
                <w:rFonts w:hint="eastAsia" w:ascii="Times New Roman" w:hAnsi="Times New Roman" w:cs="Times New Roman"/>
                <w:color w:val="000000" w:themeColor="text1"/>
                <w:sz w:val="24"/>
                <w:szCs w:val="24"/>
              </w:rPr>
              <w:t>，排放浓度为6.31mg/</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通过1根Φ0.4m、高15m的排气筒（DA001）外排。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 xml:space="preserve"> NOx产排量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烘干线天然气用量约为150万m³/a，天然气属于清洁能源，在燃烧过程中的NOx产生量较低，根据《第一次全国污染源普查工业污染源产排污系数手册》“热力生产和供应行业”中天然气的产污系数，NOx产污系数为18.71kg/万m³·原料，经计算，天然气燃烧NOx产生量约为2.81t/a，排放量为2.81t/a，该系统处理风量为</w:t>
            </w: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000m³/h</w:t>
            </w:r>
            <w:r>
              <w:rPr>
                <w:rFonts w:hint="eastAsia" w:ascii="Times New Roman" w:hAnsi="Times New Roman" w:cs="Times New Roman"/>
                <w:color w:val="000000" w:themeColor="text1"/>
                <w:sz w:val="24"/>
                <w:szCs w:val="24"/>
              </w:rPr>
              <w:t>，排放浓度为59.13mg/</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通过1根Φ0.4m、高15m的排气筒（DA001）外排。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烟尘产排量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根据《第一次全国污染源普查工业污染源产排污系数手册》“热力生产和供应行业”对天然气产污调查可知，天然气燃烧烟尘产生量较少，排放量较少。</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4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⑷</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还原铁粉粉尘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本项目燃烧机对空气进行加热，加热后的空气（含烟气）进入烘干机内与还原铁粉逆流接触进行烘干，烘干过程会有一定量的烘干粉尘产生，其粉尘产生系数为0.</w:t>
            </w:r>
            <w:r>
              <w:rPr>
                <w:rFonts w:hint="eastAsia" w:ascii="Times New Roman" w:hAnsi="Times New Roman" w:cs="Times New Roman"/>
                <w:color w:val="000000" w:themeColor="text1"/>
                <w:sz w:val="24"/>
                <w:szCs w:val="24"/>
              </w:rPr>
              <w:t>36</w:t>
            </w:r>
            <w:r>
              <w:rPr>
                <w:rFonts w:ascii="Times New Roman" w:hAnsi="Times New Roman" w:cs="Times New Roman"/>
                <w:color w:val="000000" w:themeColor="text1"/>
                <w:sz w:val="24"/>
                <w:szCs w:val="24"/>
              </w:rPr>
              <w:t>kg/t（烘干料），本项目还原铁粉量为2.33万t/a，则烘干粉尘产生量为</w:t>
            </w:r>
            <w:r>
              <w:rPr>
                <w:rFonts w:hint="eastAsia" w:ascii="Times New Roman" w:hAnsi="Times New Roman" w:cs="Times New Roman"/>
                <w:color w:val="000000" w:themeColor="text1"/>
                <w:sz w:val="24"/>
                <w:szCs w:val="24"/>
              </w:rPr>
              <w:t>8.39</w:t>
            </w:r>
            <w:r>
              <w:rPr>
                <w:rFonts w:ascii="Times New Roman" w:hAnsi="Times New Roman" w:cs="Times New Roman"/>
                <w:color w:val="000000" w:themeColor="text1"/>
                <w:sz w:val="24"/>
                <w:szCs w:val="24"/>
              </w:rPr>
              <w:t>t/a；针对烘干工序产生的废气，项目拟设置旋风除尘器+布袋除尘器对其进行处理，其中旋风除尘效率为70%，布袋除尘除尘效率为96%，则综合除尘效率约为98.8%，该系统处理风量为</w:t>
            </w: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000m³/h</w:t>
            </w:r>
            <w:r>
              <w:rPr>
                <w:rFonts w:hint="eastAsia" w:ascii="Times New Roman" w:hAnsi="Times New Roman" w:cs="Times New Roman"/>
                <w:color w:val="000000" w:themeColor="text1"/>
                <w:sz w:val="24"/>
                <w:szCs w:val="24"/>
              </w:rPr>
              <w:t>，则粉尘排放量为1.01t/a，排放浓度为21.25mg/</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烘干废气经处理后通过1根Φ0.4m、高15m的排气筒（DA001）外排。</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②废渣暂存库扬尘</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本项目废渣暂存库在对</w:t>
            </w:r>
            <w:r>
              <w:rPr>
                <w:rFonts w:hint="eastAsia" w:ascii="Times New Roman" w:hAnsi="Times New Roman" w:cs="Times New Roman"/>
                <w:color w:val="000000" w:themeColor="text1"/>
                <w:sz w:val="24"/>
                <w:szCs w:val="24"/>
              </w:rPr>
              <w:t>产生的废渣</w:t>
            </w:r>
            <w:r>
              <w:rPr>
                <w:rFonts w:ascii="Times New Roman" w:hAnsi="Times New Roman" w:cs="Times New Roman"/>
                <w:color w:val="000000" w:themeColor="text1"/>
                <w:sz w:val="24"/>
                <w:szCs w:val="24"/>
              </w:rPr>
              <w:t>进行堆存和装卸过程会有一定量扬尘产生，其扬尘产生量受风速、水分含量等多种因素的影响。本环评采用经验公式对其进行计算，公示如下：</w:t>
            </w:r>
          </w:p>
          <w:p>
            <w:pPr>
              <w:spacing w:line="360" w:lineRule="auto"/>
              <w:ind w:firstLine="480" w:firstLineChars="200"/>
              <w:rPr>
                <w:rFonts w:ascii="Times New Roman" w:hAnsi="Times New Roman" w:cs="Times New Roman"/>
                <w:color w:val="000000" w:themeColor="text1"/>
                <w:sz w:val="24"/>
                <w:szCs w:val="24"/>
              </w:rPr>
            </w:pPr>
            <m:oMathPara>
              <m:oMathParaPr>
                <m:jc m:val="center"/>
              </m:oMathParaPr>
              <m:oMath>
                <m:r>
                  <m:rPr>
                    <m:sty m:val="p"/>
                  </m:rPr>
                  <w:rPr>
                    <w:rFonts w:ascii="Cambria Math" w:hAnsi="Times New Roman" w:cs="Times New Roman"/>
                    <w:color w:val="000000" w:themeColor="text1"/>
                    <w:sz w:val="24"/>
                    <w:szCs w:val="24"/>
                  </w:rPr>
                  <m:t>Q</m:t>
                </m:r>
                <m:sSup>
                  <m:sSupPr>
                    <m:ctrlPr>
                      <w:rPr>
                        <w:rFonts w:ascii="Cambria Math" w:hAnsi="Cambria Math" w:cs="Times New Roman"/>
                        <w:color w:val="000000" w:themeColor="text1"/>
                        <w:sz w:val="24"/>
                        <w:szCs w:val="24"/>
                      </w:rPr>
                    </m:ctrlPr>
                  </m:sSupPr>
                  <m:e>
                    <m:r>
                      <m:rPr>
                        <m:sty m:val="p"/>
                      </m:rPr>
                      <w:rPr>
                        <w:rFonts w:ascii="Cambria Math" w:hAnsi="Times New Roman" w:cs="Times New Roman"/>
                        <w:color w:val="000000" w:themeColor="text1"/>
                        <w:sz w:val="24"/>
                        <w:szCs w:val="24"/>
                      </w:rPr>
                      <m:t>=0.009U</m:t>
                    </m:r>
                    <m:ctrlPr>
                      <w:rPr>
                        <w:rFonts w:ascii="Cambria Math" w:hAnsi="Cambria Math" w:cs="Times New Roman"/>
                        <w:color w:val="000000" w:themeColor="text1"/>
                        <w:sz w:val="24"/>
                        <w:szCs w:val="24"/>
                      </w:rPr>
                    </m:ctrlPr>
                  </m:e>
                  <m:sup>
                    <m:r>
                      <m:rPr>
                        <m:sty m:val="p"/>
                      </m:rPr>
                      <w:rPr>
                        <w:rFonts w:ascii="Cambria Math" w:hAnsi="Times New Roman" w:cs="Times New Roman"/>
                        <w:color w:val="000000" w:themeColor="text1"/>
                        <w:sz w:val="24"/>
                        <w:szCs w:val="24"/>
                      </w:rPr>
                      <m:t>4.1</m:t>
                    </m:r>
                    <m:ctrlPr>
                      <w:rPr>
                        <w:rFonts w:ascii="Cambria Math" w:hAnsi="Cambria Math" w:cs="Times New Roman"/>
                        <w:color w:val="000000" w:themeColor="text1"/>
                        <w:sz w:val="24"/>
                        <w:szCs w:val="24"/>
                      </w:rPr>
                    </m:ctrlPr>
                  </m:sup>
                </m:sSup>
                <m:sSup>
                  <m:sSupPr>
                    <m:ctrlPr>
                      <w:rPr>
                        <w:rFonts w:ascii="Cambria Math" w:hAnsi="Cambria Math" w:cs="Times New Roman"/>
                        <w:color w:val="000000" w:themeColor="text1"/>
                        <w:sz w:val="24"/>
                        <w:szCs w:val="24"/>
                      </w:rPr>
                    </m:ctrlPr>
                  </m:sSupPr>
                  <m:e>
                    <m:r>
                      <m:rPr>
                        <m:sty m:val="p"/>
                      </m:rPr>
                      <w:rPr>
                        <w:rFonts w:ascii="Cambria Math" w:hAnsi="Times New Roman" w:cs="Times New Roman"/>
                        <w:color w:val="000000" w:themeColor="text1"/>
                        <w:sz w:val="24"/>
                        <w:szCs w:val="24"/>
                      </w:rPr>
                      <m:t>e</m:t>
                    </m:r>
                    <m:ctrlPr>
                      <w:rPr>
                        <w:rFonts w:ascii="Cambria Math" w:hAnsi="Cambria Math" w:cs="Times New Roman"/>
                        <w:color w:val="000000" w:themeColor="text1"/>
                        <w:sz w:val="24"/>
                        <w:szCs w:val="24"/>
                      </w:rPr>
                    </m:ctrlPr>
                  </m:e>
                  <m:sup>
                    <m:r>
                      <m:rPr>
                        <m:sty m:val="p"/>
                      </m:rPr>
                      <w:rPr>
                        <w:rFonts w:ascii="Cambria Math" w:hAnsi="Cambria Math" w:cs="Times New Roman"/>
                        <w:color w:val="000000" w:themeColor="text1"/>
                        <w:sz w:val="24"/>
                        <w:szCs w:val="24"/>
                      </w:rPr>
                      <m:t>−</m:t>
                    </m:r>
                    <m:r>
                      <m:rPr>
                        <m:sty m:val="p"/>
                      </m:rPr>
                      <w:rPr>
                        <w:rFonts w:ascii="Cambria Math" w:hAnsi="Times New Roman" w:cs="Times New Roman"/>
                        <w:color w:val="000000" w:themeColor="text1"/>
                        <w:sz w:val="24"/>
                        <w:szCs w:val="24"/>
                      </w:rPr>
                      <m:t>0.55w</m:t>
                    </m:r>
                    <m:ctrlPr>
                      <w:rPr>
                        <w:rFonts w:ascii="Cambria Math" w:hAnsi="Cambria Math" w:cs="Times New Roman"/>
                        <w:color w:val="000000" w:themeColor="text1"/>
                        <w:sz w:val="24"/>
                        <w:szCs w:val="24"/>
                      </w:rPr>
                    </m:ctrlPr>
                  </m:sup>
                </m:sSup>
              </m:oMath>
            </m:oMathPara>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式中：Q--起尘量，（kg/a·m²）</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U--当地风速，（m/s）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w:t>
            </w:r>
            <w:r>
              <w:rPr>
                <w:rFonts w:hint="eastAsia" w:ascii="Times New Roman" w:hAnsi="Times New Roman" w:cs="Times New Roman"/>
                <w:color w:val="000000" w:themeColor="text1"/>
                <w:sz w:val="24"/>
                <w:szCs w:val="24"/>
              </w:rPr>
              <w:t>废</w:t>
            </w:r>
            <w:r>
              <w:rPr>
                <w:rFonts w:ascii="Times New Roman" w:hAnsi="Times New Roman" w:cs="Times New Roman"/>
                <w:color w:val="000000" w:themeColor="text1"/>
                <w:sz w:val="24"/>
                <w:szCs w:val="24"/>
              </w:rPr>
              <w:t>渣含水率，（%）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根据设计，本项目拟设置600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的废渣暂存库，废渣的含水率约为10%，</w:t>
            </w:r>
            <w:r>
              <w:rPr>
                <w:rFonts w:ascii="Times New Roman" w:hAnsi="Times New Roman" w:cs="Times New Roman"/>
                <w:color w:val="000000" w:themeColor="text1"/>
                <w:sz w:val="24"/>
                <w:szCs w:val="24"/>
              </w:rPr>
              <w:t>当地平均风速约为3.4m/s</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经计算，本项目废渣暂存库扬尘产生量约为</w:t>
            </w:r>
            <w:r>
              <w:rPr>
                <w:rFonts w:hint="eastAsia" w:ascii="Times New Roman" w:hAnsi="Times New Roman" w:cs="Times New Roman"/>
                <w:color w:val="000000" w:themeColor="text1"/>
                <w:sz w:val="24"/>
                <w:szCs w:val="24"/>
              </w:rPr>
              <w:t>0.78</w:t>
            </w:r>
            <w:r>
              <w:rPr>
                <w:rFonts w:ascii="Times New Roman" w:hAnsi="Times New Roman" w:cs="Times New Roman"/>
                <w:color w:val="000000" w:themeColor="text1"/>
                <w:sz w:val="24"/>
                <w:szCs w:val="24"/>
              </w:rPr>
              <w:t>t/a</w:t>
            </w:r>
            <w:r>
              <w:rPr>
                <w:rFonts w:hint="eastAsia" w:ascii="Times New Roman" w:hAnsi="Times New Roman" w:cs="Times New Roman"/>
                <w:color w:val="000000" w:themeColor="text1"/>
                <w:sz w:val="24"/>
                <w:szCs w:val="24"/>
              </w:rPr>
              <w:t>；为了降低废渣暂存库的扬尘，拟对废渣暂存库设置三面围挡和顶棚，则其扬尘抑制率约为80%，</w:t>
            </w:r>
            <w:r>
              <w:rPr>
                <w:rFonts w:ascii="Times New Roman" w:hAnsi="Times New Roman" w:cs="Times New Roman"/>
                <w:color w:val="000000" w:themeColor="text1"/>
                <w:sz w:val="24"/>
                <w:szCs w:val="24"/>
              </w:rPr>
              <w:t>则废渣暂存库堆存和装卸过程扬尘排放量为0.</w:t>
            </w:r>
            <w:r>
              <w:rPr>
                <w:rFonts w:hint="eastAsia"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t/a；为无组织排放。</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4.2.1-1 废气污染物治理措施及排放方式一览表</w:t>
            </w:r>
          </w:p>
          <w:tbl>
            <w:tblPr>
              <w:tblStyle w:val="15"/>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0"/>
              <w:gridCol w:w="918"/>
              <w:gridCol w:w="848"/>
              <w:gridCol w:w="3121"/>
              <w:gridCol w:w="709"/>
              <w:gridCol w:w="709"/>
              <w:gridCol w:w="16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8" w:type="dxa"/>
                  <w:gridSpan w:val="2"/>
                  <w:vAlign w:val="center"/>
                </w:tcPr>
                <w:p>
                  <w:pPr>
                    <w:pStyle w:val="24"/>
                    <w:spacing w:line="360" w:lineRule="exact"/>
                    <w:rPr>
                      <w:color w:val="000000" w:themeColor="text1"/>
                      <w:szCs w:val="21"/>
                    </w:rPr>
                  </w:pPr>
                  <w:r>
                    <w:rPr>
                      <w:color w:val="000000" w:themeColor="text1"/>
                      <w:szCs w:val="21"/>
                    </w:rPr>
                    <w:t>产排污环节</w:t>
                  </w:r>
                </w:p>
              </w:tc>
              <w:tc>
                <w:tcPr>
                  <w:tcW w:w="848" w:type="dxa"/>
                  <w:vAlign w:val="center"/>
                </w:tcPr>
                <w:p>
                  <w:pPr>
                    <w:pStyle w:val="24"/>
                    <w:spacing w:line="360" w:lineRule="exact"/>
                    <w:rPr>
                      <w:color w:val="000000" w:themeColor="text1"/>
                      <w:szCs w:val="21"/>
                    </w:rPr>
                  </w:pPr>
                  <w:r>
                    <w:rPr>
                      <w:color w:val="000000" w:themeColor="text1"/>
                      <w:szCs w:val="21"/>
                    </w:rPr>
                    <w:t>污染物种类</w:t>
                  </w:r>
                </w:p>
              </w:tc>
              <w:tc>
                <w:tcPr>
                  <w:tcW w:w="3121" w:type="dxa"/>
                  <w:vAlign w:val="center"/>
                </w:tcPr>
                <w:p>
                  <w:pPr>
                    <w:pStyle w:val="24"/>
                    <w:spacing w:line="360" w:lineRule="exact"/>
                    <w:rPr>
                      <w:color w:val="000000" w:themeColor="text1"/>
                      <w:szCs w:val="21"/>
                    </w:rPr>
                  </w:pPr>
                  <w:r>
                    <w:rPr>
                      <w:color w:val="000000" w:themeColor="text1"/>
                      <w:szCs w:val="21"/>
                    </w:rPr>
                    <w:t>治理设施及效率</w:t>
                  </w:r>
                </w:p>
              </w:tc>
              <w:tc>
                <w:tcPr>
                  <w:tcW w:w="709"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2339" w:type="dxa"/>
                  <w:gridSpan w:val="2"/>
                  <w:vAlign w:val="center"/>
                </w:tcPr>
                <w:p>
                  <w:pPr>
                    <w:pStyle w:val="24"/>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restart"/>
                  <w:vAlign w:val="center"/>
                </w:tcPr>
                <w:p>
                  <w:pPr>
                    <w:pStyle w:val="24"/>
                    <w:spacing w:line="360" w:lineRule="exact"/>
                    <w:rPr>
                      <w:color w:val="000000" w:themeColor="text1"/>
                      <w:szCs w:val="21"/>
                    </w:rPr>
                  </w:pPr>
                  <w:r>
                    <w:rPr>
                      <w:rFonts w:hint="eastAsia"/>
                      <w:color w:val="000000" w:themeColor="text1"/>
                      <w:szCs w:val="21"/>
                    </w:rPr>
                    <w:t>烘干系统</w:t>
                  </w:r>
                </w:p>
              </w:tc>
              <w:tc>
                <w:tcPr>
                  <w:tcW w:w="918" w:type="dxa"/>
                  <w:vMerge w:val="restart"/>
                  <w:vAlign w:val="center"/>
                </w:tcPr>
                <w:p>
                  <w:pPr>
                    <w:pStyle w:val="24"/>
                    <w:spacing w:line="360" w:lineRule="exact"/>
                    <w:rPr>
                      <w:color w:val="000000" w:themeColor="text1"/>
                      <w:szCs w:val="21"/>
                    </w:rPr>
                  </w:pPr>
                  <w:r>
                    <w:rPr>
                      <w:rFonts w:hint="eastAsia"/>
                      <w:color w:val="000000" w:themeColor="text1"/>
                      <w:szCs w:val="21"/>
                    </w:rPr>
                    <w:t>烘干</w:t>
                  </w:r>
                </w:p>
              </w:tc>
              <w:tc>
                <w:tcPr>
                  <w:tcW w:w="848" w:type="dxa"/>
                  <w:vMerge w:val="restart"/>
                  <w:vAlign w:val="center"/>
                </w:tcPr>
                <w:p>
                  <w:pPr>
                    <w:pStyle w:val="24"/>
                    <w:spacing w:line="360" w:lineRule="exact"/>
                    <w:rPr>
                      <w:color w:val="000000" w:themeColor="text1"/>
                      <w:szCs w:val="21"/>
                    </w:rPr>
                  </w:pPr>
                  <w:r>
                    <w:rPr>
                      <w:rFonts w:hint="eastAsia"/>
                      <w:color w:val="000000" w:themeColor="text1"/>
                      <w:szCs w:val="21"/>
                    </w:rPr>
                    <w:t>颗粒物、SO</w:t>
                  </w:r>
                  <w:r>
                    <w:rPr>
                      <w:rFonts w:hint="eastAsia"/>
                      <w:color w:val="000000" w:themeColor="text1"/>
                      <w:szCs w:val="21"/>
                      <w:vertAlign w:val="subscript"/>
                    </w:rPr>
                    <w:t>2</w:t>
                  </w:r>
                  <w:r>
                    <w:rPr>
                      <w:rFonts w:hint="eastAsia"/>
                      <w:color w:val="000000" w:themeColor="text1"/>
                      <w:szCs w:val="21"/>
                    </w:rPr>
                    <w:t>、NOx</w:t>
                  </w:r>
                </w:p>
              </w:tc>
              <w:tc>
                <w:tcPr>
                  <w:tcW w:w="3121" w:type="dxa"/>
                  <w:vMerge w:val="restart"/>
                  <w:vAlign w:val="center"/>
                </w:tcPr>
                <w:p>
                  <w:pPr>
                    <w:pStyle w:val="24"/>
                    <w:spacing w:line="360" w:lineRule="exact"/>
                    <w:ind w:firstLine="210" w:firstLineChars="100"/>
                    <w:jc w:val="both"/>
                    <w:rPr>
                      <w:color w:val="000000" w:themeColor="text1"/>
                      <w:szCs w:val="21"/>
                    </w:rPr>
                  </w:pPr>
                  <w:r>
                    <w:rPr>
                      <w:color w:val="000000" w:themeColor="text1"/>
                      <w:szCs w:val="21"/>
                    </w:rPr>
                    <w:t>针对烘干工序产生的废气，项目拟设置旋风除尘器+布袋除尘器对其进行处理，其中旋风除尘效率为70%，布袋除尘除尘效率为96%，则综合除尘效率约为98.8%，该系统处理风量为</w:t>
                  </w:r>
                  <w:r>
                    <w:rPr>
                      <w:rFonts w:hint="eastAsia"/>
                      <w:color w:val="000000" w:themeColor="text1"/>
                      <w:szCs w:val="21"/>
                    </w:rPr>
                    <w:t>6</w:t>
                  </w:r>
                  <w:r>
                    <w:rPr>
                      <w:color w:val="000000" w:themeColor="text1"/>
                      <w:szCs w:val="21"/>
                    </w:rPr>
                    <w:t>000m³/h</w:t>
                  </w:r>
                  <w:r>
                    <w:rPr>
                      <w:rFonts w:hint="eastAsia"/>
                      <w:color w:val="000000" w:themeColor="text1"/>
                      <w:szCs w:val="21"/>
                    </w:rPr>
                    <w:t>，</w:t>
                  </w:r>
                  <w:r>
                    <w:rPr>
                      <w:color w:val="000000" w:themeColor="text1"/>
                      <w:szCs w:val="21"/>
                    </w:rPr>
                    <w:t>烘干废气经处理后通过1根Φ0.4m、高15m的排气筒（DA001）外排。</w:t>
                  </w:r>
                </w:p>
              </w:tc>
              <w:tc>
                <w:tcPr>
                  <w:tcW w:w="709" w:type="dxa"/>
                  <w:vMerge w:val="restart"/>
                  <w:vAlign w:val="center"/>
                </w:tcPr>
                <w:p>
                  <w:pPr>
                    <w:pStyle w:val="24"/>
                    <w:spacing w:line="360" w:lineRule="exact"/>
                    <w:rPr>
                      <w:color w:val="000000" w:themeColor="text1"/>
                      <w:szCs w:val="21"/>
                    </w:rPr>
                  </w:pPr>
                  <w:r>
                    <w:rPr>
                      <w:color w:val="000000" w:themeColor="text1"/>
                      <w:szCs w:val="21"/>
                    </w:rPr>
                    <w:t>有组织</w:t>
                  </w:r>
                </w:p>
              </w:tc>
              <w:tc>
                <w:tcPr>
                  <w:tcW w:w="2339" w:type="dxa"/>
                  <w:gridSpan w:val="2"/>
                  <w:vAlign w:val="center"/>
                </w:tcPr>
                <w:p>
                  <w:pPr>
                    <w:pStyle w:val="24"/>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4"/>
                    <w:spacing w:line="360" w:lineRule="exact"/>
                    <w:rPr>
                      <w:color w:val="000000" w:themeColor="text1"/>
                      <w:szCs w:val="21"/>
                    </w:rPr>
                  </w:pPr>
                </w:p>
              </w:tc>
              <w:tc>
                <w:tcPr>
                  <w:tcW w:w="918" w:type="dxa"/>
                  <w:vMerge w:val="continue"/>
                  <w:vAlign w:val="center"/>
                </w:tcPr>
                <w:p>
                  <w:pPr>
                    <w:pStyle w:val="24"/>
                    <w:spacing w:line="360" w:lineRule="exact"/>
                    <w:rPr>
                      <w:color w:val="000000" w:themeColor="text1"/>
                      <w:szCs w:val="21"/>
                    </w:rPr>
                  </w:pPr>
                </w:p>
              </w:tc>
              <w:tc>
                <w:tcPr>
                  <w:tcW w:w="848" w:type="dxa"/>
                  <w:vMerge w:val="continue"/>
                  <w:vAlign w:val="center"/>
                </w:tcPr>
                <w:p>
                  <w:pPr>
                    <w:pStyle w:val="24"/>
                    <w:spacing w:line="360" w:lineRule="exact"/>
                    <w:rPr>
                      <w:color w:val="000000" w:themeColor="text1"/>
                      <w:szCs w:val="21"/>
                    </w:rPr>
                  </w:pPr>
                </w:p>
              </w:tc>
              <w:tc>
                <w:tcPr>
                  <w:tcW w:w="3121" w:type="dxa"/>
                  <w:vMerge w:val="continue"/>
                  <w:vAlign w:val="center"/>
                </w:tcPr>
                <w:p>
                  <w:pPr>
                    <w:pStyle w:val="24"/>
                    <w:spacing w:line="360" w:lineRule="exact"/>
                    <w:ind w:firstLine="210" w:firstLineChars="100"/>
                    <w:jc w:val="left"/>
                    <w:rPr>
                      <w:color w:val="000000" w:themeColor="text1"/>
                      <w:szCs w:val="21"/>
                    </w:rPr>
                  </w:pPr>
                </w:p>
              </w:tc>
              <w:tc>
                <w:tcPr>
                  <w:tcW w:w="709" w:type="dxa"/>
                  <w:vMerge w:val="continue"/>
                  <w:vAlign w:val="center"/>
                </w:tcPr>
                <w:p>
                  <w:pPr>
                    <w:pStyle w:val="24"/>
                    <w:spacing w:line="360" w:lineRule="exact"/>
                    <w:rPr>
                      <w:color w:val="000000" w:themeColor="text1"/>
                      <w:szCs w:val="21"/>
                    </w:rPr>
                  </w:pPr>
                </w:p>
              </w:tc>
              <w:tc>
                <w:tcPr>
                  <w:tcW w:w="709" w:type="dxa"/>
                  <w:vAlign w:val="center"/>
                </w:tcPr>
                <w:p>
                  <w:pPr>
                    <w:pStyle w:val="24"/>
                    <w:spacing w:line="360" w:lineRule="exact"/>
                    <w:rPr>
                      <w:color w:val="000000" w:themeColor="text1"/>
                      <w:szCs w:val="21"/>
                    </w:rPr>
                  </w:pPr>
                  <w:r>
                    <w:rPr>
                      <w:color w:val="000000" w:themeColor="text1"/>
                      <w:szCs w:val="21"/>
                    </w:rPr>
                    <w:t>高度</w:t>
                  </w:r>
                </w:p>
              </w:tc>
              <w:tc>
                <w:tcPr>
                  <w:tcW w:w="1630" w:type="dxa"/>
                  <w:vAlign w:val="center"/>
                </w:tcPr>
                <w:p>
                  <w:pPr>
                    <w:pStyle w:val="24"/>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4"/>
                    <w:spacing w:line="360" w:lineRule="exact"/>
                    <w:rPr>
                      <w:color w:val="000000" w:themeColor="text1"/>
                      <w:szCs w:val="21"/>
                    </w:rPr>
                  </w:pPr>
                </w:p>
              </w:tc>
              <w:tc>
                <w:tcPr>
                  <w:tcW w:w="918" w:type="dxa"/>
                  <w:vMerge w:val="continue"/>
                  <w:vAlign w:val="center"/>
                </w:tcPr>
                <w:p>
                  <w:pPr>
                    <w:pStyle w:val="24"/>
                    <w:spacing w:line="360" w:lineRule="exact"/>
                    <w:rPr>
                      <w:color w:val="000000" w:themeColor="text1"/>
                      <w:szCs w:val="21"/>
                    </w:rPr>
                  </w:pPr>
                </w:p>
              </w:tc>
              <w:tc>
                <w:tcPr>
                  <w:tcW w:w="848" w:type="dxa"/>
                  <w:vMerge w:val="continue"/>
                  <w:vAlign w:val="center"/>
                </w:tcPr>
                <w:p>
                  <w:pPr>
                    <w:pStyle w:val="24"/>
                    <w:spacing w:line="360" w:lineRule="exact"/>
                    <w:rPr>
                      <w:color w:val="000000" w:themeColor="text1"/>
                      <w:szCs w:val="21"/>
                    </w:rPr>
                  </w:pPr>
                </w:p>
              </w:tc>
              <w:tc>
                <w:tcPr>
                  <w:tcW w:w="3121" w:type="dxa"/>
                  <w:vMerge w:val="continue"/>
                  <w:vAlign w:val="center"/>
                </w:tcPr>
                <w:p>
                  <w:pPr>
                    <w:pStyle w:val="24"/>
                    <w:spacing w:line="360" w:lineRule="exact"/>
                    <w:ind w:firstLine="210" w:firstLineChars="100"/>
                    <w:jc w:val="left"/>
                    <w:rPr>
                      <w:color w:val="000000" w:themeColor="text1"/>
                      <w:szCs w:val="21"/>
                    </w:rPr>
                  </w:pPr>
                </w:p>
              </w:tc>
              <w:tc>
                <w:tcPr>
                  <w:tcW w:w="709" w:type="dxa"/>
                  <w:vMerge w:val="continue"/>
                  <w:vAlign w:val="center"/>
                </w:tcPr>
                <w:p>
                  <w:pPr>
                    <w:pStyle w:val="24"/>
                    <w:spacing w:line="360" w:lineRule="exact"/>
                    <w:rPr>
                      <w:color w:val="000000" w:themeColor="text1"/>
                      <w:szCs w:val="21"/>
                    </w:rPr>
                  </w:pPr>
                </w:p>
              </w:tc>
              <w:tc>
                <w:tcPr>
                  <w:tcW w:w="709" w:type="dxa"/>
                  <w:vAlign w:val="center"/>
                </w:tcPr>
                <w:p>
                  <w:pPr>
                    <w:pStyle w:val="24"/>
                    <w:spacing w:line="360" w:lineRule="exact"/>
                    <w:rPr>
                      <w:color w:val="000000" w:themeColor="text1"/>
                      <w:szCs w:val="21"/>
                    </w:rPr>
                  </w:pPr>
                  <w:r>
                    <w:rPr>
                      <w:color w:val="000000" w:themeColor="text1"/>
                      <w:szCs w:val="21"/>
                    </w:rPr>
                    <w:t>内径</w:t>
                  </w:r>
                </w:p>
              </w:tc>
              <w:tc>
                <w:tcPr>
                  <w:tcW w:w="1630" w:type="dxa"/>
                  <w:vAlign w:val="center"/>
                </w:tcPr>
                <w:p>
                  <w:pPr>
                    <w:pStyle w:val="24"/>
                    <w:spacing w:line="360" w:lineRule="exact"/>
                    <w:rPr>
                      <w:color w:val="000000" w:themeColor="text1"/>
                      <w:szCs w:val="21"/>
                    </w:rPr>
                  </w:pPr>
                  <w:r>
                    <w:rPr>
                      <w:color w:val="000000" w:themeColor="text1"/>
                      <w:szCs w:val="21"/>
                    </w:rPr>
                    <w:t>0.</w:t>
                  </w:r>
                  <w:r>
                    <w:rPr>
                      <w:rFonts w:hint="eastAsia"/>
                      <w:color w:val="000000" w:themeColor="text1"/>
                      <w:szCs w:val="21"/>
                    </w:rPr>
                    <w:t>4</w:t>
                  </w:r>
                  <w:r>
                    <w:rPr>
                      <w:color w:val="000000" w:themeColor="text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4"/>
                    <w:spacing w:line="360" w:lineRule="exact"/>
                    <w:rPr>
                      <w:color w:val="000000" w:themeColor="text1"/>
                      <w:szCs w:val="21"/>
                    </w:rPr>
                  </w:pPr>
                </w:p>
              </w:tc>
              <w:tc>
                <w:tcPr>
                  <w:tcW w:w="918" w:type="dxa"/>
                  <w:vMerge w:val="continue"/>
                  <w:vAlign w:val="center"/>
                </w:tcPr>
                <w:p>
                  <w:pPr>
                    <w:pStyle w:val="24"/>
                    <w:spacing w:line="360" w:lineRule="exact"/>
                    <w:rPr>
                      <w:color w:val="000000" w:themeColor="text1"/>
                      <w:szCs w:val="21"/>
                    </w:rPr>
                  </w:pPr>
                </w:p>
              </w:tc>
              <w:tc>
                <w:tcPr>
                  <w:tcW w:w="848" w:type="dxa"/>
                  <w:vMerge w:val="continue"/>
                  <w:vAlign w:val="center"/>
                </w:tcPr>
                <w:p>
                  <w:pPr>
                    <w:pStyle w:val="24"/>
                    <w:spacing w:line="360" w:lineRule="exact"/>
                    <w:rPr>
                      <w:color w:val="000000" w:themeColor="text1"/>
                      <w:szCs w:val="21"/>
                    </w:rPr>
                  </w:pPr>
                </w:p>
              </w:tc>
              <w:tc>
                <w:tcPr>
                  <w:tcW w:w="3121" w:type="dxa"/>
                  <w:vMerge w:val="continue"/>
                  <w:vAlign w:val="center"/>
                </w:tcPr>
                <w:p>
                  <w:pPr>
                    <w:pStyle w:val="24"/>
                    <w:spacing w:line="360" w:lineRule="exact"/>
                    <w:ind w:firstLine="210" w:firstLineChars="100"/>
                    <w:jc w:val="left"/>
                    <w:rPr>
                      <w:color w:val="000000" w:themeColor="text1"/>
                      <w:szCs w:val="21"/>
                    </w:rPr>
                  </w:pPr>
                </w:p>
              </w:tc>
              <w:tc>
                <w:tcPr>
                  <w:tcW w:w="709" w:type="dxa"/>
                  <w:vMerge w:val="continue"/>
                  <w:vAlign w:val="center"/>
                </w:tcPr>
                <w:p>
                  <w:pPr>
                    <w:pStyle w:val="24"/>
                    <w:spacing w:line="360" w:lineRule="exact"/>
                    <w:rPr>
                      <w:color w:val="000000" w:themeColor="text1"/>
                      <w:szCs w:val="21"/>
                    </w:rPr>
                  </w:pPr>
                </w:p>
              </w:tc>
              <w:tc>
                <w:tcPr>
                  <w:tcW w:w="709" w:type="dxa"/>
                  <w:vAlign w:val="center"/>
                </w:tcPr>
                <w:p>
                  <w:pPr>
                    <w:pStyle w:val="24"/>
                    <w:spacing w:line="360" w:lineRule="exact"/>
                    <w:rPr>
                      <w:color w:val="000000" w:themeColor="text1"/>
                      <w:szCs w:val="21"/>
                    </w:rPr>
                  </w:pPr>
                  <w:r>
                    <w:rPr>
                      <w:color w:val="000000" w:themeColor="text1"/>
                      <w:szCs w:val="21"/>
                    </w:rPr>
                    <w:t>温度</w:t>
                  </w:r>
                </w:p>
              </w:tc>
              <w:tc>
                <w:tcPr>
                  <w:tcW w:w="1630" w:type="dxa"/>
                  <w:vAlign w:val="center"/>
                </w:tcPr>
                <w:p>
                  <w:pPr>
                    <w:pStyle w:val="24"/>
                    <w:spacing w:line="360" w:lineRule="exact"/>
                    <w:rPr>
                      <w:color w:val="000000" w:themeColor="text1"/>
                      <w:szCs w:val="21"/>
                    </w:rPr>
                  </w:pPr>
                  <w:r>
                    <w:rPr>
                      <w:rFonts w:hint="eastAsia"/>
                      <w:color w:val="000000" w:themeColor="text1"/>
                      <w:szCs w:val="21"/>
                    </w:rPr>
                    <w:t>60</w:t>
                  </w:r>
                  <w:r>
                    <w:rPr>
                      <w:color w:val="000000" w:themeColor="text1"/>
                      <w:szCs w:val="21"/>
                    </w:rPr>
                    <w:t>-</w:t>
                  </w:r>
                  <w:r>
                    <w:rPr>
                      <w:rFonts w:hint="eastAsia"/>
                      <w:color w:val="000000" w:themeColor="text1"/>
                      <w:szCs w:val="21"/>
                    </w:rPr>
                    <w:t>100</w:t>
                  </w:r>
                  <w:r>
                    <w:fldChar w:fldCharType="begin"/>
                  </w:r>
                  <w:r>
                    <w:instrText xml:space="preserve"> HYPERLINK "https://www.so.com/s?q=%E2%84%83&amp;psid=124f801495110ace532d8ceba47f0c03&amp;eci=&amp;nlpv=zzdt_pcco&amp;src=pdr_guide_3.2" \t "_blank" </w:instrText>
                  </w:r>
                  <w:r>
                    <w:fldChar w:fldCharType="separate"/>
                  </w:r>
                  <w:r>
                    <w:rPr>
                      <w:rFonts w:hint="eastAsia"/>
                      <w:color w:val="000000" w:themeColor="text1"/>
                      <w:szCs w:val="21"/>
                    </w:rPr>
                    <w:t>℃</w:t>
                  </w:r>
                  <w:r>
                    <w:rPr>
                      <w:rFonts w:hint="eastAsia"/>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4"/>
                    <w:spacing w:line="360" w:lineRule="exact"/>
                    <w:rPr>
                      <w:color w:val="000000" w:themeColor="text1"/>
                      <w:szCs w:val="21"/>
                    </w:rPr>
                  </w:pPr>
                </w:p>
              </w:tc>
              <w:tc>
                <w:tcPr>
                  <w:tcW w:w="918" w:type="dxa"/>
                  <w:vMerge w:val="continue"/>
                  <w:vAlign w:val="center"/>
                </w:tcPr>
                <w:p>
                  <w:pPr>
                    <w:pStyle w:val="24"/>
                    <w:spacing w:line="360" w:lineRule="exact"/>
                    <w:rPr>
                      <w:color w:val="000000" w:themeColor="text1"/>
                      <w:szCs w:val="21"/>
                    </w:rPr>
                  </w:pPr>
                </w:p>
              </w:tc>
              <w:tc>
                <w:tcPr>
                  <w:tcW w:w="848" w:type="dxa"/>
                  <w:vMerge w:val="continue"/>
                  <w:vAlign w:val="center"/>
                </w:tcPr>
                <w:p>
                  <w:pPr>
                    <w:pStyle w:val="24"/>
                    <w:spacing w:line="360" w:lineRule="exact"/>
                    <w:rPr>
                      <w:color w:val="000000" w:themeColor="text1"/>
                      <w:szCs w:val="21"/>
                    </w:rPr>
                  </w:pPr>
                </w:p>
              </w:tc>
              <w:tc>
                <w:tcPr>
                  <w:tcW w:w="3121" w:type="dxa"/>
                  <w:vMerge w:val="continue"/>
                  <w:vAlign w:val="center"/>
                </w:tcPr>
                <w:p>
                  <w:pPr>
                    <w:pStyle w:val="24"/>
                    <w:spacing w:line="360" w:lineRule="exact"/>
                    <w:ind w:firstLine="210" w:firstLineChars="100"/>
                    <w:jc w:val="left"/>
                    <w:rPr>
                      <w:color w:val="000000" w:themeColor="text1"/>
                      <w:szCs w:val="21"/>
                    </w:rPr>
                  </w:pPr>
                </w:p>
              </w:tc>
              <w:tc>
                <w:tcPr>
                  <w:tcW w:w="709" w:type="dxa"/>
                  <w:vMerge w:val="continue"/>
                  <w:vAlign w:val="center"/>
                </w:tcPr>
                <w:p>
                  <w:pPr>
                    <w:pStyle w:val="24"/>
                    <w:spacing w:line="360" w:lineRule="exact"/>
                    <w:rPr>
                      <w:color w:val="000000" w:themeColor="text1"/>
                      <w:szCs w:val="21"/>
                    </w:rPr>
                  </w:pPr>
                </w:p>
              </w:tc>
              <w:tc>
                <w:tcPr>
                  <w:tcW w:w="709" w:type="dxa"/>
                  <w:vAlign w:val="center"/>
                </w:tcPr>
                <w:p>
                  <w:pPr>
                    <w:pStyle w:val="24"/>
                    <w:spacing w:line="360" w:lineRule="exact"/>
                    <w:rPr>
                      <w:color w:val="000000" w:themeColor="text1"/>
                      <w:szCs w:val="21"/>
                    </w:rPr>
                  </w:pPr>
                  <w:r>
                    <w:rPr>
                      <w:color w:val="000000" w:themeColor="text1"/>
                      <w:szCs w:val="21"/>
                    </w:rPr>
                    <w:t>编号</w:t>
                  </w:r>
                </w:p>
              </w:tc>
              <w:tc>
                <w:tcPr>
                  <w:tcW w:w="1630" w:type="dxa"/>
                  <w:vAlign w:val="center"/>
                </w:tcPr>
                <w:p>
                  <w:pPr>
                    <w:pStyle w:val="24"/>
                    <w:spacing w:line="360" w:lineRule="exact"/>
                    <w:rPr>
                      <w:color w:val="000000" w:themeColor="text1"/>
                      <w:szCs w:val="21"/>
                    </w:rPr>
                  </w:pPr>
                  <w:r>
                    <w:rPr>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4"/>
                    <w:spacing w:line="360" w:lineRule="exact"/>
                    <w:rPr>
                      <w:color w:val="000000" w:themeColor="text1"/>
                      <w:szCs w:val="21"/>
                    </w:rPr>
                  </w:pPr>
                </w:p>
              </w:tc>
              <w:tc>
                <w:tcPr>
                  <w:tcW w:w="918" w:type="dxa"/>
                  <w:vMerge w:val="continue"/>
                  <w:vAlign w:val="center"/>
                </w:tcPr>
                <w:p>
                  <w:pPr>
                    <w:pStyle w:val="24"/>
                    <w:spacing w:line="360" w:lineRule="exact"/>
                    <w:rPr>
                      <w:color w:val="000000" w:themeColor="text1"/>
                      <w:szCs w:val="21"/>
                    </w:rPr>
                  </w:pPr>
                </w:p>
              </w:tc>
              <w:tc>
                <w:tcPr>
                  <w:tcW w:w="848" w:type="dxa"/>
                  <w:vMerge w:val="continue"/>
                  <w:vAlign w:val="center"/>
                </w:tcPr>
                <w:p>
                  <w:pPr>
                    <w:pStyle w:val="24"/>
                    <w:spacing w:line="360" w:lineRule="exact"/>
                    <w:rPr>
                      <w:color w:val="000000" w:themeColor="text1"/>
                      <w:szCs w:val="21"/>
                    </w:rPr>
                  </w:pPr>
                </w:p>
              </w:tc>
              <w:tc>
                <w:tcPr>
                  <w:tcW w:w="3121" w:type="dxa"/>
                  <w:vMerge w:val="continue"/>
                  <w:vAlign w:val="center"/>
                </w:tcPr>
                <w:p>
                  <w:pPr>
                    <w:pStyle w:val="24"/>
                    <w:spacing w:line="360" w:lineRule="exact"/>
                    <w:ind w:firstLine="210" w:firstLineChars="100"/>
                    <w:jc w:val="left"/>
                    <w:rPr>
                      <w:color w:val="000000" w:themeColor="text1"/>
                      <w:szCs w:val="21"/>
                    </w:rPr>
                  </w:pPr>
                </w:p>
              </w:tc>
              <w:tc>
                <w:tcPr>
                  <w:tcW w:w="709" w:type="dxa"/>
                  <w:vMerge w:val="continue"/>
                  <w:vAlign w:val="center"/>
                </w:tcPr>
                <w:p>
                  <w:pPr>
                    <w:pStyle w:val="24"/>
                    <w:spacing w:line="360" w:lineRule="exact"/>
                    <w:rPr>
                      <w:color w:val="000000" w:themeColor="text1"/>
                      <w:szCs w:val="21"/>
                    </w:rPr>
                  </w:pPr>
                </w:p>
              </w:tc>
              <w:tc>
                <w:tcPr>
                  <w:tcW w:w="709" w:type="dxa"/>
                  <w:vAlign w:val="center"/>
                </w:tcPr>
                <w:p>
                  <w:pPr>
                    <w:pStyle w:val="24"/>
                    <w:spacing w:line="360" w:lineRule="exact"/>
                    <w:rPr>
                      <w:color w:val="000000" w:themeColor="text1"/>
                      <w:szCs w:val="21"/>
                    </w:rPr>
                  </w:pPr>
                  <w:r>
                    <w:rPr>
                      <w:color w:val="000000" w:themeColor="text1"/>
                      <w:szCs w:val="21"/>
                    </w:rPr>
                    <w:t>类型</w:t>
                  </w:r>
                </w:p>
              </w:tc>
              <w:tc>
                <w:tcPr>
                  <w:tcW w:w="1630" w:type="dxa"/>
                  <w:vAlign w:val="center"/>
                </w:tcPr>
                <w:p>
                  <w:pPr>
                    <w:pStyle w:val="24"/>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4"/>
                    <w:spacing w:line="360" w:lineRule="exact"/>
                    <w:rPr>
                      <w:color w:val="000000" w:themeColor="text1"/>
                      <w:szCs w:val="21"/>
                    </w:rPr>
                  </w:pPr>
                </w:p>
              </w:tc>
              <w:tc>
                <w:tcPr>
                  <w:tcW w:w="918" w:type="dxa"/>
                  <w:vMerge w:val="continue"/>
                  <w:vAlign w:val="center"/>
                </w:tcPr>
                <w:p>
                  <w:pPr>
                    <w:pStyle w:val="24"/>
                    <w:spacing w:line="360" w:lineRule="exact"/>
                    <w:rPr>
                      <w:color w:val="000000" w:themeColor="text1"/>
                      <w:szCs w:val="21"/>
                    </w:rPr>
                  </w:pPr>
                </w:p>
              </w:tc>
              <w:tc>
                <w:tcPr>
                  <w:tcW w:w="848" w:type="dxa"/>
                  <w:vMerge w:val="continue"/>
                  <w:vAlign w:val="center"/>
                </w:tcPr>
                <w:p>
                  <w:pPr>
                    <w:pStyle w:val="24"/>
                    <w:spacing w:line="360" w:lineRule="exact"/>
                    <w:rPr>
                      <w:color w:val="000000" w:themeColor="text1"/>
                      <w:szCs w:val="21"/>
                    </w:rPr>
                  </w:pPr>
                </w:p>
              </w:tc>
              <w:tc>
                <w:tcPr>
                  <w:tcW w:w="3121" w:type="dxa"/>
                  <w:vMerge w:val="continue"/>
                  <w:vAlign w:val="center"/>
                </w:tcPr>
                <w:p>
                  <w:pPr>
                    <w:pStyle w:val="24"/>
                    <w:spacing w:line="360" w:lineRule="exact"/>
                    <w:ind w:firstLine="210" w:firstLineChars="100"/>
                    <w:jc w:val="left"/>
                    <w:rPr>
                      <w:color w:val="000000" w:themeColor="text1"/>
                      <w:szCs w:val="21"/>
                    </w:rPr>
                  </w:pPr>
                </w:p>
              </w:tc>
              <w:tc>
                <w:tcPr>
                  <w:tcW w:w="709" w:type="dxa"/>
                  <w:vMerge w:val="continue"/>
                  <w:vAlign w:val="center"/>
                </w:tcPr>
                <w:p>
                  <w:pPr>
                    <w:pStyle w:val="24"/>
                    <w:spacing w:line="360" w:lineRule="exact"/>
                    <w:rPr>
                      <w:color w:val="000000" w:themeColor="text1"/>
                      <w:szCs w:val="21"/>
                    </w:rPr>
                  </w:pPr>
                </w:p>
              </w:tc>
              <w:tc>
                <w:tcPr>
                  <w:tcW w:w="709" w:type="dxa"/>
                  <w:vAlign w:val="center"/>
                </w:tcPr>
                <w:p>
                  <w:pPr>
                    <w:pStyle w:val="24"/>
                    <w:spacing w:line="360" w:lineRule="exact"/>
                    <w:rPr>
                      <w:color w:val="000000" w:themeColor="text1"/>
                      <w:szCs w:val="21"/>
                    </w:rPr>
                  </w:pPr>
                  <w:r>
                    <w:rPr>
                      <w:color w:val="000000" w:themeColor="text1"/>
                      <w:szCs w:val="21"/>
                    </w:rPr>
                    <w:t>坐标</w:t>
                  </w:r>
                </w:p>
              </w:tc>
              <w:tc>
                <w:tcPr>
                  <w:tcW w:w="1630" w:type="dxa"/>
                  <w:vAlign w:val="center"/>
                </w:tcPr>
                <w:p>
                  <w:pPr>
                    <w:pStyle w:val="24"/>
                    <w:spacing w:line="360" w:lineRule="exact"/>
                    <w:rPr>
                      <w:color w:val="000000" w:themeColor="text1"/>
                      <w:szCs w:val="21"/>
                    </w:rPr>
                  </w:pPr>
                  <w:r>
                    <w:rPr>
                      <w:color w:val="000000" w:themeColor="text1"/>
                      <w:szCs w:val="21"/>
                    </w:rPr>
                    <w:t>E103°</w:t>
                  </w:r>
                  <w:r>
                    <w:rPr>
                      <w:rFonts w:hint="eastAsia"/>
                      <w:color w:val="000000" w:themeColor="text1"/>
                      <w:szCs w:val="21"/>
                    </w:rPr>
                    <w:t>7</w:t>
                  </w:r>
                  <w:r>
                    <w:rPr>
                      <w:color w:val="000000" w:themeColor="text1"/>
                      <w:szCs w:val="21"/>
                    </w:rPr>
                    <w:t>'</w:t>
                  </w:r>
                  <w:r>
                    <w:rPr>
                      <w:rFonts w:hint="eastAsia"/>
                      <w:color w:val="000000" w:themeColor="text1"/>
                      <w:szCs w:val="21"/>
                    </w:rPr>
                    <w:t>27.58</w:t>
                  </w:r>
                  <w:r>
                    <w:rPr>
                      <w:color w:val="000000" w:themeColor="text1"/>
                      <w:szCs w:val="21"/>
                    </w:rPr>
                    <w:t>"、N25°</w:t>
                  </w:r>
                  <w:r>
                    <w:rPr>
                      <w:rFonts w:hint="eastAsia"/>
                      <w:color w:val="000000" w:themeColor="text1"/>
                      <w:szCs w:val="21"/>
                    </w:rPr>
                    <w:t>10</w:t>
                  </w:r>
                  <w:r>
                    <w:rPr>
                      <w:color w:val="000000" w:themeColor="text1"/>
                      <w:szCs w:val="21"/>
                    </w:rPr>
                    <w:t>'</w:t>
                  </w:r>
                  <w:r>
                    <w:rPr>
                      <w:rFonts w:hint="eastAsia"/>
                      <w:color w:val="000000" w:themeColor="text1"/>
                      <w:szCs w:val="21"/>
                    </w:rPr>
                    <w:t>45.95</w:t>
                  </w: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Align w:val="center"/>
                </w:tcPr>
                <w:p>
                  <w:pPr>
                    <w:pStyle w:val="24"/>
                    <w:spacing w:line="360" w:lineRule="exact"/>
                    <w:rPr>
                      <w:color w:val="000000" w:themeColor="text1"/>
                      <w:szCs w:val="21"/>
                    </w:rPr>
                  </w:pPr>
                  <w:r>
                    <w:rPr>
                      <w:rFonts w:hint="eastAsia"/>
                      <w:color w:val="000000" w:themeColor="text1"/>
                      <w:szCs w:val="21"/>
                    </w:rPr>
                    <w:t>废渣暂存库</w:t>
                  </w:r>
                </w:p>
              </w:tc>
              <w:tc>
                <w:tcPr>
                  <w:tcW w:w="918" w:type="dxa"/>
                  <w:vAlign w:val="center"/>
                </w:tcPr>
                <w:p>
                  <w:pPr>
                    <w:pStyle w:val="24"/>
                    <w:spacing w:line="360" w:lineRule="exact"/>
                    <w:rPr>
                      <w:color w:val="000000" w:themeColor="text1"/>
                      <w:szCs w:val="21"/>
                    </w:rPr>
                  </w:pPr>
                  <w:r>
                    <w:rPr>
                      <w:rFonts w:hint="eastAsia"/>
                      <w:color w:val="000000" w:themeColor="text1"/>
                      <w:szCs w:val="21"/>
                    </w:rPr>
                    <w:t>装卸、暂存</w:t>
                  </w:r>
                </w:p>
              </w:tc>
              <w:tc>
                <w:tcPr>
                  <w:tcW w:w="848" w:type="dxa"/>
                  <w:vAlign w:val="center"/>
                </w:tcPr>
                <w:p>
                  <w:pPr>
                    <w:pStyle w:val="24"/>
                    <w:spacing w:line="360" w:lineRule="exact"/>
                    <w:rPr>
                      <w:color w:val="000000" w:themeColor="text1"/>
                      <w:szCs w:val="21"/>
                    </w:rPr>
                  </w:pPr>
                  <w:r>
                    <w:rPr>
                      <w:rFonts w:hint="eastAsia"/>
                      <w:color w:val="000000" w:themeColor="text1"/>
                      <w:szCs w:val="21"/>
                    </w:rPr>
                    <w:t>颗粒物</w:t>
                  </w:r>
                </w:p>
              </w:tc>
              <w:tc>
                <w:tcPr>
                  <w:tcW w:w="3121" w:type="dxa"/>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为了降低废渣暂存库的扬尘，拟对废渣暂存库设置三面围挡和顶棚，则其扬尘抑制率约为80%。</w:t>
                  </w:r>
                </w:p>
              </w:tc>
              <w:tc>
                <w:tcPr>
                  <w:tcW w:w="709" w:type="dxa"/>
                  <w:vAlign w:val="center"/>
                </w:tcPr>
                <w:p>
                  <w:pPr>
                    <w:pStyle w:val="24"/>
                    <w:spacing w:line="360" w:lineRule="exact"/>
                    <w:rPr>
                      <w:color w:val="000000" w:themeColor="text1"/>
                      <w:szCs w:val="21"/>
                    </w:rPr>
                  </w:pPr>
                  <w:r>
                    <w:rPr>
                      <w:color w:val="000000" w:themeColor="text1"/>
                      <w:szCs w:val="21"/>
                    </w:rPr>
                    <w:t>无组织</w:t>
                  </w:r>
                </w:p>
              </w:tc>
              <w:tc>
                <w:tcPr>
                  <w:tcW w:w="2339" w:type="dxa"/>
                  <w:gridSpan w:val="2"/>
                  <w:vAlign w:val="center"/>
                </w:tcPr>
                <w:p>
                  <w:pPr>
                    <w:pStyle w:val="24"/>
                    <w:spacing w:line="360" w:lineRule="exact"/>
                    <w:rPr>
                      <w:color w:val="000000" w:themeColor="text1"/>
                      <w:szCs w:val="21"/>
                    </w:rPr>
                  </w:pPr>
                  <w:r>
                    <w:rPr>
                      <w:rFonts w:hint="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表4.2.1-2  废气污染物排放源产排量及达标情况一览表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4"/>
              <w:gridCol w:w="901"/>
              <w:gridCol w:w="851"/>
              <w:gridCol w:w="996"/>
              <w:gridCol w:w="851"/>
              <w:gridCol w:w="850"/>
              <w:gridCol w:w="847"/>
              <w:gridCol w:w="728"/>
              <w:gridCol w:w="1256"/>
              <w:gridCol w:w="6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5" w:type="dxa"/>
                  <w:gridSpan w:val="2"/>
                  <w:vMerge w:val="restart"/>
                  <w:vAlign w:val="center"/>
                </w:tcPr>
                <w:p>
                  <w:pPr>
                    <w:pStyle w:val="24"/>
                    <w:spacing w:line="360" w:lineRule="exact"/>
                    <w:rPr>
                      <w:color w:val="000000" w:themeColor="text1"/>
                      <w:szCs w:val="21"/>
                    </w:rPr>
                  </w:pPr>
                  <w:r>
                    <w:rPr>
                      <w:color w:val="000000" w:themeColor="text1"/>
                      <w:szCs w:val="21"/>
                    </w:rPr>
                    <w:t>产排污环节</w:t>
                  </w:r>
                </w:p>
              </w:tc>
              <w:tc>
                <w:tcPr>
                  <w:tcW w:w="851" w:type="dxa"/>
                  <w:vMerge w:val="restart"/>
                  <w:vAlign w:val="center"/>
                </w:tcPr>
                <w:p>
                  <w:pPr>
                    <w:pStyle w:val="24"/>
                    <w:spacing w:line="360" w:lineRule="exact"/>
                    <w:rPr>
                      <w:color w:val="000000" w:themeColor="text1"/>
                      <w:szCs w:val="21"/>
                    </w:rPr>
                  </w:pPr>
                  <w:r>
                    <w:rPr>
                      <w:color w:val="000000" w:themeColor="text1"/>
                      <w:szCs w:val="21"/>
                    </w:rPr>
                    <w:t>污染物种类</w:t>
                  </w:r>
                </w:p>
              </w:tc>
              <w:tc>
                <w:tcPr>
                  <w:tcW w:w="1847" w:type="dxa"/>
                  <w:gridSpan w:val="2"/>
                  <w:vAlign w:val="center"/>
                </w:tcPr>
                <w:p>
                  <w:pPr>
                    <w:pStyle w:val="24"/>
                    <w:spacing w:line="360" w:lineRule="exact"/>
                    <w:rPr>
                      <w:color w:val="000000" w:themeColor="text1"/>
                      <w:szCs w:val="21"/>
                    </w:rPr>
                  </w:pPr>
                  <w:r>
                    <w:rPr>
                      <w:color w:val="000000" w:themeColor="text1"/>
                      <w:szCs w:val="21"/>
                    </w:rPr>
                    <w:t>污染物产生情况</w:t>
                  </w:r>
                </w:p>
              </w:tc>
              <w:tc>
                <w:tcPr>
                  <w:tcW w:w="2425"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1256"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排放标准mg/m³</w:t>
                  </w:r>
                </w:p>
              </w:tc>
              <w:tc>
                <w:tcPr>
                  <w:tcW w:w="64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5" w:type="dxa"/>
                  <w:gridSpan w:val="2"/>
                  <w:vMerge w:val="continue"/>
                  <w:vAlign w:val="center"/>
                </w:tcPr>
                <w:p>
                  <w:pPr>
                    <w:pStyle w:val="24"/>
                    <w:spacing w:line="360" w:lineRule="exact"/>
                    <w:rPr>
                      <w:color w:val="000000" w:themeColor="text1"/>
                      <w:szCs w:val="21"/>
                    </w:rPr>
                  </w:pPr>
                </w:p>
              </w:tc>
              <w:tc>
                <w:tcPr>
                  <w:tcW w:w="851" w:type="dxa"/>
                  <w:vMerge w:val="continue"/>
                  <w:vAlign w:val="center"/>
                </w:tcPr>
                <w:p>
                  <w:pPr>
                    <w:pStyle w:val="24"/>
                    <w:spacing w:line="360" w:lineRule="exact"/>
                    <w:rPr>
                      <w:color w:val="000000" w:themeColor="text1"/>
                      <w:szCs w:val="21"/>
                    </w:rPr>
                  </w:pPr>
                </w:p>
              </w:tc>
              <w:tc>
                <w:tcPr>
                  <w:tcW w:w="996" w:type="dxa"/>
                  <w:vAlign w:val="center"/>
                </w:tcPr>
                <w:p>
                  <w:pPr>
                    <w:pStyle w:val="24"/>
                    <w:spacing w:line="360" w:lineRule="exact"/>
                    <w:rPr>
                      <w:color w:val="000000" w:themeColor="text1"/>
                      <w:szCs w:val="21"/>
                    </w:rPr>
                  </w:pPr>
                  <w:r>
                    <w:rPr>
                      <w:color w:val="000000" w:themeColor="text1"/>
                      <w:szCs w:val="21"/>
                    </w:rPr>
                    <w:t>产生浓度mg/m³</w:t>
                  </w:r>
                </w:p>
              </w:tc>
              <w:tc>
                <w:tcPr>
                  <w:tcW w:w="851" w:type="dxa"/>
                  <w:vAlign w:val="center"/>
                </w:tcPr>
                <w:p>
                  <w:pPr>
                    <w:pStyle w:val="24"/>
                    <w:spacing w:line="360" w:lineRule="exact"/>
                    <w:rPr>
                      <w:color w:val="000000" w:themeColor="text1"/>
                      <w:szCs w:val="21"/>
                    </w:rPr>
                  </w:pPr>
                  <w:r>
                    <w:rPr>
                      <w:color w:val="000000" w:themeColor="text1"/>
                      <w:szCs w:val="21"/>
                    </w:rPr>
                    <w:t>产生量t/a</w:t>
                  </w:r>
                </w:p>
              </w:tc>
              <w:tc>
                <w:tcPr>
                  <w:tcW w:w="850" w:type="dxa"/>
                  <w:vAlign w:val="center"/>
                </w:tcPr>
                <w:p>
                  <w:pPr>
                    <w:pStyle w:val="24"/>
                    <w:spacing w:line="360" w:lineRule="exact"/>
                    <w:rPr>
                      <w:color w:val="000000" w:themeColor="text1"/>
                      <w:szCs w:val="21"/>
                    </w:rPr>
                  </w:pPr>
                  <w:r>
                    <w:rPr>
                      <w:color w:val="000000" w:themeColor="text1"/>
                      <w:szCs w:val="21"/>
                    </w:rPr>
                    <w:t>排放浓度mg/m³</w:t>
                  </w:r>
                </w:p>
              </w:tc>
              <w:tc>
                <w:tcPr>
                  <w:tcW w:w="847" w:type="dxa"/>
                  <w:tcBorders>
                    <w:top w:val="single" w:color="auto" w:sz="4" w:space="0"/>
                    <w:right w:val="single" w:color="auto" w:sz="4" w:space="0"/>
                  </w:tcBorders>
                  <w:vAlign w:val="center"/>
                </w:tcPr>
                <w:p>
                  <w:pPr>
                    <w:pStyle w:val="24"/>
                    <w:spacing w:line="360" w:lineRule="exact"/>
                    <w:rPr>
                      <w:color w:val="000000" w:themeColor="text1"/>
                      <w:szCs w:val="21"/>
                    </w:rPr>
                  </w:pPr>
                  <w:r>
                    <w:rPr>
                      <w:color w:val="000000" w:themeColor="text1"/>
                      <w:szCs w:val="21"/>
                    </w:rPr>
                    <w:t>排放量t/a</w:t>
                  </w:r>
                </w:p>
              </w:tc>
              <w:tc>
                <w:tcPr>
                  <w:tcW w:w="728" w:type="dxa"/>
                  <w:tcBorders>
                    <w:top w:val="single" w:color="auto" w:sz="4" w:space="0"/>
                    <w:left w:val="single" w:color="auto" w:sz="4" w:space="0"/>
                  </w:tcBorders>
                  <w:vAlign w:val="center"/>
                </w:tcPr>
                <w:p>
                  <w:pPr>
                    <w:pStyle w:val="24"/>
                    <w:spacing w:line="360" w:lineRule="exact"/>
                    <w:rPr>
                      <w:color w:val="000000" w:themeColor="text1"/>
                      <w:szCs w:val="21"/>
                    </w:rPr>
                  </w:pPr>
                  <w:r>
                    <w:rPr>
                      <w:color w:val="000000" w:themeColor="text1"/>
                      <w:szCs w:val="21"/>
                    </w:rPr>
                    <w:t>排放速率kg/h</w:t>
                  </w:r>
                </w:p>
              </w:tc>
              <w:tc>
                <w:tcPr>
                  <w:tcW w:w="1256" w:type="dxa"/>
                  <w:vMerge w:val="continue"/>
                  <w:vAlign w:val="center"/>
                </w:tcPr>
                <w:p>
                  <w:pPr>
                    <w:pStyle w:val="24"/>
                    <w:spacing w:line="360" w:lineRule="exact"/>
                    <w:rPr>
                      <w:color w:val="000000" w:themeColor="text1"/>
                      <w:szCs w:val="21"/>
                    </w:rPr>
                  </w:pPr>
                </w:p>
              </w:tc>
              <w:tc>
                <w:tcPr>
                  <w:tcW w:w="64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4" w:type="dxa"/>
                  <w:vMerge w:val="restart"/>
                  <w:vAlign w:val="center"/>
                </w:tcPr>
                <w:p>
                  <w:pPr>
                    <w:pStyle w:val="24"/>
                    <w:spacing w:line="360" w:lineRule="exact"/>
                    <w:rPr>
                      <w:color w:val="000000" w:themeColor="text1"/>
                      <w:szCs w:val="21"/>
                    </w:rPr>
                  </w:pPr>
                  <w:r>
                    <w:rPr>
                      <w:rFonts w:hint="eastAsia"/>
                      <w:color w:val="000000" w:themeColor="text1"/>
                      <w:szCs w:val="21"/>
                    </w:rPr>
                    <w:t>烘干系统</w:t>
                  </w:r>
                </w:p>
              </w:tc>
              <w:tc>
                <w:tcPr>
                  <w:tcW w:w="901" w:type="dxa"/>
                  <w:vMerge w:val="restart"/>
                  <w:vAlign w:val="center"/>
                </w:tcPr>
                <w:p>
                  <w:pPr>
                    <w:pStyle w:val="24"/>
                    <w:spacing w:line="360" w:lineRule="exact"/>
                    <w:rPr>
                      <w:color w:val="000000" w:themeColor="text1"/>
                      <w:szCs w:val="21"/>
                    </w:rPr>
                  </w:pPr>
                  <w:r>
                    <w:rPr>
                      <w:rFonts w:hint="eastAsia"/>
                      <w:color w:val="000000" w:themeColor="text1"/>
                      <w:szCs w:val="21"/>
                    </w:rPr>
                    <w:t>烘干</w:t>
                  </w:r>
                  <w:r>
                    <w:rPr>
                      <w:color w:val="000000" w:themeColor="text1"/>
                      <w:szCs w:val="21"/>
                    </w:rPr>
                    <w:t>（有组织）</w:t>
                  </w:r>
                </w:p>
              </w:tc>
              <w:tc>
                <w:tcPr>
                  <w:tcW w:w="851" w:type="dxa"/>
                  <w:vAlign w:val="center"/>
                </w:tcPr>
                <w:p>
                  <w:pPr>
                    <w:pStyle w:val="24"/>
                    <w:spacing w:line="360" w:lineRule="exact"/>
                    <w:rPr>
                      <w:color w:val="000000" w:themeColor="text1"/>
                      <w:szCs w:val="21"/>
                    </w:rPr>
                  </w:pPr>
                  <w:r>
                    <w:rPr>
                      <w:rFonts w:hint="eastAsia"/>
                      <w:color w:val="000000" w:themeColor="text1"/>
                      <w:szCs w:val="21"/>
                    </w:rPr>
                    <w:t>烟气量</w:t>
                  </w:r>
                </w:p>
              </w:tc>
              <w:tc>
                <w:tcPr>
                  <w:tcW w:w="1847" w:type="dxa"/>
                  <w:gridSpan w:val="2"/>
                  <w:tcBorders>
                    <w:bottom w:val="single" w:color="auto" w:sz="4" w:space="0"/>
                  </w:tcBorders>
                  <w:vAlign w:val="center"/>
                </w:tcPr>
                <w:p>
                  <w:pPr>
                    <w:pStyle w:val="24"/>
                    <w:spacing w:line="360" w:lineRule="exact"/>
                    <w:rPr>
                      <w:color w:val="000000" w:themeColor="text1"/>
                      <w:szCs w:val="21"/>
                    </w:rPr>
                  </w:pPr>
                  <w:r>
                    <w:rPr>
                      <w:rFonts w:hint="eastAsia"/>
                      <w:color w:val="000000" w:themeColor="text1"/>
                      <w:szCs w:val="21"/>
                    </w:rPr>
                    <w:t>4752万</w:t>
                  </w:r>
                  <w:r>
                    <w:rPr>
                      <w:color w:val="000000" w:themeColor="text1"/>
                      <w:szCs w:val="21"/>
                    </w:rPr>
                    <w:t>m³</w:t>
                  </w:r>
                  <w:r>
                    <w:rPr>
                      <w:rFonts w:hint="eastAsia"/>
                      <w:color w:val="000000" w:themeColor="text1"/>
                      <w:szCs w:val="21"/>
                    </w:rPr>
                    <w:t>/a</w:t>
                  </w:r>
                </w:p>
              </w:tc>
              <w:tc>
                <w:tcPr>
                  <w:tcW w:w="2425" w:type="dxa"/>
                  <w:gridSpan w:val="3"/>
                  <w:vAlign w:val="center"/>
                </w:tcPr>
                <w:p>
                  <w:pPr>
                    <w:pStyle w:val="24"/>
                    <w:spacing w:line="360" w:lineRule="exact"/>
                    <w:rPr>
                      <w:color w:val="000000" w:themeColor="text1"/>
                      <w:szCs w:val="21"/>
                    </w:rPr>
                  </w:pPr>
                  <w:r>
                    <w:rPr>
                      <w:rFonts w:hint="eastAsia"/>
                      <w:color w:val="000000" w:themeColor="text1"/>
                      <w:szCs w:val="21"/>
                    </w:rPr>
                    <w:t>4752万</w:t>
                  </w:r>
                  <w:r>
                    <w:rPr>
                      <w:color w:val="000000" w:themeColor="text1"/>
                      <w:szCs w:val="21"/>
                    </w:rPr>
                    <w:t>m³</w:t>
                  </w:r>
                  <w:r>
                    <w:rPr>
                      <w:rFonts w:hint="eastAsia"/>
                      <w:color w:val="000000" w:themeColor="text1"/>
                      <w:szCs w:val="21"/>
                    </w:rPr>
                    <w:t>/a</w:t>
                  </w:r>
                </w:p>
              </w:tc>
              <w:tc>
                <w:tcPr>
                  <w:tcW w:w="1256" w:type="dxa"/>
                  <w:vAlign w:val="center"/>
                </w:tcPr>
                <w:p>
                  <w:pPr>
                    <w:pStyle w:val="24"/>
                    <w:spacing w:line="360" w:lineRule="exact"/>
                    <w:rPr>
                      <w:color w:val="000000" w:themeColor="text1"/>
                      <w:szCs w:val="21"/>
                    </w:rPr>
                  </w:pPr>
                  <w:r>
                    <w:rPr>
                      <w:rFonts w:hint="eastAsia"/>
                      <w:color w:val="000000" w:themeColor="text1"/>
                      <w:szCs w:val="21"/>
                    </w:rPr>
                    <w:t>--</w:t>
                  </w:r>
                </w:p>
              </w:tc>
              <w:tc>
                <w:tcPr>
                  <w:tcW w:w="641" w:type="dxa"/>
                  <w:vAlign w:val="center"/>
                </w:tcPr>
                <w:p>
                  <w:pPr>
                    <w:pStyle w:val="24"/>
                    <w:spacing w:line="360" w:lineRule="exact"/>
                    <w:rPr>
                      <w:color w:val="000000" w:themeColor="text1"/>
                      <w:szCs w:val="21"/>
                    </w:rPr>
                  </w:pP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4" w:type="dxa"/>
                  <w:vMerge w:val="continue"/>
                  <w:vAlign w:val="center"/>
                </w:tcPr>
                <w:p>
                  <w:pPr>
                    <w:pStyle w:val="24"/>
                    <w:spacing w:line="360" w:lineRule="exact"/>
                    <w:rPr>
                      <w:color w:val="000000" w:themeColor="text1"/>
                      <w:szCs w:val="21"/>
                    </w:rPr>
                  </w:pPr>
                </w:p>
              </w:tc>
              <w:tc>
                <w:tcPr>
                  <w:tcW w:w="901" w:type="dxa"/>
                  <w:vMerge w:val="continue"/>
                  <w:vAlign w:val="center"/>
                </w:tcPr>
                <w:p>
                  <w:pPr>
                    <w:pStyle w:val="24"/>
                    <w:spacing w:line="360" w:lineRule="exact"/>
                    <w:rPr>
                      <w:color w:val="000000" w:themeColor="text1"/>
                      <w:szCs w:val="21"/>
                    </w:rPr>
                  </w:pPr>
                </w:p>
              </w:tc>
              <w:tc>
                <w:tcPr>
                  <w:tcW w:w="851" w:type="dxa"/>
                  <w:vAlign w:val="center"/>
                </w:tcPr>
                <w:p>
                  <w:pPr>
                    <w:pStyle w:val="24"/>
                    <w:spacing w:line="360" w:lineRule="exact"/>
                    <w:rPr>
                      <w:color w:val="000000" w:themeColor="text1"/>
                      <w:szCs w:val="21"/>
                    </w:rPr>
                  </w:pPr>
                  <w:r>
                    <w:rPr>
                      <w:color w:val="000000" w:themeColor="text1"/>
                      <w:szCs w:val="21"/>
                    </w:rPr>
                    <w:t>颗粒物</w:t>
                  </w:r>
                </w:p>
              </w:tc>
              <w:tc>
                <w:tcPr>
                  <w:tcW w:w="996" w:type="dxa"/>
                  <w:tcBorders>
                    <w:bottom w:val="single" w:color="auto" w:sz="4" w:space="0"/>
                  </w:tcBorders>
                  <w:vAlign w:val="center"/>
                </w:tcPr>
                <w:p>
                  <w:pPr>
                    <w:pStyle w:val="24"/>
                    <w:spacing w:line="360" w:lineRule="exact"/>
                    <w:rPr>
                      <w:color w:val="000000" w:themeColor="text1"/>
                      <w:szCs w:val="21"/>
                    </w:rPr>
                  </w:pPr>
                  <w:r>
                    <w:rPr>
                      <w:color w:val="000000" w:themeColor="text1"/>
                      <w:szCs w:val="21"/>
                    </w:rPr>
                    <w:t>176.56</w:t>
                  </w:r>
                </w:p>
              </w:tc>
              <w:tc>
                <w:tcPr>
                  <w:tcW w:w="851" w:type="dxa"/>
                  <w:tcBorders>
                    <w:bottom w:val="single" w:color="auto" w:sz="4" w:space="0"/>
                  </w:tcBorders>
                  <w:vAlign w:val="center"/>
                </w:tcPr>
                <w:p>
                  <w:pPr>
                    <w:pStyle w:val="24"/>
                    <w:spacing w:line="360" w:lineRule="exact"/>
                    <w:rPr>
                      <w:color w:val="000000" w:themeColor="text1"/>
                      <w:szCs w:val="21"/>
                    </w:rPr>
                  </w:pPr>
                  <w:r>
                    <w:rPr>
                      <w:color w:val="000000" w:themeColor="text1"/>
                      <w:szCs w:val="21"/>
                    </w:rPr>
                    <w:t>8.39</w:t>
                  </w:r>
                </w:p>
              </w:tc>
              <w:tc>
                <w:tcPr>
                  <w:tcW w:w="850" w:type="dxa"/>
                  <w:vAlign w:val="center"/>
                </w:tcPr>
                <w:p>
                  <w:pPr>
                    <w:pStyle w:val="24"/>
                    <w:spacing w:line="360" w:lineRule="exact"/>
                    <w:rPr>
                      <w:color w:val="000000" w:themeColor="text1"/>
                      <w:szCs w:val="21"/>
                    </w:rPr>
                  </w:pPr>
                  <w:r>
                    <w:rPr>
                      <w:color w:val="000000" w:themeColor="text1"/>
                      <w:szCs w:val="21"/>
                    </w:rPr>
                    <w:t>21.25</w:t>
                  </w:r>
                </w:p>
              </w:tc>
              <w:tc>
                <w:tcPr>
                  <w:tcW w:w="847"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1.01</w:t>
                  </w:r>
                </w:p>
              </w:tc>
              <w:tc>
                <w:tcPr>
                  <w:tcW w:w="728" w:type="dxa"/>
                  <w:tcBorders>
                    <w:left w:val="single" w:color="auto" w:sz="4" w:space="0"/>
                  </w:tcBorders>
                  <w:vAlign w:val="center"/>
                </w:tcPr>
                <w:p>
                  <w:pPr>
                    <w:pStyle w:val="24"/>
                    <w:spacing w:line="360" w:lineRule="exact"/>
                    <w:rPr>
                      <w:color w:val="000000" w:themeColor="text1"/>
                      <w:szCs w:val="21"/>
                    </w:rPr>
                  </w:pPr>
                  <w:r>
                    <w:rPr>
                      <w:color w:val="000000" w:themeColor="text1"/>
                      <w:szCs w:val="21"/>
                    </w:rPr>
                    <w:t>0.13</w:t>
                  </w:r>
                </w:p>
              </w:tc>
              <w:tc>
                <w:tcPr>
                  <w:tcW w:w="1256" w:type="dxa"/>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20</w:t>
                  </w:r>
                  <w:r>
                    <w:rPr>
                      <w:color w:val="000000" w:themeColor="text1"/>
                      <w:szCs w:val="21"/>
                    </w:rPr>
                    <w:t>0</w:t>
                  </w:r>
                </w:p>
              </w:tc>
              <w:tc>
                <w:tcPr>
                  <w:tcW w:w="641" w:type="dxa"/>
                  <w:vAlign w:val="center"/>
                </w:tcPr>
                <w:p>
                  <w:pPr>
                    <w:pStyle w:val="24"/>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4" w:type="dxa"/>
                  <w:vMerge w:val="continue"/>
                  <w:vAlign w:val="center"/>
                </w:tcPr>
                <w:p>
                  <w:pPr>
                    <w:pStyle w:val="24"/>
                    <w:spacing w:line="360" w:lineRule="exact"/>
                    <w:rPr>
                      <w:color w:val="000000" w:themeColor="text1"/>
                      <w:szCs w:val="21"/>
                    </w:rPr>
                  </w:pPr>
                </w:p>
              </w:tc>
              <w:tc>
                <w:tcPr>
                  <w:tcW w:w="901" w:type="dxa"/>
                  <w:vMerge w:val="continue"/>
                  <w:vAlign w:val="center"/>
                </w:tcPr>
                <w:p>
                  <w:pPr>
                    <w:pStyle w:val="24"/>
                    <w:spacing w:line="360" w:lineRule="exact"/>
                    <w:rPr>
                      <w:color w:val="000000" w:themeColor="text1"/>
                      <w:szCs w:val="21"/>
                    </w:rPr>
                  </w:pPr>
                </w:p>
              </w:tc>
              <w:tc>
                <w:tcPr>
                  <w:tcW w:w="851" w:type="dxa"/>
                  <w:vAlign w:val="center"/>
                </w:tcPr>
                <w:p>
                  <w:pPr>
                    <w:pStyle w:val="24"/>
                    <w:spacing w:line="360" w:lineRule="exact"/>
                    <w:rPr>
                      <w:color w:val="000000" w:themeColor="text1"/>
                      <w:szCs w:val="21"/>
                    </w:rPr>
                  </w:pPr>
                  <w:r>
                    <w:rPr>
                      <w:rFonts w:hint="eastAsia"/>
                      <w:color w:val="000000" w:themeColor="text1"/>
                      <w:szCs w:val="21"/>
                    </w:rPr>
                    <w:t>SO</w:t>
                  </w:r>
                  <w:r>
                    <w:rPr>
                      <w:rFonts w:hint="eastAsia"/>
                      <w:color w:val="000000" w:themeColor="text1"/>
                      <w:szCs w:val="21"/>
                      <w:vertAlign w:val="subscript"/>
                    </w:rPr>
                    <w:t>2</w:t>
                  </w:r>
                </w:p>
              </w:tc>
              <w:tc>
                <w:tcPr>
                  <w:tcW w:w="996" w:type="dxa"/>
                  <w:tcBorders>
                    <w:top w:val="single" w:color="auto" w:sz="4" w:space="0"/>
                    <w:bottom w:val="single" w:color="auto" w:sz="4" w:space="0"/>
                  </w:tcBorders>
                  <w:vAlign w:val="center"/>
                </w:tcPr>
                <w:p>
                  <w:pPr>
                    <w:pStyle w:val="24"/>
                    <w:spacing w:line="360" w:lineRule="exact"/>
                    <w:rPr>
                      <w:color w:val="000000" w:themeColor="text1"/>
                      <w:szCs w:val="21"/>
                    </w:rPr>
                  </w:pPr>
                  <w:r>
                    <w:rPr>
                      <w:color w:val="000000" w:themeColor="text1"/>
                      <w:szCs w:val="21"/>
                    </w:rPr>
                    <w:t>6.31</w:t>
                  </w:r>
                </w:p>
              </w:tc>
              <w:tc>
                <w:tcPr>
                  <w:tcW w:w="851" w:type="dxa"/>
                  <w:tcBorders>
                    <w:top w:val="single" w:color="auto" w:sz="4" w:space="0"/>
                    <w:bottom w:val="single" w:color="auto" w:sz="4" w:space="0"/>
                  </w:tcBorders>
                  <w:vAlign w:val="center"/>
                </w:tcPr>
                <w:p>
                  <w:pPr>
                    <w:pStyle w:val="24"/>
                    <w:spacing w:line="360" w:lineRule="exact"/>
                    <w:rPr>
                      <w:color w:val="000000" w:themeColor="text1"/>
                      <w:szCs w:val="21"/>
                    </w:rPr>
                  </w:pPr>
                  <w:r>
                    <w:rPr>
                      <w:color w:val="000000" w:themeColor="text1"/>
                      <w:szCs w:val="21"/>
                    </w:rPr>
                    <w:t>0.3</w:t>
                  </w:r>
                </w:p>
              </w:tc>
              <w:tc>
                <w:tcPr>
                  <w:tcW w:w="850" w:type="dxa"/>
                  <w:vAlign w:val="center"/>
                </w:tcPr>
                <w:p>
                  <w:pPr>
                    <w:pStyle w:val="24"/>
                    <w:spacing w:line="360" w:lineRule="exact"/>
                    <w:rPr>
                      <w:color w:val="000000" w:themeColor="text1"/>
                      <w:szCs w:val="21"/>
                    </w:rPr>
                  </w:pPr>
                  <w:r>
                    <w:rPr>
                      <w:color w:val="000000" w:themeColor="text1"/>
                      <w:szCs w:val="21"/>
                    </w:rPr>
                    <w:t>6.31</w:t>
                  </w:r>
                </w:p>
              </w:tc>
              <w:tc>
                <w:tcPr>
                  <w:tcW w:w="847"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0.3</w:t>
                  </w:r>
                </w:p>
              </w:tc>
              <w:tc>
                <w:tcPr>
                  <w:tcW w:w="728" w:type="dxa"/>
                  <w:tcBorders>
                    <w:left w:val="single" w:color="auto" w:sz="4" w:space="0"/>
                  </w:tcBorders>
                  <w:vAlign w:val="center"/>
                </w:tcPr>
                <w:p>
                  <w:pPr>
                    <w:pStyle w:val="24"/>
                    <w:spacing w:line="360" w:lineRule="exact"/>
                    <w:rPr>
                      <w:color w:val="000000" w:themeColor="text1"/>
                      <w:szCs w:val="21"/>
                    </w:rPr>
                  </w:pPr>
                  <w:r>
                    <w:rPr>
                      <w:color w:val="000000" w:themeColor="text1"/>
                      <w:szCs w:val="21"/>
                    </w:rPr>
                    <w:t>0.04</w:t>
                  </w:r>
                </w:p>
              </w:tc>
              <w:tc>
                <w:tcPr>
                  <w:tcW w:w="1256" w:type="dxa"/>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50</w:t>
                  </w:r>
                </w:p>
              </w:tc>
              <w:tc>
                <w:tcPr>
                  <w:tcW w:w="641" w:type="dxa"/>
                  <w:vAlign w:val="center"/>
                </w:tcPr>
                <w:p>
                  <w:pPr>
                    <w:pStyle w:val="24"/>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4" w:type="dxa"/>
                  <w:vMerge w:val="continue"/>
                  <w:vAlign w:val="center"/>
                </w:tcPr>
                <w:p>
                  <w:pPr>
                    <w:pStyle w:val="24"/>
                    <w:spacing w:line="360" w:lineRule="exact"/>
                    <w:rPr>
                      <w:color w:val="000000" w:themeColor="text1"/>
                      <w:szCs w:val="21"/>
                    </w:rPr>
                  </w:pPr>
                </w:p>
              </w:tc>
              <w:tc>
                <w:tcPr>
                  <w:tcW w:w="901" w:type="dxa"/>
                  <w:vMerge w:val="continue"/>
                  <w:vAlign w:val="center"/>
                </w:tcPr>
                <w:p>
                  <w:pPr>
                    <w:pStyle w:val="24"/>
                    <w:spacing w:line="360" w:lineRule="exact"/>
                    <w:rPr>
                      <w:color w:val="000000" w:themeColor="text1"/>
                      <w:szCs w:val="21"/>
                    </w:rPr>
                  </w:pPr>
                </w:p>
              </w:tc>
              <w:tc>
                <w:tcPr>
                  <w:tcW w:w="851" w:type="dxa"/>
                  <w:vAlign w:val="center"/>
                </w:tcPr>
                <w:p>
                  <w:pPr>
                    <w:pStyle w:val="24"/>
                    <w:spacing w:line="360" w:lineRule="exact"/>
                    <w:rPr>
                      <w:color w:val="000000" w:themeColor="text1"/>
                      <w:szCs w:val="21"/>
                    </w:rPr>
                  </w:pPr>
                  <w:r>
                    <w:rPr>
                      <w:rFonts w:hint="eastAsia"/>
                      <w:color w:val="000000" w:themeColor="text1"/>
                      <w:szCs w:val="21"/>
                    </w:rPr>
                    <w:t>NOx</w:t>
                  </w:r>
                </w:p>
              </w:tc>
              <w:tc>
                <w:tcPr>
                  <w:tcW w:w="996" w:type="dxa"/>
                  <w:tcBorders>
                    <w:top w:val="single" w:color="auto" w:sz="4" w:space="0"/>
                    <w:bottom w:val="single" w:color="auto" w:sz="4" w:space="0"/>
                  </w:tcBorders>
                  <w:vAlign w:val="center"/>
                </w:tcPr>
                <w:p>
                  <w:pPr>
                    <w:pStyle w:val="24"/>
                    <w:spacing w:line="360" w:lineRule="exact"/>
                    <w:rPr>
                      <w:color w:val="000000" w:themeColor="text1"/>
                      <w:szCs w:val="21"/>
                    </w:rPr>
                  </w:pPr>
                  <w:r>
                    <w:rPr>
                      <w:color w:val="000000" w:themeColor="text1"/>
                      <w:szCs w:val="21"/>
                    </w:rPr>
                    <w:t>59.13</w:t>
                  </w:r>
                </w:p>
              </w:tc>
              <w:tc>
                <w:tcPr>
                  <w:tcW w:w="851" w:type="dxa"/>
                  <w:tcBorders>
                    <w:top w:val="single" w:color="auto" w:sz="4" w:space="0"/>
                    <w:bottom w:val="single" w:color="auto" w:sz="4" w:space="0"/>
                  </w:tcBorders>
                  <w:vAlign w:val="center"/>
                </w:tcPr>
                <w:p>
                  <w:pPr>
                    <w:pStyle w:val="24"/>
                    <w:spacing w:line="360" w:lineRule="exact"/>
                    <w:rPr>
                      <w:color w:val="000000" w:themeColor="text1"/>
                      <w:szCs w:val="21"/>
                    </w:rPr>
                  </w:pPr>
                  <w:r>
                    <w:rPr>
                      <w:color w:val="000000" w:themeColor="text1"/>
                      <w:szCs w:val="21"/>
                    </w:rPr>
                    <w:t>2.81</w:t>
                  </w:r>
                </w:p>
              </w:tc>
              <w:tc>
                <w:tcPr>
                  <w:tcW w:w="850" w:type="dxa"/>
                  <w:vAlign w:val="center"/>
                </w:tcPr>
                <w:p>
                  <w:pPr>
                    <w:pStyle w:val="24"/>
                    <w:spacing w:line="360" w:lineRule="exact"/>
                    <w:rPr>
                      <w:color w:val="000000" w:themeColor="text1"/>
                      <w:szCs w:val="21"/>
                    </w:rPr>
                  </w:pPr>
                  <w:r>
                    <w:rPr>
                      <w:color w:val="000000" w:themeColor="text1"/>
                      <w:szCs w:val="21"/>
                    </w:rPr>
                    <w:t>59.13</w:t>
                  </w:r>
                </w:p>
              </w:tc>
              <w:tc>
                <w:tcPr>
                  <w:tcW w:w="847" w:type="dxa"/>
                  <w:tcBorders>
                    <w:right w:val="single" w:color="auto" w:sz="4" w:space="0"/>
                  </w:tcBorders>
                  <w:vAlign w:val="center"/>
                </w:tcPr>
                <w:p>
                  <w:pPr>
                    <w:pStyle w:val="24"/>
                    <w:spacing w:line="360" w:lineRule="exact"/>
                    <w:rPr>
                      <w:color w:val="000000" w:themeColor="text1"/>
                      <w:szCs w:val="21"/>
                    </w:rPr>
                  </w:pPr>
                  <w:r>
                    <w:rPr>
                      <w:color w:val="000000" w:themeColor="text1"/>
                      <w:szCs w:val="21"/>
                    </w:rPr>
                    <w:t>2.81</w:t>
                  </w:r>
                </w:p>
              </w:tc>
              <w:tc>
                <w:tcPr>
                  <w:tcW w:w="728" w:type="dxa"/>
                  <w:tcBorders>
                    <w:left w:val="single" w:color="auto" w:sz="4" w:space="0"/>
                  </w:tcBorders>
                  <w:vAlign w:val="center"/>
                </w:tcPr>
                <w:p>
                  <w:pPr>
                    <w:pStyle w:val="24"/>
                    <w:spacing w:line="360" w:lineRule="exact"/>
                    <w:rPr>
                      <w:color w:val="000000" w:themeColor="text1"/>
                      <w:szCs w:val="21"/>
                    </w:rPr>
                  </w:pPr>
                  <w:r>
                    <w:rPr>
                      <w:color w:val="000000" w:themeColor="text1"/>
                      <w:szCs w:val="21"/>
                    </w:rPr>
                    <w:t>0.35</w:t>
                  </w:r>
                </w:p>
              </w:tc>
              <w:tc>
                <w:tcPr>
                  <w:tcW w:w="1256" w:type="dxa"/>
                  <w:vAlign w:val="center"/>
                </w:tcPr>
                <w:p>
                  <w:pPr>
                    <w:pStyle w:val="24"/>
                    <w:spacing w:line="360" w:lineRule="exact"/>
                    <w:rPr>
                      <w:color w:val="000000" w:themeColor="text1"/>
                      <w:szCs w:val="21"/>
                    </w:rPr>
                  </w:pPr>
                  <w:r>
                    <w:rPr>
                      <w:color w:val="000000" w:themeColor="text1"/>
                      <w:szCs w:val="21"/>
                    </w:rPr>
                    <w:t>≤</w:t>
                  </w:r>
                  <w:r>
                    <w:rPr>
                      <w:rFonts w:hint="eastAsia"/>
                      <w:color w:val="000000" w:themeColor="text1"/>
                      <w:szCs w:val="21"/>
                    </w:rPr>
                    <w:t>20</w:t>
                  </w:r>
                  <w:r>
                    <w:rPr>
                      <w:color w:val="000000" w:themeColor="text1"/>
                      <w:szCs w:val="21"/>
                    </w:rPr>
                    <w:t>0</w:t>
                  </w:r>
                </w:p>
              </w:tc>
              <w:tc>
                <w:tcPr>
                  <w:tcW w:w="641" w:type="dxa"/>
                  <w:vAlign w:val="center"/>
                </w:tcPr>
                <w:p>
                  <w:pPr>
                    <w:pStyle w:val="24"/>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4" w:type="dxa"/>
                  <w:vAlign w:val="center"/>
                </w:tcPr>
                <w:p>
                  <w:pPr>
                    <w:pStyle w:val="24"/>
                    <w:spacing w:line="360" w:lineRule="exact"/>
                    <w:rPr>
                      <w:color w:val="000000" w:themeColor="text1"/>
                      <w:szCs w:val="21"/>
                    </w:rPr>
                  </w:pPr>
                  <w:r>
                    <w:rPr>
                      <w:rFonts w:hint="eastAsia"/>
                      <w:color w:val="000000" w:themeColor="text1"/>
                      <w:szCs w:val="21"/>
                    </w:rPr>
                    <w:t>废渣暂存库</w:t>
                  </w:r>
                </w:p>
              </w:tc>
              <w:tc>
                <w:tcPr>
                  <w:tcW w:w="901" w:type="dxa"/>
                  <w:vAlign w:val="center"/>
                </w:tcPr>
                <w:p>
                  <w:pPr>
                    <w:pStyle w:val="24"/>
                    <w:spacing w:line="360" w:lineRule="exact"/>
                    <w:rPr>
                      <w:color w:val="000000" w:themeColor="text1"/>
                      <w:szCs w:val="21"/>
                    </w:rPr>
                  </w:pPr>
                  <w:r>
                    <w:rPr>
                      <w:rFonts w:hint="eastAsia"/>
                      <w:color w:val="000000" w:themeColor="text1"/>
                      <w:szCs w:val="21"/>
                    </w:rPr>
                    <w:t>装卸、暂存</w:t>
                  </w:r>
                </w:p>
              </w:tc>
              <w:tc>
                <w:tcPr>
                  <w:tcW w:w="851" w:type="dxa"/>
                  <w:vAlign w:val="center"/>
                </w:tcPr>
                <w:p>
                  <w:pPr>
                    <w:pStyle w:val="24"/>
                    <w:spacing w:line="360" w:lineRule="exact"/>
                    <w:rPr>
                      <w:color w:val="000000" w:themeColor="text1"/>
                      <w:szCs w:val="21"/>
                    </w:rPr>
                  </w:pPr>
                  <w:r>
                    <w:rPr>
                      <w:rFonts w:hint="eastAsia"/>
                      <w:color w:val="000000" w:themeColor="text1"/>
                      <w:szCs w:val="21"/>
                    </w:rPr>
                    <w:t>颗粒物</w:t>
                  </w:r>
                  <w:r>
                    <w:rPr>
                      <w:color w:val="000000" w:themeColor="text1"/>
                      <w:szCs w:val="21"/>
                    </w:rPr>
                    <w:t>（</w:t>
                  </w:r>
                  <w:r>
                    <w:rPr>
                      <w:rFonts w:hint="eastAsia"/>
                      <w:color w:val="000000" w:themeColor="text1"/>
                      <w:szCs w:val="21"/>
                    </w:rPr>
                    <w:t>无</w:t>
                  </w:r>
                  <w:r>
                    <w:rPr>
                      <w:color w:val="000000" w:themeColor="text1"/>
                      <w:szCs w:val="21"/>
                    </w:rPr>
                    <w:t>组织）</w:t>
                  </w:r>
                </w:p>
              </w:tc>
              <w:tc>
                <w:tcPr>
                  <w:tcW w:w="996" w:type="dxa"/>
                  <w:tcBorders>
                    <w:top w:val="single" w:color="auto" w:sz="4" w:space="0"/>
                  </w:tcBorders>
                  <w:vAlign w:val="center"/>
                </w:tcPr>
                <w:p>
                  <w:pPr>
                    <w:pStyle w:val="24"/>
                    <w:spacing w:before="78" w:line="360" w:lineRule="exact"/>
                    <w:rPr>
                      <w:color w:val="000000" w:themeColor="text1"/>
                      <w:szCs w:val="21"/>
                    </w:rPr>
                  </w:pPr>
                  <w:r>
                    <w:rPr>
                      <w:rFonts w:hint="eastAsia"/>
                      <w:color w:val="000000" w:themeColor="text1"/>
                      <w:szCs w:val="21"/>
                    </w:rPr>
                    <w:t>--</w:t>
                  </w:r>
                </w:p>
              </w:tc>
              <w:tc>
                <w:tcPr>
                  <w:tcW w:w="851" w:type="dxa"/>
                  <w:tcBorders>
                    <w:top w:val="single" w:color="auto" w:sz="4" w:space="0"/>
                  </w:tcBorders>
                  <w:vAlign w:val="center"/>
                </w:tcPr>
                <w:p>
                  <w:pPr>
                    <w:pStyle w:val="24"/>
                    <w:spacing w:before="78" w:line="360" w:lineRule="exact"/>
                    <w:rPr>
                      <w:color w:val="000000" w:themeColor="text1"/>
                      <w:szCs w:val="21"/>
                    </w:rPr>
                  </w:pPr>
                  <w:r>
                    <w:rPr>
                      <w:rFonts w:hint="eastAsia"/>
                      <w:color w:val="000000" w:themeColor="text1"/>
                      <w:szCs w:val="21"/>
                    </w:rPr>
                    <w:t>0.78</w:t>
                  </w:r>
                </w:p>
              </w:tc>
              <w:tc>
                <w:tcPr>
                  <w:tcW w:w="850" w:type="dxa"/>
                  <w:vAlign w:val="center"/>
                </w:tcPr>
                <w:p>
                  <w:pPr>
                    <w:pStyle w:val="24"/>
                    <w:spacing w:before="78" w:line="360" w:lineRule="exact"/>
                    <w:rPr>
                      <w:color w:val="000000" w:themeColor="text1"/>
                      <w:szCs w:val="21"/>
                    </w:rPr>
                  </w:pPr>
                  <w:r>
                    <w:rPr>
                      <w:rFonts w:hint="eastAsia"/>
                      <w:color w:val="000000" w:themeColor="text1"/>
                      <w:szCs w:val="21"/>
                    </w:rPr>
                    <w:t>--</w:t>
                  </w:r>
                </w:p>
              </w:tc>
              <w:tc>
                <w:tcPr>
                  <w:tcW w:w="847" w:type="dxa"/>
                  <w:tcBorders>
                    <w:right w:val="single" w:color="auto" w:sz="4" w:space="0"/>
                  </w:tcBorders>
                  <w:vAlign w:val="center"/>
                </w:tcPr>
                <w:p>
                  <w:pPr>
                    <w:pStyle w:val="24"/>
                    <w:spacing w:before="78" w:line="360" w:lineRule="exact"/>
                    <w:rPr>
                      <w:color w:val="000000" w:themeColor="text1"/>
                      <w:szCs w:val="21"/>
                    </w:rPr>
                  </w:pPr>
                  <w:r>
                    <w:rPr>
                      <w:color w:val="000000" w:themeColor="text1"/>
                      <w:szCs w:val="21"/>
                    </w:rPr>
                    <w:t>0.</w:t>
                  </w:r>
                  <w:r>
                    <w:rPr>
                      <w:rFonts w:hint="eastAsia"/>
                      <w:color w:val="000000" w:themeColor="text1"/>
                      <w:szCs w:val="21"/>
                    </w:rPr>
                    <w:t>16</w:t>
                  </w:r>
                </w:p>
              </w:tc>
              <w:tc>
                <w:tcPr>
                  <w:tcW w:w="728" w:type="dxa"/>
                  <w:tcBorders>
                    <w:left w:val="single" w:color="auto" w:sz="4" w:space="0"/>
                  </w:tcBorders>
                  <w:vAlign w:val="center"/>
                </w:tcPr>
                <w:p>
                  <w:pPr>
                    <w:pStyle w:val="24"/>
                    <w:spacing w:before="78" w:line="360" w:lineRule="exact"/>
                    <w:rPr>
                      <w:color w:val="000000" w:themeColor="text1"/>
                      <w:szCs w:val="21"/>
                    </w:rPr>
                  </w:pPr>
                  <w:r>
                    <w:rPr>
                      <w:rFonts w:hint="eastAsia"/>
                      <w:color w:val="000000" w:themeColor="text1"/>
                      <w:szCs w:val="21"/>
                    </w:rPr>
                    <w:t>--</w:t>
                  </w:r>
                </w:p>
              </w:tc>
              <w:tc>
                <w:tcPr>
                  <w:tcW w:w="1256" w:type="dxa"/>
                  <w:vAlign w:val="center"/>
                </w:tcPr>
                <w:p>
                  <w:pPr>
                    <w:pStyle w:val="24"/>
                    <w:spacing w:before="78" w:line="360" w:lineRule="exact"/>
                    <w:rPr>
                      <w:color w:val="000000" w:themeColor="text1"/>
                      <w:szCs w:val="21"/>
                    </w:rPr>
                  </w:pPr>
                  <w:r>
                    <w:rPr>
                      <w:color w:val="000000" w:themeColor="text1"/>
                      <w:szCs w:val="21"/>
                    </w:rPr>
                    <w:t>≤</w:t>
                  </w:r>
                  <w:r>
                    <w:rPr>
                      <w:rFonts w:hint="eastAsia"/>
                      <w:color w:val="000000" w:themeColor="text1"/>
                      <w:szCs w:val="21"/>
                    </w:rPr>
                    <w:t>1.0</w:t>
                  </w:r>
                </w:p>
              </w:tc>
              <w:tc>
                <w:tcPr>
                  <w:tcW w:w="641" w:type="dxa"/>
                  <w:vAlign w:val="center"/>
                </w:tcPr>
                <w:p>
                  <w:pPr>
                    <w:pStyle w:val="24"/>
                    <w:spacing w:before="78" w:line="360" w:lineRule="exact"/>
                    <w:rPr>
                      <w:color w:val="000000" w:themeColor="text1"/>
                      <w:szCs w:val="21"/>
                    </w:rPr>
                  </w:pPr>
                  <w:r>
                    <w:rPr>
                      <w:color w:val="000000" w:themeColor="text1"/>
                      <w:szCs w:val="21"/>
                    </w:rPr>
                    <w:t>达标</w:t>
                  </w:r>
                </w:p>
              </w:tc>
            </w:tr>
          </w:tbl>
          <w:p>
            <w:pPr>
              <w:pStyle w:val="32"/>
              <w:spacing w:beforeLines="50"/>
              <w:ind w:firstLine="480"/>
              <w:rPr>
                <w:color w:val="000000" w:themeColor="text1"/>
                <w:szCs w:val="24"/>
              </w:rPr>
            </w:pPr>
            <w:r>
              <w:rPr>
                <w:color w:val="000000" w:themeColor="text1"/>
                <w:szCs w:val="24"/>
              </w:rPr>
              <w:t>由上表可知，烘干线废气</w:t>
            </w:r>
            <w:r>
              <w:rPr>
                <w:rFonts w:hint="eastAsia"/>
                <w:color w:val="000000" w:themeColor="text1"/>
                <w:szCs w:val="24"/>
              </w:rPr>
              <w:t>通过</w:t>
            </w:r>
            <w:r>
              <w:rPr>
                <w:color w:val="000000" w:themeColor="text1"/>
                <w:szCs w:val="24"/>
              </w:rPr>
              <w:t>旋风除尘器+布袋除尘器对其进行处理</w:t>
            </w:r>
            <w:r>
              <w:rPr>
                <w:rFonts w:hint="eastAsia"/>
                <w:color w:val="000000" w:themeColor="text1"/>
                <w:szCs w:val="24"/>
              </w:rPr>
              <w:t>后，颗粒物可达到</w:t>
            </w:r>
            <w:r>
              <w:rPr>
                <w:color w:val="000000" w:themeColor="text1"/>
                <w:szCs w:val="24"/>
              </w:rPr>
              <w:t>《工业炉窑大气污染物排放标准》（GB9078-1996）中表2中干燥炉、窑的二级标准限值</w:t>
            </w:r>
            <w:r>
              <w:rPr>
                <w:rFonts w:hint="eastAsia"/>
                <w:color w:val="000000" w:themeColor="text1"/>
                <w:szCs w:val="24"/>
              </w:rPr>
              <w:t>；</w:t>
            </w:r>
            <w:r>
              <w:rPr>
                <w:color w:val="000000" w:themeColor="text1"/>
                <w:szCs w:val="24"/>
              </w:rPr>
              <w:t>SO</w:t>
            </w:r>
            <w:r>
              <w:rPr>
                <w:color w:val="000000" w:themeColor="text1"/>
                <w:szCs w:val="24"/>
                <w:vertAlign w:val="subscript"/>
              </w:rPr>
              <w:t>2</w:t>
            </w:r>
            <w:r>
              <w:rPr>
                <w:color w:val="000000" w:themeColor="text1"/>
                <w:szCs w:val="24"/>
              </w:rPr>
              <w:t>和NOx</w:t>
            </w:r>
            <w:r>
              <w:rPr>
                <w:rFonts w:hint="eastAsia"/>
                <w:color w:val="000000" w:themeColor="text1"/>
                <w:szCs w:val="24"/>
              </w:rPr>
              <w:t>可达到</w:t>
            </w:r>
            <w:r>
              <w:rPr>
                <w:color w:val="000000" w:themeColor="text1"/>
                <w:szCs w:val="24"/>
              </w:rPr>
              <w:t>《锅炉大气污染物排放标准》（GB13271-2014）标准限值。</w:t>
            </w:r>
            <w:r>
              <w:rPr>
                <w:rFonts w:hint="eastAsia"/>
                <w:color w:val="000000" w:themeColor="text1"/>
                <w:szCs w:val="24"/>
              </w:rPr>
              <w:t>废渣暂存库设置三面围挡和顶棚，其装卸和暂存扬尘可达到</w:t>
            </w:r>
            <w:r>
              <w:rPr>
                <w:color w:val="000000" w:themeColor="text1"/>
                <w:szCs w:val="24"/>
              </w:rPr>
              <w:t>《大气污染物综合排放标准》（GB16297-1996）无组织排放标准限值</w:t>
            </w:r>
            <w:r>
              <w:rPr>
                <w:rFonts w:hint="eastAsia"/>
                <w:color w:val="000000" w:themeColor="text1"/>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项目设计提出拟建设的废气污染治理设施</w:t>
            </w:r>
            <w:r>
              <w:rPr>
                <w:rFonts w:hint="eastAsia" w:ascii="Times New Roman" w:hAnsi="Times New Roman" w:cs="Times New Roman"/>
                <w:color w:val="000000" w:themeColor="text1"/>
                <w:sz w:val="24"/>
                <w:szCs w:val="24"/>
              </w:rPr>
              <w:t>旋风除尘、布袋除尘、废渣暂存库设置三面围挡和顶棚均</w:t>
            </w:r>
            <w:r>
              <w:rPr>
                <w:rFonts w:ascii="Times New Roman" w:hAnsi="Times New Roman" w:cs="Times New Roman"/>
                <w:color w:val="000000" w:themeColor="text1"/>
                <w:sz w:val="24"/>
                <w:szCs w:val="24"/>
              </w:rPr>
              <w:t>为常见可行的废气污染防治措施，属于可行技术，措施可行。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表4.2.1-3  项目运营期废气自行监测计划一览表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366"/>
              <w:gridCol w:w="1134"/>
              <w:gridCol w:w="1134"/>
              <w:gridCol w:w="4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对象</w:t>
                  </w:r>
                </w:p>
              </w:tc>
              <w:tc>
                <w:tcPr>
                  <w:tcW w:w="136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监测点位</w:t>
                  </w:r>
                </w:p>
              </w:tc>
              <w:tc>
                <w:tcPr>
                  <w:tcW w:w="113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监测因子</w:t>
                  </w:r>
                </w:p>
              </w:tc>
              <w:tc>
                <w:tcPr>
                  <w:tcW w:w="113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404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8"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废气</w:t>
                  </w:r>
                </w:p>
              </w:tc>
              <w:tc>
                <w:tcPr>
                  <w:tcW w:w="136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DA001排气筒</w:t>
                  </w:r>
                </w:p>
              </w:tc>
              <w:tc>
                <w:tcPr>
                  <w:tcW w:w="1134" w:type="dxa"/>
                  <w:vAlign w:val="center"/>
                </w:tcPr>
                <w:p>
                  <w:pPr>
                    <w:pStyle w:val="24"/>
                    <w:spacing w:line="360" w:lineRule="exact"/>
                    <w:rPr>
                      <w:rFonts w:eastAsiaTheme="minorEastAsia"/>
                      <w:color w:val="000000" w:themeColor="text1"/>
                      <w:szCs w:val="21"/>
                    </w:rPr>
                  </w:pPr>
                  <w:r>
                    <w:rPr>
                      <w:color w:val="000000" w:themeColor="text1"/>
                      <w:szCs w:val="21"/>
                    </w:rPr>
                    <w:t>颗粒物、SO</w:t>
                  </w:r>
                  <w:r>
                    <w:rPr>
                      <w:color w:val="000000" w:themeColor="text1"/>
                      <w:szCs w:val="21"/>
                      <w:vertAlign w:val="subscript"/>
                    </w:rPr>
                    <w:t>2</w:t>
                  </w:r>
                  <w:r>
                    <w:rPr>
                      <w:color w:val="000000" w:themeColor="text1"/>
                      <w:szCs w:val="21"/>
                    </w:rPr>
                    <w:t>、NOx</w:t>
                  </w:r>
                </w:p>
              </w:tc>
              <w:tc>
                <w:tcPr>
                  <w:tcW w:w="113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1次/年</w:t>
                  </w:r>
                </w:p>
              </w:tc>
              <w:tc>
                <w:tcPr>
                  <w:tcW w:w="4043" w:type="dxa"/>
                  <w:vAlign w:val="center"/>
                </w:tcPr>
                <w:p>
                  <w:pPr>
                    <w:pStyle w:val="24"/>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颗粒物：</w:t>
                  </w:r>
                  <w:r>
                    <w:rPr>
                      <w:rFonts w:eastAsiaTheme="minorEastAsia"/>
                      <w:color w:val="000000" w:themeColor="text1"/>
                      <w:szCs w:val="21"/>
                    </w:rPr>
                    <w:t>《工业炉窑大气污染物排放标准》（GB9078-1996）中表2中干燥炉、窑的二级标准</w:t>
                  </w:r>
                  <w:r>
                    <w:rPr>
                      <w:rFonts w:hint="eastAsia" w:eastAsiaTheme="minorEastAsia"/>
                      <w:color w:val="000000" w:themeColor="text1"/>
                      <w:szCs w:val="21"/>
                    </w:rPr>
                    <w:t>；</w:t>
                  </w:r>
                </w:p>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SO</w:t>
                  </w:r>
                  <w:r>
                    <w:rPr>
                      <w:rFonts w:eastAsiaTheme="minorEastAsia"/>
                      <w:color w:val="000000" w:themeColor="text1"/>
                      <w:szCs w:val="21"/>
                      <w:vertAlign w:val="subscript"/>
                    </w:rPr>
                    <w:t>2</w:t>
                  </w:r>
                  <w:r>
                    <w:rPr>
                      <w:rFonts w:eastAsiaTheme="minorEastAsia"/>
                      <w:color w:val="000000" w:themeColor="text1"/>
                      <w:szCs w:val="21"/>
                    </w:rPr>
                    <w:t>和NOx</w:t>
                  </w:r>
                  <w:r>
                    <w:rPr>
                      <w:rFonts w:hint="eastAsia" w:eastAsiaTheme="minorEastAsia"/>
                      <w:color w:val="000000" w:themeColor="text1"/>
                      <w:szCs w:val="21"/>
                    </w:rPr>
                    <w:t>：</w:t>
                  </w:r>
                  <w:r>
                    <w:rPr>
                      <w:rFonts w:eastAsiaTheme="minorEastAsia"/>
                      <w:color w:val="000000" w:themeColor="text1"/>
                      <w:szCs w:val="21"/>
                    </w:rPr>
                    <w:t>《锅炉大气污染物排放标准》（GB13271-2014）标准</w:t>
                  </w:r>
                  <w:r>
                    <w:rPr>
                      <w:rFonts w:hint="eastAsia"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28" w:type="dxa"/>
                  <w:vMerge w:val="continue"/>
                  <w:vAlign w:val="center"/>
                </w:tcPr>
                <w:p>
                  <w:pPr>
                    <w:pStyle w:val="24"/>
                    <w:spacing w:line="360" w:lineRule="exact"/>
                    <w:rPr>
                      <w:rFonts w:eastAsiaTheme="minorEastAsia"/>
                      <w:color w:val="000000" w:themeColor="text1"/>
                      <w:szCs w:val="21"/>
                    </w:rPr>
                  </w:pPr>
                </w:p>
              </w:tc>
              <w:tc>
                <w:tcPr>
                  <w:tcW w:w="1366" w:type="dxa"/>
                  <w:vAlign w:val="center"/>
                </w:tcPr>
                <w:p>
                  <w:pPr>
                    <w:pStyle w:val="24"/>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企业边界</w:t>
                  </w:r>
                </w:p>
              </w:tc>
              <w:tc>
                <w:tcPr>
                  <w:tcW w:w="1134" w:type="dxa"/>
                  <w:vAlign w:val="center"/>
                </w:tcPr>
                <w:p>
                  <w:pPr>
                    <w:pStyle w:val="24"/>
                    <w:spacing w:line="360" w:lineRule="exact"/>
                    <w:rPr>
                      <w:rFonts w:eastAsiaTheme="minorEastAsia"/>
                      <w:color w:val="000000" w:themeColor="text1"/>
                      <w:szCs w:val="21"/>
                    </w:rPr>
                  </w:pPr>
                  <w:r>
                    <w:rPr>
                      <w:color w:val="000000" w:themeColor="text1"/>
                      <w:szCs w:val="21"/>
                    </w:rPr>
                    <w:t>颗粒物</w:t>
                  </w:r>
                </w:p>
              </w:tc>
              <w:tc>
                <w:tcPr>
                  <w:tcW w:w="113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1次/年</w:t>
                  </w:r>
                </w:p>
              </w:tc>
              <w:tc>
                <w:tcPr>
                  <w:tcW w:w="4043"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《大气污染物综合排放标准》（GB16297-1996）表2中无组织排放限值</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（4）大气环境影响分析结论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szCs w:val="24"/>
              </w:rPr>
              <w:t>根据上述分析可知，本项目</w:t>
            </w:r>
            <w:r>
              <w:rPr>
                <w:rFonts w:hint="eastAsia" w:ascii="Times New Roman" w:hAnsi="Times New Roman" w:cs="Times New Roman"/>
                <w:color w:val="000000" w:themeColor="text1"/>
                <w:sz w:val="24"/>
                <w:szCs w:val="24"/>
              </w:rPr>
              <w:t>生产工艺各环节均为含水作业，基本无废气产生，主要废气产生节点为烘干线废气和废渣暂存库扬尘。</w:t>
            </w:r>
            <w:r>
              <w:rPr>
                <w:rFonts w:ascii="Times New Roman" w:hAnsi="Times New Roman" w:cs="Times New Roman"/>
                <w:color w:val="000000" w:themeColor="text1"/>
                <w:sz w:val="24"/>
                <w:szCs w:val="24"/>
              </w:rPr>
              <w:t>烘干线废气</w:t>
            </w:r>
            <w:r>
              <w:rPr>
                <w:rFonts w:hint="eastAsia" w:ascii="Times New Roman" w:hAnsi="Times New Roman" w:cs="Times New Roman"/>
                <w:color w:val="000000" w:themeColor="text1"/>
                <w:sz w:val="24"/>
                <w:szCs w:val="24"/>
              </w:rPr>
              <w:t>通过</w:t>
            </w:r>
            <w:r>
              <w:rPr>
                <w:rFonts w:ascii="Times New Roman" w:hAnsi="Times New Roman" w:cs="Times New Roman"/>
                <w:color w:val="000000" w:themeColor="text1"/>
                <w:sz w:val="24"/>
                <w:szCs w:val="24"/>
              </w:rPr>
              <w:t>旋风除尘器+布袋除尘器对其进行处理</w:t>
            </w:r>
            <w:r>
              <w:rPr>
                <w:rFonts w:hint="eastAsia" w:ascii="Times New Roman" w:hAnsi="Times New Roman" w:cs="Times New Roman"/>
                <w:color w:val="000000" w:themeColor="text1"/>
                <w:sz w:val="24"/>
                <w:szCs w:val="24"/>
              </w:rPr>
              <w:t>后，颗粒物可达到</w:t>
            </w:r>
            <w:r>
              <w:rPr>
                <w:rFonts w:ascii="Times New Roman" w:hAnsi="Times New Roman" w:cs="Times New Roman"/>
                <w:color w:val="000000" w:themeColor="text1"/>
                <w:sz w:val="24"/>
                <w:szCs w:val="24"/>
              </w:rPr>
              <w:t>《工业炉窑大气污染物排放标准》（GB9078-1996）中表2中干燥炉、窑的二级标准限值</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和NOx</w:t>
            </w:r>
            <w:r>
              <w:rPr>
                <w:rFonts w:hint="eastAsia" w:ascii="Times New Roman" w:hAnsi="Times New Roman" w:cs="Times New Roman"/>
                <w:color w:val="000000" w:themeColor="text1"/>
                <w:sz w:val="24"/>
                <w:szCs w:val="24"/>
              </w:rPr>
              <w:t>可达到</w:t>
            </w:r>
            <w:r>
              <w:rPr>
                <w:rFonts w:ascii="Times New Roman" w:hAnsi="Times New Roman" w:cs="Times New Roman"/>
                <w:color w:val="000000" w:themeColor="text1"/>
                <w:sz w:val="24"/>
                <w:szCs w:val="24"/>
              </w:rPr>
              <w:t>《锅炉大气污染物排放标准》（GB13271-2014）标准限值。</w:t>
            </w:r>
            <w:r>
              <w:rPr>
                <w:rFonts w:hint="eastAsia" w:ascii="Times New Roman" w:hAnsi="Times New Roman" w:cs="Times New Roman"/>
                <w:color w:val="000000" w:themeColor="text1"/>
                <w:sz w:val="24"/>
                <w:szCs w:val="24"/>
              </w:rPr>
              <w:t>废渣暂存库设置三面围挡和顶棚，其装卸和暂存扬尘可达到</w:t>
            </w:r>
            <w:r>
              <w:rPr>
                <w:rFonts w:ascii="Times New Roman" w:hAnsi="Times New Roman" w:cs="Times New Roman"/>
                <w:color w:val="000000" w:themeColor="text1"/>
                <w:sz w:val="24"/>
                <w:szCs w:val="24"/>
              </w:rPr>
              <w:t>《大气污染物综合排放标准》（GB16297-1996）无组织排放标准限值</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且项目位于环境空气质量达标区，</w:t>
            </w:r>
            <w:r>
              <w:rPr>
                <w:rFonts w:hint="eastAsia" w:ascii="Times New Roman" w:hAnsi="Times New Roman" w:cs="Times New Roman"/>
                <w:color w:val="000000" w:themeColor="text1"/>
                <w:sz w:val="24"/>
                <w:szCs w:val="24"/>
              </w:rPr>
              <w:t>且项目500m范围内无大气</w:t>
            </w:r>
            <w:r>
              <w:rPr>
                <w:rFonts w:ascii="Times New Roman" w:hAnsi="Times New Roman" w:cs="Times New Roman"/>
                <w:color w:val="000000" w:themeColor="text1"/>
                <w:sz w:val="24"/>
                <w:szCs w:val="24"/>
              </w:rPr>
              <w:t>环境保护目标</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因此项目排放的废气对大气环境影响较小。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根据项目产污环节可知，</w:t>
            </w:r>
            <w:r>
              <w:rPr>
                <w:rFonts w:hint="eastAsia" w:ascii="Times New Roman" w:hAnsi="Times New Roman" w:cs="Times New Roman"/>
                <w:color w:val="000000" w:themeColor="text1"/>
                <w:sz w:val="24"/>
                <w:szCs w:val="24"/>
              </w:rPr>
              <w:t>本项目废水类型包括生产废水、生活污水和初期雨水。</w:t>
            </w:r>
            <w:r>
              <w:rPr>
                <w:rFonts w:ascii="Times New Roman" w:hAnsi="Times New Roman" w:cs="Times New Roman"/>
                <w:color w:val="000000" w:themeColor="text1"/>
                <w:sz w:val="24"/>
                <w:szCs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hint="eastAsia" w:ascii="Times New Roman" w:hAnsi="Times New Roman" w:cs="Times New Roman"/>
                <w:b/>
                <w:color w:val="000000" w:themeColor="text1"/>
                <w:sz w:val="24"/>
                <w:szCs w:val="24"/>
              </w:rPr>
              <w:t>生产废水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根据工艺流程可知，本项目</w:t>
            </w:r>
            <w:r>
              <w:rPr>
                <w:rFonts w:hint="eastAsia" w:ascii="Times New Roman" w:hAnsi="Times New Roman" w:cs="Times New Roman"/>
                <w:color w:val="000000" w:themeColor="text1"/>
                <w:sz w:val="24"/>
                <w:szCs w:val="24"/>
              </w:rPr>
              <w:t>生产工艺各环节均为含水作业，项目生产用水定额为2.8</w:t>
            </w:r>
            <w:r>
              <w:rPr>
                <w:rFonts w:ascii="Times New Roman" w:hAnsi="Times New Roman" w:cs="Times New Roman"/>
                <w:color w:val="000000" w:themeColor="text1"/>
                <w:sz w:val="24"/>
                <w:szCs w:val="24"/>
              </w:rPr>
              <w:t>m³/（t</w:t>
            </w:r>
            <w:r>
              <w:rPr>
                <w:rFonts w:hint="eastAsia" w:ascii="Times New Roman" w:hAnsi="Times New Roman" w:cs="Times New Roman"/>
                <w:color w:val="000000" w:themeColor="text1"/>
                <w:sz w:val="24"/>
                <w:szCs w:val="24"/>
              </w:rPr>
              <w:t>·氧化锌尾渣</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，日处理氧化锌尾渣500t，则用水量为1400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d，主要添加水的环节包括I段球磨、磁选、高频细砂、磁选物重选和非磁性物重选等五个环节。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⑴</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用水环节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根据设计，为了保证各生产段的物料的含水率，各工段废水添加量情况具体如为I段球磨加水量为210</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、磁选加水量为420</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、高频细砂加水量为20</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、磁选物重选加水量为100</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、非磁性物重选加水量为650</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废水量</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根据生产工艺，进入系统的水量为1400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除了烘干蒸发和产品、废渣带走以外，其他全部变为废水，损失环节主要包括烘干蒸发、还原铁粉产品带走、次铁粉产品带走、煤粉产品带走和废渣带走。其中烘干前还原铁粉的含水率约为15%、还原铁粉产品的含水率≤1%，次铁粉、煤粉和废渣的含水率约为10%；则烘干蒸发量为9.88</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d、还原铁粉产品带走水量为0.71</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d、次铁粉产品带走水量为1.52</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d、煤粉产品带走水量为3.03</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d、废渣带走水量为39.40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d，则废水量约为1345.46</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d（444001.8</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a）。项目生产废水产排如下表所示。</w:t>
            </w:r>
          </w:p>
          <w:p>
            <w:pPr>
              <w:jc w:val="center"/>
              <w:rPr>
                <w:rFonts w:ascii="Times New Roman" w:hAnsi="Times New Roman" w:cs="Times New Roman"/>
                <w:b/>
                <w:bCs/>
                <w:color w:val="000000" w:themeColor="text1"/>
                <w:kern w:val="0"/>
              </w:rPr>
            </w:pPr>
            <w:r>
              <w:rPr>
                <w:rFonts w:hint="eastAsia" w:ascii="Times New Roman" w:hAnsi="Times New Roman" w:cs="Times New Roman"/>
                <w:b/>
                <w:bCs/>
                <w:color w:val="000000" w:themeColor="text1"/>
                <w:kern w:val="0"/>
              </w:rPr>
              <w:t>表4.2.2-1 项目生产废水产排情况一览表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2"/>
              <w:gridCol w:w="1786"/>
              <w:gridCol w:w="1275"/>
              <w:gridCol w:w="2044"/>
              <w:gridCol w:w="1358"/>
              <w:gridCol w:w="13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Merge w:val="restart"/>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序号</w:t>
                  </w:r>
                </w:p>
              </w:tc>
              <w:tc>
                <w:tcPr>
                  <w:tcW w:w="3061" w:type="dxa"/>
                  <w:gridSpan w:val="2"/>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用水环节</w:t>
                  </w:r>
                </w:p>
              </w:tc>
              <w:tc>
                <w:tcPr>
                  <w:tcW w:w="3402" w:type="dxa"/>
                  <w:gridSpan w:val="2"/>
                  <w:tcBorders>
                    <w:righ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损失环节</w:t>
                  </w:r>
                </w:p>
              </w:tc>
              <w:tc>
                <w:tcPr>
                  <w:tcW w:w="1350" w:type="dxa"/>
                  <w:tcBorders>
                    <w:lef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废水产生环节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Merge w:val="continue"/>
                  <w:vAlign w:val="center"/>
                </w:tcPr>
                <w:p>
                  <w:pPr>
                    <w:pStyle w:val="24"/>
                    <w:spacing w:line="360" w:lineRule="exact"/>
                    <w:rPr>
                      <w:rFonts w:eastAsiaTheme="minorEastAsia"/>
                      <w:color w:val="000000" w:themeColor="text1"/>
                      <w:szCs w:val="21"/>
                    </w:rPr>
                  </w:pPr>
                </w:p>
              </w:tc>
              <w:tc>
                <w:tcPr>
                  <w:tcW w:w="1786"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用水工序</w:t>
                  </w:r>
                </w:p>
              </w:tc>
              <w:tc>
                <w:tcPr>
                  <w:tcW w:w="1275"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用水量（</w:t>
                  </w:r>
                  <w:r>
                    <w:rPr>
                      <w:rFonts w:eastAsiaTheme="minorEastAsia"/>
                      <w:color w:val="000000" w:themeColor="text1"/>
                      <w:szCs w:val="21"/>
                    </w:rPr>
                    <w:t>m³/d</w:t>
                  </w:r>
                  <w:r>
                    <w:rPr>
                      <w:rFonts w:hint="eastAsia" w:eastAsiaTheme="minorEastAsia"/>
                      <w:color w:val="000000" w:themeColor="text1"/>
                      <w:szCs w:val="21"/>
                    </w:rPr>
                    <w:t>）</w:t>
                  </w:r>
                </w:p>
              </w:tc>
              <w:tc>
                <w:tcPr>
                  <w:tcW w:w="2044"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损失或废水产生工序</w:t>
                  </w:r>
                </w:p>
              </w:tc>
              <w:tc>
                <w:tcPr>
                  <w:tcW w:w="1358" w:type="dxa"/>
                  <w:tcBorders>
                    <w:righ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损失量（</w:t>
                  </w:r>
                  <w:r>
                    <w:rPr>
                      <w:rFonts w:eastAsiaTheme="minorEastAsia"/>
                      <w:color w:val="000000" w:themeColor="text1"/>
                      <w:szCs w:val="21"/>
                    </w:rPr>
                    <w:t>m³/d</w:t>
                  </w:r>
                  <w:r>
                    <w:rPr>
                      <w:rFonts w:hint="eastAsia" w:eastAsiaTheme="minorEastAsia"/>
                      <w:color w:val="000000" w:themeColor="text1"/>
                      <w:szCs w:val="21"/>
                    </w:rPr>
                    <w:t>）</w:t>
                  </w:r>
                </w:p>
              </w:tc>
              <w:tc>
                <w:tcPr>
                  <w:tcW w:w="1350" w:type="dxa"/>
                  <w:tcBorders>
                    <w:left w:val="single" w:color="auto" w:sz="4"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废水量（</w:t>
                  </w:r>
                  <w:r>
                    <w:rPr>
                      <w:rFonts w:eastAsiaTheme="minorEastAsia"/>
                      <w:color w:val="000000" w:themeColor="text1"/>
                      <w:szCs w:val="21"/>
                    </w:rPr>
                    <w:t>m³/d</w:t>
                  </w: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1</w:t>
                  </w:r>
                </w:p>
              </w:tc>
              <w:tc>
                <w:tcPr>
                  <w:tcW w:w="1786"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I段球磨</w:t>
                  </w:r>
                </w:p>
              </w:tc>
              <w:tc>
                <w:tcPr>
                  <w:tcW w:w="1275"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210</w:t>
                  </w:r>
                </w:p>
              </w:tc>
              <w:tc>
                <w:tcPr>
                  <w:tcW w:w="2044"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烘干蒸发</w:t>
                  </w:r>
                </w:p>
              </w:tc>
              <w:tc>
                <w:tcPr>
                  <w:tcW w:w="135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9.88</w:t>
                  </w:r>
                </w:p>
              </w:tc>
              <w:tc>
                <w:tcPr>
                  <w:tcW w:w="1350" w:type="dxa"/>
                  <w:vMerge w:val="restart"/>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1345.46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2</w:t>
                  </w:r>
                </w:p>
              </w:tc>
              <w:tc>
                <w:tcPr>
                  <w:tcW w:w="1786"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磁选</w:t>
                  </w:r>
                </w:p>
              </w:tc>
              <w:tc>
                <w:tcPr>
                  <w:tcW w:w="1275"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420</w:t>
                  </w:r>
                </w:p>
              </w:tc>
              <w:tc>
                <w:tcPr>
                  <w:tcW w:w="2044"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还原铁粉产品带走</w:t>
                  </w:r>
                </w:p>
              </w:tc>
              <w:tc>
                <w:tcPr>
                  <w:tcW w:w="135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0.71</w:t>
                  </w:r>
                </w:p>
              </w:tc>
              <w:tc>
                <w:tcPr>
                  <w:tcW w:w="1350"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3</w:t>
                  </w:r>
                </w:p>
              </w:tc>
              <w:tc>
                <w:tcPr>
                  <w:tcW w:w="1786"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高频细砂</w:t>
                  </w:r>
                </w:p>
              </w:tc>
              <w:tc>
                <w:tcPr>
                  <w:tcW w:w="1275"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20</w:t>
                  </w:r>
                </w:p>
              </w:tc>
              <w:tc>
                <w:tcPr>
                  <w:tcW w:w="2044"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次铁粉产品带走</w:t>
                  </w:r>
                </w:p>
              </w:tc>
              <w:tc>
                <w:tcPr>
                  <w:tcW w:w="135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1.52</w:t>
                  </w:r>
                </w:p>
              </w:tc>
              <w:tc>
                <w:tcPr>
                  <w:tcW w:w="1350"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4</w:t>
                  </w:r>
                </w:p>
              </w:tc>
              <w:tc>
                <w:tcPr>
                  <w:tcW w:w="1786"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磁选物重选</w:t>
                  </w:r>
                </w:p>
              </w:tc>
              <w:tc>
                <w:tcPr>
                  <w:tcW w:w="1275"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100</w:t>
                  </w:r>
                </w:p>
              </w:tc>
              <w:tc>
                <w:tcPr>
                  <w:tcW w:w="2044"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煤粉产品带走</w:t>
                  </w:r>
                </w:p>
              </w:tc>
              <w:tc>
                <w:tcPr>
                  <w:tcW w:w="135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3.03</w:t>
                  </w:r>
                </w:p>
              </w:tc>
              <w:tc>
                <w:tcPr>
                  <w:tcW w:w="1350"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5</w:t>
                  </w:r>
                </w:p>
              </w:tc>
              <w:tc>
                <w:tcPr>
                  <w:tcW w:w="1786"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非磁性物重选</w:t>
                  </w:r>
                </w:p>
              </w:tc>
              <w:tc>
                <w:tcPr>
                  <w:tcW w:w="1275"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650</w:t>
                  </w:r>
                </w:p>
              </w:tc>
              <w:tc>
                <w:tcPr>
                  <w:tcW w:w="2044"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废渣带走</w:t>
                  </w:r>
                </w:p>
              </w:tc>
              <w:tc>
                <w:tcPr>
                  <w:tcW w:w="135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39.40</w:t>
                  </w:r>
                </w:p>
              </w:tc>
              <w:tc>
                <w:tcPr>
                  <w:tcW w:w="1350"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6</w:t>
                  </w:r>
                </w:p>
              </w:tc>
              <w:tc>
                <w:tcPr>
                  <w:tcW w:w="1786"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合计</w:t>
                  </w:r>
                </w:p>
              </w:tc>
              <w:tc>
                <w:tcPr>
                  <w:tcW w:w="1275"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1400</w:t>
                  </w:r>
                </w:p>
              </w:tc>
              <w:tc>
                <w:tcPr>
                  <w:tcW w:w="2044"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合计</w:t>
                  </w:r>
                </w:p>
              </w:tc>
              <w:tc>
                <w:tcPr>
                  <w:tcW w:w="135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54.54</w:t>
                  </w:r>
                </w:p>
              </w:tc>
              <w:tc>
                <w:tcPr>
                  <w:tcW w:w="1350"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54.54</w:t>
                  </w:r>
                </w:p>
              </w:tc>
            </w:tr>
          </w:tbl>
          <w:p>
            <w:pPr>
              <w:spacing w:beforeLines="50"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根据类比项目处理的氧化锌尾渣的的成分报告、水浸数据及其特点，项目生产废水的</w:t>
            </w:r>
            <w:r>
              <w:rPr>
                <w:rFonts w:ascii="Times New Roman" w:hAnsi="Times New Roman" w:cs="Times New Roman"/>
                <w:color w:val="000000" w:themeColor="text1"/>
                <w:sz w:val="24"/>
                <w:szCs w:val="24"/>
              </w:rPr>
              <w:t>水质</w:t>
            </w:r>
            <w:r>
              <w:rPr>
                <w:rFonts w:hint="eastAsia" w:ascii="Times New Roman" w:hAnsi="Times New Roman" w:cs="Times New Roman"/>
                <w:color w:val="000000" w:themeColor="text1"/>
                <w:sz w:val="24"/>
                <w:szCs w:val="24"/>
              </w:rPr>
              <w:t>预计</w:t>
            </w:r>
            <w:r>
              <w:rPr>
                <w:rFonts w:ascii="Times New Roman" w:hAnsi="Times New Roman" w:cs="Times New Roman"/>
                <w:color w:val="000000" w:themeColor="text1"/>
                <w:sz w:val="24"/>
                <w:szCs w:val="24"/>
              </w:rPr>
              <w:t>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w:t>
            </w:r>
            <w:r>
              <w:rPr>
                <w:rFonts w:hint="eastAsia" w:ascii="Times New Roman" w:hAnsi="Times New Roman" w:cs="Times New Roman"/>
                <w:b/>
                <w:bCs/>
                <w:color w:val="000000" w:themeColor="text1"/>
                <w:kern w:val="0"/>
              </w:rPr>
              <w:t>2</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生产废水</w:t>
            </w:r>
            <w:r>
              <w:rPr>
                <w:rFonts w:ascii="Times New Roman" w:hAnsi="Times New Roman" w:cs="Times New Roman"/>
                <w:b/>
                <w:bCs/>
                <w:color w:val="000000" w:themeColor="text1"/>
                <w:kern w:val="0"/>
              </w:rPr>
              <w:t>水质指标一览表</w:t>
            </w:r>
            <w:r>
              <w:rPr>
                <w:rFonts w:hint="eastAsia" w:ascii="Times New Roman" w:hAnsi="Times New Roman" w:cs="Times New Roman"/>
                <w:b/>
                <w:bCs/>
                <w:color w:val="000000" w:themeColor="text1"/>
                <w:kern w:val="0"/>
              </w:rPr>
              <w:t xml:space="preserve"> </w:t>
            </w:r>
            <w:r>
              <w:rPr>
                <w:rFonts w:ascii="Times New Roman" w:hAnsi="Times New Roman" w:cs="Times New Roman"/>
                <w:b/>
                <w:bCs/>
                <w:color w:val="000000" w:themeColor="text1"/>
                <w:kern w:val="0"/>
              </w:rPr>
              <w:t>mg/L</w:t>
            </w:r>
          </w:p>
          <w:tbl>
            <w:tblPr>
              <w:tblStyle w:val="14"/>
              <w:tblW w:w="5000" w:type="pct"/>
              <w:tblInd w:w="0" w:type="dxa"/>
              <w:tblLayout w:type="fixed"/>
              <w:tblCellMar>
                <w:top w:w="0" w:type="dxa"/>
                <w:left w:w="108" w:type="dxa"/>
                <w:bottom w:w="0" w:type="dxa"/>
                <w:right w:w="108" w:type="dxa"/>
              </w:tblCellMar>
            </w:tblPr>
            <w:tblGrid>
              <w:gridCol w:w="1155"/>
              <w:gridCol w:w="992"/>
              <w:gridCol w:w="993"/>
              <w:gridCol w:w="992"/>
              <w:gridCol w:w="1134"/>
              <w:gridCol w:w="850"/>
              <w:gridCol w:w="851"/>
              <w:gridCol w:w="709"/>
              <w:gridCol w:w="919"/>
            </w:tblGrid>
            <w:tr>
              <w:tblPrEx>
                <w:tblCellMar>
                  <w:top w:w="0" w:type="dxa"/>
                  <w:left w:w="108" w:type="dxa"/>
                  <w:bottom w:w="0" w:type="dxa"/>
                  <w:right w:w="108" w:type="dxa"/>
                </w:tblCellMar>
              </w:tblPrEx>
              <w:trPr>
                <w:trHeight w:val="336" w:hRule="atLeast"/>
              </w:trPr>
              <w:tc>
                <w:tcPr>
                  <w:tcW w:w="1155" w:type="dxa"/>
                  <w:tcBorders>
                    <w:top w:val="single" w:color="auto" w:sz="4" w:space="0"/>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污染物</w:t>
                  </w:r>
                </w:p>
              </w:tc>
              <w:tc>
                <w:tcPr>
                  <w:tcW w:w="992" w:type="dxa"/>
                  <w:tcBorders>
                    <w:top w:val="single" w:color="auto" w:sz="4" w:space="0"/>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pH</w:t>
                  </w:r>
                </w:p>
              </w:tc>
              <w:tc>
                <w:tcPr>
                  <w:tcW w:w="993" w:type="dxa"/>
                  <w:tcBorders>
                    <w:top w:val="single" w:color="auto" w:sz="4" w:space="0"/>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CODcr</w:t>
                  </w:r>
                </w:p>
              </w:tc>
              <w:tc>
                <w:tcPr>
                  <w:tcW w:w="992" w:type="dxa"/>
                  <w:tcBorders>
                    <w:top w:val="single" w:color="auto" w:sz="4" w:space="0"/>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SS</w:t>
                  </w:r>
                </w:p>
              </w:tc>
              <w:tc>
                <w:tcPr>
                  <w:tcW w:w="1134" w:type="dxa"/>
                  <w:tcBorders>
                    <w:top w:val="single" w:color="auto" w:sz="4" w:space="0"/>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850" w:type="dxa"/>
                  <w:tcBorders>
                    <w:top w:val="single" w:color="auto" w:sz="4" w:space="0"/>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Cr</w:t>
                  </w:r>
                </w:p>
              </w:tc>
              <w:tc>
                <w:tcPr>
                  <w:tcW w:w="851" w:type="dxa"/>
                  <w:tcBorders>
                    <w:top w:val="single" w:color="auto" w:sz="4" w:space="0"/>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Pb</w:t>
                  </w:r>
                </w:p>
              </w:tc>
              <w:tc>
                <w:tcPr>
                  <w:tcW w:w="709" w:type="dxa"/>
                  <w:tcBorders>
                    <w:top w:val="single" w:color="auto" w:sz="4" w:space="0"/>
                    <w:left w:val="nil"/>
                    <w:bottom w:val="single" w:color="auto" w:sz="8" w:space="0"/>
                    <w:right w:val="single" w:color="auto" w:sz="4"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Fe</w:t>
                  </w:r>
                </w:p>
              </w:tc>
              <w:tc>
                <w:tcPr>
                  <w:tcW w:w="919" w:type="dxa"/>
                  <w:tcBorders>
                    <w:top w:val="single" w:color="auto" w:sz="4" w:space="0"/>
                    <w:left w:val="single" w:color="auto" w:sz="4" w:space="0"/>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氟化物</w:t>
                  </w:r>
                </w:p>
              </w:tc>
            </w:tr>
            <w:tr>
              <w:tblPrEx>
                <w:tblCellMar>
                  <w:top w:w="0" w:type="dxa"/>
                  <w:left w:w="108" w:type="dxa"/>
                  <w:bottom w:w="0" w:type="dxa"/>
                  <w:right w:w="108" w:type="dxa"/>
                </w:tblCellMar>
              </w:tblPrEx>
              <w:trPr>
                <w:trHeight w:val="300" w:hRule="atLeast"/>
              </w:trPr>
              <w:tc>
                <w:tcPr>
                  <w:tcW w:w="1155" w:type="dxa"/>
                  <w:tcBorders>
                    <w:top w:val="nil"/>
                    <w:left w:val="single" w:color="auto" w:sz="8" w:space="0"/>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生产废水</w:t>
                  </w:r>
                </w:p>
              </w:tc>
              <w:tc>
                <w:tcPr>
                  <w:tcW w:w="992"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color w:val="000000" w:themeColor="text1"/>
                      <w:szCs w:val="21"/>
                    </w:rPr>
                    <w:t>6.5-8.5</w:t>
                  </w:r>
                </w:p>
              </w:tc>
              <w:tc>
                <w:tcPr>
                  <w:tcW w:w="993"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60</w:t>
                  </w:r>
                </w:p>
              </w:tc>
              <w:tc>
                <w:tcPr>
                  <w:tcW w:w="992"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3</w:t>
                  </w:r>
                  <w:r>
                    <w:rPr>
                      <w:rFonts w:eastAsiaTheme="minorEastAsia"/>
                      <w:color w:val="000000" w:themeColor="text1"/>
                      <w:szCs w:val="21"/>
                    </w:rPr>
                    <w:t>00</w:t>
                  </w:r>
                </w:p>
              </w:tc>
              <w:tc>
                <w:tcPr>
                  <w:tcW w:w="1134"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4.5</w:t>
                  </w:r>
                </w:p>
              </w:tc>
              <w:tc>
                <w:tcPr>
                  <w:tcW w:w="850"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0.006</w:t>
                  </w:r>
                </w:p>
              </w:tc>
              <w:tc>
                <w:tcPr>
                  <w:tcW w:w="851"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0.01</w:t>
                  </w:r>
                </w:p>
              </w:tc>
              <w:tc>
                <w:tcPr>
                  <w:tcW w:w="709" w:type="dxa"/>
                  <w:tcBorders>
                    <w:top w:val="nil"/>
                    <w:left w:val="nil"/>
                    <w:bottom w:val="single" w:color="auto" w:sz="8" w:space="0"/>
                    <w:right w:val="single" w:color="auto" w:sz="4"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0.5</w:t>
                  </w:r>
                </w:p>
              </w:tc>
              <w:tc>
                <w:tcPr>
                  <w:tcW w:w="919" w:type="dxa"/>
                  <w:tcBorders>
                    <w:top w:val="nil"/>
                    <w:left w:val="single" w:color="auto" w:sz="4" w:space="0"/>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1.28</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根据项目特点，</w:t>
            </w:r>
            <w:r>
              <w:rPr>
                <w:rFonts w:hint="eastAsia" w:ascii="Times New Roman" w:hAnsi="Times New Roman" w:cs="Times New Roman"/>
                <w:color w:val="000000" w:themeColor="text1"/>
                <w:sz w:val="24"/>
              </w:rPr>
              <w:t>本项目拟设置员工20人，均在</w:t>
            </w:r>
            <w:r>
              <w:rPr>
                <w:rFonts w:ascii="Times New Roman" w:hAnsi="Times New Roman" w:cs="Times New Roman"/>
                <w:color w:val="000000" w:themeColor="text1"/>
                <w:sz w:val="24"/>
              </w:rPr>
              <w:t>均在厂区吃饭，但住宿人数约为</w:t>
            </w:r>
            <w:r>
              <w:rPr>
                <w:rFonts w:hint="eastAsia" w:ascii="Times New Roman" w:hAnsi="Times New Roman" w:cs="Times New Roman"/>
                <w:color w:val="000000" w:themeColor="text1"/>
                <w:sz w:val="24"/>
              </w:rPr>
              <w:t>20</w:t>
            </w:r>
            <w:r>
              <w:rPr>
                <w:rFonts w:ascii="Times New Roman" w:hAnsi="Times New Roman" w:cs="Times New Roman"/>
                <w:color w:val="000000" w:themeColor="text1"/>
                <w:sz w:val="24"/>
              </w:rPr>
              <w:t>人，其余</w:t>
            </w:r>
            <w:r>
              <w:rPr>
                <w:rFonts w:hint="eastAsia" w:ascii="Times New Roman" w:hAnsi="Times New Roman" w:cs="Times New Roman"/>
                <w:color w:val="000000" w:themeColor="text1"/>
                <w:sz w:val="24"/>
              </w:rPr>
              <w:t>10</w:t>
            </w:r>
            <w:r>
              <w:rPr>
                <w:rFonts w:ascii="Times New Roman" w:hAnsi="Times New Roman" w:cs="Times New Roman"/>
                <w:color w:val="000000" w:themeColor="text1"/>
                <w:sz w:val="24"/>
              </w:rPr>
              <w:t>人回家住宿。根据《云南省地方标准用水定额》（DB53/T168-2019），在项目食宿员工用水量取100L/d·人，不在项目区住宿的员工用水量取60L/d·人，则生活用水量</w:t>
            </w:r>
            <w:r>
              <w:rPr>
                <w:rFonts w:hint="eastAsia" w:ascii="Times New Roman" w:hAnsi="Times New Roman" w:cs="Times New Roman"/>
                <w:color w:val="000000" w:themeColor="text1"/>
                <w:sz w:val="24"/>
              </w:rPr>
              <w:t>1.6</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528</w:t>
            </w:r>
            <w:r>
              <w:rPr>
                <w:rFonts w:ascii="Times New Roman" w:hAnsi="Times New Roman" w:cs="Times New Roman"/>
                <w:color w:val="000000" w:themeColor="text1"/>
                <w:sz w:val="24"/>
              </w:rPr>
              <w:t>m³/a；废水率按80%计，则废水量为</w:t>
            </w:r>
            <w:r>
              <w:rPr>
                <w:rFonts w:hint="eastAsia" w:ascii="Times New Roman" w:hAnsi="Times New Roman" w:cs="Times New Roman"/>
                <w:color w:val="000000" w:themeColor="text1"/>
                <w:sz w:val="24"/>
              </w:rPr>
              <w:t>1.28</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422.4</w:t>
            </w:r>
            <w:r>
              <w:rPr>
                <w:rFonts w:ascii="Times New Roman" w:hAnsi="Times New Roman" w:cs="Times New Roman"/>
                <w:color w:val="000000" w:themeColor="text1"/>
                <w:sz w:val="24"/>
              </w:rPr>
              <w:t>m³/a；其中食堂废水约为则废水量为</w:t>
            </w:r>
            <w:r>
              <w:rPr>
                <w:rFonts w:hint="eastAsia" w:ascii="Times New Roman" w:hAnsi="Times New Roman" w:cs="Times New Roman"/>
                <w:color w:val="000000" w:themeColor="text1"/>
                <w:sz w:val="24"/>
              </w:rPr>
              <w:t>0.64</w:t>
            </w:r>
            <w:r>
              <w:rPr>
                <w:rFonts w:ascii="Times New Roman" w:hAnsi="Times New Roman" w:cs="Times New Roman"/>
                <w:color w:val="000000" w:themeColor="text1"/>
                <w:sz w:val="24"/>
              </w:rPr>
              <w:t>m³/d，合计为</w:t>
            </w:r>
            <w:r>
              <w:rPr>
                <w:rFonts w:hint="eastAsia" w:ascii="Times New Roman" w:hAnsi="Times New Roman" w:cs="Times New Roman"/>
                <w:color w:val="000000" w:themeColor="text1"/>
                <w:sz w:val="24"/>
              </w:rPr>
              <w:t>211.2</w:t>
            </w:r>
            <w:r>
              <w:rPr>
                <w:rFonts w:ascii="Times New Roman" w:hAnsi="Times New Roman" w:cs="Times New Roman"/>
                <w:color w:val="000000" w:themeColor="text1"/>
                <w:sz w:val="24"/>
              </w:rPr>
              <w:t>m³/a；根据类比调查，生活污水水质如下表所示。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w:t>
            </w:r>
            <w:r>
              <w:rPr>
                <w:rFonts w:hint="eastAsia" w:ascii="Times New Roman" w:hAnsi="Times New Roman" w:cs="Times New Roman"/>
                <w:b/>
                <w:bCs/>
                <w:color w:val="000000" w:themeColor="text1"/>
                <w:kern w:val="0"/>
              </w:rPr>
              <w:t>3</w:t>
            </w:r>
            <w:r>
              <w:rPr>
                <w:rFonts w:ascii="Times New Roman" w:hAnsi="Times New Roman" w:cs="Times New Roman"/>
                <w:b/>
                <w:bCs/>
                <w:color w:val="000000" w:themeColor="text1"/>
                <w:kern w:val="0"/>
              </w:rPr>
              <w:t xml:space="preserve"> 生活污水水质指标一览表</w:t>
            </w:r>
            <w:r>
              <w:rPr>
                <w:rFonts w:hint="eastAsia" w:ascii="Times New Roman" w:hAnsi="Times New Roman" w:cs="Times New Roman"/>
                <w:b/>
                <w:bCs/>
                <w:color w:val="000000" w:themeColor="text1"/>
                <w:kern w:val="0"/>
              </w:rPr>
              <w:t xml:space="preserve"> </w:t>
            </w:r>
            <w:r>
              <w:rPr>
                <w:rFonts w:ascii="Times New Roman" w:hAnsi="Times New Roman" w:cs="Times New Roman"/>
                <w:b/>
                <w:bCs/>
                <w:color w:val="000000" w:themeColor="text1"/>
                <w:kern w:val="0"/>
              </w:rPr>
              <w:t>mg/L</w:t>
            </w:r>
          </w:p>
          <w:tbl>
            <w:tblPr>
              <w:tblStyle w:val="14"/>
              <w:tblW w:w="5000" w:type="pct"/>
              <w:jc w:val="center"/>
              <w:tblLayout w:type="fixed"/>
              <w:tblCellMar>
                <w:top w:w="0" w:type="dxa"/>
                <w:left w:w="108" w:type="dxa"/>
                <w:bottom w:w="0" w:type="dxa"/>
                <w:right w:w="108" w:type="dxa"/>
              </w:tblCellMar>
            </w:tblPr>
            <w:tblGrid>
              <w:gridCol w:w="733"/>
              <w:gridCol w:w="768"/>
              <w:gridCol w:w="840"/>
              <w:gridCol w:w="798"/>
              <w:gridCol w:w="629"/>
              <w:gridCol w:w="811"/>
              <w:gridCol w:w="583"/>
              <w:gridCol w:w="522"/>
              <w:gridCol w:w="796"/>
              <w:gridCol w:w="918"/>
              <w:gridCol w:w="1202"/>
            </w:tblGrid>
            <w:tr>
              <w:tblPrEx>
                <w:tblCellMar>
                  <w:top w:w="0" w:type="dxa"/>
                  <w:left w:w="108" w:type="dxa"/>
                  <w:bottom w:w="0" w:type="dxa"/>
                  <w:right w:w="108" w:type="dxa"/>
                </w:tblCellMar>
              </w:tblPrEx>
              <w:trPr>
                <w:trHeight w:val="285" w:hRule="atLeast"/>
                <w:jc w:val="center"/>
              </w:trPr>
              <w:tc>
                <w:tcPr>
                  <w:tcW w:w="733" w:type="dxa"/>
                  <w:tcBorders>
                    <w:top w:val="single" w:color="auto" w:sz="4" w:space="0"/>
                    <w:left w:val="single" w:color="auto" w:sz="8" w:space="0"/>
                    <w:bottom w:val="single" w:color="000000" w:sz="8" w:space="0"/>
                    <w:right w:val="single" w:color="auto" w:sz="8" w:space="0"/>
                  </w:tcBorders>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768" w:type="dxa"/>
                  <w:tcBorders>
                    <w:top w:val="single" w:color="auto" w:sz="4" w:space="0"/>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pH</w:t>
                  </w:r>
                </w:p>
              </w:tc>
              <w:tc>
                <w:tcPr>
                  <w:tcW w:w="840" w:type="dxa"/>
                  <w:tcBorders>
                    <w:top w:val="single" w:color="auto" w:sz="4" w:space="0"/>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CODcr</w:t>
                  </w:r>
                </w:p>
              </w:tc>
              <w:tc>
                <w:tcPr>
                  <w:tcW w:w="798" w:type="dxa"/>
                  <w:tcBorders>
                    <w:top w:val="single" w:color="auto" w:sz="4" w:space="0"/>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629" w:type="dxa"/>
                  <w:tcBorders>
                    <w:top w:val="single" w:color="auto" w:sz="4" w:space="0"/>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SS</w:t>
                  </w:r>
                </w:p>
              </w:tc>
              <w:tc>
                <w:tcPr>
                  <w:tcW w:w="811" w:type="dxa"/>
                  <w:tcBorders>
                    <w:top w:val="single" w:color="auto" w:sz="4" w:space="0"/>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583" w:type="dxa"/>
                  <w:tcBorders>
                    <w:top w:val="single" w:color="auto" w:sz="4" w:space="0"/>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TN</w:t>
                  </w:r>
                </w:p>
              </w:tc>
              <w:tc>
                <w:tcPr>
                  <w:tcW w:w="522" w:type="dxa"/>
                  <w:tcBorders>
                    <w:top w:val="single" w:color="auto" w:sz="4" w:space="0"/>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TP</w:t>
                  </w:r>
                </w:p>
              </w:tc>
              <w:tc>
                <w:tcPr>
                  <w:tcW w:w="796" w:type="dxa"/>
                  <w:tcBorders>
                    <w:top w:val="single" w:color="auto" w:sz="4" w:space="0"/>
                    <w:left w:val="nil"/>
                    <w:bottom w:val="single" w:color="auto" w:sz="8"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动植物油</w:t>
                  </w:r>
                </w:p>
              </w:tc>
              <w:tc>
                <w:tcPr>
                  <w:tcW w:w="918" w:type="dxa"/>
                  <w:tcBorders>
                    <w:top w:val="single" w:color="auto" w:sz="4" w:space="0"/>
                    <w:left w:val="nil"/>
                    <w:bottom w:val="single" w:color="auto" w:sz="8"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202" w:type="dxa"/>
                  <w:tcBorders>
                    <w:top w:val="single" w:color="auto" w:sz="4" w:space="0"/>
                    <w:left w:val="nil"/>
                    <w:bottom w:val="single" w:color="auto" w:sz="8"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CellMar>
                  <w:top w:w="0" w:type="dxa"/>
                  <w:left w:w="108" w:type="dxa"/>
                  <w:bottom w:w="0" w:type="dxa"/>
                  <w:right w:w="108" w:type="dxa"/>
                </w:tblCellMar>
              </w:tblPrEx>
              <w:trPr>
                <w:trHeight w:val="300" w:hRule="atLeast"/>
                <w:jc w:val="center"/>
              </w:trPr>
              <w:tc>
                <w:tcPr>
                  <w:tcW w:w="733" w:type="dxa"/>
                  <w:tcBorders>
                    <w:top w:val="nil"/>
                    <w:left w:val="single" w:color="auto" w:sz="8" w:space="0"/>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768"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w:t>
                  </w:r>
                </w:p>
              </w:tc>
              <w:tc>
                <w:tcPr>
                  <w:tcW w:w="840"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350</w:t>
                  </w:r>
                </w:p>
              </w:tc>
              <w:tc>
                <w:tcPr>
                  <w:tcW w:w="798"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220</w:t>
                  </w:r>
                </w:p>
              </w:tc>
              <w:tc>
                <w:tcPr>
                  <w:tcW w:w="629"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300</w:t>
                  </w:r>
                </w:p>
              </w:tc>
              <w:tc>
                <w:tcPr>
                  <w:tcW w:w="811"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38</w:t>
                  </w:r>
                </w:p>
              </w:tc>
              <w:tc>
                <w:tcPr>
                  <w:tcW w:w="583"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45</w:t>
                  </w:r>
                </w:p>
              </w:tc>
              <w:tc>
                <w:tcPr>
                  <w:tcW w:w="522" w:type="dxa"/>
                  <w:tcBorders>
                    <w:top w:val="nil"/>
                    <w:left w:val="nil"/>
                    <w:bottom w:val="single" w:color="auto" w:sz="8" w:space="0"/>
                    <w:right w:val="single" w:color="auto" w:sz="8"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w:t>
                  </w:r>
                </w:p>
              </w:tc>
              <w:tc>
                <w:tcPr>
                  <w:tcW w:w="796" w:type="dxa"/>
                  <w:tcBorders>
                    <w:top w:val="nil"/>
                    <w:left w:val="nil"/>
                    <w:bottom w:val="single" w:color="auto" w:sz="8"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100</w:t>
                  </w:r>
                </w:p>
              </w:tc>
              <w:tc>
                <w:tcPr>
                  <w:tcW w:w="91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202"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③初期雨水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根据调查，本项目在现有厂区内建设，项目的建设不会改变现有厂区初期雨水的产生量；现有厂区的初期雨水产生量约为8</w:t>
            </w:r>
            <w:r>
              <w:rPr>
                <w:rFonts w:ascii="Times New Roman" w:hAnsi="Times New Roman" w:cs="Times New Roman"/>
                <w:color w:val="000000" w:themeColor="text1"/>
                <w:sz w:val="24"/>
              </w:rPr>
              <w:t>0m³/次，</w:t>
            </w:r>
            <w:r>
              <w:rPr>
                <w:rFonts w:hint="eastAsia" w:ascii="Times New Roman" w:hAnsi="Times New Roman" w:cs="Times New Roman"/>
                <w:color w:val="000000" w:themeColor="text1"/>
                <w:sz w:val="24"/>
              </w:rPr>
              <w:t>初期雨水的主要污染物为CODcr、和悬浮物，CODcr产生浓度约60mg/L、悬浮物产生浓度约400mg/L；建设单位已在本项目区旁配套设置了1个</w:t>
            </w:r>
            <w:r>
              <w:rPr>
                <w:rFonts w:ascii="Times New Roman" w:hAnsi="Times New Roman" w:cs="Times New Roman"/>
                <w:color w:val="000000" w:themeColor="text1"/>
                <w:sz w:val="24"/>
              </w:rPr>
              <w:t>150m³的初期雨水收集池，对厂区的初期雨水进行收集；收集后</w:t>
            </w:r>
            <w:r>
              <w:rPr>
                <w:rFonts w:hint="eastAsia" w:ascii="Times New Roman" w:hAnsi="Times New Roman" w:cs="Times New Roman"/>
                <w:color w:val="000000" w:themeColor="text1"/>
                <w:sz w:val="24"/>
              </w:rPr>
              <w:t>用于本项目生产用水，</w:t>
            </w:r>
            <w:r>
              <w:rPr>
                <w:rFonts w:ascii="Times New Roman" w:hAnsi="Times New Roman" w:cs="Times New Roman"/>
                <w:color w:val="000000" w:themeColor="text1"/>
                <w:sz w:val="24"/>
              </w:rPr>
              <w:t>不外排</w:t>
            </w:r>
            <w:r>
              <w:rPr>
                <w:rFonts w:hint="eastAsia" w:ascii="Times New Roman" w:hAnsi="Times New Roman" w:cs="Times New Roman"/>
                <w:color w:val="000000" w:themeColor="text1"/>
                <w:sz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hint="eastAsia"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5"/>
              <w:gridCol w:w="712"/>
              <w:gridCol w:w="1186"/>
              <w:gridCol w:w="3063"/>
              <w:gridCol w:w="1075"/>
              <w:gridCol w:w="1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产排污环节</w:t>
                  </w:r>
                </w:p>
              </w:tc>
              <w:tc>
                <w:tcPr>
                  <w:tcW w:w="71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类别</w:t>
                  </w: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污染物种类</w:t>
                  </w:r>
                </w:p>
              </w:tc>
              <w:tc>
                <w:tcPr>
                  <w:tcW w:w="306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107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18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restart"/>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生产车间</w:t>
                  </w:r>
                </w:p>
              </w:tc>
              <w:tc>
                <w:tcPr>
                  <w:tcW w:w="712" w:type="dxa"/>
                  <w:vMerge w:val="restart"/>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生产废水</w:t>
                  </w: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pH</w:t>
                  </w:r>
                </w:p>
              </w:tc>
              <w:tc>
                <w:tcPr>
                  <w:tcW w:w="3063" w:type="dxa"/>
                  <w:vMerge w:val="restart"/>
                  <w:vAlign w:val="center"/>
                </w:tcPr>
                <w:p>
                  <w:pPr>
                    <w:pStyle w:val="24"/>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项目拟在生产车间旁配套设置1个有效容积约为</w:t>
                  </w:r>
                  <w:r>
                    <w:rPr>
                      <w:rFonts w:eastAsiaTheme="minorEastAsia"/>
                      <w:color w:val="000000" w:themeColor="text1"/>
                      <w:szCs w:val="21"/>
                    </w:rPr>
                    <w:t>1</w:t>
                  </w:r>
                  <w:r>
                    <w:rPr>
                      <w:rFonts w:hint="eastAsia" w:eastAsiaTheme="minorEastAsia"/>
                      <w:color w:val="000000" w:themeColor="text1"/>
                      <w:szCs w:val="21"/>
                    </w:rPr>
                    <w:t>00</w:t>
                  </w:r>
                  <w:r>
                    <w:rPr>
                      <w:rFonts w:eastAsiaTheme="minorEastAsia"/>
                      <w:color w:val="000000" w:themeColor="text1"/>
                      <w:szCs w:val="21"/>
                    </w:rPr>
                    <w:t>m³的</w:t>
                  </w:r>
                  <w:r>
                    <w:rPr>
                      <w:rFonts w:hint="eastAsia" w:eastAsiaTheme="minorEastAsia"/>
                      <w:color w:val="000000" w:themeColor="text1"/>
                      <w:szCs w:val="21"/>
                    </w:rPr>
                    <w:t>废水收集调节池，对各工序产生的废水进行收集、调节后进入有效容积约为640</w:t>
                  </w:r>
                  <w:r>
                    <w:rPr>
                      <w:rFonts w:eastAsiaTheme="minorEastAsia"/>
                      <w:color w:val="000000" w:themeColor="text1"/>
                      <w:szCs w:val="21"/>
                    </w:rPr>
                    <w:t>m³的</w:t>
                  </w:r>
                  <w:r>
                    <w:rPr>
                      <w:rFonts w:hint="eastAsia" w:eastAsiaTheme="minorEastAsia"/>
                      <w:color w:val="000000" w:themeColor="text1"/>
                      <w:szCs w:val="21"/>
                    </w:rPr>
                    <w:t>八级沉淀池进行沉淀处理后，全部回用于生产车间，不外排。</w:t>
                  </w:r>
                </w:p>
              </w:tc>
              <w:tc>
                <w:tcPr>
                  <w:tcW w:w="1075"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不外排</w:t>
                  </w:r>
                </w:p>
              </w:tc>
              <w:tc>
                <w:tcPr>
                  <w:tcW w:w="183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hint="eastAsia" w:eastAsiaTheme="minorEastAsia"/>
                      <w:color w:val="000000" w:themeColor="text1"/>
                      <w:szCs w:val="21"/>
                    </w:rPr>
                  </w:pPr>
                </w:p>
              </w:tc>
              <w:tc>
                <w:tcPr>
                  <w:tcW w:w="712" w:type="dxa"/>
                  <w:vMerge w:val="continue"/>
                  <w:vAlign w:val="center"/>
                </w:tcPr>
                <w:p>
                  <w:pPr>
                    <w:pStyle w:val="24"/>
                    <w:spacing w:line="360" w:lineRule="exact"/>
                    <w:rPr>
                      <w:rFonts w:hint="eastAsia" w:eastAsiaTheme="minorEastAsia"/>
                      <w:color w:val="000000" w:themeColor="text1"/>
                      <w:szCs w:val="21"/>
                    </w:rPr>
                  </w:pPr>
                </w:p>
              </w:tc>
              <w:tc>
                <w:tcPr>
                  <w:tcW w:w="1186" w:type="dxa"/>
                  <w:vAlign w:val="center"/>
                </w:tcPr>
                <w:p>
                  <w:pPr>
                    <w:pStyle w:val="24"/>
                    <w:spacing w:line="360" w:lineRule="exact"/>
                    <w:rPr>
                      <w:rFonts w:hint="eastAsia" w:eastAsiaTheme="minorEastAsia"/>
                      <w:color w:val="000000" w:themeColor="text1"/>
                      <w:szCs w:val="21"/>
                    </w:rPr>
                  </w:pPr>
                  <w:r>
                    <w:rPr>
                      <w:rFonts w:hint="eastAsia" w:eastAsiaTheme="minorEastAsia"/>
                      <w:color w:val="000000" w:themeColor="text1"/>
                      <w:szCs w:val="21"/>
                    </w:rPr>
                    <w:t>CODcr</w:t>
                  </w:r>
                </w:p>
              </w:tc>
              <w:tc>
                <w:tcPr>
                  <w:tcW w:w="3063" w:type="dxa"/>
                  <w:vMerge w:val="continue"/>
                  <w:vAlign w:val="center"/>
                </w:tcPr>
                <w:p>
                  <w:pPr>
                    <w:pStyle w:val="24"/>
                    <w:spacing w:line="360" w:lineRule="exact"/>
                    <w:ind w:firstLine="210" w:firstLineChars="100"/>
                    <w:jc w:val="both"/>
                    <w:rPr>
                      <w:rFonts w:hint="eastAsia" w:eastAsiaTheme="minorEastAsia"/>
                      <w:color w:val="000000" w:themeColor="text1"/>
                      <w:szCs w:val="21"/>
                    </w:rPr>
                  </w:pPr>
                </w:p>
              </w:tc>
              <w:tc>
                <w:tcPr>
                  <w:tcW w:w="1075" w:type="dxa"/>
                  <w:vMerge w:val="continue"/>
                  <w:vAlign w:val="center"/>
                </w:tcPr>
                <w:p>
                  <w:pPr>
                    <w:spacing w:line="360" w:lineRule="exact"/>
                    <w:jc w:val="center"/>
                    <w:rPr>
                      <w:rFonts w:hint="eastAsia" w:ascii="Times New Roman" w:hAnsi="Times New Roman" w:cs="Times New Roman"/>
                      <w:bCs/>
                      <w:snapToGrid w:val="0"/>
                      <w:color w:val="000000" w:themeColor="text1"/>
                      <w:kern w:val="32"/>
                      <w:lang w:val="zh-CN"/>
                    </w:rPr>
                  </w:pPr>
                </w:p>
              </w:tc>
              <w:tc>
                <w:tcPr>
                  <w:tcW w:w="1834" w:type="dxa"/>
                  <w:vMerge w:val="continue"/>
                  <w:vAlign w:val="center"/>
                </w:tcPr>
                <w:p>
                  <w:pPr>
                    <w:spacing w:line="360" w:lineRule="exact"/>
                    <w:jc w:val="center"/>
                    <w:rPr>
                      <w:rFonts w:hint="eastAsia"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eastAsiaTheme="minorEastAsia"/>
                      <w:color w:val="000000" w:themeColor="text1"/>
                      <w:szCs w:val="21"/>
                    </w:rPr>
                  </w:pPr>
                </w:p>
              </w:tc>
              <w:tc>
                <w:tcPr>
                  <w:tcW w:w="712"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SS</w:t>
                  </w:r>
                </w:p>
              </w:tc>
              <w:tc>
                <w:tcPr>
                  <w:tcW w:w="3063" w:type="dxa"/>
                  <w:vMerge w:val="continue"/>
                  <w:vAlign w:val="center"/>
                </w:tcPr>
                <w:p>
                  <w:pPr>
                    <w:pStyle w:val="24"/>
                    <w:spacing w:line="360" w:lineRule="exact"/>
                    <w:ind w:firstLine="210" w:firstLineChars="100"/>
                    <w:jc w:val="both"/>
                    <w:rPr>
                      <w:rFonts w:eastAsiaTheme="minorEastAsia"/>
                      <w:color w:val="000000" w:themeColor="text1"/>
                      <w:szCs w:val="21"/>
                    </w:rPr>
                  </w:pPr>
                </w:p>
              </w:tc>
              <w:tc>
                <w:tcPr>
                  <w:tcW w:w="1075"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83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eastAsiaTheme="minorEastAsia"/>
                      <w:color w:val="000000" w:themeColor="text1"/>
                      <w:szCs w:val="21"/>
                    </w:rPr>
                  </w:pPr>
                </w:p>
              </w:tc>
              <w:tc>
                <w:tcPr>
                  <w:tcW w:w="712"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063" w:type="dxa"/>
                  <w:vMerge w:val="continue"/>
                  <w:vAlign w:val="center"/>
                </w:tcPr>
                <w:p>
                  <w:pPr>
                    <w:pStyle w:val="24"/>
                    <w:spacing w:line="360" w:lineRule="exact"/>
                    <w:ind w:firstLine="210" w:firstLineChars="100"/>
                    <w:jc w:val="both"/>
                    <w:rPr>
                      <w:rFonts w:eastAsiaTheme="minorEastAsia"/>
                      <w:color w:val="000000" w:themeColor="text1"/>
                      <w:szCs w:val="21"/>
                    </w:rPr>
                  </w:pPr>
                </w:p>
              </w:tc>
              <w:tc>
                <w:tcPr>
                  <w:tcW w:w="1075"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83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eastAsiaTheme="minorEastAsia"/>
                      <w:color w:val="000000" w:themeColor="text1"/>
                      <w:szCs w:val="21"/>
                    </w:rPr>
                  </w:pPr>
                </w:p>
              </w:tc>
              <w:tc>
                <w:tcPr>
                  <w:tcW w:w="712"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Cr</w:t>
                  </w:r>
                </w:p>
              </w:tc>
              <w:tc>
                <w:tcPr>
                  <w:tcW w:w="3063" w:type="dxa"/>
                  <w:vMerge w:val="continue"/>
                  <w:vAlign w:val="center"/>
                </w:tcPr>
                <w:p>
                  <w:pPr>
                    <w:pStyle w:val="24"/>
                    <w:spacing w:line="360" w:lineRule="exact"/>
                    <w:ind w:firstLine="210" w:firstLineChars="100"/>
                    <w:jc w:val="both"/>
                    <w:rPr>
                      <w:rFonts w:eastAsiaTheme="minorEastAsia"/>
                      <w:color w:val="000000" w:themeColor="text1"/>
                      <w:szCs w:val="21"/>
                    </w:rPr>
                  </w:pPr>
                </w:p>
              </w:tc>
              <w:tc>
                <w:tcPr>
                  <w:tcW w:w="1075"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83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eastAsiaTheme="minorEastAsia"/>
                      <w:color w:val="000000" w:themeColor="text1"/>
                      <w:szCs w:val="21"/>
                    </w:rPr>
                  </w:pPr>
                </w:p>
              </w:tc>
              <w:tc>
                <w:tcPr>
                  <w:tcW w:w="712"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Pb</w:t>
                  </w:r>
                </w:p>
              </w:tc>
              <w:tc>
                <w:tcPr>
                  <w:tcW w:w="3063" w:type="dxa"/>
                  <w:vMerge w:val="continue"/>
                  <w:vAlign w:val="center"/>
                </w:tcPr>
                <w:p>
                  <w:pPr>
                    <w:pStyle w:val="24"/>
                    <w:spacing w:line="360" w:lineRule="exact"/>
                    <w:ind w:firstLine="210" w:firstLineChars="100"/>
                    <w:jc w:val="both"/>
                    <w:rPr>
                      <w:rFonts w:eastAsiaTheme="minorEastAsia"/>
                      <w:color w:val="000000" w:themeColor="text1"/>
                      <w:szCs w:val="21"/>
                    </w:rPr>
                  </w:pPr>
                </w:p>
              </w:tc>
              <w:tc>
                <w:tcPr>
                  <w:tcW w:w="1075"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83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eastAsiaTheme="minorEastAsia"/>
                      <w:color w:val="000000" w:themeColor="text1"/>
                      <w:szCs w:val="21"/>
                    </w:rPr>
                  </w:pPr>
                </w:p>
              </w:tc>
              <w:tc>
                <w:tcPr>
                  <w:tcW w:w="712"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Fe</w:t>
                  </w:r>
                </w:p>
              </w:tc>
              <w:tc>
                <w:tcPr>
                  <w:tcW w:w="3063" w:type="dxa"/>
                  <w:vMerge w:val="continue"/>
                  <w:vAlign w:val="center"/>
                </w:tcPr>
                <w:p>
                  <w:pPr>
                    <w:pStyle w:val="24"/>
                    <w:spacing w:line="360" w:lineRule="exact"/>
                    <w:ind w:firstLine="210" w:firstLineChars="100"/>
                    <w:jc w:val="both"/>
                    <w:rPr>
                      <w:rFonts w:eastAsiaTheme="minorEastAsia"/>
                      <w:color w:val="000000" w:themeColor="text1"/>
                      <w:szCs w:val="21"/>
                    </w:rPr>
                  </w:pPr>
                </w:p>
              </w:tc>
              <w:tc>
                <w:tcPr>
                  <w:tcW w:w="1075"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83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eastAsiaTheme="minorEastAsia"/>
                      <w:color w:val="000000" w:themeColor="text1"/>
                      <w:szCs w:val="21"/>
                    </w:rPr>
                  </w:pPr>
                </w:p>
              </w:tc>
              <w:tc>
                <w:tcPr>
                  <w:tcW w:w="712"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氟化物</w:t>
                  </w:r>
                </w:p>
              </w:tc>
              <w:tc>
                <w:tcPr>
                  <w:tcW w:w="3063" w:type="dxa"/>
                  <w:vMerge w:val="continue"/>
                  <w:vAlign w:val="center"/>
                </w:tcPr>
                <w:p>
                  <w:pPr>
                    <w:pStyle w:val="24"/>
                    <w:spacing w:line="360" w:lineRule="exact"/>
                    <w:ind w:firstLine="210" w:firstLineChars="100"/>
                    <w:jc w:val="both"/>
                    <w:rPr>
                      <w:rFonts w:eastAsiaTheme="minorEastAsia"/>
                      <w:color w:val="000000" w:themeColor="text1"/>
                      <w:szCs w:val="21"/>
                    </w:rPr>
                  </w:pPr>
                </w:p>
              </w:tc>
              <w:tc>
                <w:tcPr>
                  <w:tcW w:w="1075"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83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员工生活</w:t>
                  </w:r>
                </w:p>
              </w:tc>
              <w:tc>
                <w:tcPr>
                  <w:tcW w:w="712"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生活污水</w:t>
                  </w: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pH</w:t>
                  </w:r>
                </w:p>
              </w:tc>
              <w:tc>
                <w:tcPr>
                  <w:tcW w:w="3063" w:type="dxa"/>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针对项目厨房生活污水，</w:t>
                  </w:r>
                  <w:r>
                    <w:rPr>
                      <w:rFonts w:hint="eastAsia" w:eastAsiaTheme="minorEastAsia"/>
                      <w:color w:val="000000" w:themeColor="text1"/>
                      <w:szCs w:val="21"/>
                    </w:rPr>
                    <w:t>拟</w:t>
                  </w:r>
                  <w:r>
                    <w:rPr>
                      <w:rFonts w:eastAsiaTheme="minorEastAsia"/>
                      <w:color w:val="000000" w:themeColor="text1"/>
                      <w:szCs w:val="21"/>
                    </w:rPr>
                    <w:t>配套设置1个1m³的隔油池对其进行预处理，同时项目生活区旁已设置了1个有效容积为20m³的化粪池对项目区生活污水进行处理。项目生活污水经隔油池、化粪池处理后可达到《污水排入城镇下水道水质标准》（GB/T31962-2015）B等级标准后，通过园区污水管网进入四方地与碧谷园区污水处理厂处理。</w:t>
                  </w:r>
                </w:p>
              </w:tc>
              <w:tc>
                <w:tcPr>
                  <w:tcW w:w="1075"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间接排放、间断排放</w:t>
                  </w:r>
                </w:p>
              </w:tc>
              <w:tc>
                <w:tcPr>
                  <w:tcW w:w="1834" w:type="dxa"/>
                  <w:vMerge w:val="restart"/>
                  <w:vAlign w:val="center"/>
                </w:tcPr>
                <w:p>
                  <w:pPr>
                    <w:pStyle w:val="24"/>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名称：化粪池</w:t>
                  </w:r>
                </w:p>
                <w:p>
                  <w:pPr>
                    <w:pStyle w:val="24"/>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坐标：</w:t>
                  </w:r>
                </w:p>
                <w:p>
                  <w:pPr>
                    <w:pStyle w:val="24"/>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E103.</w:t>
                  </w:r>
                  <w:r>
                    <w:rPr>
                      <w:rFonts w:hint="eastAsia" w:eastAsiaTheme="minorEastAsia"/>
                      <w:color w:val="000000" w:themeColor="text1"/>
                      <w:szCs w:val="21"/>
                    </w:rPr>
                    <w:t>123341</w:t>
                  </w:r>
                  <w:r>
                    <w:rPr>
                      <w:rFonts w:eastAsiaTheme="minorEastAsia"/>
                      <w:color w:val="000000" w:themeColor="text1"/>
                      <w:szCs w:val="21"/>
                    </w:rPr>
                    <w:t>°、N2</w:t>
                  </w:r>
                  <w:r>
                    <w:rPr>
                      <w:rFonts w:hint="eastAsia" w:eastAsiaTheme="minorEastAsia"/>
                      <w:color w:val="000000" w:themeColor="text1"/>
                      <w:szCs w:val="21"/>
                    </w:rPr>
                    <w:t>6</w:t>
                  </w:r>
                  <w:r>
                    <w:rPr>
                      <w:rFonts w:eastAsiaTheme="minorEastAsia"/>
                      <w:color w:val="000000" w:themeColor="text1"/>
                      <w:szCs w:val="21"/>
                    </w:rPr>
                    <w:t>.</w:t>
                  </w:r>
                  <w:r>
                    <w:rPr>
                      <w:rFonts w:hint="eastAsia" w:eastAsiaTheme="minorEastAsia"/>
                      <w:color w:val="000000" w:themeColor="text1"/>
                      <w:szCs w:val="21"/>
                    </w:rPr>
                    <w:t>179079</w:t>
                  </w: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eastAsiaTheme="minorEastAsia"/>
                      <w:color w:val="000000" w:themeColor="text1"/>
                      <w:szCs w:val="21"/>
                    </w:rPr>
                  </w:pPr>
                </w:p>
              </w:tc>
              <w:tc>
                <w:tcPr>
                  <w:tcW w:w="712"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CODcr</w:t>
                  </w:r>
                </w:p>
              </w:tc>
              <w:tc>
                <w:tcPr>
                  <w:tcW w:w="3063"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075"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eastAsiaTheme="minorEastAsia"/>
                      <w:color w:val="000000" w:themeColor="text1"/>
                      <w:szCs w:val="21"/>
                    </w:rPr>
                  </w:pPr>
                </w:p>
              </w:tc>
              <w:tc>
                <w:tcPr>
                  <w:tcW w:w="712"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063"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075"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eastAsiaTheme="minorEastAsia"/>
                      <w:color w:val="000000" w:themeColor="text1"/>
                      <w:szCs w:val="21"/>
                    </w:rPr>
                  </w:pPr>
                </w:p>
              </w:tc>
              <w:tc>
                <w:tcPr>
                  <w:tcW w:w="712"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063"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075"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eastAsiaTheme="minorEastAsia"/>
                      <w:color w:val="000000" w:themeColor="text1"/>
                      <w:szCs w:val="21"/>
                    </w:rPr>
                  </w:pPr>
                </w:p>
              </w:tc>
              <w:tc>
                <w:tcPr>
                  <w:tcW w:w="712"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SS</w:t>
                  </w:r>
                </w:p>
              </w:tc>
              <w:tc>
                <w:tcPr>
                  <w:tcW w:w="3063"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075"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eastAsiaTheme="minorEastAsia"/>
                      <w:color w:val="000000" w:themeColor="text1"/>
                      <w:szCs w:val="21"/>
                    </w:rPr>
                  </w:pPr>
                </w:p>
              </w:tc>
              <w:tc>
                <w:tcPr>
                  <w:tcW w:w="712"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总磷</w:t>
                  </w:r>
                </w:p>
              </w:tc>
              <w:tc>
                <w:tcPr>
                  <w:tcW w:w="3063"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075"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eastAsiaTheme="minorEastAsia"/>
                      <w:color w:val="000000" w:themeColor="text1"/>
                      <w:szCs w:val="21"/>
                    </w:rPr>
                  </w:pPr>
                </w:p>
              </w:tc>
              <w:tc>
                <w:tcPr>
                  <w:tcW w:w="712"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总氮</w:t>
                  </w:r>
                </w:p>
              </w:tc>
              <w:tc>
                <w:tcPr>
                  <w:tcW w:w="3063"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075"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eastAsiaTheme="minorEastAsia"/>
                      <w:color w:val="000000" w:themeColor="text1"/>
                      <w:szCs w:val="21"/>
                    </w:rPr>
                  </w:pPr>
                </w:p>
              </w:tc>
              <w:tc>
                <w:tcPr>
                  <w:tcW w:w="712"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3063"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075"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Merge w:val="continue"/>
                  <w:vAlign w:val="center"/>
                </w:tcPr>
                <w:p>
                  <w:pPr>
                    <w:pStyle w:val="24"/>
                    <w:spacing w:line="360" w:lineRule="exact"/>
                    <w:rPr>
                      <w:rFonts w:eastAsiaTheme="minorEastAsia"/>
                      <w:color w:val="000000" w:themeColor="text1"/>
                      <w:szCs w:val="21"/>
                    </w:rPr>
                  </w:pPr>
                </w:p>
              </w:tc>
              <w:tc>
                <w:tcPr>
                  <w:tcW w:w="712" w:type="dxa"/>
                  <w:vMerge w:val="continue"/>
                  <w:vAlign w:val="center"/>
                </w:tcPr>
                <w:p>
                  <w:pPr>
                    <w:pStyle w:val="24"/>
                    <w:spacing w:line="360" w:lineRule="exact"/>
                    <w:rPr>
                      <w:rFonts w:eastAsiaTheme="minorEastAsia"/>
                      <w:color w:val="000000" w:themeColor="text1"/>
                      <w:szCs w:val="21"/>
                    </w:rPr>
                  </w:pPr>
                </w:p>
              </w:tc>
              <w:tc>
                <w:tcPr>
                  <w:tcW w:w="1186"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3063" w:type="dxa"/>
                  <w:vMerge w:val="continue"/>
                  <w:vAlign w:val="center"/>
                </w:tcPr>
                <w:p>
                  <w:pPr>
                    <w:pStyle w:val="24"/>
                    <w:spacing w:line="360" w:lineRule="exact"/>
                    <w:ind w:firstLine="210" w:firstLineChars="100"/>
                    <w:jc w:val="left"/>
                    <w:rPr>
                      <w:rFonts w:eastAsiaTheme="minorEastAsia"/>
                      <w:color w:val="000000" w:themeColor="text1"/>
                      <w:szCs w:val="21"/>
                    </w:rPr>
                  </w:pPr>
                </w:p>
              </w:tc>
              <w:tc>
                <w:tcPr>
                  <w:tcW w:w="1075" w:type="dxa"/>
                  <w:vMerge w:val="continue"/>
                  <w:vAlign w:val="center"/>
                </w:tcPr>
                <w:p>
                  <w:pPr>
                    <w:pStyle w:val="24"/>
                    <w:spacing w:line="360" w:lineRule="exact"/>
                    <w:rPr>
                      <w:rFonts w:eastAsiaTheme="minorEastAsia"/>
                      <w:color w:val="000000" w:themeColor="text1"/>
                      <w:szCs w:val="21"/>
                    </w:rPr>
                  </w:pPr>
                </w:p>
              </w:tc>
              <w:tc>
                <w:tcPr>
                  <w:tcW w:w="1834" w:type="dxa"/>
                  <w:vMerge w:val="continue"/>
                  <w:vAlign w:val="center"/>
                </w:tcPr>
                <w:p>
                  <w:pPr>
                    <w:pStyle w:val="24"/>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厂区范围</w:t>
                  </w:r>
                </w:p>
              </w:tc>
              <w:tc>
                <w:tcPr>
                  <w:tcW w:w="71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初期雨水</w:t>
                  </w:r>
                </w:p>
              </w:tc>
              <w:tc>
                <w:tcPr>
                  <w:tcW w:w="1186" w:type="dxa"/>
                  <w:vAlign w:val="center"/>
                </w:tcPr>
                <w:p>
                  <w:pPr>
                    <w:pStyle w:val="24"/>
                    <w:spacing w:line="360" w:lineRule="exact"/>
                    <w:rPr>
                      <w:rFonts w:eastAsiaTheme="minorEastAsia"/>
                      <w:color w:val="000000" w:themeColor="text1"/>
                      <w:szCs w:val="21"/>
                      <w:highlight w:val="yellow"/>
                    </w:rPr>
                  </w:pPr>
                  <w:r>
                    <w:rPr>
                      <w:rFonts w:hint="eastAsia" w:eastAsiaTheme="minorEastAsia"/>
                      <w:color w:val="000000" w:themeColor="text1"/>
                      <w:szCs w:val="21"/>
                    </w:rPr>
                    <w:t>SS</w:t>
                  </w:r>
                </w:p>
              </w:tc>
              <w:tc>
                <w:tcPr>
                  <w:tcW w:w="3063" w:type="dxa"/>
                  <w:vAlign w:val="center"/>
                </w:tcPr>
                <w:p>
                  <w:pPr>
                    <w:pStyle w:val="24"/>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已在本项目区旁配套设置了1个</w:t>
                  </w:r>
                  <w:r>
                    <w:rPr>
                      <w:rFonts w:eastAsiaTheme="minorEastAsia"/>
                      <w:color w:val="000000" w:themeColor="text1"/>
                      <w:szCs w:val="21"/>
                    </w:rPr>
                    <w:t>150m³的初期雨水收集池，对厂区的初期雨水进行收集；收集后</w:t>
                  </w:r>
                  <w:r>
                    <w:rPr>
                      <w:rFonts w:hint="eastAsia" w:eastAsiaTheme="minorEastAsia"/>
                      <w:color w:val="000000" w:themeColor="text1"/>
                      <w:szCs w:val="21"/>
                    </w:rPr>
                    <w:t>用于本项目生产用水，</w:t>
                  </w:r>
                  <w:r>
                    <w:rPr>
                      <w:rFonts w:eastAsiaTheme="minorEastAsia"/>
                      <w:color w:val="000000" w:themeColor="text1"/>
                      <w:szCs w:val="21"/>
                    </w:rPr>
                    <w:t>不外排</w:t>
                  </w:r>
                  <w:r>
                    <w:rPr>
                      <w:rFonts w:hint="eastAsia" w:eastAsiaTheme="minorEastAsia"/>
                      <w:color w:val="000000" w:themeColor="text1"/>
                      <w:szCs w:val="21"/>
                    </w:rPr>
                    <w:t>。</w:t>
                  </w:r>
                </w:p>
              </w:tc>
              <w:tc>
                <w:tcPr>
                  <w:tcW w:w="107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不外排</w:t>
                  </w:r>
                </w:p>
              </w:tc>
              <w:tc>
                <w:tcPr>
                  <w:tcW w:w="18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r>
          </w:tbl>
          <w:p>
            <w:pPr>
              <w:spacing w:beforeLines="50"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生产废水污染源产排量及达标情况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根据项目产污环节和废水污染物治理措施可知，</w:t>
            </w:r>
            <w:r>
              <w:rPr>
                <w:rFonts w:hint="eastAsia" w:ascii="Times New Roman" w:hAnsi="Times New Roman" w:cs="Times New Roman"/>
                <w:color w:val="000000" w:themeColor="text1"/>
                <w:sz w:val="24"/>
              </w:rPr>
              <w:t>项目拟在生产车间旁配套设置1个有效容积约为</w:t>
            </w:r>
            <w:r>
              <w:rPr>
                <w:rFonts w:ascii="Times New Roman" w:hAnsi="Times New Roman" w:cs="Times New Roman"/>
                <w:color w:val="000000" w:themeColor="text1"/>
                <w:sz w:val="24"/>
              </w:rPr>
              <w:t>1</w:t>
            </w:r>
            <w:r>
              <w:rPr>
                <w:rFonts w:hint="eastAsia" w:ascii="Times New Roman" w:hAnsi="Times New Roman" w:cs="Times New Roman"/>
                <w:color w:val="000000" w:themeColor="text1"/>
                <w:sz w:val="24"/>
              </w:rPr>
              <w:t>00</w:t>
            </w:r>
            <w:r>
              <w:rPr>
                <w:rFonts w:ascii="Times New Roman" w:hAnsi="Times New Roman" w:cs="Times New Roman"/>
                <w:color w:val="000000" w:themeColor="text1"/>
                <w:sz w:val="24"/>
              </w:rPr>
              <w:t>m³的</w:t>
            </w:r>
            <w:r>
              <w:rPr>
                <w:rFonts w:hint="eastAsia" w:ascii="Times New Roman" w:hAnsi="Times New Roman" w:cs="Times New Roman"/>
                <w:color w:val="000000" w:themeColor="text1"/>
                <w:sz w:val="24"/>
              </w:rPr>
              <w:t>废水收集调节池，对各工序产生的废水进行收集、调节后进入有效容积约为640</w:t>
            </w:r>
            <w:r>
              <w:rPr>
                <w:rFonts w:ascii="Times New Roman" w:hAnsi="Times New Roman" w:cs="Times New Roman"/>
                <w:color w:val="000000" w:themeColor="text1"/>
                <w:sz w:val="24"/>
              </w:rPr>
              <w:t>m³的</w:t>
            </w:r>
            <w:r>
              <w:rPr>
                <w:rFonts w:hint="eastAsia" w:ascii="Times New Roman" w:hAnsi="Times New Roman" w:cs="Times New Roman"/>
                <w:color w:val="000000" w:themeColor="text1"/>
                <w:sz w:val="24"/>
              </w:rPr>
              <w:t>八级沉淀池进行沉淀处理后，全部回用于生产车间，不外排。生产废水</w:t>
            </w:r>
            <w:r>
              <w:rPr>
                <w:rFonts w:ascii="Times New Roman" w:hAnsi="Times New Roman" w:cs="Times New Roman"/>
                <w:color w:val="000000" w:themeColor="text1"/>
                <w:sz w:val="24"/>
              </w:rPr>
              <w:t>经处理后其污染产排及达标情况如下表所示。</w:t>
            </w: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表4.2.2-3</w:t>
            </w:r>
            <w:r>
              <w:rPr>
                <w:rFonts w:hint="eastAsia" w:ascii="Times New Roman" w:hAnsi="Times New Roman" w:cs="Times New Roman"/>
                <w:b/>
                <w:color w:val="000000" w:themeColor="text1"/>
                <w:szCs w:val="24"/>
              </w:rPr>
              <w:t xml:space="preserve">  生产</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污染物排放源产排量及达标情况一览表</w:t>
            </w:r>
          </w:p>
          <w:tbl>
            <w:tblPr>
              <w:tblStyle w:val="14"/>
              <w:tblW w:w="5000" w:type="pct"/>
              <w:jc w:val="center"/>
              <w:tblLayout w:type="fixed"/>
              <w:tblCellMar>
                <w:top w:w="0" w:type="dxa"/>
                <w:left w:w="108" w:type="dxa"/>
                <w:bottom w:w="0" w:type="dxa"/>
                <w:right w:w="108" w:type="dxa"/>
              </w:tblCellMar>
            </w:tblPr>
            <w:tblGrid>
              <w:gridCol w:w="735"/>
              <w:gridCol w:w="735"/>
              <w:gridCol w:w="1244"/>
              <w:gridCol w:w="1134"/>
              <w:gridCol w:w="851"/>
              <w:gridCol w:w="1134"/>
              <w:gridCol w:w="1138"/>
              <w:gridCol w:w="888"/>
              <w:gridCol w:w="736"/>
            </w:tblGrid>
            <w:tr>
              <w:tblPrEx>
                <w:tblCellMar>
                  <w:top w:w="0" w:type="dxa"/>
                  <w:left w:w="108" w:type="dxa"/>
                  <w:bottom w:w="0" w:type="dxa"/>
                  <w:right w:w="108" w:type="dxa"/>
                </w:tblCellMar>
              </w:tblPrEx>
              <w:trPr>
                <w:jc w:val="center"/>
              </w:trPr>
              <w:tc>
                <w:tcPr>
                  <w:tcW w:w="7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产排污环节</w:t>
                  </w:r>
                </w:p>
              </w:tc>
              <w:tc>
                <w:tcPr>
                  <w:tcW w:w="7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类别</w:t>
                  </w:r>
                </w:p>
              </w:tc>
              <w:tc>
                <w:tcPr>
                  <w:tcW w:w="12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污染物种类</w:t>
                  </w:r>
                </w:p>
              </w:tc>
              <w:tc>
                <w:tcPr>
                  <w:tcW w:w="1985" w:type="dxa"/>
                  <w:gridSpan w:val="2"/>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污染物产生情况</w:t>
                  </w:r>
                </w:p>
              </w:tc>
              <w:tc>
                <w:tcPr>
                  <w:tcW w:w="2272" w:type="dxa"/>
                  <w:gridSpan w:val="2"/>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污染物回用量和浓度</w:t>
                  </w:r>
                </w:p>
              </w:tc>
              <w:tc>
                <w:tcPr>
                  <w:tcW w:w="888" w:type="dxa"/>
                  <w:vMerge w:val="restart"/>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回用标准</w:t>
                  </w:r>
                </w:p>
              </w:tc>
              <w:tc>
                <w:tcPr>
                  <w:tcW w:w="73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达标情况</w:t>
                  </w:r>
                </w:p>
              </w:tc>
            </w:tr>
            <w:tr>
              <w:tblPrEx>
                <w:tblCellMar>
                  <w:top w:w="0" w:type="dxa"/>
                  <w:left w:w="108" w:type="dxa"/>
                  <w:bottom w:w="0" w:type="dxa"/>
                  <w:right w:w="108" w:type="dxa"/>
                </w:tblCellMar>
              </w:tblPrEx>
              <w:trPr>
                <w:jc w:val="center"/>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single" w:color="000000" w:sz="8" w:space="0"/>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vMerge w:val="continue"/>
                  <w:tcBorders>
                    <w:top w:val="single" w:color="000000" w:sz="8" w:space="0"/>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13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产生浓度</w:t>
                  </w:r>
                  <w:r>
                    <w:rPr>
                      <w:rFonts w:eastAsiaTheme="minorEastAsia"/>
                      <w:color w:val="000000" w:themeColor="text1"/>
                      <w:szCs w:val="21"/>
                    </w:rPr>
                    <w:t>mg/m³</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产生量</w:t>
                  </w:r>
                  <w:r>
                    <w:rPr>
                      <w:rFonts w:eastAsiaTheme="minorEastAsia"/>
                      <w:color w:val="000000" w:themeColor="text1"/>
                      <w:szCs w:val="21"/>
                    </w:rPr>
                    <w:t>m³/a</w:t>
                  </w:r>
                </w:p>
              </w:tc>
              <w:tc>
                <w:tcPr>
                  <w:tcW w:w="113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回用浓度</w:t>
                  </w:r>
                  <w:r>
                    <w:rPr>
                      <w:rFonts w:eastAsiaTheme="minorEastAsia"/>
                      <w:color w:val="000000" w:themeColor="text1"/>
                      <w:szCs w:val="21"/>
                    </w:rPr>
                    <w:t>mg/m³</w:t>
                  </w:r>
                </w:p>
              </w:tc>
              <w:tc>
                <w:tcPr>
                  <w:tcW w:w="1138" w:type="dxa"/>
                  <w:tcBorders>
                    <w:top w:val="single" w:color="000000" w:sz="8" w:space="0"/>
                    <w:left w:val="nil"/>
                    <w:bottom w:val="single" w:color="auto"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回用量</w:t>
                  </w:r>
                  <w:r>
                    <w:rPr>
                      <w:rFonts w:eastAsiaTheme="minorEastAsia"/>
                      <w:color w:val="000000" w:themeColor="text1"/>
                      <w:szCs w:val="21"/>
                    </w:rPr>
                    <w:t>m³/a</w:t>
                  </w:r>
                </w:p>
              </w:tc>
              <w:tc>
                <w:tcPr>
                  <w:tcW w:w="888" w:type="dxa"/>
                  <w:vMerge w:val="continue"/>
                  <w:tcBorders>
                    <w:top w:val="single" w:color="000000" w:sz="8" w:space="0"/>
                    <w:left w:val="nil"/>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6" w:type="dxa"/>
                  <w:vMerge w:val="continue"/>
                  <w:tcBorders>
                    <w:top w:val="single" w:color="000000" w:sz="8" w:space="0"/>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r>
            <w:tr>
              <w:tblPrEx>
                <w:tblCellMar>
                  <w:top w:w="0" w:type="dxa"/>
                  <w:left w:w="108" w:type="dxa"/>
                  <w:bottom w:w="0" w:type="dxa"/>
                  <w:right w:w="108" w:type="dxa"/>
                </w:tblCellMar>
              </w:tblPrEx>
              <w:trPr>
                <w:jc w:val="center"/>
              </w:trPr>
              <w:tc>
                <w:tcPr>
                  <w:tcW w:w="73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生产车间</w:t>
                  </w:r>
                </w:p>
              </w:tc>
              <w:tc>
                <w:tcPr>
                  <w:tcW w:w="73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生产废水</w:t>
                  </w: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废水量</w:t>
                  </w:r>
                </w:p>
              </w:tc>
              <w:tc>
                <w:tcPr>
                  <w:tcW w:w="1985" w:type="dxa"/>
                  <w:gridSpan w:val="2"/>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444001.8</w:t>
                  </w:r>
                  <w:r>
                    <w:rPr>
                      <w:rFonts w:eastAsiaTheme="minorEastAsia"/>
                      <w:color w:val="000000" w:themeColor="text1"/>
                      <w:szCs w:val="21"/>
                    </w:rPr>
                    <w:t>m³/a</w:t>
                  </w:r>
                </w:p>
              </w:tc>
              <w:tc>
                <w:tcPr>
                  <w:tcW w:w="2272" w:type="dxa"/>
                  <w:gridSpan w:val="2"/>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444001.8</w:t>
                  </w:r>
                  <w:r>
                    <w:rPr>
                      <w:rFonts w:eastAsiaTheme="minorEastAsia"/>
                      <w:color w:val="000000" w:themeColor="text1"/>
                      <w:szCs w:val="21"/>
                    </w:rPr>
                    <w:t>m³/a</w:t>
                  </w:r>
                </w:p>
              </w:tc>
              <w:tc>
                <w:tcPr>
                  <w:tcW w:w="88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7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pH</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6.5-8.5</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6.5-8.5</w:t>
                  </w:r>
                </w:p>
              </w:tc>
              <w:tc>
                <w:tcPr>
                  <w:tcW w:w="1138" w:type="dxa"/>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c>
                <w:tcPr>
                  <w:tcW w:w="88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6.5-8.5</w:t>
                  </w:r>
                </w:p>
              </w:tc>
              <w:tc>
                <w:tcPr>
                  <w:tcW w:w="7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CODcr</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60</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26.64</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50</w:t>
                  </w:r>
                </w:p>
              </w:tc>
              <w:tc>
                <w:tcPr>
                  <w:tcW w:w="113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22.20</w:t>
                  </w:r>
                </w:p>
              </w:tc>
              <w:tc>
                <w:tcPr>
                  <w:tcW w:w="88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60</w:t>
                  </w:r>
                </w:p>
              </w:tc>
              <w:tc>
                <w:tcPr>
                  <w:tcW w:w="7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SS</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300</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133.20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30</w:t>
                  </w:r>
                </w:p>
              </w:tc>
              <w:tc>
                <w:tcPr>
                  <w:tcW w:w="113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13.32</w:t>
                  </w:r>
                </w:p>
              </w:tc>
              <w:tc>
                <w:tcPr>
                  <w:tcW w:w="88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c>
                <w:tcPr>
                  <w:tcW w:w="7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4.5</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2.00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4.5</w:t>
                  </w:r>
                </w:p>
              </w:tc>
              <w:tc>
                <w:tcPr>
                  <w:tcW w:w="113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2.00</w:t>
                  </w:r>
                </w:p>
              </w:tc>
              <w:tc>
                <w:tcPr>
                  <w:tcW w:w="88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10</w:t>
                  </w:r>
                </w:p>
              </w:tc>
              <w:tc>
                <w:tcPr>
                  <w:tcW w:w="7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trHeight w:val="305" w:hRule="atLeast"/>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Cr</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0.006</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0.003</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0.003</w:t>
                  </w:r>
                </w:p>
              </w:tc>
              <w:tc>
                <w:tcPr>
                  <w:tcW w:w="113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0.001</w:t>
                  </w:r>
                </w:p>
              </w:tc>
              <w:tc>
                <w:tcPr>
                  <w:tcW w:w="88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hint="eastAsia" w:eastAsiaTheme="minorEastAsia"/>
                      <w:color w:val="000000" w:themeColor="text1"/>
                      <w:szCs w:val="21"/>
                    </w:rPr>
                  </w:pPr>
                  <w:r>
                    <w:rPr>
                      <w:rFonts w:hint="eastAsia" w:eastAsiaTheme="minorEastAsia"/>
                      <w:color w:val="000000" w:themeColor="text1"/>
                      <w:szCs w:val="21"/>
                    </w:rPr>
                    <w:t>--</w:t>
                  </w:r>
                </w:p>
              </w:tc>
              <w:tc>
                <w:tcPr>
                  <w:tcW w:w="7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hint="eastAsia" w:eastAsiaTheme="minorEastAsia"/>
                      <w:color w:val="000000" w:themeColor="text1"/>
                      <w:szCs w:val="21"/>
                    </w:rPr>
                  </w:pPr>
                  <w:r>
                    <w:rPr>
                      <w:rFonts w:hint="eastAsia" w:eastAsiaTheme="minorEastAsia"/>
                      <w:color w:val="000000" w:themeColor="text1"/>
                      <w:szCs w:val="21"/>
                    </w:rPr>
                    <w:t>--</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Pb</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0.004</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0.005</w:t>
                  </w:r>
                </w:p>
              </w:tc>
              <w:tc>
                <w:tcPr>
                  <w:tcW w:w="113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0.002</w:t>
                  </w:r>
                </w:p>
              </w:tc>
              <w:tc>
                <w:tcPr>
                  <w:tcW w:w="88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c>
                <w:tcPr>
                  <w:tcW w:w="7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Fe</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0.5</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0.22</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0.25</w:t>
                  </w:r>
                </w:p>
              </w:tc>
              <w:tc>
                <w:tcPr>
                  <w:tcW w:w="113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0.11</w:t>
                  </w:r>
                </w:p>
              </w:tc>
              <w:tc>
                <w:tcPr>
                  <w:tcW w:w="88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0.3</w:t>
                  </w:r>
                </w:p>
              </w:tc>
              <w:tc>
                <w:tcPr>
                  <w:tcW w:w="7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氟化物</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1.28</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 xml:space="preserve">0.56 </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0.64</w:t>
                  </w:r>
                </w:p>
              </w:tc>
              <w:tc>
                <w:tcPr>
                  <w:tcW w:w="113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0.28</w:t>
                  </w:r>
                </w:p>
              </w:tc>
              <w:tc>
                <w:tcPr>
                  <w:tcW w:w="888"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c>
                <w:tcPr>
                  <w:tcW w:w="736"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w:t>
                  </w:r>
                </w:p>
              </w:tc>
            </w:tr>
          </w:tbl>
          <w:p>
            <w:pPr>
              <w:pStyle w:val="32"/>
              <w:spacing w:beforeLines="50"/>
              <w:ind w:firstLine="480"/>
              <w:rPr>
                <w:rFonts w:eastAsiaTheme="minorEastAsia"/>
                <w:color w:val="000000" w:themeColor="text1"/>
              </w:rPr>
            </w:pPr>
            <w:r>
              <w:rPr>
                <w:rFonts w:eastAsiaTheme="minorEastAsia"/>
                <w:color w:val="000000" w:themeColor="text1"/>
              </w:rPr>
              <w:t>由上表可知，</w:t>
            </w:r>
            <w:r>
              <w:rPr>
                <w:rFonts w:hint="eastAsia" w:eastAsiaTheme="minorEastAsia"/>
                <w:color w:val="000000" w:themeColor="text1"/>
              </w:rPr>
              <w:t>生产废水经废水收集调节池收集、调节后进入八级沉淀池进行沉淀处理后，可达到</w:t>
            </w:r>
            <w:r>
              <w:rPr>
                <w:rFonts w:eastAsiaTheme="minorEastAsia"/>
                <w:color w:val="000000" w:themeColor="text1"/>
              </w:rPr>
              <w:t>《城市污水再生利用  工业用水水质》（GB/T 19923-2005）标准，</w:t>
            </w:r>
            <w:r>
              <w:rPr>
                <w:rFonts w:hint="eastAsia" w:eastAsiaTheme="minorEastAsia"/>
                <w:color w:val="000000" w:themeColor="text1"/>
              </w:rPr>
              <w:t>全部回用于生产车间，不外排。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生活污水产排量及达标情况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根据项目产污环节和废水污染物治理措施可知，针对项目厨房生活污水，</w:t>
            </w:r>
            <w:r>
              <w:rPr>
                <w:rFonts w:hint="eastAsia" w:ascii="Times New Roman" w:hAnsi="Times New Roman" w:cs="Times New Roman"/>
                <w:color w:val="000000" w:themeColor="text1"/>
                <w:sz w:val="24"/>
                <w:szCs w:val="24"/>
              </w:rPr>
              <w:t>拟</w:t>
            </w:r>
            <w:r>
              <w:rPr>
                <w:rFonts w:ascii="Times New Roman" w:hAnsi="Times New Roman" w:cs="Times New Roman"/>
                <w:color w:val="000000" w:themeColor="text1"/>
                <w:sz w:val="24"/>
                <w:szCs w:val="24"/>
              </w:rPr>
              <w:t>配套设置1个1m³的隔油池对其进行预处理，同时项目生活区旁已设置了1个有效容积为20m³的化粪池对项目区生活污水进行处理。生活污水经处理后其污染产排及达标情况如下表所示。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4</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rPr>
              <w:t>生活污水</w:t>
            </w:r>
            <w:r>
              <w:rPr>
                <w:rFonts w:ascii="Times New Roman" w:hAnsi="Times New Roman" w:cs="Times New Roman"/>
                <w:b/>
                <w:color w:val="000000" w:themeColor="text1"/>
                <w:szCs w:val="24"/>
              </w:rPr>
              <w:t>污染物排放源产排量及达标情况一览表</w:t>
            </w:r>
          </w:p>
          <w:tbl>
            <w:tblPr>
              <w:tblStyle w:val="14"/>
              <w:tblW w:w="5000" w:type="pct"/>
              <w:jc w:val="center"/>
              <w:tblLayout w:type="fixed"/>
              <w:tblCellMar>
                <w:top w:w="0" w:type="dxa"/>
                <w:left w:w="108" w:type="dxa"/>
                <w:bottom w:w="0" w:type="dxa"/>
                <w:right w:w="108" w:type="dxa"/>
              </w:tblCellMar>
            </w:tblPr>
            <w:tblGrid>
              <w:gridCol w:w="735"/>
              <w:gridCol w:w="735"/>
              <w:gridCol w:w="1244"/>
              <w:gridCol w:w="1134"/>
              <w:gridCol w:w="851"/>
              <w:gridCol w:w="992"/>
              <w:gridCol w:w="142"/>
              <w:gridCol w:w="1134"/>
              <w:gridCol w:w="709"/>
              <w:gridCol w:w="919"/>
            </w:tblGrid>
            <w:tr>
              <w:tblPrEx>
                <w:tblCellMar>
                  <w:top w:w="0" w:type="dxa"/>
                  <w:left w:w="108" w:type="dxa"/>
                  <w:bottom w:w="0" w:type="dxa"/>
                  <w:right w:w="108" w:type="dxa"/>
                </w:tblCellMar>
              </w:tblPrEx>
              <w:trPr>
                <w:jc w:val="center"/>
              </w:trPr>
              <w:tc>
                <w:tcPr>
                  <w:tcW w:w="7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产排污环节</w:t>
                  </w:r>
                </w:p>
              </w:tc>
              <w:tc>
                <w:tcPr>
                  <w:tcW w:w="7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类别</w:t>
                  </w:r>
                </w:p>
              </w:tc>
              <w:tc>
                <w:tcPr>
                  <w:tcW w:w="12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污染物种类</w:t>
                  </w:r>
                </w:p>
              </w:tc>
              <w:tc>
                <w:tcPr>
                  <w:tcW w:w="1985" w:type="dxa"/>
                  <w:gridSpan w:val="2"/>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污染物产生情况</w:t>
                  </w:r>
                </w:p>
              </w:tc>
              <w:tc>
                <w:tcPr>
                  <w:tcW w:w="2268" w:type="dxa"/>
                  <w:gridSpan w:val="3"/>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污染物排放量和浓度</w:t>
                  </w:r>
                </w:p>
              </w:tc>
              <w:tc>
                <w:tcPr>
                  <w:tcW w:w="709" w:type="dxa"/>
                  <w:vMerge w:val="restart"/>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排放标准</w:t>
                  </w:r>
                </w:p>
              </w:tc>
              <w:tc>
                <w:tcPr>
                  <w:tcW w:w="9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达标情况</w:t>
                  </w:r>
                </w:p>
              </w:tc>
            </w:tr>
            <w:tr>
              <w:tblPrEx>
                <w:tblCellMar>
                  <w:top w:w="0" w:type="dxa"/>
                  <w:left w:w="108" w:type="dxa"/>
                  <w:bottom w:w="0" w:type="dxa"/>
                  <w:right w:w="108" w:type="dxa"/>
                </w:tblCellMar>
              </w:tblPrEx>
              <w:trPr>
                <w:jc w:val="center"/>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single" w:color="000000" w:sz="8" w:space="0"/>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vMerge w:val="continue"/>
                  <w:tcBorders>
                    <w:top w:val="single" w:color="000000" w:sz="8" w:space="0"/>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13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产生浓度</w:t>
                  </w:r>
                  <w:r>
                    <w:rPr>
                      <w:rFonts w:eastAsiaTheme="minorEastAsia"/>
                      <w:color w:val="000000" w:themeColor="text1"/>
                      <w:szCs w:val="21"/>
                    </w:rPr>
                    <w:t>mg/m³</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产生量</w:t>
                  </w:r>
                  <w:r>
                    <w:rPr>
                      <w:rFonts w:eastAsiaTheme="minorEastAsia"/>
                      <w:color w:val="000000" w:themeColor="text1"/>
                      <w:szCs w:val="21"/>
                    </w:rPr>
                    <w:t>m³/a</w:t>
                  </w:r>
                </w:p>
              </w:tc>
              <w:tc>
                <w:tcPr>
                  <w:tcW w:w="1134" w:type="dxa"/>
                  <w:gridSpan w:val="2"/>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排放浓度</w:t>
                  </w:r>
                  <w:r>
                    <w:rPr>
                      <w:rFonts w:eastAsiaTheme="minorEastAsia"/>
                      <w:color w:val="000000" w:themeColor="text1"/>
                      <w:szCs w:val="21"/>
                    </w:rPr>
                    <w:t>mg/m³</w:t>
                  </w:r>
                </w:p>
              </w:tc>
              <w:tc>
                <w:tcPr>
                  <w:tcW w:w="1134" w:type="dxa"/>
                  <w:tcBorders>
                    <w:top w:val="single" w:color="000000" w:sz="8" w:space="0"/>
                    <w:left w:val="nil"/>
                    <w:bottom w:val="single" w:color="auto"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排放量</w:t>
                  </w:r>
                  <w:r>
                    <w:rPr>
                      <w:rFonts w:eastAsiaTheme="minorEastAsia"/>
                      <w:color w:val="000000" w:themeColor="text1"/>
                      <w:szCs w:val="21"/>
                    </w:rPr>
                    <w:t>m³/a</w:t>
                  </w:r>
                </w:p>
              </w:tc>
              <w:tc>
                <w:tcPr>
                  <w:tcW w:w="709" w:type="dxa"/>
                  <w:vMerge w:val="continue"/>
                  <w:tcBorders>
                    <w:top w:val="single" w:color="000000" w:sz="8" w:space="0"/>
                    <w:left w:val="nil"/>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919" w:type="dxa"/>
                  <w:vMerge w:val="continue"/>
                  <w:tcBorders>
                    <w:top w:val="single" w:color="000000" w:sz="8" w:space="0"/>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r>
            <w:tr>
              <w:tblPrEx>
                <w:tblCellMar>
                  <w:top w:w="0" w:type="dxa"/>
                  <w:left w:w="108" w:type="dxa"/>
                  <w:bottom w:w="0" w:type="dxa"/>
                  <w:right w:w="108" w:type="dxa"/>
                </w:tblCellMar>
              </w:tblPrEx>
              <w:trPr>
                <w:jc w:val="center"/>
              </w:trPr>
              <w:tc>
                <w:tcPr>
                  <w:tcW w:w="73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员工生活</w:t>
                  </w:r>
                </w:p>
              </w:tc>
              <w:tc>
                <w:tcPr>
                  <w:tcW w:w="735" w:type="dxa"/>
                  <w:vMerge w:val="restart"/>
                  <w:tcBorders>
                    <w:top w:val="nil"/>
                    <w:left w:val="single" w:color="000000" w:sz="8" w:space="0"/>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生活污水</w:t>
                  </w: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废水量</w:t>
                  </w:r>
                </w:p>
              </w:tc>
              <w:tc>
                <w:tcPr>
                  <w:tcW w:w="1985" w:type="dxa"/>
                  <w:gridSpan w:val="2"/>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422.4m³/a</w:t>
                  </w:r>
                </w:p>
              </w:tc>
              <w:tc>
                <w:tcPr>
                  <w:tcW w:w="2268" w:type="dxa"/>
                  <w:gridSpan w:val="3"/>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422.4m³/a</w:t>
                  </w:r>
                </w:p>
              </w:tc>
              <w:tc>
                <w:tcPr>
                  <w:tcW w:w="70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91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pH</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w:t>
                  </w:r>
                </w:p>
              </w:tc>
              <w:tc>
                <w:tcPr>
                  <w:tcW w:w="1276" w:type="dxa"/>
                  <w:gridSpan w:val="2"/>
                  <w:tcBorders>
                    <w:top w:val="nil"/>
                    <w:left w:val="nil"/>
                    <w:bottom w:val="single" w:color="auto"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70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6-9</w:t>
                  </w:r>
                </w:p>
              </w:tc>
              <w:tc>
                <w:tcPr>
                  <w:tcW w:w="91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CODcr</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350</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0.15</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280</w:t>
                  </w:r>
                </w:p>
              </w:tc>
              <w:tc>
                <w:tcPr>
                  <w:tcW w:w="1276" w:type="dxa"/>
                  <w:gridSpan w:val="2"/>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0.12</w:t>
                  </w:r>
                </w:p>
              </w:tc>
              <w:tc>
                <w:tcPr>
                  <w:tcW w:w="70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500</w:t>
                  </w:r>
                </w:p>
              </w:tc>
              <w:tc>
                <w:tcPr>
                  <w:tcW w:w="91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BOD5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220</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0.09</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190</w:t>
                  </w:r>
                </w:p>
              </w:tc>
              <w:tc>
                <w:tcPr>
                  <w:tcW w:w="1276" w:type="dxa"/>
                  <w:gridSpan w:val="2"/>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0.08</w:t>
                  </w:r>
                </w:p>
              </w:tc>
              <w:tc>
                <w:tcPr>
                  <w:tcW w:w="70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350</w:t>
                  </w:r>
                </w:p>
              </w:tc>
              <w:tc>
                <w:tcPr>
                  <w:tcW w:w="91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NH3-N</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38</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0.02</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35</w:t>
                  </w:r>
                </w:p>
              </w:tc>
              <w:tc>
                <w:tcPr>
                  <w:tcW w:w="1276" w:type="dxa"/>
                  <w:gridSpan w:val="2"/>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70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45</w:t>
                  </w:r>
                </w:p>
              </w:tc>
              <w:tc>
                <w:tcPr>
                  <w:tcW w:w="91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SS</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300</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0.13</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160</w:t>
                  </w:r>
                </w:p>
              </w:tc>
              <w:tc>
                <w:tcPr>
                  <w:tcW w:w="1276" w:type="dxa"/>
                  <w:gridSpan w:val="2"/>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0.07</w:t>
                  </w:r>
                </w:p>
              </w:tc>
              <w:tc>
                <w:tcPr>
                  <w:tcW w:w="70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91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0.003</w:t>
                  </w:r>
                  <w:r>
                    <w:rPr>
                      <w:rFonts w:hint="eastAsia" w:eastAsiaTheme="minorEastAsia"/>
                      <w:color w:val="000000" w:themeColor="text1"/>
                      <w:szCs w:val="21"/>
                    </w:rPr>
                    <w:t>4</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7</w:t>
                  </w:r>
                </w:p>
              </w:tc>
              <w:tc>
                <w:tcPr>
                  <w:tcW w:w="1276" w:type="dxa"/>
                  <w:gridSpan w:val="2"/>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0.003</w:t>
                  </w:r>
                </w:p>
              </w:tc>
              <w:tc>
                <w:tcPr>
                  <w:tcW w:w="70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w:t>
                  </w:r>
                </w:p>
              </w:tc>
              <w:tc>
                <w:tcPr>
                  <w:tcW w:w="91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45</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0.019</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40</w:t>
                  </w:r>
                </w:p>
              </w:tc>
              <w:tc>
                <w:tcPr>
                  <w:tcW w:w="1276" w:type="dxa"/>
                  <w:gridSpan w:val="2"/>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0.017</w:t>
                  </w:r>
                </w:p>
              </w:tc>
              <w:tc>
                <w:tcPr>
                  <w:tcW w:w="70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70</w:t>
                  </w:r>
                </w:p>
              </w:tc>
              <w:tc>
                <w:tcPr>
                  <w:tcW w:w="91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100</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0.04</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60</w:t>
                  </w:r>
                </w:p>
              </w:tc>
              <w:tc>
                <w:tcPr>
                  <w:tcW w:w="1276" w:type="dxa"/>
                  <w:gridSpan w:val="2"/>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0.03</w:t>
                  </w:r>
                </w:p>
              </w:tc>
              <w:tc>
                <w:tcPr>
                  <w:tcW w:w="70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100</w:t>
                  </w:r>
                </w:p>
              </w:tc>
              <w:tc>
                <w:tcPr>
                  <w:tcW w:w="91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阴离子表面活性剂</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16</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11</w:t>
                  </w:r>
                </w:p>
              </w:tc>
              <w:tc>
                <w:tcPr>
                  <w:tcW w:w="1276" w:type="dxa"/>
                  <w:gridSpan w:val="2"/>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5</w:t>
                  </w:r>
                </w:p>
              </w:tc>
              <w:tc>
                <w:tcPr>
                  <w:tcW w:w="70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20</w:t>
                  </w:r>
                </w:p>
              </w:tc>
              <w:tc>
                <w:tcPr>
                  <w:tcW w:w="91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735" w:type="dxa"/>
                  <w:vMerge w:val="continue"/>
                  <w:tcBorders>
                    <w:top w:val="nil"/>
                    <w:left w:val="single" w:color="000000" w:sz="8" w:space="0"/>
                    <w:bottom w:val="single" w:color="000000" w:sz="8" w:space="0"/>
                    <w:right w:val="single" w:color="000000" w:sz="8" w:space="0"/>
                  </w:tcBorders>
                  <w:vAlign w:val="center"/>
                </w:tcPr>
                <w:p>
                  <w:pPr>
                    <w:pStyle w:val="24"/>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粪大肠菌群数（</w:t>
                  </w:r>
                  <w:r>
                    <w:rPr>
                      <w:rFonts w:eastAsiaTheme="minorEastAsia"/>
                      <w:color w:val="000000" w:themeColor="text1"/>
                      <w:szCs w:val="21"/>
                    </w:rPr>
                    <w:t>MPN/L</w:t>
                  </w:r>
                  <w:r>
                    <w:rPr>
                      <w:rFonts w:hint="eastAsia" w:eastAsiaTheme="minorEastAsia"/>
                      <w:color w:val="000000" w:themeColor="text1"/>
                      <w:szCs w:val="21"/>
                    </w:rPr>
                    <w:t>）</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16000</w:t>
                  </w:r>
                </w:p>
              </w:tc>
              <w:tc>
                <w:tcPr>
                  <w:tcW w:w="851"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8000</w:t>
                  </w:r>
                </w:p>
              </w:tc>
              <w:tc>
                <w:tcPr>
                  <w:tcW w:w="1276" w:type="dxa"/>
                  <w:gridSpan w:val="2"/>
                  <w:tcBorders>
                    <w:top w:val="nil"/>
                    <w:left w:val="nil"/>
                    <w:bottom w:val="single" w:color="000000" w:sz="8" w:space="0"/>
                    <w:right w:val="single" w:color="auto"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70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919" w:type="dxa"/>
                  <w:tcBorders>
                    <w:top w:val="nil"/>
                    <w:left w:val="nil"/>
                    <w:bottom w:val="single" w:color="000000" w:sz="8" w:space="0"/>
                    <w:right w:val="single" w:color="000000" w:sz="8" w:space="0"/>
                  </w:tcBorders>
                  <w:shd w:val="clear" w:color="auto" w:fill="auto"/>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达标</w:t>
                  </w:r>
                </w:p>
              </w:tc>
            </w:tr>
          </w:tbl>
          <w:p>
            <w:pPr>
              <w:pStyle w:val="32"/>
              <w:spacing w:beforeLines="50"/>
              <w:ind w:firstLine="480"/>
              <w:rPr>
                <w:rFonts w:eastAsiaTheme="minorEastAsia"/>
                <w:color w:val="000000" w:themeColor="text1"/>
              </w:rPr>
            </w:pPr>
            <w:r>
              <w:rPr>
                <w:rFonts w:eastAsiaTheme="minorEastAsia"/>
                <w:color w:val="000000" w:themeColor="text1"/>
              </w:rPr>
              <w:t>由上表可知，项目生活污水经隔油池、化粪池处理后可达到《污水排入城镇下水道水质标准》（GB/T31962-2015）B等级标准后，通过园区污水管网进入四方地与碧谷园区污水处理厂处理。</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3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初期雨水产排量及达标情况</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初期雨水的主要污染物为CODcr、和悬浮物，CODcr产生浓度约60mg/L、悬浮物产生浓度约400mg/L；建设单位已在本项目区旁配套设置了1个</w:t>
            </w:r>
            <w:r>
              <w:rPr>
                <w:rFonts w:ascii="Times New Roman" w:hAnsi="Times New Roman" w:cs="Times New Roman"/>
                <w:color w:val="000000" w:themeColor="text1"/>
                <w:sz w:val="24"/>
              </w:rPr>
              <w:t>150m³的初期雨水收集池，对厂区的初期雨水进行收集</w:t>
            </w:r>
            <w:r>
              <w:rPr>
                <w:rFonts w:hint="eastAsia" w:ascii="Times New Roman" w:hAnsi="Times New Roman" w:cs="Times New Roman"/>
                <w:color w:val="000000" w:themeColor="text1"/>
                <w:sz w:val="24"/>
              </w:rPr>
              <w:t>处理后，可达到</w:t>
            </w:r>
            <w:r>
              <w:rPr>
                <w:rFonts w:ascii="Times New Roman" w:hAnsi="Times New Roman" w:cs="Times New Roman"/>
                <w:color w:val="000000" w:themeColor="text1"/>
                <w:sz w:val="24"/>
                <w:szCs w:val="30"/>
              </w:rPr>
              <w:t>《城市污水再生利用  工业用水水质》（GB/T 19923-2005）标准，</w:t>
            </w:r>
            <w:r>
              <w:rPr>
                <w:rFonts w:hint="eastAsia" w:ascii="Times New Roman" w:hAnsi="Times New Roman" w:cs="Times New Roman"/>
                <w:color w:val="000000" w:themeColor="text1"/>
                <w:sz w:val="24"/>
                <w:szCs w:val="30"/>
              </w:rPr>
              <w:t>全部回用于生产车间，不外排。</w:t>
            </w:r>
          </w:p>
          <w:p>
            <w:pPr>
              <w:pStyle w:val="32"/>
              <w:ind w:firstLine="482"/>
              <w:rPr>
                <w:rFonts w:eastAsiaTheme="minorEastAsia"/>
                <w:b/>
                <w:color w:val="000000" w:themeColor="text1"/>
                <w:szCs w:val="24"/>
              </w:rPr>
            </w:pPr>
            <w:r>
              <w:rPr>
                <w:rFonts w:eastAsiaTheme="minorEastAsia"/>
                <w:b/>
                <w:color w:val="000000" w:themeColor="text1"/>
                <w:szCs w:val="24"/>
              </w:rPr>
              <w:t>③水平衡</w:t>
            </w:r>
          </w:p>
          <w:p>
            <w:pPr>
              <w:spacing w:line="360" w:lineRule="auto"/>
              <w:ind w:firstLine="480" w:firstLineChars="200"/>
              <w:rPr>
                <w:rFonts w:ascii="Times New Roman" w:hAnsi="Times New Roman" w:cs="Times New Roman"/>
                <w:color w:val="000000" w:themeColor="text1"/>
                <w:sz w:val="24"/>
                <w:szCs w:val="30"/>
              </w:rPr>
            </w:pPr>
            <w:r>
              <w:rPr>
                <w:rFonts w:ascii="Times New Roman" w:hAnsi="Times New Roman" w:cs="Times New Roman"/>
                <w:color w:val="000000" w:themeColor="text1"/>
                <w:sz w:val="24"/>
                <w:szCs w:val="30"/>
              </w:rPr>
              <w:t>本项目水平衡如下图所示。</w:t>
            </w: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spacing w:line="360" w:lineRule="auto"/>
              <w:ind w:firstLine="480" w:firstLineChars="200"/>
              <w:rPr>
                <w:rFonts w:ascii="Times New Roman" w:hAnsi="Times New Roman" w:cs="Times New Roman"/>
                <w:color w:val="000000" w:themeColor="text1"/>
                <w:sz w:val="24"/>
                <w:szCs w:val="30"/>
              </w:rPr>
            </w:pPr>
          </w:p>
          <w:p>
            <w:pPr>
              <w:pStyle w:val="32"/>
              <w:spacing w:line="240" w:lineRule="auto"/>
              <w:ind w:firstLine="0" w:firstLineChars="0"/>
              <w:jc w:val="center"/>
              <w:rPr>
                <w:rFonts w:eastAsiaTheme="minorEastAsia"/>
                <w:color w:val="000000" w:themeColor="text1"/>
              </w:rPr>
            </w:pPr>
            <w:r>
              <w:rPr>
                <w:color w:val="000000" w:themeColor="text1"/>
              </w:rPr>
              <w:object>
                <v:shape id="_x0000_i1027" o:spt="75" type="#_x0000_t75" style="height:651.55pt;width:430.6pt;" o:ole="t" filled="f" o:preferrelative="t" stroked="f" coordsize="21600,21600">
                  <v:path/>
                  <v:fill on="f" focussize="0,0"/>
                  <v:stroke on="f" joinstyle="miter"/>
                  <v:imagedata r:id="rId14" o:title=""/>
                  <o:lock v:ext="edit" aspectratio="t"/>
                  <w10:wrap type="none"/>
                  <w10:anchorlock/>
                </v:shape>
                <o:OLEObject Type="Embed" ProgID="Visio.Drawing.11" ShapeID="_x0000_i1027" DrawAspect="Content" ObjectID="_1468075727" r:id="rId13">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图4.2.2-1 项目水平衡图 m³/d</w:t>
            </w:r>
            <w:r>
              <w:rPr>
                <w:rFonts w:hint="eastAsia" w:ascii="Times New Roman" w:hAnsi="Times New Roman" w:cs="Times New Roman"/>
                <w:b/>
                <w:color w:val="000000" w:themeColor="text1"/>
                <w:szCs w:val="24"/>
              </w:rPr>
              <w:t xml:space="preserve"> </w:t>
            </w:r>
          </w:p>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①</w:t>
            </w:r>
            <w:r>
              <w:rPr>
                <w:rFonts w:ascii="Times New Roman" w:hAnsi="Times New Roman" w:cs="Times New Roman"/>
                <w:b/>
                <w:color w:val="000000" w:themeColor="text1"/>
                <w:sz w:val="24"/>
              </w:rPr>
              <w:t>隔油池</w:t>
            </w:r>
            <w:r>
              <w:rPr>
                <w:rFonts w:ascii="Times New Roman" w:hAnsi="Times New Roman" w:cs="Times New Roman"/>
                <w:b/>
                <w:color w:val="000000" w:themeColor="text1"/>
                <w:sz w:val="24"/>
                <w:szCs w:val="24"/>
              </w:rPr>
              <w:t>环境影响减缓措施有效性分析</w:t>
            </w:r>
          </w:p>
          <w:p>
            <w:pPr>
              <w:pStyle w:val="32"/>
              <w:ind w:firstLine="480"/>
              <w:rPr>
                <w:rFonts w:eastAsiaTheme="minorEastAsia"/>
                <w:color w:val="000000" w:themeColor="text1"/>
                <w:szCs w:val="24"/>
              </w:rPr>
            </w:pPr>
            <w:r>
              <w:rPr>
                <w:rFonts w:eastAsiaTheme="minorEastAsia"/>
                <w:color w:val="000000" w:themeColor="text1"/>
                <w:szCs w:val="24"/>
              </w:rPr>
              <w:t>根据工程分析可知，本项目设置食堂，食堂废水量约为</w:t>
            </w:r>
            <w:r>
              <w:rPr>
                <w:rFonts w:hint="eastAsia" w:eastAsiaTheme="minorEastAsia"/>
                <w:color w:val="000000" w:themeColor="text1"/>
                <w:szCs w:val="24"/>
              </w:rPr>
              <w:t>0.64</w:t>
            </w:r>
            <w:r>
              <w:rPr>
                <w:rFonts w:eastAsiaTheme="minorEastAsia"/>
                <w:color w:val="000000" w:themeColor="text1"/>
                <w:szCs w:val="24"/>
              </w:rPr>
              <w:t>m³/d，</w:t>
            </w:r>
            <w:r>
              <w:rPr>
                <w:rFonts w:hint="eastAsia" w:eastAsiaTheme="minorEastAsia"/>
                <w:color w:val="000000" w:themeColor="text1"/>
                <w:szCs w:val="24"/>
              </w:rPr>
              <w:t>而项目现已有员工50人，</w:t>
            </w:r>
            <w:r>
              <w:rPr>
                <w:rFonts w:eastAsiaTheme="minorEastAsia"/>
                <w:color w:val="000000" w:themeColor="text1"/>
                <w:szCs w:val="24"/>
              </w:rPr>
              <w:t>食堂废水量</w:t>
            </w:r>
            <w:r>
              <w:rPr>
                <w:rFonts w:hint="eastAsia" w:eastAsiaTheme="minorEastAsia"/>
                <w:color w:val="000000" w:themeColor="text1"/>
                <w:szCs w:val="24"/>
              </w:rPr>
              <w:t>统计约为2</w:t>
            </w:r>
            <w:r>
              <w:rPr>
                <w:rFonts w:eastAsiaTheme="minorEastAsia"/>
                <w:color w:val="000000" w:themeColor="text1"/>
                <w:szCs w:val="24"/>
              </w:rPr>
              <w:t>m³/d</w:t>
            </w:r>
            <w:r>
              <w:rPr>
                <w:rFonts w:hint="eastAsia" w:eastAsiaTheme="minorEastAsia"/>
                <w:color w:val="000000" w:themeColor="text1"/>
                <w:szCs w:val="24"/>
              </w:rPr>
              <w:t>，则项目建成后合计食堂废水产生量为2.64</w:t>
            </w:r>
            <w:r>
              <w:rPr>
                <w:rFonts w:eastAsiaTheme="minorEastAsia"/>
                <w:color w:val="000000" w:themeColor="text1"/>
                <w:szCs w:val="24"/>
              </w:rPr>
              <w:t>m³/d</w:t>
            </w:r>
            <w:r>
              <w:rPr>
                <w:rFonts w:hint="eastAsia" w:eastAsiaTheme="minorEastAsia"/>
                <w:color w:val="000000" w:themeColor="text1"/>
                <w:szCs w:val="24"/>
              </w:rPr>
              <w:t>，</w:t>
            </w:r>
            <w:r>
              <w:rPr>
                <w:rFonts w:eastAsiaTheme="minorEastAsia"/>
                <w:color w:val="000000" w:themeColor="text1"/>
                <w:szCs w:val="24"/>
              </w:rPr>
              <w:t>根据《建筑给排水设计规范》（（GB50015-2019），污水在隔油池内停留时间宜为30min，则本项目设置的1m³的隔油池可满足停留要求，隔油池设置合理。</w:t>
            </w:r>
          </w:p>
          <w:p>
            <w:pPr>
              <w:spacing w:line="360" w:lineRule="auto"/>
              <w:ind w:firstLine="482" w:firstLineChars="200"/>
              <w:rPr>
                <w:rFonts w:ascii="Times New Roman" w:hAnsi="Times New Roman" w:cs="Times New Roman"/>
                <w:color w:val="000000" w:themeColor="text1"/>
                <w:szCs w:val="24"/>
              </w:rPr>
            </w:pPr>
            <w:r>
              <w:rPr>
                <w:rFonts w:ascii="Times New Roman" w:hAnsi="Times New Roman" w:cs="Times New Roman"/>
                <w:b/>
                <w:color w:val="000000" w:themeColor="text1"/>
                <w:sz w:val="24"/>
              </w:rPr>
              <w:t>②化粪池</w:t>
            </w:r>
            <w:r>
              <w:rPr>
                <w:rFonts w:ascii="Times New Roman" w:hAnsi="Times New Roman" w:cs="Times New Roman"/>
                <w:b/>
                <w:color w:val="000000" w:themeColor="text1"/>
                <w:sz w:val="24"/>
                <w:szCs w:val="24"/>
              </w:rPr>
              <w:t>环境影响减缓措施有效性分析</w:t>
            </w:r>
          </w:p>
          <w:p>
            <w:pPr>
              <w:pStyle w:val="32"/>
              <w:ind w:firstLine="480"/>
              <w:rPr>
                <w:rFonts w:eastAsiaTheme="minorEastAsia"/>
                <w:color w:val="000000" w:themeColor="text1"/>
                <w:szCs w:val="24"/>
              </w:rPr>
            </w:pPr>
            <w:r>
              <w:rPr>
                <w:rFonts w:eastAsiaTheme="minorEastAsia"/>
                <w:color w:val="000000" w:themeColor="text1"/>
                <w:szCs w:val="24"/>
              </w:rPr>
              <w:t>根据工程分析可知，项目生活污水产生量约为</w:t>
            </w:r>
            <w:r>
              <w:rPr>
                <w:rFonts w:hint="eastAsia" w:eastAsiaTheme="minorEastAsia"/>
                <w:color w:val="000000" w:themeColor="text1"/>
                <w:szCs w:val="24"/>
              </w:rPr>
              <w:t>1.28</w:t>
            </w:r>
            <w:r>
              <w:rPr>
                <w:rFonts w:eastAsiaTheme="minorEastAsia"/>
                <w:color w:val="000000" w:themeColor="text1"/>
                <w:szCs w:val="24"/>
              </w:rPr>
              <w:t>m³/d，变化系数按照1.2计，则最大生活污水量约为</w:t>
            </w:r>
            <w:r>
              <w:rPr>
                <w:rFonts w:hint="eastAsia" w:eastAsiaTheme="minorEastAsia"/>
                <w:color w:val="000000" w:themeColor="text1"/>
                <w:szCs w:val="24"/>
              </w:rPr>
              <w:t>1.54</w:t>
            </w:r>
            <w:r>
              <w:rPr>
                <w:rFonts w:eastAsiaTheme="minorEastAsia"/>
                <w:color w:val="000000" w:themeColor="text1"/>
                <w:szCs w:val="24"/>
              </w:rPr>
              <w:t>m³/d，</w:t>
            </w:r>
            <w:r>
              <w:rPr>
                <w:rFonts w:hint="eastAsia" w:eastAsiaTheme="minorEastAsia"/>
                <w:color w:val="000000" w:themeColor="text1"/>
                <w:szCs w:val="24"/>
              </w:rPr>
              <w:t>而项目现已有员工50人，生活废水产生量统计约为4</w:t>
            </w:r>
            <w:r>
              <w:rPr>
                <w:rFonts w:eastAsiaTheme="minorEastAsia"/>
                <w:color w:val="000000" w:themeColor="text1"/>
                <w:szCs w:val="24"/>
              </w:rPr>
              <w:t>m³/d</w:t>
            </w:r>
            <w:r>
              <w:rPr>
                <w:rFonts w:hint="eastAsia" w:eastAsiaTheme="minorEastAsia"/>
                <w:color w:val="000000" w:themeColor="text1"/>
                <w:szCs w:val="24"/>
              </w:rPr>
              <w:t>，合计项目区废水产生量约为5.54</w:t>
            </w:r>
            <w:r>
              <w:rPr>
                <w:rFonts w:eastAsiaTheme="minorEastAsia"/>
                <w:color w:val="000000" w:themeColor="text1"/>
                <w:szCs w:val="24"/>
              </w:rPr>
              <w:t>m³/d</w:t>
            </w:r>
            <w:r>
              <w:rPr>
                <w:rFonts w:hint="eastAsia" w:eastAsiaTheme="minorEastAsia"/>
                <w:color w:val="000000" w:themeColor="text1"/>
                <w:szCs w:val="24"/>
              </w:rPr>
              <w:t>。</w:t>
            </w:r>
            <w:r>
              <w:rPr>
                <w:rFonts w:eastAsiaTheme="minorEastAsia"/>
                <w:color w:val="000000" w:themeColor="text1"/>
                <w:szCs w:val="24"/>
              </w:rPr>
              <w:t>根据《建筑给排水设计规范》（（GB50015-2019），化粪池总容积应满足废水停留时间12-24h的要求，并做好防渗处理，化粪池宜建在便于机动车清掏的位置；项目生活区旁已设置了1个有效容积为20m³的化粪池对项目区生活污水进行处理，可满足24h停留时间要求，又该化粪池位于项目办公生活区旁，清掏车辆可进入进行清掏，且化粪池将严格按照规范要求进行防渗处置，因此化粪池设置合理。</w:t>
            </w:r>
          </w:p>
          <w:p>
            <w:pPr>
              <w:spacing w:line="360" w:lineRule="auto"/>
              <w:ind w:firstLine="482" w:firstLineChars="20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rPr>
              <w:t>③</w:t>
            </w:r>
            <w:r>
              <w:rPr>
                <w:rFonts w:ascii="Times New Roman" w:cs="Times New Roman" w:hAnsiTheme="minorEastAsia"/>
                <w:b/>
                <w:color w:val="000000" w:themeColor="text1"/>
                <w:sz w:val="24"/>
                <w:szCs w:val="24"/>
              </w:rPr>
              <w:t>初期雨水污染治理措施可行性分析</w:t>
            </w:r>
          </w:p>
          <w:p>
            <w:pPr>
              <w:pStyle w:val="32"/>
              <w:ind w:firstLine="480"/>
              <w:rPr>
                <w:rFonts w:hAnsiTheme="minorEastAsia" w:eastAsiaTheme="minorEastAsia"/>
                <w:color w:val="000000" w:themeColor="text1"/>
                <w:szCs w:val="24"/>
              </w:rPr>
            </w:pPr>
            <w:r>
              <w:rPr>
                <w:rFonts w:hAnsiTheme="minorEastAsia" w:eastAsiaTheme="minorEastAsia"/>
                <w:color w:val="000000" w:themeColor="text1"/>
                <w:szCs w:val="24"/>
              </w:rPr>
              <w:t>根据工程分析可知，</w:t>
            </w:r>
            <w:r>
              <w:rPr>
                <w:rFonts w:hint="eastAsia" w:hAnsiTheme="minorEastAsia" w:eastAsiaTheme="minorEastAsia"/>
                <w:color w:val="000000" w:themeColor="text1"/>
                <w:szCs w:val="24"/>
              </w:rPr>
              <w:t>本项目在现有厂区内建设，项目的建设不会改变现有厂区初期雨水的产生量；现有厂区的初期雨水产生量约为8</w:t>
            </w:r>
            <w:r>
              <w:rPr>
                <w:rFonts w:hAnsiTheme="minorEastAsia" w:eastAsiaTheme="minorEastAsia"/>
                <w:color w:val="000000" w:themeColor="text1"/>
                <w:szCs w:val="24"/>
              </w:rPr>
              <w:t>0m³/次，</w:t>
            </w:r>
            <w:r>
              <w:rPr>
                <w:rFonts w:hint="eastAsia" w:hAnsiTheme="minorEastAsia" w:eastAsiaTheme="minorEastAsia"/>
                <w:color w:val="000000" w:themeColor="text1"/>
                <w:szCs w:val="24"/>
              </w:rPr>
              <w:t>建设单位已在本项目区旁配套设置了1个</w:t>
            </w:r>
            <w:r>
              <w:rPr>
                <w:rFonts w:hAnsiTheme="minorEastAsia" w:eastAsiaTheme="minorEastAsia"/>
                <w:color w:val="000000" w:themeColor="text1"/>
                <w:szCs w:val="24"/>
              </w:rPr>
              <w:t>150m³的初期雨水收集池，初期雨水收集池的容积可满足收集要求，同时在初期雨水收集池前端设置阀门，初期雨水收集后，关闭阀门，将中、后期雨水通过雨水管网外排；该措施合理可行。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总则》（HJ819-2017）的要求，项目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表4.2.2-5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2552"/>
              <w:gridCol w:w="9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对象</w:t>
                  </w: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监测点位</w:t>
                  </w:r>
                </w:p>
              </w:tc>
              <w:tc>
                <w:tcPr>
                  <w:tcW w:w="255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监测因子</w:t>
                  </w:r>
                </w:p>
              </w:tc>
              <w:tc>
                <w:tcPr>
                  <w:tcW w:w="99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909"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废水</w:t>
                  </w:r>
                </w:p>
              </w:tc>
              <w:tc>
                <w:tcPr>
                  <w:tcW w:w="1275"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回用水池</w:t>
                  </w:r>
                </w:p>
              </w:tc>
              <w:tc>
                <w:tcPr>
                  <w:tcW w:w="2552" w:type="dxa"/>
                  <w:vAlign w:val="center"/>
                </w:tcPr>
                <w:p>
                  <w:pPr>
                    <w:pStyle w:val="24"/>
                    <w:spacing w:line="360" w:lineRule="exact"/>
                    <w:ind w:firstLine="210" w:firstLineChars="100"/>
                    <w:jc w:val="left"/>
                    <w:rPr>
                      <w:color w:val="000000" w:themeColor="text1"/>
                    </w:rPr>
                  </w:pPr>
                  <w:r>
                    <w:rPr>
                      <w:color w:val="000000" w:themeColor="text1"/>
                    </w:rPr>
                    <w:t>pH、CODcr、NH</w:t>
                  </w:r>
                  <w:r>
                    <w:rPr>
                      <w:color w:val="000000" w:themeColor="text1"/>
                      <w:vertAlign w:val="subscript"/>
                    </w:rPr>
                    <w:t>3</w:t>
                  </w:r>
                  <w:r>
                    <w:rPr>
                      <w:color w:val="000000" w:themeColor="text1"/>
                    </w:rPr>
                    <w:t>-N、SS、Zn</w:t>
                  </w:r>
                  <w:r>
                    <w:rPr>
                      <w:rFonts w:hint="eastAsia"/>
                      <w:color w:val="000000" w:themeColor="text1"/>
                    </w:rPr>
                    <w:t>、</w:t>
                  </w:r>
                  <w:r>
                    <w:rPr>
                      <w:color w:val="000000" w:themeColor="text1"/>
                    </w:rPr>
                    <w:t>Pb</w:t>
                  </w:r>
                  <w:r>
                    <w:rPr>
                      <w:rFonts w:hint="eastAsia"/>
                      <w:color w:val="000000" w:themeColor="text1"/>
                    </w:rPr>
                    <w:t>、</w:t>
                  </w:r>
                  <w:r>
                    <w:rPr>
                      <w:color w:val="000000" w:themeColor="text1"/>
                    </w:rPr>
                    <w:t>Fe</w:t>
                  </w:r>
                  <w:r>
                    <w:rPr>
                      <w:rFonts w:hint="eastAsia"/>
                      <w:color w:val="000000" w:themeColor="text1"/>
                    </w:rPr>
                    <w:t>、Cr、氟化物。</w:t>
                  </w:r>
                </w:p>
              </w:tc>
              <w:tc>
                <w:tcPr>
                  <w:tcW w:w="99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1次/年</w:t>
                  </w:r>
                </w:p>
              </w:tc>
              <w:tc>
                <w:tcPr>
                  <w:tcW w:w="2909" w:type="dxa"/>
                  <w:vAlign w:val="center"/>
                </w:tcPr>
                <w:p>
                  <w:pPr>
                    <w:pStyle w:val="24"/>
                    <w:spacing w:line="360" w:lineRule="exact"/>
                    <w:ind w:firstLine="210" w:firstLineChars="100"/>
                    <w:jc w:val="both"/>
                    <w:rPr>
                      <w:rFonts w:eastAsiaTheme="minorEastAsia"/>
                      <w:color w:val="000000" w:themeColor="text1"/>
                      <w:szCs w:val="21"/>
                    </w:rPr>
                  </w:pPr>
                  <w:r>
                    <w:rPr>
                      <w:color w:val="000000" w:themeColor="text1"/>
                    </w:rPr>
                    <w:t>《城市污水再生利用  工业用水水质》（GB/T 19923-2005）标准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77" w:type="dxa"/>
                  <w:vMerge w:val="continue"/>
                  <w:vAlign w:val="center"/>
                </w:tcPr>
                <w:p>
                  <w:pPr>
                    <w:pStyle w:val="24"/>
                    <w:spacing w:line="360" w:lineRule="exact"/>
                    <w:rPr>
                      <w:rFonts w:eastAsiaTheme="minorEastAsia"/>
                      <w:color w:val="000000" w:themeColor="text1"/>
                      <w:szCs w:val="21"/>
                    </w:rPr>
                  </w:pPr>
                </w:p>
              </w:tc>
              <w:tc>
                <w:tcPr>
                  <w:tcW w:w="12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化粪池排放口</w:t>
                  </w:r>
                </w:p>
              </w:tc>
              <w:tc>
                <w:tcPr>
                  <w:tcW w:w="2552" w:type="dxa"/>
                  <w:vAlign w:val="center"/>
                </w:tcPr>
                <w:p>
                  <w:pPr>
                    <w:pStyle w:val="24"/>
                    <w:spacing w:line="360" w:lineRule="exact"/>
                    <w:ind w:firstLine="210" w:firstLineChars="100"/>
                    <w:jc w:val="left"/>
                    <w:rPr>
                      <w:rFonts w:eastAsiaTheme="minorEastAsia"/>
                      <w:color w:val="000000" w:themeColor="text1"/>
                    </w:rPr>
                  </w:pPr>
                  <w:r>
                    <w:rPr>
                      <w:color w:val="000000" w:themeColor="text1"/>
                    </w:rPr>
                    <w:t>pH、CODcr、BOD</w:t>
                  </w:r>
                  <w:r>
                    <w:rPr>
                      <w:color w:val="000000" w:themeColor="text1"/>
                      <w:vertAlign w:val="subscript"/>
                    </w:rPr>
                    <w:t>5</w:t>
                  </w:r>
                  <w:r>
                    <w:rPr>
                      <w:color w:val="000000" w:themeColor="text1"/>
                    </w:rPr>
                    <w:t>、NH</w:t>
                  </w:r>
                  <w:r>
                    <w:rPr>
                      <w:color w:val="000000" w:themeColor="text1"/>
                      <w:vertAlign w:val="subscript"/>
                    </w:rPr>
                    <w:t>3</w:t>
                  </w:r>
                  <w:r>
                    <w:rPr>
                      <w:color w:val="000000" w:themeColor="text1"/>
                    </w:rPr>
                    <w:t>-N、SS、总磷、总氮、动植物油、</w:t>
                  </w:r>
                  <w:r>
                    <w:rPr>
                      <w:bCs w:val="0"/>
                      <w:snapToGrid/>
                      <w:color w:val="000000" w:themeColor="text1"/>
                      <w:kern w:val="0"/>
                      <w:szCs w:val="21"/>
                      <w:lang w:val="en-US"/>
                    </w:rPr>
                    <w:t>阴离子表面活性剂、</w:t>
                  </w:r>
                  <w:r>
                    <w:rPr>
                      <w:color w:val="000000" w:themeColor="text1"/>
                    </w:rPr>
                    <w:t>粪大肠菌群数</w:t>
                  </w:r>
                </w:p>
              </w:tc>
              <w:tc>
                <w:tcPr>
                  <w:tcW w:w="99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1次/年</w:t>
                  </w:r>
                </w:p>
              </w:tc>
              <w:tc>
                <w:tcPr>
                  <w:tcW w:w="2909" w:type="dxa"/>
                  <w:vAlign w:val="center"/>
                </w:tcPr>
                <w:p>
                  <w:pPr>
                    <w:pStyle w:val="24"/>
                    <w:spacing w:line="360" w:lineRule="exact"/>
                    <w:ind w:firstLine="210" w:firstLineChars="100"/>
                    <w:jc w:val="both"/>
                    <w:rPr>
                      <w:rFonts w:eastAsiaTheme="minorEastAsia"/>
                      <w:color w:val="000000" w:themeColor="text1"/>
                      <w:szCs w:val="21"/>
                    </w:rPr>
                  </w:pPr>
                  <w:r>
                    <w:rPr>
                      <w:color w:val="000000" w:themeColor="text1"/>
                    </w:rPr>
                    <w:t>《污水排入城镇下水道水质标准》（GB/T31962-2015）的B等级标准</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2" w:firstLineChars="200"/>
              <w:rPr>
                <w:rFonts w:ascii="Times New Roman" w:hAnsi="Times New Roman" w:cs="Times New Roman"/>
                <w:color w:val="000000" w:themeColor="text1"/>
                <w:sz w:val="24"/>
                <w:szCs w:val="24"/>
              </w:rPr>
            </w:pPr>
            <w:r>
              <w:rPr>
                <w:rFonts w:hint="eastAsia" w:ascii="Times New Roman" w:cs="Times New Roman" w:hAnsiTheme="minorEastAsia"/>
                <w:b/>
                <w:color w:val="000000" w:themeColor="text1"/>
                <w:sz w:val="24"/>
              </w:rPr>
              <w:t>①生产废水</w:t>
            </w:r>
            <w:r>
              <w:rPr>
                <w:rFonts w:ascii="Times New Roman" w:cs="Times New Roman" w:hAnsiTheme="minorEastAsia"/>
                <w:b/>
                <w:color w:val="000000" w:themeColor="text1"/>
                <w:sz w:val="24"/>
              </w:rPr>
              <w:t>环境影响分析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w:t>
            </w:r>
            <w:r>
              <w:rPr>
                <w:rFonts w:hint="eastAsia" w:ascii="Times New Roman" w:hAnsi="Times New Roman" w:cs="Times New Roman"/>
                <w:color w:val="000000" w:themeColor="text1"/>
                <w:sz w:val="24"/>
              </w:rPr>
              <w:t>项目拟在生产车间旁配套设置1个有效容积约为</w:t>
            </w:r>
            <w:r>
              <w:rPr>
                <w:rFonts w:ascii="Times New Roman" w:hAnsi="Times New Roman" w:cs="Times New Roman"/>
                <w:color w:val="000000" w:themeColor="text1"/>
                <w:sz w:val="24"/>
              </w:rPr>
              <w:t>1</w:t>
            </w:r>
            <w:r>
              <w:rPr>
                <w:rFonts w:hint="eastAsia" w:ascii="Times New Roman" w:hAnsi="Times New Roman" w:cs="Times New Roman"/>
                <w:color w:val="000000" w:themeColor="text1"/>
                <w:sz w:val="24"/>
              </w:rPr>
              <w:t>00</w:t>
            </w:r>
            <w:r>
              <w:rPr>
                <w:rFonts w:ascii="Times New Roman" w:hAnsi="Times New Roman" w:cs="Times New Roman"/>
                <w:color w:val="000000" w:themeColor="text1"/>
                <w:sz w:val="24"/>
              </w:rPr>
              <w:t>m³的</w:t>
            </w:r>
            <w:r>
              <w:rPr>
                <w:rFonts w:hint="eastAsia" w:ascii="Times New Roman" w:hAnsi="Times New Roman" w:cs="Times New Roman"/>
                <w:color w:val="000000" w:themeColor="text1"/>
                <w:sz w:val="24"/>
              </w:rPr>
              <w:t>废水收集调节池，对各工序产生的废水进行收集、调节后进入有效容积约为640</w:t>
            </w:r>
            <w:r>
              <w:rPr>
                <w:rFonts w:ascii="Times New Roman" w:hAnsi="Times New Roman" w:cs="Times New Roman"/>
                <w:color w:val="000000" w:themeColor="text1"/>
                <w:sz w:val="24"/>
              </w:rPr>
              <w:t>m³的</w:t>
            </w:r>
            <w:r>
              <w:rPr>
                <w:rFonts w:hint="eastAsia" w:ascii="Times New Roman" w:hAnsi="Times New Roman" w:cs="Times New Roman"/>
                <w:color w:val="000000" w:themeColor="text1"/>
                <w:sz w:val="24"/>
              </w:rPr>
              <w:t>八级沉淀池进行沉淀处理后，可达到</w:t>
            </w:r>
            <w:r>
              <w:rPr>
                <w:rFonts w:ascii="Times New Roman" w:hAnsi="Times New Roman" w:cs="Times New Roman"/>
                <w:color w:val="000000" w:themeColor="text1"/>
                <w:sz w:val="24"/>
                <w:szCs w:val="30"/>
              </w:rPr>
              <w:t>《城市污水再生利用  工业用水水质》（GB/T 19923-2005）标准，</w:t>
            </w:r>
            <w:r>
              <w:rPr>
                <w:rFonts w:hint="eastAsia" w:ascii="Times New Roman" w:hAnsi="Times New Roman" w:cs="Times New Roman"/>
                <w:color w:val="000000" w:themeColor="text1"/>
                <w:sz w:val="24"/>
                <w:szCs w:val="30"/>
              </w:rPr>
              <w:t>全部回用于生产车间，不外排；对环境影响较小。</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生活污水环境影响分析</w:t>
            </w:r>
          </w:p>
          <w:p>
            <w:pPr>
              <w:pStyle w:val="32"/>
              <w:ind w:firstLine="480"/>
              <w:rPr>
                <w:rFonts w:hAnsiTheme="minorEastAsia" w:eastAsiaTheme="minorEastAsia"/>
                <w:color w:val="000000" w:themeColor="text1"/>
                <w:szCs w:val="24"/>
              </w:rPr>
            </w:pPr>
            <w:r>
              <w:rPr>
                <w:rFonts w:hAnsiTheme="minorEastAsia" w:eastAsiaTheme="minorEastAsia"/>
                <w:color w:val="000000" w:themeColor="text1"/>
                <w:szCs w:val="24"/>
              </w:rPr>
              <w:t>根据工程分析可知，项目生活污水产生量为</w:t>
            </w:r>
            <w:r>
              <w:rPr>
                <w:rFonts w:hint="eastAsia" w:hAnsiTheme="minorEastAsia" w:eastAsiaTheme="minorEastAsia"/>
                <w:color w:val="000000" w:themeColor="text1"/>
                <w:szCs w:val="24"/>
              </w:rPr>
              <w:t>1.28</w:t>
            </w:r>
            <w:r>
              <w:rPr>
                <w:rFonts w:hAnsiTheme="minorEastAsia" w:eastAsiaTheme="minorEastAsia"/>
                <w:color w:val="000000" w:themeColor="text1"/>
                <w:szCs w:val="24"/>
              </w:rPr>
              <w:t>m³/d，合计为</w:t>
            </w:r>
            <w:r>
              <w:rPr>
                <w:rFonts w:hint="eastAsia" w:hAnsiTheme="minorEastAsia" w:eastAsiaTheme="minorEastAsia"/>
                <w:color w:val="000000" w:themeColor="text1"/>
                <w:szCs w:val="24"/>
              </w:rPr>
              <w:t>422.4</w:t>
            </w:r>
            <w:r>
              <w:rPr>
                <w:rFonts w:hAnsiTheme="minorEastAsia" w:eastAsiaTheme="minorEastAsia"/>
                <w:color w:val="000000" w:themeColor="text1"/>
                <w:szCs w:val="24"/>
              </w:rPr>
              <w:t>m³/a；其中食堂废水约占生活污水量的50%，食堂废水量约为</w:t>
            </w:r>
            <w:r>
              <w:rPr>
                <w:rFonts w:hint="eastAsia" w:hAnsiTheme="minorEastAsia" w:eastAsiaTheme="minorEastAsia"/>
                <w:color w:val="000000" w:themeColor="text1"/>
                <w:szCs w:val="24"/>
              </w:rPr>
              <w:t>0.64</w:t>
            </w:r>
            <w:r>
              <w:rPr>
                <w:rFonts w:hAnsiTheme="minorEastAsia" w:eastAsiaTheme="minorEastAsia"/>
                <w:color w:val="000000" w:themeColor="text1"/>
                <w:szCs w:val="24"/>
              </w:rPr>
              <w:t>m³/d（</w:t>
            </w:r>
            <w:r>
              <w:rPr>
                <w:rFonts w:hint="eastAsia" w:hAnsiTheme="minorEastAsia" w:eastAsiaTheme="minorEastAsia"/>
                <w:color w:val="000000" w:themeColor="text1"/>
                <w:szCs w:val="24"/>
              </w:rPr>
              <w:t>211.2</w:t>
            </w:r>
            <w:r>
              <w:rPr>
                <w:rFonts w:hAnsiTheme="minorEastAsia" w:eastAsiaTheme="minorEastAsia"/>
                <w:color w:val="000000" w:themeColor="text1"/>
                <w:szCs w:val="24"/>
              </w:rPr>
              <w:t>m³/a）。针对项目厨房生活污水，</w:t>
            </w:r>
            <w:r>
              <w:rPr>
                <w:rFonts w:hint="eastAsia" w:hAnsiTheme="minorEastAsia" w:eastAsiaTheme="minorEastAsia"/>
                <w:color w:val="000000" w:themeColor="text1"/>
                <w:szCs w:val="24"/>
              </w:rPr>
              <w:t>拟</w:t>
            </w:r>
            <w:r>
              <w:rPr>
                <w:rFonts w:hAnsiTheme="minorEastAsia" w:eastAsiaTheme="minorEastAsia"/>
                <w:color w:val="000000" w:themeColor="text1"/>
                <w:szCs w:val="24"/>
              </w:rPr>
              <w:t>配套设置1个1m³的隔油池对其进行预处理，同时项目生活区旁已设置了1个有效容积为20m³的化粪池对项目区生活污水进行处理。项目生活污水经隔油池、化粪池处理后可达到《污水排入城镇下水道水质标准》（GB/T31962-2015）B等级标准后，通过园区污水管网进入四方地与碧谷园区污水处理厂处理。重点分析生活污水进入四方地与碧谷园区污水处理厂可行性。</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cs="Times New Roman" w:asciiTheme="minorEastAsia" w:hAnsiTheme="minorEastAsia"/>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四方地与碧谷园区污水处理厂概况</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四方地与碧谷园区污水处理厂位于龙东格公路西侧、大桥河以北、小江以东的三角地带，该污水处理厂于</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6</w:t>
            </w:r>
            <w:r>
              <w:rPr>
                <w:rFonts w:ascii="Times New Roman" w:cs="Times New Roman" w:hAnsiTheme="minorEastAsia"/>
                <w:color w:val="000000" w:themeColor="text1"/>
                <w:sz w:val="24"/>
              </w:rPr>
              <w:t>月委托云南省环境科学研究院编制完成了《云南省昆明市东川再就业特色产业园四方地与碧谷园区污染处理厂项目环境影响报告书》，</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6</w:t>
            </w:r>
            <w:r>
              <w:rPr>
                <w:rFonts w:ascii="Times New Roman" w:cs="Times New Roman" w:hAnsiTheme="minorEastAsia"/>
                <w:color w:val="000000" w:themeColor="text1"/>
                <w:sz w:val="24"/>
              </w:rPr>
              <w:t>月</w:t>
            </w:r>
            <w:r>
              <w:rPr>
                <w:rFonts w:ascii="Times New Roman" w:hAnsi="Times New Roman" w:cs="Times New Roman"/>
                <w:color w:val="000000" w:themeColor="text1"/>
                <w:sz w:val="24"/>
              </w:rPr>
              <w:t>12</w:t>
            </w:r>
            <w:r>
              <w:rPr>
                <w:rFonts w:ascii="Times New Roman" w:cs="Times New Roman" w:hAnsiTheme="minorEastAsia"/>
                <w:color w:val="000000" w:themeColor="text1"/>
                <w:sz w:val="24"/>
              </w:rPr>
              <w:t>日取得了东川区环境保护局《关于云南省昆明市东川再就业特色产业园四方地与碧谷园区污染处理厂项目环境影响报告书的批复》（东环保复【</w:t>
            </w:r>
            <w:r>
              <w:rPr>
                <w:rFonts w:ascii="Times New Roman" w:hAnsi="Times New Roman" w:cs="Times New Roman"/>
                <w:color w:val="000000" w:themeColor="text1"/>
                <w:sz w:val="24"/>
              </w:rPr>
              <w:t>2010</w:t>
            </w:r>
            <w:r>
              <w:rPr>
                <w:rFonts w:ascii="Times New Roman" w:cs="Times New Roman" w:hAnsiTheme="minorEastAsia"/>
                <w:color w:val="000000" w:themeColor="text1"/>
                <w:sz w:val="24"/>
              </w:rPr>
              <w:t>】</w:t>
            </w:r>
            <w:r>
              <w:rPr>
                <w:rFonts w:ascii="Times New Roman" w:hAnsi="Times New Roman" w:cs="Times New Roman"/>
                <w:color w:val="000000" w:themeColor="text1"/>
                <w:sz w:val="24"/>
              </w:rPr>
              <w:t>19</w:t>
            </w:r>
            <w:r>
              <w:rPr>
                <w:rFonts w:ascii="Times New Roman" w:cs="Times New Roman" w:hAnsiTheme="minorEastAsia"/>
                <w:color w:val="000000" w:themeColor="text1"/>
                <w:sz w:val="24"/>
              </w:rPr>
              <w:t>号），</w:t>
            </w:r>
            <w:r>
              <w:rPr>
                <w:rFonts w:ascii="Times New Roman" w:hAnsi="Times New Roman" w:cs="Times New Roman"/>
                <w:color w:val="000000" w:themeColor="text1"/>
                <w:sz w:val="24"/>
              </w:rPr>
              <w:t>2015</w:t>
            </w:r>
            <w:r>
              <w:rPr>
                <w:rFonts w:ascii="Times New Roman" w:cs="Times New Roman" w:hAnsiTheme="minorEastAsia"/>
                <w:color w:val="000000" w:themeColor="text1"/>
                <w:sz w:val="24"/>
              </w:rPr>
              <w:t>年</w:t>
            </w:r>
            <w:r>
              <w:rPr>
                <w:rFonts w:ascii="Times New Roman" w:hAnsi="Times New Roman" w:cs="Times New Roman"/>
                <w:color w:val="000000" w:themeColor="text1"/>
                <w:sz w:val="24"/>
              </w:rPr>
              <w:t>12</w:t>
            </w:r>
            <w:r>
              <w:rPr>
                <w:rFonts w:ascii="Times New Roman" w:cs="Times New Roman" w:hAnsiTheme="minorEastAsia"/>
                <w:color w:val="000000" w:themeColor="text1"/>
                <w:sz w:val="24"/>
              </w:rPr>
              <w:t>月</w:t>
            </w:r>
            <w:r>
              <w:rPr>
                <w:rFonts w:ascii="Times New Roman" w:hAnsi="Times New Roman" w:cs="Times New Roman"/>
                <w:color w:val="000000" w:themeColor="text1"/>
                <w:sz w:val="24"/>
              </w:rPr>
              <w:t>28</w:t>
            </w:r>
            <w:r>
              <w:rPr>
                <w:rFonts w:ascii="Times New Roman" w:cs="Times New Roman" w:hAnsiTheme="minorEastAsia"/>
                <w:color w:val="000000" w:themeColor="text1"/>
                <w:sz w:val="24"/>
              </w:rPr>
              <w:t>日通过环境保护竣工分段验收；并根据环办环监【</w:t>
            </w:r>
            <w:r>
              <w:rPr>
                <w:rFonts w:ascii="Times New Roman" w:hAnsi="Times New Roman" w:cs="Times New Roman"/>
                <w:color w:val="000000" w:themeColor="text1"/>
                <w:sz w:val="24"/>
              </w:rPr>
              <w:t>2017</w:t>
            </w:r>
            <w:r>
              <w:rPr>
                <w:rFonts w:ascii="Times New Roman" w:cs="Times New Roman" w:hAnsiTheme="minorEastAsia"/>
                <w:color w:val="000000" w:themeColor="text1"/>
                <w:sz w:val="24"/>
              </w:rPr>
              <w:t>】</w:t>
            </w:r>
            <w:r>
              <w:rPr>
                <w:rFonts w:ascii="Times New Roman" w:hAnsi="Times New Roman" w:cs="Times New Roman"/>
                <w:color w:val="000000" w:themeColor="text1"/>
                <w:sz w:val="24"/>
              </w:rPr>
              <w:t>61</w:t>
            </w:r>
            <w:r>
              <w:rPr>
                <w:rFonts w:ascii="Times New Roman" w:cs="Times New Roman" w:hAnsiTheme="minorEastAsia"/>
                <w:color w:val="000000" w:themeColor="text1"/>
                <w:sz w:val="24"/>
              </w:rPr>
              <w:t>号和云环通【</w:t>
            </w:r>
            <w:r>
              <w:rPr>
                <w:rFonts w:ascii="Times New Roman" w:hAnsi="Times New Roman" w:cs="Times New Roman"/>
                <w:color w:val="000000" w:themeColor="text1"/>
                <w:sz w:val="24"/>
              </w:rPr>
              <w:t>2017</w:t>
            </w:r>
            <w:r>
              <w:rPr>
                <w:rFonts w:ascii="Times New Roman" w:cs="Times New Roman" w:hAnsiTheme="minorEastAsia"/>
                <w:color w:val="000000" w:themeColor="text1"/>
                <w:sz w:val="24"/>
              </w:rPr>
              <w:t>】</w:t>
            </w:r>
            <w:r>
              <w:rPr>
                <w:rFonts w:ascii="Times New Roman" w:hAnsi="Times New Roman" w:cs="Times New Roman"/>
                <w:color w:val="000000" w:themeColor="text1"/>
                <w:sz w:val="24"/>
              </w:rPr>
              <w:t>178</w:t>
            </w:r>
            <w:r>
              <w:rPr>
                <w:rFonts w:ascii="Times New Roman" w:cs="Times New Roman" w:hAnsiTheme="minorEastAsia"/>
                <w:color w:val="000000" w:themeColor="text1"/>
                <w:sz w:val="24"/>
              </w:rPr>
              <w:t>号文件及相关环保技术规范的要求，安装了在线监测系统，截止</w:t>
            </w:r>
            <w:r>
              <w:rPr>
                <w:rFonts w:ascii="Times New Roman" w:hAnsi="Times New Roman" w:cs="Times New Roman"/>
                <w:color w:val="000000" w:themeColor="text1"/>
                <w:sz w:val="24"/>
              </w:rPr>
              <w:t>2018</w:t>
            </w:r>
            <w:r>
              <w:rPr>
                <w:rFonts w:ascii="Times New Roman" w:cs="Times New Roman" w:hAnsiTheme="minorEastAsia"/>
                <w:color w:val="000000" w:themeColor="text1"/>
                <w:sz w:val="24"/>
              </w:rPr>
              <w:t>年进水口在线监测分析仪为：流量、</w:t>
            </w:r>
            <w:r>
              <w:rPr>
                <w:rFonts w:ascii="Times New Roman" w:hAnsi="Times New Roman" w:cs="Times New Roman"/>
                <w:color w:val="000000" w:themeColor="text1"/>
                <w:sz w:val="24"/>
              </w:rPr>
              <w:t>PH</w:t>
            </w:r>
            <w:r>
              <w:rPr>
                <w:rFonts w:ascii="Times New Roman" w:cs="Times New Roman" w:hAnsiTheme="minorEastAsia"/>
                <w:color w:val="000000" w:themeColor="text1"/>
                <w:sz w:val="24"/>
              </w:rPr>
              <w:t>、</w:t>
            </w:r>
            <w:r>
              <w:rPr>
                <w:rFonts w:ascii="Times New Roman" w:hAnsi="Times New Roman" w:cs="Times New Roman"/>
                <w:color w:val="000000" w:themeColor="text1"/>
                <w:sz w:val="24"/>
                <w:szCs w:val="24"/>
              </w:rPr>
              <w:t>CODcr</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、砷、铅、铜、总磷，共</w:t>
            </w:r>
            <w:r>
              <w:rPr>
                <w:rFonts w:ascii="Times New Roman" w:hAnsi="Times New Roman" w:cs="Times New Roman"/>
                <w:color w:val="000000" w:themeColor="text1"/>
                <w:sz w:val="24"/>
                <w:szCs w:val="24"/>
              </w:rPr>
              <w:t>8</w:t>
            </w:r>
            <w:r>
              <w:rPr>
                <w:rFonts w:ascii="Times New Roman" w:cs="Times New Roman" w:hAnsiTheme="minorEastAsia"/>
                <w:color w:val="000000" w:themeColor="text1"/>
                <w:sz w:val="24"/>
                <w:szCs w:val="24"/>
              </w:rPr>
              <w:t>个参数；出水口在线分析仪为：流量、</w:t>
            </w:r>
            <w:r>
              <w:rPr>
                <w:rFonts w:ascii="Times New Roman" w:hAnsi="Times New Roman" w:cs="Times New Roman"/>
                <w:color w:val="000000" w:themeColor="text1"/>
                <w:sz w:val="24"/>
                <w:szCs w:val="24"/>
              </w:rPr>
              <w:t>PH</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CODcr</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、砷、铅、铜、总磷、总氮，共</w:t>
            </w:r>
            <w:r>
              <w:rPr>
                <w:rFonts w:ascii="Times New Roman" w:hAnsi="Times New Roman" w:cs="Times New Roman"/>
                <w:color w:val="000000" w:themeColor="text1"/>
                <w:sz w:val="24"/>
                <w:szCs w:val="24"/>
              </w:rPr>
              <w:t>9</w:t>
            </w:r>
            <w:r>
              <w:rPr>
                <w:rFonts w:ascii="Times New Roman" w:cs="Times New Roman" w:hAnsiTheme="minorEastAsia"/>
                <w:color w:val="000000" w:themeColor="text1"/>
                <w:sz w:val="24"/>
                <w:szCs w:val="24"/>
              </w:rPr>
              <w:t>个参数。该污水处理厂环保手续齐全。</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四方地与碧谷园区污水处理厂总用地面积</w:t>
            </w:r>
            <w:r>
              <w:rPr>
                <w:rFonts w:ascii="Times New Roman" w:hAnsi="Times New Roman" w:cs="Times New Roman"/>
                <w:color w:val="000000" w:themeColor="text1"/>
                <w:sz w:val="24"/>
                <w:szCs w:val="24"/>
              </w:rPr>
              <w:t>60</w:t>
            </w:r>
            <w:r>
              <w:rPr>
                <w:rFonts w:ascii="Times New Roman" w:cs="Times New Roman" w:hAnsiTheme="minorEastAsia"/>
                <w:color w:val="000000" w:themeColor="text1"/>
                <w:sz w:val="24"/>
                <w:szCs w:val="24"/>
              </w:rPr>
              <w:t>亩，总投资</w:t>
            </w:r>
            <w:r>
              <w:rPr>
                <w:rFonts w:ascii="Times New Roman" w:hAnsi="Times New Roman" w:cs="Times New Roman"/>
                <w:color w:val="000000" w:themeColor="text1"/>
                <w:sz w:val="24"/>
                <w:szCs w:val="24"/>
              </w:rPr>
              <w:t>3706.89</w:t>
            </w:r>
            <w:r>
              <w:rPr>
                <w:rFonts w:ascii="Times New Roman" w:cs="Times New Roman" w:hAnsiTheme="minorEastAsia"/>
                <w:color w:val="000000" w:themeColor="text1"/>
                <w:sz w:val="24"/>
                <w:szCs w:val="24"/>
              </w:rPr>
              <w:t>万元，一次性规划分期建设，一期</w:t>
            </w:r>
            <w:r>
              <w:rPr>
                <w:rFonts w:ascii="Times New Roman" w:hAnsi="Times New Roman" w:cs="Times New Roman"/>
                <w:color w:val="000000" w:themeColor="text1"/>
                <w:sz w:val="24"/>
                <w:szCs w:val="24"/>
              </w:rPr>
              <w:t>5000m³/d</w:t>
            </w:r>
            <w:r>
              <w:rPr>
                <w:rFonts w:ascii="Times New Roman" w:cs="Times New Roman" w:hAnsiTheme="minorEastAsia"/>
                <w:color w:val="000000" w:themeColor="text1"/>
                <w:sz w:val="24"/>
                <w:szCs w:val="24"/>
              </w:rPr>
              <w:t>，占地为</w:t>
            </w:r>
            <w:r>
              <w:rPr>
                <w:rFonts w:ascii="Times New Roman" w:hAnsi="Times New Roman" w:cs="Times New Roman"/>
                <w:color w:val="000000" w:themeColor="text1"/>
                <w:sz w:val="24"/>
                <w:szCs w:val="24"/>
              </w:rPr>
              <w:t>30.1</w:t>
            </w:r>
            <w:r>
              <w:rPr>
                <w:rFonts w:ascii="Times New Roman" w:cs="Times New Roman" w:hAnsiTheme="minorEastAsia"/>
                <w:color w:val="000000" w:themeColor="text1"/>
                <w:sz w:val="24"/>
                <w:szCs w:val="24"/>
              </w:rPr>
              <w:t>亩；二期扩建到</w:t>
            </w:r>
            <w:r>
              <w:rPr>
                <w:rFonts w:ascii="Times New Roman" w:hAnsi="Times New Roman" w:cs="Times New Roman"/>
                <w:color w:val="000000" w:themeColor="text1"/>
                <w:sz w:val="24"/>
                <w:szCs w:val="24"/>
              </w:rPr>
              <w:t>10000m³/d</w:t>
            </w:r>
            <w:r>
              <w:rPr>
                <w:rFonts w:ascii="Times New Roman" w:cs="Times New Roman" w:hAnsiTheme="minorEastAsia"/>
                <w:color w:val="000000" w:themeColor="text1"/>
                <w:sz w:val="24"/>
                <w:szCs w:val="24"/>
              </w:rPr>
              <w:t>，三期扩建到总建设规模</w:t>
            </w:r>
            <w:r>
              <w:rPr>
                <w:rFonts w:ascii="Times New Roman" w:hAnsi="Times New Roman" w:cs="Times New Roman"/>
                <w:color w:val="000000" w:themeColor="text1"/>
                <w:sz w:val="24"/>
                <w:szCs w:val="24"/>
              </w:rPr>
              <w:t>20000m³/d</w:t>
            </w:r>
            <w:r>
              <w:rPr>
                <w:rFonts w:ascii="Times New Roman" w:cs="Times New Roman" w:hAnsiTheme="minorEastAsia"/>
                <w:color w:val="000000" w:themeColor="text1"/>
                <w:sz w:val="24"/>
                <w:szCs w:val="24"/>
              </w:rPr>
              <w:t>。为降低成本，一期实际建设处理规模中土建工程</w:t>
            </w:r>
            <w:r>
              <w:rPr>
                <w:rFonts w:ascii="Times New Roman" w:hAnsi="Times New Roman" w:cs="Times New Roman"/>
                <w:color w:val="000000" w:themeColor="text1"/>
                <w:sz w:val="24"/>
                <w:szCs w:val="24"/>
              </w:rPr>
              <w:t>5000m³/d</w:t>
            </w:r>
            <w:r>
              <w:rPr>
                <w:rFonts w:ascii="Times New Roman" w:cs="Times New Roman" w:hAnsiTheme="minorEastAsia"/>
                <w:color w:val="000000" w:themeColor="text1"/>
                <w:sz w:val="24"/>
                <w:szCs w:val="24"/>
              </w:rPr>
              <w:t>，设备安装及处理能力为</w:t>
            </w:r>
            <w:r>
              <w:rPr>
                <w:rFonts w:ascii="Times New Roman" w:hAnsi="Times New Roman" w:cs="Times New Roman"/>
                <w:color w:val="000000" w:themeColor="text1"/>
                <w:sz w:val="24"/>
                <w:szCs w:val="24"/>
              </w:rPr>
              <w:t>2000m³/d</w:t>
            </w:r>
            <w:r>
              <w:rPr>
                <w:rFonts w:ascii="Times New Roman" w:cs="Times New Roman" w:hAnsiTheme="minorEastAsia"/>
                <w:color w:val="000000" w:themeColor="text1"/>
                <w:sz w:val="24"/>
                <w:szCs w:val="24"/>
              </w:rPr>
              <w:t>进行配置。工艺流程采用：两级混凝沉淀</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电絮凝</w:t>
            </w:r>
            <w:r>
              <w:rPr>
                <w:rFonts w:ascii="Times New Roman" w:hAnsi="Times New Roman" w:cs="Times New Roman"/>
                <w:color w:val="000000" w:themeColor="text1"/>
                <w:sz w:val="24"/>
                <w:szCs w:val="24"/>
              </w:rPr>
              <w:t>+AO</w:t>
            </w:r>
            <w:r>
              <w:rPr>
                <w:rFonts w:ascii="Times New Roman" w:cs="Times New Roman" w:hAnsiTheme="minorEastAsia"/>
                <w:color w:val="000000" w:themeColor="text1"/>
                <w:sz w:val="24"/>
                <w:szCs w:val="24"/>
              </w:rPr>
              <w:t>生化池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竖流式沉淀池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曝气生物滤池</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臭氧氧化处理工艺；负责处理东川再就业特色产业园包括四方地和碧谷产业园企业产生的生产废水及生活污水。该污水处理厂目前处理生产废水及生活污水量约</w:t>
            </w:r>
            <w:r>
              <w:rPr>
                <w:rFonts w:hint="eastAsia"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0m³/d</w:t>
            </w:r>
            <w:r>
              <w:rPr>
                <w:rFonts w:ascii="Times New Roman" w:cs="Times New Roman" w:hAnsiTheme="minorEastAsia"/>
                <w:color w:val="000000" w:themeColor="text1"/>
                <w:sz w:val="24"/>
                <w:szCs w:val="24"/>
              </w:rPr>
              <w:t>，污水处理工艺系统至今正常稳定运行。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cs="Times New Roman" w:asciiTheme="minorEastAsia" w:hAnsiTheme="minorEastAsia"/>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cs="Times New Roman" w:hAnsiTheme="minorEastAsia"/>
                <w:b/>
                <w:color w:val="000000" w:themeColor="text1"/>
                <w:sz w:val="24"/>
                <w:szCs w:val="24"/>
              </w:rPr>
              <w:t>四方地与碧谷园区污水处理厂处理余量分析</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根据工程分析可知，拟进入四方地与碧谷园区污水处理厂的生活污水，其产生量约为</w:t>
            </w:r>
            <w:r>
              <w:rPr>
                <w:rFonts w:hint="eastAsia" w:ascii="Times New Roman" w:cs="Times New Roman" w:hAnsiTheme="minorEastAsia"/>
                <w:color w:val="000000" w:themeColor="text1"/>
                <w:sz w:val="24"/>
                <w:szCs w:val="24"/>
              </w:rPr>
              <w:t>1.28</w:t>
            </w:r>
            <w:r>
              <w:rPr>
                <w:rFonts w:ascii="Times New Roman" w:cs="Times New Roman" w:hAnsiTheme="minorEastAsia"/>
                <w:color w:val="000000" w:themeColor="text1"/>
                <w:sz w:val="24"/>
                <w:szCs w:val="24"/>
              </w:rPr>
              <w:t>m³/d</w:t>
            </w:r>
            <w:r>
              <w:rPr>
                <w:rFonts w:hint="eastAsia" w:ascii="Times New Roman" w:cs="Times New Roman" w:hAnsiTheme="minorEastAsia"/>
                <w:color w:val="000000" w:themeColor="text1"/>
                <w:sz w:val="24"/>
                <w:szCs w:val="24"/>
              </w:rPr>
              <w:t>（422.4</w:t>
            </w:r>
            <w:r>
              <w:rPr>
                <w:rFonts w:ascii="Times New Roman" w:cs="Times New Roman" w:hAnsiTheme="minorEastAsia"/>
                <w:color w:val="000000" w:themeColor="text1"/>
                <w:sz w:val="24"/>
                <w:szCs w:val="24"/>
              </w:rPr>
              <w:t>m³/a</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经隔油池、化粪池处理达到《污水排入城镇下水道水质标准》（GB/T31962-2015）B等级标准后，通过园区污水管网进入四方地与碧谷园区污水处理厂处理；综上，项目进入四方地与碧谷园区污水处理厂的最大水量约为</w:t>
            </w:r>
            <w:r>
              <w:rPr>
                <w:rFonts w:hint="eastAsia" w:ascii="Times New Roman" w:cs="Times New Roman" w:hAnsiTheme="minorEastAsia"/>
                <w:color w:val="000000" w:themeColor="text1"/>
                <w:sz w:val="24"/>
                <w:szCs w:val="24"/>
              </w:rPr>
              <w:t>1.28</w:t>
            </w:r>
            <w:r>
              <w:rPr>
                <w:rFonts w:ascii="Times New Roman" w:cs="Times New Roman" w:hAnsiTheme="minorEastAsia"/>
                <w:color w:val="000000" w:themeColor="text1"/>
                <w:sz w:val="24"/>
                <w:szCs w:val="24"/>
              </w:rPr>
              <w:t>m³/d，根据调查，目前实际运营规模约为</w:t>
            </w:r>
            <w:r>
              <w:rPr>
                <w:rFonts w:hint="eastAsia" w:ascii="Times New Roman" w:cs="Times New Roman" w:hAnsiTheme="minorEastAsia"/>
                <w:color w:val="000000" w:themeColor="text1"/>
                <w:sz w:val="24"/>
                <w:szCs w:val="24"/>
              </w:rPr>
              <w:t>40</w:t>
            </w:r>
            <w:r>
              <w:rPr>
                <w:rFonts w:ascii="Times New Roman" w:cs="Times New Roman" w:hAnsiTheme="minorEastAsia"/>
                <w:color w:val="000000" w:themeColor="text1"/>
                <w:sz w:val="24"/>
                <w:szCs w:val="24"/>
              </w:rPr>
              <w:t>0m³/d，处理余量较大，可满足本项目生产废水的处理要求。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3 \* GB2 </w:instrText>
            </w:r>
            <w:r>
              <w:rPr>
                <w:rFonts w:ascii="Times New Roman" w:hAnsi="Times New Roman" w:cs="Times New Roman"/>
                <w:b/>
                <w:color w:val="000000" w:themeColor="text1"/>
                <w:sz w:val="24"/>
              </w:rPr>
              <w:fldChar w:fldCharType="separate"/>
            </w:r>
            <w:r>
              <w:rPr>
                <w:rFonts w:cs="Times New Roman" w:asciiTheme="minorEastAsia" w:hAnsiTheme="minorEastAsia"/>
                <w:b/>
                <w:color w:val="000000" w:themeColor="text1"/>
                <w:sz w:val="24"/>
              </w:rPr>
              <w:t>⑶</w:t>
            </w:r>
            <w:r>
              <w:rPr>
                <w:rFonts w:ascii="Times New Roman" w:hAnsi="Times New Roman" w:cs="Times New Roman"/>
                <w:b/>
                <w:color w:val="000000" w:themeColor="text1"/>
                <w:sz w:val="24"/>
              </w:rPr>
              <w:fldChar w:fldCharType="end"/>
            </w:r>
            <w:r>
              <w:rPr>
                <w:rFonts w:ascii="Times New Roman" w:cs="Times New Roman" w:hAnsiTheme="minorEastAsia"/>
                <w:b/>
                <w:color w:val="000000" w:themeColor="text1"/>
                <w:sz w:val="24"/>
                <w:szCs w:val="24"/>
              </w:rPr>
              <w:t>废水进入四方地与碧谷园区污水处理厂的可行性及达标性分析</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根据调查，</w:t>
            </w:r>
            <w:r>
              <w:rPr>
                <w:rFonts w:hint="eastAsia" w:ascii="Times New Roman" w:cs="Times New Roman" w:hAnsiTheme="minorEastAsia"/>
                <w:color w:val="000000" w:themeColor="text1"/>
                <w:sz w:val="24"/>
                <w:szCs w:val="24"/>
              </w:rPr>
              <w:t>项目厂区现有生活污水已经化粪池处理后，通过园区管网全部进入</w:t>
            </w:r>
            <w:r>
              <w:rPr>
                <w:rFonts w:ascii="Times New Roman" w:cs="Times New Roman" w:hAnsiTheme="minorEastAsia"/>
                <w:color w:val="000000" w:themeColor="text1"/>
                <w:sz w:val="24"/>
                <w:szCs w:val="24"/>
              </w:rPr>
              <w:t>四方地与碧谷园区污水处理厂</w:t>
            </w:r>
            <w:r>
              <w:rPr>
                <w:rFonts w:hint="eastAsia" w:ascii="Times New Roman" w:cs="Times New Roman" w:hAnsiTheme="minorEastAsia"/>
                <w:color w:val="000000" w:themeColor="text1"/>
                <w:sz w:val="24"/>
                <w:szCs w:val="24"/>
              </w:rPr>
              <w:t>，因此项目生活污水</w:t>
            </w:r>
            <w:r>
              <w:rPr>
                <w:rFonts w:ascii="Times New Roman" w:cs="Times New Roman" w:hAnsiTheme="minorEastAsia"/>
                <w:color w:val="000000" w:themeColor="text1"/>
                <w:sz w:val="24"/>
                <w:szCs w:val="24"/>
              </w:rPr>
              <w:t>进入四方地与碧谷园区污水处理厂的可行</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根据工程分析，项目生活污水经隔油池、化粪池处理后可达到《污水排入城镇下水道水质标准》（GB/T31962-2015）B等级标准。</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综上，本项目产生的生活污水经隔油池、化粪池处理，达到《污水排入城镇下水道水质标准》（</w:t>
            </w:r>
            <w:r>
              <w:rPr>
                <w:rFonts w:ascii="Times New Roman" w:hAnsi="Times New Roman" w:cs="Times New Roman"/>
                <w:color w:val="000000" w:themeColor="text1"/>
                <w:sz w:val="24"/>
                <w:szCs w:val="24"/>
              </w:rPr>
              <w:t>GB/T31962-2015</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w:t>
            </w:r>
            <w:r>
              <w:rPr>
                <w:rFonts w:ascii="Times New Roman" w:cs="Times New Roman" w:hAnsiTheme="minorEastAsia"/>
                <w:color w:val="000000" w:themeColor="text1"/>
                <w:sz w:val="24"/>
                <w:szCs w:val="24"/>
              </w:rPr>
              <w:t>等级标准后，可通过园区污水管网进入四方地与碧谷园区污水处理厂处理集中处置，对环境影响较小。</w:t>
            </w:r>
          </w:p>
          <w:p>
            <w:pPr>
              <w:spacing w:line="360" w:lineRule="auto"/>
              <w:ind w:firstLine="482" w:firstLineChars="200"/>
              <w:rPr>
                <w:rFonts w:ascii="Times New Roman" w:hAnsi="Times New Roman" w:cs="Times New Roman"/>
                <w:b/>
                <w:color w:val="000000" w:themeColor="text1"/>
                <w:sz w:val="24"/>
              </w:rPr>
            </w:pPr>
            <w:r>
              <w:rPr>
                <w:rFonts w:hint="eastAsia" w:cs="Times New Roman" w:asciiTheme="minorEastAsia" w:hAnsiTheme="minorEastAsia"/>
                <w:b/>
                <w:color w:val="000000" w:themeColor="text1"/>
                <w:sz w:val="24"/>
              </w:rPr>
              <w:t>③</w:t>
            </w:r>
            <w:r>
              <w:rPr>
                <w:rFonts w:ascii="Times New Roman" w:cs="Times New Roman" w:hAnsiTheme="minorEastAsia"/>
                <w:b/>
                <w:color w:val="000000" w:themeColor="text1"/>
                <w:sz w:val="24"/>
              </w:rPr>
              <w:t>初期雨水环境影响分析</w:t>
            </w:r>
          </w:p>
          <w:p>
            <w:pPr>
              <w:pStyle w:val="32"/>
              <w:ind w:firstLine="480"/>
              <w:rPr>
                <w:rFonts w:hAnsiTheme="minorEastAsia" w:eastAsiaTheme="minorEastAsia"/>
                <w:color w:val="000000" w:themeColor="text1"/>
                <w:szCs w:val="24"/>
              </w:rPr>
            </w:pPr>
            <w:r>
              <w:rPr>
                <w:rFonts w:hAnsiTheme="minorEastAsia" w:eastAsiaTheme="minorEastAsia"/>
                <w:color w:val="000000" w:themeColor="text1"/>
                <w:szCs w:val="24"/>
              </w:rPr>
              <w:t>根据工程分析可知，本项目</w:t>
            </w:r>
            <w:r>
              <w:rPr>
                <w:rFonts w:hint="eastAsia" w:hAnsiTheme="minorEastAsia" w:eastAsiaTheme="minorEastAsia"/>
                <w:color w:val="000000" w:themeColor="text1"/>
                <w:szCs w:val="24"/>
              </w:rPr>
              <w:t>厂区</w:t>
            </w:r>
            <w:r>
              <w:rPr>
                <w:rFonts w:hAnsiTheme="minorEastAsia" w:eastAsiaTheme="minorEastAsia"/>
                <w:color w:val="000000" w:themeColor="text1"/>
                <w:szCs w:val="24"/>
              </w:rPr>
              <w:t>初期雨水产生量约为</w:t>
            </w:r>
            <w:r>
              <w:rPr>
                <w:rFonts w:hint="eastAsia" w:hAnsiTheme="minorEastAsia" w:eastAsiaTheme="minorEastAsia"/>
                <w:color w:val="000000" w:themeColor="text1"/>
                <w:szCs w:val="24"/>
              </w:rPr>
              <w:t>80</w:t>
            </w:r>
            <w:r>
              <w:rPr>
                <w:rFonts w:hAnsiTheme="minorEastAsia" w:eastAsiaTheme="minorEastAsia"/>
                <w:color w:val="000000" w:themeColor="text1"/>
                <w:szCs w:val="24"/>
              </w:rPr>
              <w:t>m³/次，厂区设置雨污分流，</w:t>
            </w:r>
            <w:r>
              <w:rPr>
                <w:rFonts w:hint="eastAsia" w:hAnsiTheme="minorEastAsia" w:eastAsiaTheme="minorEastAsia"/>
                <w:color w:val="000000" w:themeColor="text1"/>
                <w:szCs w:val="24"/>
              </w:rPr>
              <w:t>建设单位已在本项目区旁配套设置了1个</w:t>
            </w:r>
            <w:r>
              <w:rPr>
                <w:rFonts w:hAnsiTheme="minorEastAsia" w:eastAsiaTheme="minorEastAsia"/>
                <w:color w:val="000000" w:themeColor="text1"/>
                <w:szCs w:val="24"/>
              </w:rPr>
              <w:t>150m³的初期雨水收集池，初期雨水收集池的容积可满足收集要求，</w:t>
            </w:r>
            <w:r>
              <w:rPr>
                <w:rFonts w:hint="eastAsia" w:hAnsiTheme="minorEastAsia" w:eastAsiaTheme="minorEastAsia"/>
                <w:color w:val="000000" w:themeColor="text1"/>
                <w:szCs w:val="24"/>
              </w:rPr>
              <w:t>初期雨水经收集沉淀处理后，</w:t>
            </w:r>
            <w:r>
              <w:rPr>
                <w:rFonts w:hAnsiTheme="minorEastAsia" w:eastAsiaTheme="minorEastAsia"/>
                <w:color w:val="000000" w:themeColor="text1"/>
                <w:szCs w:val="24"/>
              </w:rPr>
              <w:t>可达到《城市污水再生利用  工业用水水质》（GB/T 19923-2005）标准，</w:t>
            </w:r>
            <w:r>
              <w:rPr>
                <w:rFonts w:hint="eastAsia" w:hAnsiTheme="minorEastAsia" w:eastAsiaTheme="minorEastAsia"/>
                <w:color w:val="000000" w:themeColor="text1"/>
                <w:szCs w:val="24"/>
              </w:rPr>
              <w:t>全部回用于生产车间，不外排。</w:t>
            </w:r>
            <w:r>
              <w:rPr>
                <w:rFonts w:hAnsiTheme="minorEastAsia" w:eastAsiaTheme="minorEastAsia"/>
                <w:color w:val="000000" w:themeColor="text1"/>
                <w:szCs w:val="24"/>
              </w:rPr>
              <w:t>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pStyle w:val="32"/>
              <w:ind w:firstLine="480"/>
              <w:rPr>
                <w:color w:val="000000" w:themeColor="text1"/>
                <w:szCs w:val="24"/>
              </w:rPr>
            </w:pPr>
            <w:r>
              <w:rPr>
                <w:color w:val="000000" w:themeColor="text1"/>
                <w:szCs w:val="24"/>
              </w:rPr>
              <w:t>项目噪声污染源主要为设备噪声，其源强如下表所示。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5"/>
              <w:gridCol w:w="567"/>
              <w:gridCol w:w="2126"/>
              <w:gridCol w:w="709"/>
              <w:gridCol w:w="1276"/>
              <w:gridCol w:w="850"/>
              <w:gridCol w:w="1276"/>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 w:hRule="atLeast"/>
                <w:jc w:val="center"/>
              </w:trPr>
              <w:tc>
                <w:tcPr>
                  <w:tcW w:w="73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56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212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70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设施参数</w:t>
                  </w:r>
                </w:p>
              </w:tc>
              <w:tc>
                <w:tcPr>
                  <w:tcW w:w="1276"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cs="Times New Roman"/>
                      <w:color w:val="000000" w:themeColor="text1"/>
                    </w:rPr>
                    <w:t>产生强度〔</w:t>
                  </w:r>
                  <w:r>
                    <w:rPr>
                      <w:rFonts w:ascii="Times New Roman" w:hAnsi="Times New Roman" w:cs="Times New Roman"/>
                      <w:color w:val="000000" w:themeColor="text1"/>
                    </w:rPr>
                    <w:t>dB</w:t>
                  </w:r>
                  <w:r>
                    <w:rPr>
                      <w:rFonts w:ascii="Times New Roman" w:cs="Times New Roman"/>
                      <w:color w:val="000000" w:themeColor="text1"/>
                    </w:rPr>
                    <w:t>（</w:t>
                  </w:r>
                  <w:r>
                    <w:rPr>
                      <w:rFonts w:ascii="Times New Roman" w:hAnsi="Times New Roman" w:cs="Times New Roman"/>
                      <w:color w:val="000000" w:themeColor="text1"/>
                    </w:rPr>
                    <w:t>A</w:t>
                  </w:r>
                  <w:r>
                    <w:rPr>
                      <w:rFonts w:ascii="Times New Roman" w:cs="Times New Roman"/>
                      <w:color w:val="000000" w:themeColor="text1"/>
                    </w:rPr>
                    <w:t>）〕</w:t>
                  </w:r>
                </w:p>
              </w:tc>
              <w:tc>
                <w:tcPr>
                  <w:tcW w:w="850" w:type="dxa"/>
                  <w:tcBorders>
                    <w:left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降噪措施</w:t>
                  </w:r>
                </w:p>
              </w:tc>
              <w:tc>
                <w:tcPr>
                  <w:tcW w:w="1276" w:type="dxa"/>
                  <w:tcBorders>
                    <w:left w:val="single" w:color="auto" w:sz="4" w:space="0"/>
                    <w:righ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排放强度〔dB（A）〕</w:t>
                  </w:r>
                </w:p>
              </w:tc>
              <w:tc>
                <w:tcPr>
                  <w:tcW w:w="1066" w:type="dxa"/>
                  <w:tcBorders>
                    <w:left w:val="single" w:color="auto" w:sz="4" w:space="0"/>
                  </w:tcBorders>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restart"/>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主体工程</w:t>
                  </w:r>
                </w:p>
              </w:tc>
              <w:tc>
                <w:tcPr>
                  <w:tcW w:w="567" w:type="dxa"/>
                  <w:vMerge w:val="restart"/>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预处理车间</w:t>
                  </w: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振动给料机</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65</w:t>
                  </w:r>
                </w:p>
              </w:tc>
              <w:tc>
                <w:tcPr>
                  <w:tcW w:w="850" w:type="dxa"/>
                  <w:vMerge w:val="restar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减震垫、消声器、墙体阻隔等</w:t>
                  </w: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55</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MQG1836格子型球磨机</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70</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CTB1021磁选机</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70</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渣浆泵</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75</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65</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皮带机</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1套</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65</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55</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restart"/>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磁性物选别车间</w:t>
                  </w: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1021高频细筛</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60</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50</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MQY1245溢流型球磨机</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70</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φ1200螺旋溜槽</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4套</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70</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云天摇床</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4套</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75</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65</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GW-3过滤机</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70</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Φ1200*21000烘干机</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75</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65</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CTB0918弱磁机</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70</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50m²的板框压滤机</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70</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渣浆泵</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75</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65</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皮带机</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1套</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65</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55</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restart"/>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非磁性物选别车间</w:t>
                  </w: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φ1200螺旋溜槽</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3组</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70</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150m²板框压滤机</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70</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GP-30-6盘式过滤机</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70</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渣浆泵</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75</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65</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皮带机</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1套</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65</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55</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restart"/>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储运工程</w:t>
                  </w:r>
                </w:p>
              </w:tc>
              <w:tc>
                <w:tcPr>
                  <w:tcW w:w="567" w:type="dxa"/>
                  <w:vMerge w:val="restart"/>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原料仓</w:t>
                  </w: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装载机</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70</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间歇性产生，</w:t>
                  </w:r>
                  <w:r>
                    <w:rPr>
                      <w:rFonts w:hint="eastAsia" w:ascii="Times New Roman" w:hAnsi="Times New Roman" w:eastAsia="宋体" w:cs="Times New Roman"/>
                      <w:color w:val="000000" w:themeColor="text1"/>
                      <w:kern w:val="32"/>
                    </w:rPr>
                    <w:t>8</w:t>
                  </w:r>
                  <w:r>
                    <w:rPr>
                      <w:rFonts w:ascii="Times New Roman" w:hAnsi="Times New Roman" w:eastAsia="宋体" w:cs="Times New Roman"/>
                      <w:color w:val="000000" w:themeColor="text1"/>
                      <w:kern w:val="32"/>
                    </w:rPr>
                    <w:t>h/d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567"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叉车</w:t>
                  </w:r>
                </w:p>
              </w:tc>
              <w:tc>
                <w:tcPr>
                  <w:tcW w:w="709"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1台</w:t>
                  </w:r>
                </w:p>
              </w:tc>
              <w:tc>
                <w:tcPr>
                  <w:tcW w:w="1276"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850"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76"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70</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间歇性产生，</w:t>
                  </w:r>
                  <w:r>
                    <w:rPr>
                      <w:rFonts w:hint="eastAsia" w:ascii="Times New Roman" w:hAnsi="Times New Roman" w:eastAsia="宋体" w:cs="Times New Roman"/>
                      <w:color w:val="000000" w:themeColor="text1"/>
                      <w:kern w:val="32"/>
                    </w:rPr>
                    <w:t>8</w:t>
                  </w:r>
                  <w:r>
                    <w:rPr>
                      <w:rFonts w:ascii="Times New Roman" w:hAnsi="Times New Roman" w:eastAsia="宋体" w:cs="Times New Roman"/>
                      <w:color w:val="000000" w:themeColor="text1"/>
                      <w:kern w:val="32"/>
                    </w:rPr>
                    <w:t>h/d</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预测模式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本次评价场界噪声预测采用点源衰减模式，把项目区作为1个整体预测，预测场界外1m处噪声贡献值。预测公式如下：</w:t>
            </w:r>
          </w:p>
          <w:p>
            <w:pPr>
              <w:pStyle w:val="45"/>
              <w:ind w:firstLine="0"/>
              <w:jc w:val="center"/>
              <w:rPr>
                <w:color w:val="000000" w:themeColor="text1"/>
              </w:rPr>
            </w:pPr>
            <w:r>
              <w:rPr>
                <w:color w:val="000000" w:themeColor="text1"/>
              </w:rPr>
              <w:t>Lr=Lr</w:t>
            </w:r>
            <w:r>
              <w:rPr>
                <w:color w:val="000000" w:themeColor="text1"/>
                <w:vertAlign w:val="subscript"/>
              </w:rPr>
              <w:t>0</w:t>
            </w:r>
            <w:r>
              <w:rPr>
                <w:color w:val="000000" w:themeColor="text1"/>
              </w:rPr>
              <w:t>-20lg（r/r</w:t>
            </w:r>
            <w:r>
              <w:rPr>
                <w:color w:val="000000" w:themeColor="text1"/>
                <w:vertAlign w:val="subscript"/>
              </w:rPr>
              <w:t>0</w:t>
            </w:r>
            <w:r>
              <w:rPr>
                <w:color w:val="000000" w:themeColor="text1"/>
              </w:rPr>
              <w:t>）-</w:t>
            </w:r>
            <w:r>
              <w:rPr>
                <w:rFonts w:ascii="Cambria Math"/>
                <w:color w:val="000000" w:themeColor="text1"/>
              </w:rPr>
              <w:t>△</w:t>
            </w:r>
            <w:r>
              <w:rPr>
                <w:color w:val="000000" w:themeColor="text1"/>
              </w:rPr>
              <w:t>L</w:t>
            </w:r>
          </w:p>
          <w:p>
            <w:pPr>
              <w:pStyle w:val="45"/>
              <w:rPr>
                <w:color w:val="000000" w:themeColor="text1"/>
              </w:rPr>
            </w:pPr>
            <w:r>
              <w:rPr>
                <w:color w:val="000000" w:themeColor="text1"/>
              </w:rPr>
              <w:t>式中：Lr--距声源r处的A声压级，dB（A）；</w:t>
            </w:r>
          </w:p>
          <w:p>
            <w:pPr>
              <w:pStyle w:val="45"/>
              <w:ind w:firstLine="1228" w:firstLineChars="512"/>
              <w:rPr>
                <w:color w:val="000000" w:themeColor="text1"/>
              </w:rPr>
            </w:pPr>
            <w:r>
              <w:rPr>
                <w:color w:val="000000" w:themeColor="text1"/>
              </w:rPr>
              <w:t>Lr</w:t>
            </w:r>
            <w:r>
              <w:rPr>
                <w:color w:val="000000" w:themeColor="text1"/>
                <w:vertAlign w:val="subscript"/>
              </w:rPr>
              <w:t>0</w:t>
            </w:r>
            <w:r>
              <w:rPr>
                <w:color w:val="000000" w:themeColor="text1"/>
              </w:rPr>
              <w:t>--距声源r</w:t>
            </w:r>
            <w:r>
              <w:rPr>
                <w:color w:val="000000" w:themeColor="text1"/>
                <w:vertAlign w:val="subscript"/>
              </w:rPr>
              <w:t>0</w:t>
            </w:r>
            <w:r>
              <w:rPr>
                <w:color w:val="000000" w:themeColor="text1"/>
              </w:rPr>
              <w:t>处的A声压级，dB（A）；</w:t>
            </w:r>
          </w:p>
          <w:p>
            <w:pPr>
              <w:pStyle w:val="45"/>
              <w:ind w:firstLine="1228" w:firstLineChars="512"/>
              <w:rPr>
                <w:color w:val="000000" w:themeColor="text1"/>
              </w:rPr>
            </w:pPr>
            <w:r>
              <w:rPr>
                <w:color w:val="000000" w:themeColor="text1"/>
              </w:rPr>
              <w:t>r--预测点与声源的距离，m；</w:t>
            </w:r>
          </w:p>
          <w:p>
            <w:pPr>
              <w:pStyle w:val="45"/>
              <w:ind w:firstLine="1228" w:firstLineChars="512"/>
              <w:rPr>
                <w:color w:val="000000" w:themeColor="text1"/>
              </w:rPr>
            </w:pPr>
            <w:r>
              <w:rPr>
                <w:color w:val="000000" w:themeColor="text1"/>
              </w:rPr>
              <w:t>r</w:t>
            </w:r>
            <w:r>
              <w:rPr>
                <w:color w:val="000000" w:themeColor="text1"/>
                <w:vertAlign w:val="subscript"/>
              </w:rPr>
              <w:t>0</w:t>
            </w:r>
            <w:r>
              <w:rPr>
                <w:color w:val="000000" w:themeColor="text1"/>
              </w:rPr>
              <w:t>--监测设备噪声时的距离，m；</w:t>
            </w:r>
          </w:p>
          <w:p>
            <w:pPr>
              <w:pStyle w:val="45"/>
              <w:ind w:firstLine="1228" w:firstLineChars="512"/>
              <w:rPr>
                <w:color w:val="000000" w:themeColor="text1"/>
              </w:rPr>
            </w:pPr>
            <w:r>
              <w:rPr>
                <w:rFonts w:ascii="Cambria Math"/>
                <w:color w:val="000000" w:themeColor="text1"/>
              </w:rPr>
              <w:t>△</w:t>
            </w:r>
            <w:r>
              <w:rPr>
                <w:color w:val="000000" w:themeColor="text1"/>
              </w:rPr>
              <w:t>L--主要为墙体吸收等衰减，本项目取值为15dB（A）；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预测参数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根据项目平面布置图，测算出项目区主要建筑物距离厂界的最近距离分别是：东面</w:t>
            </w:r>
            <w:r>
              <w:rPr>
                <w:rFonts w:hint="eastAsia"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m、南面</w:t>
            </w:r>
            <w:r>
              <w:rPr>
                <w:rFonts w:hint="eastAsia" w:ascii="Times New Roman" w:hAnsi="Times New Roman" w:cs="Times New Roman"/>
                <w:color w:val="000000" w:themeColor="text1"/>
                <w:sz w:val="24"/>
                <w:szCs w:val="24"/>
              </w:rPr>
              <w:t>100</w:t>
            </w:r>
            <w:r>
              <w:rPr>
                <w:rFonts w:ascii="Times New Roman" w:hAnsi="Times New Roman" w:cs="Times New Roman"/>
                <w:color w:val="000000" w:themeColor="text1"/>
                <w:sz w:val="24"/>
                <w:szCs w:val="24"/>
              </w:rPr>
              <w:t>m、西面</w:t>
            </w:r>
            <w:r>
              <w:rPr>
                <w:rFonts w:hint="eastAsia"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m、北面</w:t>
            </w:r>
            <w:r>
              <w:rPr>
                <w:rFonts w:hint="eastAsia" w:ascii="Times New Roman" w:hAnsi="Times New Roman" w:cs="Times New Roman"/>
                <w:color w:val="000000" w:themeColor="text1"/>
                <w:sz w:val="24"/>
                <w:szCs w:val="24"/>
              </w:rPr>
              <w:t>46</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本次场界噪声预测点为场界外1m，即噪声衰减计算距离在上述值的基础上增加1m。</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③</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预测结果及分析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根据预测公式计算出机械噪声对场界的影响，预测结果见下表。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表4.2.3-2  项目厂界声预测值    单位：dB（A）</w:t>
            </w:r>
          </w:p>
          <w:tbl>
            <w:tblPr>
              <w:tblStyle w:val="14"/>
              <w:tblW w:w="5000" w:type="pct"/>
              <w:jc w:val="center"/>
              <w:tblLayout w:type="fixed"/>
              <w:tblCellMar>
                <w:top w:w="0" w:type="dxa"/>
                <w:left w:w="108" w:type="dxa"/>
                <w:bottom w:w="0" w:type="dxa"/>
                <w:right w:w="108" w:type="dxa"/>
              </w:tblCellMar>
            </w:tblPr>
            <w:tblGrid>
              <w:gridCol w:w="733"/>
              <w:gridCol w:w="1240"/>
              <w:gridCol w:w="1064"/>
              <w:gridCol w:w="1080"/>
              <w:gridCol w:w="855"/>
              <w:gridCol w:w="856"/>
              <w:gridCol w:w="994"/>
              <w:gridCol w:w="936"/>
              <w:gridCol w:w="842"/>
            </w:tblGrid>
            <w:tr>
              <w:trPr>
                <w:jc w:val="center"/>
              </w:trPr>
              <w:tc>
                <w:tcPr>
                  <w:tcW w:w="733"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噪声区域</w:t>
                  </w:r>
                </w:p>
              </w:tc>
              <w:tc>
                <w:tcPr>
                  <w:tcW w:w="2304"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机械名称</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采取措施后声级</w:t>
                  </w:r>
                </w:p>
              </w:tc>
              <w:tc>
                <w:tcPr>
                  <w:tcW w:w="855"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东面</w:t>
                  </w:r>
                </w:p>
              </w:tc>
              <w:tc>
                <w:tcPr>
                  <w:tcW w:w="856"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南面</w:t>
                  </w:r>
                </w:p>
              </w:tc>
              <w:tc>
                <w:tcPr>
                  <w:tcW w:w="994"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西面</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北面</w:t>
                  </w:r>
                </w:p>
              </w:tc>
              <w:tc>
                <w:tcPr>
                  <w:tcW w:w="842" w:type="dxa"/>
                  <w:tcBorders>
                    <w:top w:val="single" w:color="000000" w:sz="8" w:space="0"/>
                    <w:left w:val="nil"/>
                    <w:bottom w:val="single" w:color="000000" w:sz="8" w:space="0"/>
                    <w:right w:val="single" w:color="000000" w:sz="8" w:space="0"/>
                  </w:tcBorders>
                  <w:shd w:val="clear" w:color="auto" w:fill="auto"/>
                  <w:vAlign w:val="center"/>
                </w:tcPr>
                <w:p>
                  <w:pPr>
                    <w:pStyle w:val="24"/>
                    <w:widowControl w:val="0"/>
                    <w:spacing w:line="360" w:lineRule="exact"/>
                    <w:rPr>
                      <w:color w:val="000000" w:themeColor="text1"/>
                    </w:rPr>
                  </w:pPr>
                  <w:r>
                    <w:rPr>
                      <w:color w:val="000000" w:themeColor="text1"/>
                    </w:rPr>
                    <w:t>标准</w:t>
                  </w:r>
                </w:p>
              </w:tc>
            </w:tr>
            <w:tr>
              <w:trPr>
                <w:jc w:val="center"/>
              </w:trPr>
              <w:tc>
                <w:tcPr>
                  <w:tcW w:w="733" w:type="dxa"/>
                  <w:vMerge w:val="continue"/>
                  <w:tcBorders>
                    <w:top w:val="single" w:color="000000" w:sz="8"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厂界距离</w:t>
                  </w:r>
                </w:p>
              </w:tc>
              <w:tc>
                <w:tcPr>
                  <w:tcW w:w="108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1m</w:t>
                  </w:r>
                </w:p>
              </w:tc>
              <w:tc>
                <w:tcPr>
                  <w:tcW w:w="85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50</w:t>
                  </w:r>
                  <w:r>
                    <w:rPr>
                      <w:rFonts w:ascii="Times New Roman" w:hAnsi="Times New Roman" w:eastAsia="宋体" w:cs="Times New Roman"/>
                      <w:color w:val="000000" w:themeColor="text1"/>
                      <w:kern w:val="32"/>
                    </w:rPr>
                    <w:t>m</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100</w:t>
                  </w:r>
                  <w:r>
                    <w:rPr>
                      <w:rFonts w:ascii="Times New Roman" w:hAnsi="Times New Roman" w:eastAsia="宋体" w:cs="Times New Roman"/>
                      <w:color w:val="000000" w:themeColor="text1"/>
                      <w:kern w:val="32"/>
                    </w:rPr>
                    <w:t>m</w:t>
                  </w:r>
                </w:p>
              </w:tc>
              <w:tc>
                <w:tcPr>
                  <w:tcW w:w="99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21</w:t>
                  </w:r>
                  <w:r>
                    <w:rPr>
                      <w:rFonts w:ascii="Times New Roman" w:hAnsi="Times New Roman" w:eastAsia="宋体" w:cs="Times New Roman"/>
                      <w:color w:val="000000" w:themeColor="text1"/>
                      <w:kern w:val="32"/>
                    </w:rPr>
                    <w:t>m</w:t>
                  </w:r>
                </w:p>
              </w:tc>
              <w:tc>
                <w:tcPr>
                  <w:tcW w:w="93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46</w:t>
                  </w:r>
                  <w:r>
                    <w:rPr>
                      <w:rFonts w:ascii="Times New Roman" w:hAnsi="Times New Roman" w:eastAsia="宋体" w:cs="Times New Roman"/>
                      <w:color w:val="000000" w:themeColor="text1"/>
                      <w:kern w:val="32"/>
                    </w:rPr>
                    <w:t>m</w:t>
                  </w:r>
                </w:p>
              </w:tc>
              <w:tc>
                <w:tcPr>
                  <w:tcW w:w="842" w:type="dxa"/>
                  <w:vMerge w:val="restart"/>
                  <w:tcBorders>
                    <w:top w:val="nil"/>
                    <w:left w:val="nil"/>
                    <w:right w:val="single" w:color="000000" w:sz="8" w:space="0"/>
                  </w:tcBorders>
                  <w:shd w:val="clear" w:color="auto" w:fill="auto"/>
                  <w:vAlign w:val="center"/>
                </w:tcPr>
                <w:p>
                  <w:pPr>
                    <w:pStyle w:val="24"/>
                    <w:widowControl w:val="0"/>
                    <w:spacing w:line="360" w:lineRule="exact"/>
                    <w:ind w:firstLine="105" w:firstLineChars="50"/>
                    <w:jc w:val="both"/>
                    <w:rPr>
                      <w:color w:val="000000" w:themeColor="text1"/>
                    </w:rPr>
                  </w:pPr>
                  <w:r>
                    <w:rPr>
                      <w:color w:val="000000" w:themeColor="text1"/>
                    </w:rPr>
                    <w:t>3类标准：昼间65、夜间55</w:t>
                  </w:r>
                </w:p>
              </w:tc>
            </w:tr>
            <w:tr>
              <w:tblPrEx>
                <w:tblCellMar>
                  <w:top w:w="0" w:type="dxa"/>
                  <w:left w:w="108" w:type="dxa"/>
                  <w:bottom w:w="0" w:type="dxa"/>
                  <w:right w:w="108" w:type="dxa"/>
                </w:tblCellMar>
              </w:tblPrEx>
              <w:trPr>
                <w:jc w:val="center"/>
              </w:trPr>
              <w:tc>
                <w:tcPr>
                  <w:tcW w:w="733" w:type="dxa"/>
                  <w:vMerge w:val="restart"/>
                  <w:tcBorders>
                    <w:top w:val="nil"/>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预处理车间</w:t>
                  </w:r>
                </w:p>
              </w:tc>
              <w:tc>
                <w:tcPr>
                  <w:tcW w:w="2304" w:type="dxa"/>
                  <w:gridSpan w:val="2"/>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振动给料机</w:t>
                  </w:r>
                </w:p>
              </w:tc>
              <w:tc>
                <w:tcPr>
                  <w:tcW w:w="108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55</w:t>
                  </w:r>
                </w:p>
              </w:tc>
              <w:tc>
                <w:tcPr>
                  <w:tcW w:w="85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15</w:t>
                  </w:r>
                </w:p>
              </w:tc>
              <w:tc>
                <w:tcPr>
                  <w:tcW w:w="99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28.5</w:t>
                  </w:r>
                </w:p>
              </w:tc>
              <w:tc>
                <w:tcPr>
                  <w:tcW w:w="93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MQG1836格子型球磨机</w:t>
                  </w:r>
                </w:p>
              </w:tc>
              <w:tc>
                <w:tcPr>
                  <w:tcW w:w="108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70</w:t>
                  </w:r>
                </w:p>
              </w:tc>
              <w:tc>
                <w:tcPr>
                  <w:tcW w:w="85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36</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30</w:t>
                  </w:r>
                </w:p>
              </w:tc>
              <w:tc>
                <w:tcPr>
                  <w:tcW w:w="99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43.5</w:t>
                  </w:r>
                </w:p>
              </w:tc>
              <w:tc>
                <w:tcPr>
                  <w:tcW w:w="93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36.7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CTB1021磁选机</w:t>
                  </w:r>
                </w:p>
              </w:tc>
              <w:tc>
                <w:tcPr>
                  <w:tcW w:w="108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85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20</w:t>
                  </w:r>
                </w:p>
              </w:tc>
              <w:tc>
                <w:tcPr>
                  <w:tcW w:w="99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33.5</w:t>
                  </w:r>
                </w:p>
              </w:tc>
              <w:tc>
                <w:tcPr>
                  <w:tcW w:w="93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渣浆泵</w:t>
                  </w:r>
                </w:p>
              </w:tc>
              <w:tc>
                <w:tcPr>
                  <w:tcW w:w="108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65</w:t>
                  </w:r>
                </w:p>
              </w:tc>
              <w:tc>
                <w:tcPr>
                  <w:tcW w:w="85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31</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25</w:t>
                  </w:r>
                </w:p>
              </w:tc>
              <w:tc>
                <w:tcPr>
                  <w:tcW w:w="99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38.5</w:t>
                  </w:r>
                </w:p>
              </w:tc>
              <w:tc>
                <w:tcPr>
                  <w:tcW w:w="93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31.7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left w:val="single" w:color="auto" w:sz="4" w:space="0"/>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皮带机</w:t>
                  </w:r>
                </w:p>
              </w:tc>
              <w:tc>
                <w:tcPr>
                  <w:tcW w:w="1080"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55</w:t>
                  </w:r>
                </w:p>
              </w:tc>
              <w:tc>
                <w:tcPr>
                  <w:tcW w:w="855"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w:t>
                  </w:r>
                </w:p>
              </w:tc>
              <w:tc>
                <w:tcPr>
                  <w:tcW w:w="856"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15</w:t>
                  </w:r>
                </w:p>
              </w:tc>
              <w:tc>
                <w:tcPr>
                  <w:tcW w:w="994"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28.5</w:t>
                  </w:r>
                </w:p>
              </w:tc>
              <w:tc>
                <w:tcPr>
                  <w:tcW w:w="936" w:type="dxa"/>
                  <w:tcBorders>
                    <w:top w:val="nil"/>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restart"/>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磁性物选别车间</w:t>
                  </w: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1021高频细筛</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50</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16</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10</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23.5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16.7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MQY1245溢流型球磨机</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70</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36</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30</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43.5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36.7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φ1200螺旋溜槽</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20</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33.5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云天摇床</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65</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31</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25</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38.5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31.7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GW-3过滤机</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20</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33.5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Φ1200*21000烘干机</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65</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31</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25</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38.5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31.7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CTB0918弱磁机</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20</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33.5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50m²的板框压滤机</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20</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33.5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渣浆泵</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65</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31</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25</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38.5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31.7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皮带机</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55</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15</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28.5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restart"/>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非磁性物选别车间</w:t>
                  </w: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φ1200螺旋溜槽</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20</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33.5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150m²板框压滤机</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20</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33.5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GP-30-6盘式过滤机</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60</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20</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33.5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26.7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渣浆泵</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65</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31</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25</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38.5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31.7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皮带机</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55</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15</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28.5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21.7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restart"/>
                  <w:tcBorders>
                    <w:top w:val="single" w:color="auto" w:sz="4" w:space="0"/>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原料仓</w:t>
                  </w: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装载机</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70</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36</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30</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43.5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36.7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p>
              </w:tc>
              <w:tc>
                <w:tcPr>
                  <w:tcW w:w="2304" w:type="dxa"/>
                  <w:gridSpan w:val="2"/>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叉车</w:t>
                  </w:r>
                </w:p>
              </w:tc>
              <w:tc>
                <w:tcPr>
                  <w:tcW w:w="1080"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70</w:t>
                  </w:r>
                </w:p>
              </w:tc>
              <w:tc>
                <w:tcPr>
                  <w:tcW w:w="855"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36</w:t>
                  </w:r>
                </w:p>
              </w:tc>
              <w:tc>
                <w:tcPr>
                  <w:tcW w:w="85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30</w:t>
                  </w:r>
                </w:p>
              </w:tc>
              <w:tc>
                <w:tcPr>
                  <w:tcW w:w="994"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43.5</w:t>
                  </w:r>
                </w:p>
              </w:tc>
              <w:tc>
                <w:tcPr>
                  <w:tcW w:w="936" w:type="dxa"/>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36.7</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restart"/>
                  <w:tcBorders>
                    <w:top w:val="single" w:color="auto" w:sz="4"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1240" w:type="dxa"/>
                  <w:vMerge w:val="restar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贡献值</w:t>
                  </w:r>
                </w:p>
              </w:tc>
              <w:tc>
                <w:tcPr>
                  <w:tcW w:w="106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昼间</w:t>
                  </w:r>
                </w:p>
              </w:tc>
              <w:tc>
                <w:tcPr>
                  <w:tcW w:w="108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85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44.1</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38.1</w:t>
                  </w:r>
                </w:p>
              </w:tc>
              <w:tc>
                <w:tcPr>
                  <w:tcW w:w="99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51.6</w:t>
                  </w:r>
                </w:p>
              </w:tc>
              <w:tc>
                <w:tcPr>
                  <w:tcW w:w="93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44.8</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top w:val="nil"/>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40" w:type="dxa"/>
                  <w:vMerge w:val="continue"/>
                  <w:tcBorders>
                    <w:top w:val="nil"/>
                    <w:left w:val="nil"/>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06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夜间</w:t>
                  </w:r>
                </w:p>
              </w:tc>
              <w:tc>
                <w:tcPr>
                  <w:tcW w:w="108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85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44.3</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38.7</w:t>
                  </w:r>
                </w:p>
              </w:tc>
              <w:tc>
                <w:tcPr>
                  <w:tcW w:w="99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51.8</w:t>
                  </w:r>
                </w:p>
              </w:tc>
              <w:tc>
                <w:tcPr>
                  <w:tcW w:w="93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45</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restart"/>
                  <w:tcBorders>
                    <w:top w:val="nil"/>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1240" w:type="dxa"/>
                  <w:vMerge w:val="restar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达标性分析</w:t>
                  </w:r>
                </w:p>
              </w:tc>
              <w:tc>
                <w:tcPr>
                  <w:tcW w:w="106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昼间</w:t>
                  </w:r>
                </w:p>
              </w:tc>
              <w:tc>
                <w:tcPr>
                  <w:tcW w:w="108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85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99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93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842" w:type="dxa"/>
                  <w:vMerge w:val="continue"/>
                  <w:tcBorders>
                    <w:left w:val="nil"/>
                    <w:right w:val="single" w:color="000000" w:sz="8" w:space="0"/>
                  </w:tcBorders>
                  <w:vAlign w:val="center"/>
                </w:tcPr>
                <w:p>
                  <w:pPr>
                    <w:pStyle w:val="24"/>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33" w:type="dxa"/>
                  <w:vMerge w:val="continue"/>
                  <w:tcBorders>
                    <w:top w:val="nil"/>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240" w:type="dxa"/>
                  <w:vMerge w:val="continue"/>
                  <w:tcBorders>
                    <w:top w:val="nil"/>
                    <w:left w:val="nil"/>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06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夜间</w:t>
                  </w:r>
                </w:p>
              </w:tc>
              <w:tc>
                <w:tcPr>
                  <w:tcW w:w="1080"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855"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85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99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93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842" w:type="dxa"/>
                  <w:vMerge w:val="continue"/>
                  <w:tcBorders>
                    <w:left w:val="nil"/>
                    <w:bottom w:val="single" w:color="000000" w:sz="8" w:space="0"/>
                    <w:right w:val="single" w:color="000000" w:sz="8" w:space="0"/>
                  </w:tcBorders>
                  <w:vAlign w:val="center"/>
                </w:tcPr>
                <w:p>
                  <w:pPr>
                    <w:pStyle w:val="24"/>
                    <w:widowControl w:val="0"/>
                    <w:spacing w:line="360" w:lineRule="exact"/>
                    <w:rPr>
                      <w:color w:val="000000" w:themeColor="text1"/>
                    </w:rPr>
                  </w:pPr>
                </w:p>
              </w:tc>
            </w:tr>
          </w:tbl>
          <w:p>
            <w:pPr>
              <w:pStyle w:val="32"/>
              <w:spacing w:beforeLines="50"/>
              <w:ind w:firstLine="480"/>
              <w:rPr>
                <w:color w:val="000000" w:themeColor="text1"/>
                <w:szCs w:val="21"/>
              </w:rPr>
            </w:pPr>
            <w:r>
              <w:rPr>
                <w:color w:val="000000" w:themeColor="text1"/>
                <w:szCs w:val="21"/>
              </w:rPr>
              <w:t>从上表可知，项目运营期设备加装减振垫、消音器，噪声墙体阻隔、空气吸收和距离等衰减后，厂界噪声可达到《工业企业厂界环境噪声排放标准》（GB12348-2008）3类标准要求。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32"/>
              <w:ind w:firstLine="480"/>
              <w:rPr>
                <w:rFonts w:eastAsiaTheme="minorEastAsia"/>
                <w:color w:val="000000" w:themeColor="text1"/>
                <w:szCs w:val="24"/>
              </w:rPr>
            </w:pPr>
            <w:r>
              <w:rPr>
                <w:rFonts w:eastAsiaTheme="minorEastAsia"/>
                <w:color w:val="000000" w:themeColor="text1"/>
                <w:szCs w:val="24"/>
              </w:rPr>
              <w:t>根据项目环境保护目标分布，项目区声环境评价范围内无声环境保护目标，因此项目噪声对环境影响较小。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32"/>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26"/>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w:t>
            </w:r>
            <w:r>
              <w:rPr>
                <w:rFonts w:hint="eastAsia" w:hAnsi="Times New Roman" w:eastAsiaTheme="minorEastAsia"/>
                <w:color w:val="000000" w:themeColor="text1"/>
                <w:sz w:val="21"/>
                <w:szCs w:val="21"/>
              </w:rPr>
              <w:t>3</w:t>
            </w:r>
            <w:r>
              <w:rPr>
                <w:rFonts w:hAnsi="Times New Roman" w:eastAsiaTheme="minorEastAsia"/>
                <w:color w:val="000000" w:themeColor="text1"/>
                <w:sz w:val="21"/>
                <w:szCs w:val="21"/>
              </w:rPr>
              <w:t xml:space="preserve">  厂界噪声自行监测计划一览表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1417"/>
              <w:gridCol w:w="1701"/>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最低监测频率</w:t>
                  </w:r>
                </w:p>
              </w:tc>
              <w:tc>
                <w:tcPr>
                  <w:tcW w:w="3476" w:type="dxa"/>
                  <w:vAlign w:val="center"/>
                </w:tcPr>
                <w:p>
                  <w:pPr>
                    <w:pStyle w:val="24"/>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24"/>
                    <w:widowControl w:val="0"/>
                    <w:spacing w:line="360" w:lineRule="exact"/>
                    <w:rPr>
                      <w:rFonts w:eastAsiaTheme="minorEastAsia"/>
                      <w:color w:val="000000" w:themeColor="text1"/>
                    </w:rPr>
                  </w:pPr>
                  <w:r>
                    <w:rPr>
                      <w:rFonts w:eastAsiaTheme="minorEastAsia"/>
                      <w:color w:val="000000" w:themeColor="text1"/>
                    </w:rPr>
                    <w:t>次/季</w:t>
                  </w:r>
                </w:p>
              </w:tc>
              <w:tc>
                <w:tcPr>
                  <w:tcW w:w="3476" w:type="dxa"/>
                  <w:vAlign w:val="center"/>
                </w:tcPr>
                <w:p>
                  <w:pPr>
                    <w:pStyle w:val="24"/>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32"/>
              <w:ind w:firstLine="480"/>
              <w:rPr>
                <w:rFonts w:eastAsiaTheme="minorEastAsia"/>
                <w:color w:val="000000" w:themeColor="text1"/>
                <w:szCs w:val="24"/>
              </w:rPr>
            </w:pPr>
            <w:r>
              <w:rPr>
                <w:rFonts w:eastAsiaTheme="minorEastAsia"/>
                <w:color w:val="000000" w:themeColor="text1"/>
                <w:szCs w:val="24"/>
              </w:rPr>
              <w:t>根据项目工程内容及生产工艺，本项目产生的固体废物包括：</w:t>
            </w:r>
            <w:r>
              <w:rPr>
                <w:rFonts w:hint="eastAsia" w:eastAsiaTheme="minorEastAsia"/>
                <w:color w:val="000000" w:themeColor="text1"/>
                <w:szCs w:val="24"/>
              </w:rPr>
              <w:t>项目对氧化锌尾渣利用后剩余的废渣、</w:t>
            </w:r>
            <w:r>
              <w:rPr>
                <w:rFonts w:eastAsiaTheme="minorEastAsia"/>
                <w:color w:val="000000" w:themeColor="text1"/>
                <w:szCs w:val="24"/>
              </w:rPr>
              <w:t>旋风除尘器和布袋除尘器收集粉尘、设备维修产生的废机油及废弃沾油抹布、生活垃圾。具体如下：</w:t>
            </w:r>
          </w:p>
          <w:p>
            <w:pPr>
              <w:pStyle w:val="32"/>
              <w:ind w:firstLine="482"/>
              <w:rPr>
                <w:rFonts w:ascii="宋体" w:hAnsi="宋体" w:cs="宋体"/>
                <w:b/>
                <w:color w:val="000000" w:themeColor="text1"/>
                <w:szCs w:val="24"/>
              </w:rPr>
            </w:pPr>
            <w:r>
              <w:rPr>
                <w:rFonts w:hint="eastAsia" w:ascii="宋体" w:hAnsi="宋体" w:cs="宋体"/>
                <w:b/>
                <w:color w:val="000000" w:themeColor="text1"/>
                <w:szCs w:val="24"/>
              </w:rPr>
              <w:t>①废渣</w:t>
            </w:r>
          </w:p>
          <w:p>
            <w:pPr>
              <w:pStyle w:val="32"/>
              <w:ind w:firstLine="480"/>
              <w:rPr>
                <w:rFonts w:eastAsiaTheme="minorEastAsia"/>
                <w:color w:val="000000" w:themeColor="text1"/>
                <w:szCs w:val="24"/>
              </w:rPr>
            </w:pPr>
            <w:r>
              <w:rPr>
                <w:rFonts w:hint="eastAsia" w:eastAsiaTheme="minorEastAsia"/>
                <w:color w:val="000000" w:themeColor="text1"/>
                <w:szCs w:val="24"/>
              </w:rPr>
              <w:t>根据物料平衡可知，项目产生的废渣量约为14.3万t/a，本项目通过物理磁选、重选的方式回收氧化锌尾渣中有利用价值的铁和煤，而根据建设单位委托监测单位对氧化锌尾渣进行的属性鉴别，氧化锌尾渣属于第I类一般工业固体废物，而经物理选别后的尾渣同样属于一般工业固体废物。项目拟设置1个600</w:t>
            </w:r>
            <w:r>
              <w:rPr>
                <w:rFonts w:eastAsiaTheme="minorEastAsia"/>
                <w:color w:val="000000" w:themeColor="text1"/>
                <w:szCs w:val="24"/>
              </w:rPr>
              <w:t>m²</w:t>
            </w:r>
            <w:r>
              <w:rPr>
                <w:rFonts w:hint="eastAsia" w:eastAsiaTheme="minorEastAsia"/>
                <w:color w:val="000000" w:themeColor="text1"/>
                <w:szCs w:val="24"/>
              </w:rPr>
              <w:t>废渣暂存库对其进行暂存后，一部分用于会泽县强胜页岩砖厂作为制砖原料，剩余部分委托</w:t>
            </w:r>
            <w:r>
              <w:rPr>
                <w:rFonts w:eastAsiaTheme="minorEastAsia"/>
                <w:color w:val="000000" w:themeColor="text1"/>
                <w:szCs w:val="24"/>
              </w:rPr>
              <w:t>四方地工业园区弃渣场处置</w:t>
            </w:r>
            <w:r>
              <w:rPr>
                <w:rFonts w:hint="eastAsia" w:eastAsiaTheme="minorEastAsia"/>
                <w:color w:val="000000" w:themeColor="text1"/>
                <w:szCs w:val="24"/>
              </w:rPr>
              <w:t>。处置率100%。</w:t>
            </w:r>
          </w:p>
          <w:p>
            <w:pPr>
              <w:pStyle w:val="32"/>
              <w:ind w:firstLine="482"/>
              <w:rPr>
                <w:rFonts w:ascii="宋体" w:hAnsi="宋体" w:cs="宋体"/>
                <w:b/>
                <w:color w:val="000000" w:themeColor="text1"/>
                <w:szCs w:val="24"/>
              </w:rPr>
            </w:pPr>
            <w:r>
              <w:rPr>
                <w:rFonts w:hint="eastAsia" w:ascii="宋体" w:hAnsi="宋体" w:cs="宋体"/>
                <w:b/>
                <w:color w:val="000000" w:themeColor="text1"/>
                <w:szCs w:val="24"/>
              </w:rPr>
              <w:t>②</w:t>
            </w:r>
            <w:r>
              <w:rPr>
                <w:rFonts w:ascii="宋体" w:hAnsi="宋体" w:cs="宋体"/>
                <w:b/>
                <w:color w:val="000000" w:themeColor="text1"/>
                <w:szCs w:val="24"/>
              </w:rPr>
              <w:t>收集粉尘</w:t>
            </w:r>
          </w:p>
          <w:p>
            <w:pPr>
              <w:pStyle w:val="32"/>
              <w:ind w:firstLine="480"/>
              <w:rPr>
                <w:rFonts w:eastAsiaTheme="minorEastAsia"/>
                <w:color w:val="000000" w:themeColor="text1"/>
                <w:szCs w:val="24"/>
              </w:rPr>
            </w:pPr>
            <w:r>
              <w:rPr>
                <w:rFonts w:hint="eastAsia" w:eastAsiaTheme="minorEastAsia"/>
                <w:color w:val="000000" w:themeColor="text1"/>
                <w:szCs w:val="24"/>
              </w:rPr>
              <w:t>项目设置了旋风除尘和布袋除尘对烘干线废气进行处置，旋风除尘器和布袋除尘器收集粉尘的主要成分即为还原铁粉，根据</w:t>
            </w:r>
            <w:r>
              <w:rPr>
                <w:rFonts w:eastAsiaTheme="minorEastAsia"/>
                <w:color w:val="000000" w:themeColor="text1"/>
                <w:szCs w:val="24"/>
              </w:rPr>
              <w:t>废气污染物排放源产排量及达标情况</w:t>
            </w:r>
            <w:r>
              <w:rPr>
                <w:rFonts w:hint="eastAsia" w:eastAsiaTheme="minorEastAsia"/>
                <w:color w:val="000000" w:themeColor="text1"/>
                <w:szCs w:val="24"/>
              </w:rPr>
              <w:t>可知，其收集粉尘产生量约为7.38t/a，该收集粉尘作为还原铁粉产品外卖。处置率100%。</w:t>
            </w:r>
          </w:p>
          <w:p>
            <w:pPr>
              <w:pStyle w:val="32"/>
              <w:ind w:firstLine="482"/>
              <w:rPr>
                <w:rFonts w:ascii="宋体" w:hAnsi="宋体" w:cs="宋体"/>
                <w:b/>
                <w:color w:val="000000" w:themeColor="text1"/>
                <w:szCs w:val="24"/>
              </w:rPr>
            </w:pPr>
            <w:r>
              <w:rPr>
                <w:rFonts w:hint="eastAsia" w:ascii="宋体" w:hAnsi="宋体" w:cs="宋体"/>
                <w:b/>
                <w:color w:val="000000" w:themeColor="text1"/>
                <w:szCs w:val="24"/>
              </w:rPr>
              <w:t>③</w:t>
            </w:r>
            <w:r>
              <w:rPr>
                <w:rFonts w:ascii="宋体" w:hAnsi="宋体" w:cs="宋体"/>
                <w:b/>
                <w:color w:val="000000" w:themeColor="text1"/>
                <w:szCs w:val="24"/>
              </w:rPr>
              <w:t>废机油及废弃沾油抹布</w:t>
            </w:r>
          </w:p>
          <w:p>
            <w:pPr>
              <w:pStyle w:val="32"/>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国家危险废物名录（2021年）（摘抄）</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01"/>
              <w:gridCol w:w="862"/>
              <w:gridCol w:w="1052"/>
              <w:gridCol w:w="301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24"/>
                    <w:spacing w:line="360" w:lineRule="exact"/>
                    <w:rPr>
                      <w:color w:val="000000" w:themeColor="text1"/>
                      <w:szCs w:val="21"/>
                    </w:rPr>
                  </w:pPr>
                  <w:r>
                    <w:rPr>
                      <w:color w:val="000000" w:themeColor="text1"/>
                      <w:szCs w:val="21"/>
                    </w:rPr>
                    <w:t>项目危废</w:t>
                  </w:r>
                </w:p>
              </w:tc>
              <w:tc>
                <w:tcPr>
                  <w:tcW w:w="756" w:type="pct"/>
                  <w:vAlign w:val="center"/>
                </w:tcPr>
                <w:p>
                  <w:pPr>
                    <w:pStyle w:val="24"/>
                    <w:spacing w:line="360" w:lineRule="exact"/>
                    <w:rPr>
                      <w:color w:val="000000" w:themeColor="text1"/>
                      <w:szCs w:val="21"/>
                    </w:rPr>
                  </w:pPr>
                  <w:r>
                    <w:rPr>
                      <w:color w:val="000000" w:themeColor="text1"/>
                      <w:szCs w:val="21"/>
                    </w:rPr>
                    <w:t>废物类别</w:t>
                  </w:r>
                </w:p>
              </w:tc>
              <w:tc>
                <w:tcPr>
                  <w:tcW w:w="501" w:type="pct"/>
                  <w:vAlign w:val="center"/>
                </w:tcPr>
                <w:p>
                  <w:pPr>
                    <w:pStyle w:val="24"/>
                    <w:spacing w:line="360" w:lineRule="exact"/>
                    <w:rPr>
                      <w:color w:val="000000" w:themeColor="text1"/>
                      <w:szCs w:val="21"/>
                    </w:rPr>
                  </w:pPr>
                  <w:r>
                    <w:rPr>
                      <w:color w:val="000000" w:themeColor="text1"/>
                      <w:szCs w:val="21"/>
                    </w:rPr>
                    <w:t>行业来源</w:t>
                  </w:r>
                </w:p>
              </w:tc>
              <w:tc>
                <w:tcPr>
                  <w:tcW w:w="611" w:type="pct"/>
                  <w:vAlign w:val="center"/>
                </w:tcPr>
                <w:p>
                  <w:pPr>
                    <w:pStyle w:val="24"/>
                    <w:spacing w:line="360" w:lineRule="exact"/>
                    <w:rPr>
                      <w:color w:val="000000" w:themeColor="text1"/>
                      <w:szCs w:val="21"/>
                    </w:rPr>
                  </w:pPr>
                  <w:r>
                    <w:rPr>
                      <w:color w:val="000000" w:themeColor="text1"/>
                      <w:szCs w:val="21"/>
                    </w:rPr>
                    <w:t>废物代码</w:t>
                  </w:r>
                </w:p>
              </w:tc>
              <w:tc>
                <w:tcPr>
                  <w:tcW w:w="1749" w:type="pct"/>
                  <w:vAlign w:val="center"/>
                </w:tcPr>
                <w:p>
                  <w:pPr>
                    <w:pStyle w:val="24"/>
                    <w:spacing w:line="360" w:lineRule="exact"/>
                    <w:rPr>
                      <w:color w:val="000000" w:themeColor="text1"/>
                      <w:szCs w:val="21"/>
                    </w:rPr>
                  </w:pPr>
                  <w:r>
                    <w:rPr>
                      <w:color w:val="000000" w:themeColor="text1"/>
                      <w:szCs w:val="21"/>
                    </w:rPr>
                    <w:t>危险废物</w:t>
                  </w:r>
                </w:p>
              </w:tc>
              <w:tc>
                <w:tcPr>
                  <w:tcW w:w="600" w:type="pct"/>
                  <w:vAlign w:val="center"/>
                </w:tcPr>
                <w:p>
                  <w:pPr>
                    <w:pStyle w:val="24"/>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24"/>
                    <w:spacing w:line="360" w:lineRule="exact"/>
                    <w:rPr>
                      <w:color w:val="000000" w:themeColor="text1"/>
                      <w:szCs w:val="21"/>
                    </w:rPr>
                  </w:pPr>
                  <w:r>
                    <w:rPr>
                      <w:color w:val="000000" w:themeColor="text1"/>
                      <w:szCs w:val="21"/>
                    </w:rPr>
                    <w:t>废机油</w:t>
                  </w:r>
                </w:p>
              </w:tc>
              <w:tc>
                <w:tcPr>
                  <w:tcW w:w="756" w:type="pct"/>
                  <w:vAlign w:val="center"/>
                </w:tcPr>
                <w:p>
                  <w:pPr>
                    <w:pStyle w:val="24"/>
                    <w:spacing w:line="360" w:lineRule="exact"/>
                    <w:rPr>
                      <w:color w:val="000000" w:themeColor="text1"/>
                      <w:szCs w:val="21"/>
                    </w:rPr>
                  </w:pPr>
                  <w:r>
                    <w:rPr>
                      <w:color w:val="000000" w:themeColor="text1"/>
                      <w:szCs w:val="21"/>
                    </w:rPr>
                    <w:t>HW08废矿物油与含矿物油废物</w:t>
                  </w:r>
                </w:p>
              </w:tc>
              <w:tc>
                <w:tcPr>
                  <w:tcW w:w="501" w:type="pct"/>
                  <w:vAlign w:val="center"/>
                </w:tcPr>
                <w:p>
                  <w:pPr>
                    <w:pStyle w:val="24"/>
                    <w:spacing w:line="360" w:lineRule="exact"/>
                    <w:rPr>
                      <w:color w:val="000000" w:themeColor="text1"/>
                      <w:szCs w:val="21"/>
                    </w:rPr>
                  </w:pPr>
                  <w:r>
                    <w:rPr>
                      <w:color w:val="000000" w:themeColor="text1"/>
                      <w:szCs w:val="21"/>
                    </w:rPr>
                    <w:t>非特定行业</w:t>
                  </w:r>
                </w:p>
              </w:tc>
              <w:tc>
                <w:tcPr>
                  <w:tcW w:w="611" w:type="pct"/>
                  <w:vAlign w:val="center"/>
                </w:tcPr>
                <w:p>
                  <w:pPr>
                    <w:pStyle w:val="24"/>
                    <w:spacing w:line="360" w:lineRule="exact"/>
                    <w:rPr>
                      <w:color w:val="000000" w:themeColor="text1"/>
                      <w:szCs w:val="21"/>
                    </w:rPr>
                  </w:pPr>
                  <w:r>
                    <w:rPr>
                      <w:color w:val="000000" w:themeColor="text1"/>
                      <w:szCs w:val="21"/>
                    </w:rPr>
                    <w:t>900-214-08</w:t>
                  </w:r>
                </w:p>
              </w:tc>
              <w:tc>
                <w:tcPr>
                  <w:tcW w:w="1749" w:type="pct"/>
                  <w:vAlign w:val="center"/>
                </w:tcPr>
                <w:p>
                  <w:pPr>
                    <w:pStyle w:val="24"/>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600" w:type="pct"/>
                  <w:vAlign w:val="center"/>
                </w:tcPr>
                <w:p>
                  <w:pPr>
                    <w:pStyle w:val="24"/>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24"/>
                    <w:spacing w:line="360" w:lineRule="exact"/>
                    <w:rPr>
                      <w:color w:val="000000" w:themeColor="text1"/>
                      <w:szCs w:val="21"/>
                    </w:rPr>
                  </w:pPr>
                  <w:r>
                    <w:rPr>
                      <w:color w:val="000000" w:themeColor="text1"/>
                      <w:szCs w:val="21"/>
                    </w:rPr>
                    <w:t>沾油的抹布</w:t>
                  </w:r>
                </w:p>
              </w:tc>
              <w:tc>
                <w:tcPr>
                  <w:tcW w:w="756" w:type="pct"/>
                  <w:vAlign w:val="center"/>
                </w:tcPr>
                <w:p>
                  <w:pPr>
                    <w:pStyle w:val="24"/>
                    <w:spacing w:line="360" w:lineRule="exact"/>
                    <w:rPr>
                      <w:color w:val="000000" w:themeColor="text1"/>
                      <w:szCs w:val="21"/>
                    </w:rPr>
                  </w:pPr>
                  <w:r>
                    <w:rPr>
                      <w:color w:val="000000" w:themeColor="text1"/>
                      <w:szCs w:val="21"/>
                    </w:rPr>
                    <w:t>HW49其他废物</w:t>
                  </w:r>
                </w:p>
              </w:tc>
              <w:tc>
                <w:tcPr>
                  <w:tcW w:w="501" w:type="pct"/>
                  <w:vAlign w:val="center"/>
                </w:tcPr>
                <w:p>
                  <w:pPr>
                    <w:pStyle w:val="24"/>
                    <w:spacing w:line="360" w:lineRule="exact"/>
                    <w:rPr>
                      <w:color w:val="000000" w:themeColor="text1"/>
                      <w:szCs w:val="21"/>
                    </w:rPr>
                  </w:pPr>
                  <w:r>
                    <w:rPr>
                      <w:color w:val="000000" w:themeColor="text1"/>
                      <w:szCs w:val="21"/>
                    </w:rPr>
                    <w:t>非特定行业</w:t>
                  </w:r>
                </w:p>
              </w:tc>
              <w:tc>
                <w:tcPr>
                  <w:tcW w:w="611" w:type="pct"/>
                  <w:vAlign w:val="center"/>
                </w:tcPr>
                <w:p>
                  <w:pPr>
                    <w:pStyle w:val="24"/>
                    <w:spacing w:line="360" w:lineRule="exact"/>
                    <w:rPr>
                      <w:color w:val="000000" w:themeColor="text1"/>
                      <w:szCs w:val="21"/>
                    </w:rPr>
                  </w:pPr>
                  <w:r>
                    <w:rPr>
                      <w:color w:val="000000" w:themeColor="text1"/>
                      <w:szCs w:val="21"/>
                    </w:rPr>
                    <w:t>900-041-49</w:t>
                  </w:r>
                </w:p>
              </w:tc>
              <w:tc>
                <w:tcPr>
                  <w:tcW w:w="1749" w:type="pct"/>
                  <w:vAlign w:val="center"/>
                </w:tcPr>
                <w:p>
                  <w:pPr>
                    <w:pStyle w:val="24"/>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600" w:type="pct"/>
                  <w:vAlign w:val="center"/>
                </w:tcPr>
                <w:p>
                  <w:pPr>
                    <w:pStyle w:val="24"/>
                    <w:spacing w:line="360" w:lineRule="exact"/>
                    <w:rPr>
                      <w:color w:val="000000" w:themeColor="text1"/>
                      <w:szCs w:val="21"/>
                    </w:rPr>
                  </w:pPr>
                  <w:r>
                    <w:rPr>
                      <w:color w:val="000000" w:themeColor="text1"/>
                      <w:szCs w:val="21"/>
                    </w:rPr>
                    <w:t>T/In</w:t>
                  </w:r>
                </w:p>
              </w:tc>
            </w:tr>
          </w:tbl>
          <w:p>
            <w:pPr>
              <w:pStyle w:val="32"/>
              <w:spacing w:beforeLines="50"/>
              <w:ind w:firstLine="480"/>
              <w:rPr>
                <w:color w:val="000000" w:themeColor="text1"/>
                <w:szCs w:val="24"/>
              </w:rPr>
            </w:pPr>
            <w:r>
              <w:rPr>
                <w:color w:val="000000" w:themeColor="text1"/>
                <w:szCs w:val="24"/>
              </w:rPr>
              <w:t>根据设计，项目区每年废机油产生量约为80kg，废弃沾油抹布产生量为10kg。根据《国家危险废物名录》（2021版）“危险废物豁免管理清单”的要求，本项目豁免危险废物清单如下：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本项目豁免危险废物清单一览表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80"/>
              <w:gridCol w:w="1251"/>
              <w:gridCol w:w="1656"/>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24"/>
                    <w:spacing w:line="360" w:lineRule="exact"/>
                    <w:rPr>
                      <w:color w:val="000000" w:themeColor="text1"/>
                      <w:szCs w:val="21"/>
                    </w:rPr>
                  </w:pPr>
                  <w:r>
                    <w:rPr>
                      <w:color w:val="000000" w:themeColor="text1"/>
                      <w:szCs w:val="21"/>
                    </w:rPr>
                    <w:t>废物类别</w:t>
                  </w:r>
                </w:p>
              </w:tc>
              <w:tc>
                <w:tcPr>
                  <w:tcW w:w="860" w:type="pct"/>
                  <w:vAlign w:val="center"/>
                </w:tcPr>
                <w:p>
                  <w:pPr>
                    <w:pStyle w:val="24"/>
                    <w:spacing w:line="360" w:lineRule="exact"/>
                    <w:rPr>
                      <w:color w:val="000000" w:themeColor="text1"/>
                      <w:szCs w:val="21"/>
                    </w:rPr>
                  </w:pPr>
                  <w:r>
                    <w:rPr>
                      <w:color w:val="000000" w:themeColor="text1"/>
                      <w:szCs w:val="21"/>
                    </w:rPr>
                    <w:t>危险废物</w:t>
                  </w:r>
                </w:p>
              </w:tc>
              <w:tc>
                <w:tcPr>
                  <w:tcW w:w="727" w:type="pct"/>
                  <w:vAlign w:val="center"/>
                </w:tcPr>
                <w:p>
                  <w:pPr>
                    <w:pStyle w:val="24"/>
                    <w:spacing w:line="360" w:lineRule="exact"/>
                    <w:rPr>
                      <w:color w:val="000000" w:themeColor="text1"/>
                      <w:szCs w:val="21"/>
                    </w:rPr>
                  </w:pPr>
                  <w:r>
                    <w:rPr>
                      <w:color w:val="000000" w:themeColor="text1"/>
                      <w:szCs w:val="21"/>
                    </w:rPr>
                    <w:t>豁免环节</w:t>
                  </w:r>
                </w:p>
              </w:tc>
              <w:tc>
                <w:tcPr>
                  <w:tcW w:w="962" w:type="pct"/>
                  <w:vAlign w:val="center"/>
                </w:tcPr>
                <w:p>
                  <w:pPr>
                    <w:pStyle w:val="24"/>
                    <w:spacing w:line="360" w:lineRule="exact"/>
                    <w:rPr>
                      <w:color w:val="000000" w:themeColor="text1"/>
                      <w:szCs w:val="21"/>
                    </w:rPr>
                  </w:pPr>
                  <w:r>
                    <w:rPr>
                      <w:color w:val="000000" w:themeColor="text1"/>
                      <w:szCs w:val="21"/>
                    </w:rPr>
                    <w:t>豁免条件</w:t>
                  </w:r>
                </w:p>
              </w:tc>
              <w:tc>
                <w:tcPr>
                  <w:tcW w:w="1562" w:type="pct"/>
                  <w:vAlign w:val="center"/>
                </w:tcPr>
                <w:p>
                  <w:pPr>
                    <w:pStyle w:val="24"/>
                    <w:spacing w:line="360" w:lineRule="exact"/>
                    <w:rPr>
                      <w:color w:val="000000" w:themeColor="text1"/>
                      <w:szCs w:val="21"/>
                    </w:rPr>
                  </w:pPr>
                  <w:r>
                    <w:rPr>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24"/>
                    <w:spacing w:line="360" w:lineRule="exact"/>
                    <w:rPr>
                      <w:color w:val="000000" w:themeColor="text1"/>
                      <w:szCs w:val="21"/>
                    </w:rPr>
                  </w:pPr>
                  <w:r>
                    <w:rPr>
                      <w:color w:val="000000" w:themeColor="text1"/>
                      <w:szCs w:val="21"/>
                    </w:rPr>
                    <w:t>900-041-49</w:t>
                  </w:r>
                </w:p>
              </w:tc>
              <w:tc>
                <w:tcPr>
                  <w:tcW w:w="860" w:type="pct"/>
                  <w:vAlign w:val="center"/>
                </w:tcPr>
                <w:p>
                  <w:pPr>
                    <w:autoSpaceDE w:val="0"/>
                    <w:autoSpaceDN w:val="0"/>
                    <w:adjustRightInd w:val="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废弃的含油抹布、劳保用品</w:t>
                  </w:r>
                </w:p>
              </w:tc>
              <w:tc>
                <w:tcPr>
                  <w:tcW w:w="727" w:type="pct"/>
                  <w:vAlign w:val="center"/>
                </w:tcPr>
                <w:p>
                  <w:pPr>
                    <w:pStyle w:val="24"/>
                    <w:spacing w:line="360" w:lineRule="exact"/>
                    <w:rPr>
                      <w:color w:val="000000" w:themeColor="text1"/>
                      <w:szCs w:val="21"/>
                    </w:rPr>
                  </w:pPr>
                  <w:r>
                    <w:rPr>
                      <w:color w:val="000000" w:themeColor="text1"/>
                      <w:szCs w:val="21"/>
                    </w:rPr>
                    <w:t>全部环节</w:t>
                  </w:r>
                </w:p>
              </w:tc>
              <w:tc>
                <w:tcPr>
                  <w:tcW w:w="962" w:type="pct"/>
                  <w:vAlign w:val="center"/>
                </w:tcPr>
                <w:p>
                  <w:pPr>
                    <w:pStyle w:val="24"/>
                    <w:spacing w:line="360" w:lineRule="exact"/>
                    <w:rPr>
                      <w:color w:val="000000" w:themeColor="text1"/>
                      <w:szCs w:val="21"/>
                    </w:rPr>
                  </w:pPr>
                  <w:r>
                    <w:rPr>
                      <w:color w:val="000000" w:themeColor="text1"/>
                      <w:szCs w:val="21"/>
                    </w:rPr>
                    <w:t>未分类收集</w:t>
                  </w:r>
                </w:p>
              </w:tc>
              <w:tc>
                <w:tcPr>
                  <w:tcW w:w="1562" w:type="pct"/>
                  <w:vAlign w:val="center"/>
                </w:tcPr>
                <w:p>
                  <w:pPr>
                    <w:pStyle w:val="24"/>
                    <w:spacing w:line="360" w:lineRule="exact"/>
                    <w:rPr>
                      <w:color w:val="000000" w:themeColor="text1"/>
                      <w:szCs w:val="21"/>
                    </w:rPr>
                  </w:pPr>
                  <w:r>
                    <w:rPr>
                      <w:color w:val="000000" w:themeColor="text1"/>
                      <w:szCs w:val="21"/>
                    </w:rPr>
                    <w:t>全过程不按危险废物管理</w:t>
                  </w:r>
                </w:p>
              </w:tc>
            </w:tr>
          </w:tbl>
          <w:p>
            <w:pPr>
              <w:pStyle w:val="32"/>
              <w:spacing w:beforeLines="50"/>
              <w:ind w:firstLine="480"/>
              <w:rPr>
                <w:color w:val="000000" w:themeColor="text1"/>
                <w:szCs w:val="24"/>
              </w:rPr>
            </w:pPr>
            <w:r>
              <w:rPr>
                <w:color w:val="000000" w:themeColor="text1"/>
                <w:szCs w:val="24"/>
              </w:rPr>
              <w:t>由上表可知，项目产生的废弃沾油抹布全部环节已被豁免，按一般固体废物管理要求管理；针对项目产生的废机油，</w:t>
            </w:r>
            <w:r>
              <w:rPr>
                <w:rFonts w:hint="eastAsia"/>
                <w:color w:val="000000" w:themeColor="text1"/>
                <w:szCs w:val="24"/>
              </w:rPr>
              <w:t>厂区已建设了</w:t>
            </w:r>
            <w:r>
              <w:rPr>
                <w:color w:val="000000" w:themeColor="text1"/>
                <w:szCs w:val="24"/>
              </w:rPr>
              <w:t>1个</w:t>
            </w:r>
            <w:r>
              <w:rPr>
                <w:rFonts w:hint="eastAsia"/>
                <w:color w:val="000000" w:themeColor="text1"/>
                <w:szCs w:val="24"/>
              </w:rPr>
              <w:t>20</w:t>
            </w:r>
            <w:r>
              <w:rPr>
                <w:color w:val="000000" w:themeColor="text1"/>
                <w:szCs w:val="24"/>
              </w:rPr>
              <w:t>m²的危险废物贮存间对项目区废机油等危险废物进行暂存</w:t>
            </w:r>
            <w:r>
              <w:rPr>
                <w:rFonts w:hint="eastAsia"/>
                <w:color w:val="000000" w:themeColor="text1"/>
                <w:szCs w:val="24"/>
              </w:rPr>
              <w:t>；废机油部分用于生产设备润滑使用，无法使用部分委托有资质的单位处置</w:t>
            </w:r>
            <w:r>
              <w:rPr>
                <w:color w:val="000000" w:themeColor="text1"/>
                <w:szCs w:val="24"/>
              </w:rPr>
              <w:t>。</w:t>
            </w:r>
          </w:p>
          <w:p>
            <w:pPr>
              <w:pStyle w:val="32"/>
              <w:ind w:firstLine="482"/>
              <w:rPr>
                <w:rFonts w:eastAsiaTheme="minorEastAsia"/>
                <w:b/>
                <w:color w:val="000000" w:themeColor="text1"/>
                <w:szCs w:val="24"/>
              </w:rPr>
            </w:pPr>
            <w:r>
              <w:rPr>
                <w:rFonts w:hint="eastAsia" w:ascii="宋体" w:hAnsi="宋体" w:cs="宋体"/>
                <w:b/>
                <w:color w:val="000000" w:themeColor="text1"/>
                <w:szCs w:val="24"/>
              </w:rPr>
              <w:t>④</w:t>
            </w:r>
            <w:r>
              <w:rPr>
                <w:rFonts w:eastAsiaTheme="minorEastAsia"/>
                <w:b/>
                <w:color w:val="000000" w:themeColor="text1"/>
                <w:szCs w:val="24"/>
              </w:rPr>
              <w:t>生活垃圾</w:t>
            </w:r>
          </w:p>
          <w:p>
            <w:pPr>
              <w:pStyle w:val="32"/>
              <w:ind w:firstLine="480"/>
              <w:rPr>
                <w:rFonts w:eastAsiaTheme="minorEastAsia"/>
                <w:color w:val="000000" w:themeColor="text1"/>
                <w:szCs w:val="24"/>
              </w:rPr>
            </w:pPr>
            <w:r>
              <w:rPr>
                <w:rFonts w:eastAsiaTheme="minorEastAsia"/>
                <w:color w:val="000000" w:themeColor="text1"/>
                <w:szCs w:val="24"/>
              </w:rPr>
              <w:t>根据项目特点可知，</w:t>
            </w:r>
            <w:r>
              <w:rPr>
                <w:rFonts w:hint="eastAsia" w:eastAsiaTheme="minorEastAsia"/>
                <w:color w:val="000000" w:themeColor="text1"/>
                <w:szCs w:val="24"/>
              </w:rPr>
              <w:t>本项目新增</w:t>
            </w:r>
            <w:r>
              <w:rPr>
                <w:rFonts w:eastAsiaTheme="minorEastAsia"/>
                <w:color w:val="000000" w:themeColor="text1"/>
                <w:szCs w:val="24"/>
              </w:rPr>
              <w:t>员工</w:t>
            </w:r>
            <w:r>
              <w:rPr>
                <w:rFonts w:hint="eastAsia" w:eastAsiaTheme="minorEastAsia"/>
                <w:color w:val="000000" w:themeColor="text1"/>
                <w:szCs w:val="24"/>
              </w:rPr>
              <w:t>20</w:t>
            </w:r>
            <w:r>
              <w:rPr>
                <w:rFonts w:eastAsiaTheme="minorEastAsia"/>
                <w:color w:val="000000" w:themeColor="text1"/>
                <w:szCs w:val="24"/>
              </w:rPr>
              <w:t>人，生活产生量按1kg/（人·d）计，则生活垃圾产生量为</w:t>
            </w:r>
            <w:r>
              <w:rPr>
                <w:rFonts w:hint="eastAsia" w:eastAsiaTheme="minorEastAsia"/>
                <w:color w:val="000000" w:themeColor="text1"/>
                <w:szCs w:val="24"/>
              </w:rPr>
              <w:t>20</w:t>
            </w:r>
            <w:r>
              <w:rPr>
                <w:rFonts w:eastAsiaTheme="minorEastAsia"/>
                <w:color w:val="000000" w:themeColor="text1"/>
                <w:szCs w:val="24"/>
              </w:rPr>
              <w:t>kg/d（</w:t>
            </w:r>
            <w:r>
              <w:rPr>
                <w:rFonts w:hint="eastAsia" w:eastAsiaTheme="minorEastAsia"/>
                <w:color w:val="000000" w:themeColor="text1"/>
                <w:szCs w:val="24"/>
              </w:rPr>
              <w:t>6.6</w:t>
            </w:r>
            <w:r>
              <w:rPr>
                <w:rFonts w:eastAsiaTheme="minorEastAsia"/>
                <w:color w:val="000000" w:themeColor="text1"/>
                <w:szCs w:val="24"/>
              </w:rPr>
              <w:t>t/a）。生活垃圾集中收集后，委托环卫部门定期清运处置，处置率为100%。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32"/>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26"/>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3</w:t>
            </w:r>
            <w:r>
              <w:rPr>
                <w:rFonts w:hAnsi="Times New Roman" w:eastAsiaTheme="minorEastAsia"/>
                <w:color w:val="000000" w:themeColor="text1"/>
                <w:sz w:val="21"/>
                <w:szCs w:val="21"/>
              </w:rPr>
              <w:t xml:space="preserve">  固体废物环境影响和保护措施分析一览表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1"/>
              <w:gridCol w:w="993"/>
              <w:gridCol w:w="850"/>
              <w:gridCol w:w="851"/>
              <w:gridCol w:w="850"/>
              <w:gridCol w:w="1843"/>
              <w:gridCol w:w="1824"/>
              <w:gridCol w:w="9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序号</w:t>
                  </w:r>
                </w:p>
              </w:tc>
              <w:tc>
                <w:tcPr>
                  <w:tcW w:w="99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产生环节</w:t>
                  </w:r>
                </w:p>
              </w:tc>
              <w:tc>
                <w:tcPr>
                  <w:tcW w:w="8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名称</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属性</w:t>
                  </w:r>
                </w:p>
              </w:tc>
              <w:tc>
                <w:tcPr>
                  <w:tcW w:w="8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产生量</w:t>
                  </w:r>
                </w:p>
              </w:tc>
              <w:tc>
                <w:tcPr>
                  <w:tcW w:w="184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贮存方式</w:t>
                  </w:r>
                </w:p>
              </w:tc>
              <w:tc>
                <w:tcPr>
                  <w:tcW w:w="182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4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1</w:t>
                  </w:r>
                </w:p>
              </w:tc>
              <w:tc>
                <w:tcPr>
                  <w:tcW w:w="993"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生产车间</w:t>
                  </w:r>
                </w:p>
              </w:tc>
              <w:tc>
                <w:tcPr>
                  <w:tcW w:w="850"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废渣</w:t>
                  </w:r>
                </w:p>
              </w:tc>
              <w:tc>
                <w:tcPr>
                  <w:tcW w:w="851"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850"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14.3万t/a</w:t>
                  </w:r>
                </w:p>
              </w:tc>
              <w:tc>
                <w:tcPr>
                  <w:tcW w:w="1843" w:type="dxa"/>
                  <w:vAlign w:val="center"/>
                </w:tcPr>
                <w:p>
                  <w:pPr>
                    <w:pStyle w:val="24"/>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项目拟设置1个600</w:t>
                  </w:r>
                  <w:r>
                    <w:rPr>
                      <w:rFonts w:eastAsiaTheme="minorEastAsia"/>
                      <w:color w:val="000000" w:themeColor="text1"/>
                      <w:szCs w:val="24"/>
                    </w:rPr>
                    <w:t>m²</w:t>
                  </w:r>
                  <w:r>
                    <w:rPr>
                      <w:rFonts w:hint="eastAsia" w:eastAsiaTheme="minorEastAsia"/>
                      <w:color w:val="000000" w:themeColor="text1"/>
                      <w:szCs w:val="24"/>
                    </w:rPr>
                    <w:t>废渣暂存库对其进行暂存。</w:t>
                  </w:r>
                </w:p>
              </w:tc>
              <w:tc>
                <w:tcPr>
                  <w:tcW w:w="1824" w:type="dxa"/>
                  <w:vAlign w:val="center"/>
                </w:tcPr>
                <w:p>
                  <w:pPr>
                    <w:pStyle w:val="24"/>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一部分用于会泽县强胜页岩砖厂作为制砖原料，剩余部分委托</w:t>
                  </w:r>
                  <w:r>
                    <w:rPr>
                      <w:rFonts w:eastAsiaTheme="minorEastAsia"/>
                      <w:color w:val="000000" w:themeColor="text1"/>
                      <w:szCs w:val="24"/>
                    </w:rPr>
                    <w:t>四方地工业园区弃渣场处置</w:t>
                  </w:r>
                  <w:r>
                    <w:rPr>
                      <w:rFonts w:hint="eastAsia" w:eastAsiaTheme="minorEastAsia"/>
                      <w:color w:val="000000" w:themeColor="text1"/>
                      <w:szCs w:val="24"/>
                    </w:rPr>
                    <w:t>。</w:t>
                  </w:r>
                </w:p>
              </w:tc>
              <w:tc>
                <w:tcPr>
                  <w:tcW w:w="943"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14.3万t/a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2</w:t>
                  </w:r>
                </w:p>
              </w:tc>
              <w:tc>
                <w:tcPr>
                  <w:tcW w:w="99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旋风除尘器和布袋除尘器</w:t>
                  </w:r>
                </w:p>
              </w:tc>
              <w:tc>
                <w:tcPr>
                  <w:tcW w:w="8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收集粉尘</w:t>
                  </w:r>
                </w:p>
              </w:tc>
              <w:tc>
                <w:tcPr>
                  <w:tcW w:w="851"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850"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7.38t/a</w:t>
                  </w:r>
                </w:p>
              </w:tc>
              <w:tc>
                <w:tcPr>
                  <w:tcW w:w="1843" w:type="dxa"/>
                  <w:vAlign w:val="center"/>
                </w:tcPr>
                <w:p>
                  <w:pPr>
                    <w:pStyle w:val="24"/>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直接包装入库。</w:t>
                  </w:r>
                </w:p>
              </w:tc>
              <w:tc>
                <w:tcPr>
                  <w:tcW w:w="1824" w:type="dxa"/>
                  <w:vAlign w:val="center"/>
                </w:tcPr>
                <w:p>
                  <w:pPr>
                    <w:pStyle w:val="24"/>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收集粉尘的主要成分即为还原铁粉，作为还原铁粉产品外卖。</w:t>
                  </w:r>
                </w:p>
              </w:tc>
              <w:tc>
                <w:tcPr>
                  <w:tcW w:w="943"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7.38t/a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restart"/>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3</w:t>
                  </w:r>
                </w:p>
              </w:tc>
              <w:tc>
                <w:tcPr>
                  <w:tcW w:w="993"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设备维护</w:t>
                  </w:r>
                </w:p>
              </w:tc>
              <w:tc>
                <w:tcPr>
                  <w:tcW w:w="8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废机油</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危险废物</w:t>
                  </w:r>
                </w:p>
              </w:tc>
              <w:tc>
                <w:tcPr>
                  <w:tcW w:w="8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80kg/a</w:t>
                  </w:r>
                </w:p>
              </w:tc>
              <w:tc>
                <w:tcPr>
                  <w:tcW w:w="1843" w:type="dxa"/>
                  <w:vAlign w:val="center"/>
                </w:tcPr>
                <w:p>
                  <w:pPr>
                    <w:pStyle w:val="24"/>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厂区已建设了</w:t>
                  </w:r>
                  <w:r>
                    <w:rPr>
                      <w:rFonts w:eastAsiaTheme="minorEastAsia"/>
                      <w:color w:val="000000" w:themeColor="text1"/>
                      <w:szCs w:val="24"/>
                    </w:rPr>
                    <w:t>1个</w:t>
                  </w:r>
                  <w:r>
                    <w:rPr>
                      <w:rFonts w:hint="eastAsia" w:eastAsiaTheme="minorEastAsia"/>
                      <w:color w:val="000000" w:themeColor="text1"/>
                      <w:szCs w:val="24"/>
                    </w:rPr>
                    <w:t>20</w:t>
                  </w:r>
                  <w:r>
                    <w:rPr>
                      <w:rFonts w:eastAsiaTheme="minorEastAsia"/>
                      <w:color w:val="000000" w:themeColor="text1"/>
                      <w:szCs w:val="24"/>
                    </w:rPr>
                    <w:t>m²的危险废物贮存间对项目区废机油等危险废物进行暂存</w:t>
                  </w:r>
                  <w:r>
                    <w:rPr>
                      <w:rFonts w:hint="eastAsia" w:eastAsiaTheme="minorEastAsia"/>
                      <w:color w:val="000000" w:themeColor="text1"/>
                      <w:szCs w:val="24"/>
                    </w:rPr>
                    <w:t>。</w:t>
                  </w:r>
                </w:p>
              </w:tc>
              <w:tc>
                <w:tcPr>
                  <w:tcW w:w="1824" w:type="dxa"/>
                  <w:vAlign w:val="center"/>
                </w:tcPr>
                <w:p>
                  <w:pPr>
                    <w:pStyle w:val="24"/>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部分用于生产设备润滑使用，无法使用部分委托有资质的单位处置</w:t>
                  </w:r>
                  <w:r>
                    <w:rPr>
                      <w:rFonts w:eastAsiaTheme="minorEastAsia"/>
                      <w:color w:val="000000" w:themeColor="text1"/>
                      <w:szCs w:val="24"/>
                    </w:rPr>
                    <w:t>。</w:t>
                  </w:r>
                </w:p>
              </w:tc>
              <w:tc>
                <w:tcPr>
                  <w:tcW w:w="94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vAlign w:val="center"/>
                </w:tcPr>
                <w:p>
                  <w:pPr>
                    <w:pStyle w:val="24"/>
                    <w:spacing w:line="360" w:lineRule="exact"/>
                    <w:rPr>
                      <w:rFonts w:eastAsiaTheme="minorEastAsia"/>
                      <w:color w:val="000000" w:themeColor="text1"/>
                      <w:szCs w:val="21"/>
                    </w:rPr>
                  </w:pPr>
                </w:p>
              </w:tc>
              <w:tc>
                <w:tcPr>
                  <w:tcW w:w="993" w:type="dxa"/>
                  <w:vMerge w:val="continue"/>
                  <w:vAlign w:val="center"/>
                </w:tcPr>
                <w:p>
                  <w:pPr>
                    <w:pStyle w:val="24"/>
                    <w:spacing w:line="360" w:lineRule="exact"/>
                    <w:rPr>
                      <w:rFonts w:eastAsiaTheme="minorEastAsia"/>
                      <w:color w:val="000000" w:themeColor="text1"/>
                      <w:szCs w:val="21"/>
                    </w:rPr>
                  </w:pPr>
                </w:p>
              </w:tc>
              <w:tc>
                <w:tcPr>
                  <w:tcW w:w="8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豁免的危险废物</w:t>
                  </w:r>
                </w:p>
              </w:tc>
              <w:tc>
                <w:tcPr>
                  <w:tcW w:w="8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10kg/a</w:t>
                  </w:r>
                </w:p>
              </w:tc>
              <w:tc>
                <w:tcPr>
                  <w:tcW w:w="1843" w:type="dxa"/>
                  <w:vAlign w:val="center"/>
                </w:tcPr>
                <w:p>
                  <w:pPr>
                    <w:pStyle w:val="24"/>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使用垃圾桶集中收集</w:t>
                  </w:r>
                </w:p>
              </w:tc>
              <w:tc>
                <w:tcPr>
                  <w:tcW w:w="1824" w:type="dxa"/>
                  <w:vAlign w:val="center"/>
                </w:tcPr>
                <w:p>
                  <w:pPr>
                    <w:pStyle w:val="24"/>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r>
                    <w:rPr>
                      <w:rFonts w:hint="eastAsia" w:eastAsiaTheme="minorEastAsia"/>
                      <w:color w:val="000000" w:themeColor="text1"/>
                      <w:szCs w:val="24"/>
                    </w:rPr>
                    <w:t>。</w:t>
                  </w:r>
                </w:p>
              </w:tc>
              <w:tc>
                <w:tcPr>
                  <w:tcW w:w="94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4</w:t>
                  </w:r>
                </w:p>
              </w:tc>
              <w:tc>
                <w:tcPr>
                  <w:tcW w:w="993"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员工生活</w:t>
                  </w:r>
                </w:p>
              </w:tc>
              <w:tc>
                <w:tcPr>
                  <w:tcW w:w="85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生活垃圾</w:t>
                  </w:r>
                </w:p>
              </w:tc>
              <w:tc>
                <w:tcPr>
                  <w:tcW w:w="85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生活固废</w:t>
                  </w:r>
                </w:p>
              </w:tc>
              <w:tc>
                <w:tcPr>
                  <w:tcW w:w="850"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6.6</w:t>
                  </w:r>
                  <w:r>
                    <w:rPr>
                      <w:rFonts w:eastAsiaTheme="minorEastAsia"/>
                      <w:color w:val="000000" w:themeColor="text1"/>
                      <w:szCs w:val="21"/>
                    </w:rPr>
                    <w:t>t/a</w:t>
                  </w:r>
                </w:p>
              </w:tc>
              <w:tc>
                <w:tcPr>
                  <w:tcW w:w="1843" w:type="dxa"/>
                  <w:vAlign w:val="center"/>
                </w:tcPr>
                <w:p>
                  <w:pPr>
                    <w:pStyle w:val="24"/>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使用垃圾桶集中收集，日产日清</w:t>
                  </w:r>
                  <w:r>
                    <w:rPr>
                      <w:rFonts w:hint="eastAsia" w:eastAsiaTheme="minorEastAsia"/>
                      <w:color w:val="000000" w:themeColor="text1"/>
                      <w:szCs w:val="24"/>
                    </w:rPr>
                    <w:t>。</w:t>
                  </w:r>
                </w:p>
              </w:tc>
              <w:tc>
                <w:tcPr>
                  <w:tcW w:w="1824" w:type="dxa"/>
                  <w:vAlign w:val="center"/>
                </w:tcPr>
                <w:p>
                  <w:pPr>
                    <w:pStyle w:val="24"/>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r>
                    <w:rPr>
                      <w:rFonts w:hint="eastAsia" w:eastAsiaTheme="minorEastAsia"/>
                      <w:color w:val="000000" w:themeColor="text1"/>
                      <w:szCs w:val="24"/>
                    </w:rPr>
                    <w:t>。</w:t>
                  </w:r>
                </w:p>
              </w:tc>
              <w:tc>
                <w:tcPr>
                  <w:tcW w:w="943"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6.6</w:t>
                  </w:r>
                  <w:r>
                    <w:rPr>
                      <w:rFonts w:eastAsiaTheme="minorEastAsia"/>
                      <w:color w:val="000000" w:themeColor="text1"/>
                      <w:szCs w:val="21"/>
                    </w:rPr>
                    <w:t>t/a</w:t>
                  </w:r>
                </w:p>
              </w:tc>
            </w:tr>
          </w:tbl>
          <w:p>
            <w:pPr>
              <w:pStyle w:val="32"/>
              <w:spacing w:beforeLines="50"/>
              <w:ind w:firstLine="480"/>
              <w:rPr>
                <w:rFonts w:eastAsiaTheme="minorEastAsia"/>
                <w:color w:val="000000" w:themeColor="text1"/>
                <w:szCs w:val="21"/>
              </w:rPr>
            </w:pPr>
            <w:r>
              <w:rPr>
                <w:rFonts w:eastAsiaTheme="minorEastAsia"/>
                <w:color w:val="000000" w:themeColor="text1"/>
                <w:szCs w:val="21"/>
              </w:rPr>
              <w:t>根据项目特点，</w:t>
            </w:r>
            <w:r>
              <w:rPr>
                <w:rFonts w:hint="eastAsia" w:eastAsiaTheme="minorEastAsia"/>
                <w:color w:val="000000" w:themeColor="text1"/>
                <w:szCs w:val="21"/>
              </w:rPr>
              <w:t>项目针对固废废物采取的</w:t>
            </w:r>
            <w:r>
              <w:rPr>
                <w:rFonts w:eastAsiaTheme="minorEastAsia"/>
                <w:color w:val="000000" w:themeColor="text1"/>
                <w:szCs w:val="21"/>
              </w:rPr>
              <w:t>保护措施</w:t>
            </w:r>
            <w:r>
              <w:rPr>
                <w:rFonts w:hint="eastAsia" w:eastAsiaTheme="minorEastAsia"/>
                <w:color w:val="000000" w:themeColor="text1"/>
                <w:szCs w:val="21"/>
              </w:rPr>
              <w:t>具体实施如下：</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①针对生产车间产生的生产车间产生的废渣，其属性为一般工业固体废物，项目拟设置1个600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废渣暂存库对其进行暂存后，一部分用于会泽县强胜页岩砖厂作为制砖原料，剩余部分委托</w:t>
            </w:r>
            <w:r>
              <w:rPr>
                <w:rFonts w:ascii="Times New Roman" w:hAnsi="Times New Roman" w:cs="Times New Roman"/>
                <w:color w:val="000000" w:themeColor="text1"/>
                <w:sz w:val="24"/>
                <w:szCs w:val="24"/>
              </w:rPr>
              <w:t>四方地工业园区弃渣场处置</w:t>
            </w:r>
            <w:r>
              <w:rPr>
                <w:rFonts w:hint="eastAsia" w:ascii="Times New Roman" w:hAnsi="Times New Roman" w:cs="Times New Roman"/>
                <w:color w:val="000000" w:themeColor="text1"/>
                <w:sz w:val="24"/>
                <w:szCs w:val="24"/>
              </w:rPr>
              <w:t>。项目拟利用现有渣库进行改造设置600</w:t>
            </w:r>
            <w:r>
              <w:rPr>
                <w:rFonts w:ascii="Times New Roman" w:hAnsi="Times New Roman" w:cs="Times New Roman"/>
                <w:color w:val="000000" w:themeColor="text1"/>
                <w:sz w:val="24"/>
                <w:szCs w:val="24"/>
              </w:rPr>
              <w:t>m²</w:t>
            </w:r>
            <w:r>
              <w:rPr>
                <w:rFonts w:hint="eastAsia" w:ascii="Times New Roman" w:hAnsi="Times New Roman" w:cs="Times New Roman"/>
                <w:color w:val="000000" w:themeColor="text1"/>
                <w:sz w:val="24"/>
                <w:szCs w:val="24"/>
              </w:rPr>
              <w:t>的废渣暂存库，该渣库设有顶棚，但无三面围挡设施。建设过程中对废渣暂存库设置三面围挡。改造后废渣暂存库可满足环保要求，其处置合理。在日常运行过程中，建设单位必须加强废渣处置的管理工作。首先，定期对废渣进行属性鉴别，若废渣鉴别结果属于危险废物，应严格按照危险废物的要求进行废渣处置，并单独办理相关环保手续；其次，建设单位必须加强对废渣接收单位（会泽县强胜页岩砖厂）进行审核，若其不具备处理能力或其各项相关手续不全，则不得向其进行转移。</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②针对项目产生的废机油，厂区已建设了</w:t>
            </w:r>
            <w:r>
              <w:rPr>
                <w:rFonts w:ascii="Times New Roman" w:hAnsi="Times New Roman" w:cs="Times New Roman"/>
                <w:color w:val="000000" w:themeColor="text1"/>
                <w:sz w:val="24"/>
                <w:szCs w:val="24"/>
              </w:rPr>
              <w:t>1个</w:t>
            </w:r>
            <w:r>
              <w:rPr>
                <w:rFonts w:hint="eastAsia"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m²的危险废物贮存间对项目区废机油等危险废物进行暂存</w:t>
            </w:r>
            <w:r>
              <w:rPr>
                <w:rFonts w:hint="eastAsia" w:ascii="Times New Roman" w:hAnsi="Times New Roman" w:cs="Times New Roman"/>
                <w:color w:val="000000" w:themeColor="text1"/>
                <w:sz w:val="24"/>
                <w:szCs w:val="24"/>
              </w:rPr>
              <w:t>。部分用于生产设备润滑使用，无法使用部分委托有资质的单位处置</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目前，虽然</w:t>
            </w:r>
            <w:r>
              <w:rPr>
                <w:rFonts w:ascii="Times New Roman" w:hAnsi="Times New Roman" w:cs="Times New Roman"/>
                <w:color w:val="000000" w:themeColor="text1"/>
                <w:sz w:val="24"/>
                <w:szCs w:val="24"/>
              </w:rPr>
              <w:t>危险废物贮存间</w:t>
            </w:r>
            <w:r>
              <w:rPr>
                <w:rFonts w:hint="eastAsia" w:ascii="Times New Roman" w:hAnsi="Times New Roman" w:cs="Times New Roman"/>
                <w:color w:val="000000" w:themeColor="text1"/>
                <w:sz w:val="24"/>
                <w:szCs w:val="24"/>
              </w:rPr>
              <w:t>地面采用了钢板进行防渗，但裙墙防渗达不到防渗要求，且标识标牌不能满足要求。建设过程拟对</w:t>
            </w:r>
            <w:r>
              <w:rPr>
                <w:rFonts w:ascii="Times New Roman" w:hAnsi="Times New Roman" w:cs="Times New Roman"/>
                <w:color w:val="000000" w:themeColor="text1"/>
                <w:sz w:val="24"/>
                <w:szCs w:val="24"/>
              </w:rPr>
              <w:t>危险废物贮存间</w:t>
            </w:r>
            <w:r>
              <w:rPr>
                <w:rFonts w:hint="eastAsia" w:ascii="Times New Roman" w:hAnsi="Times New Roman" w:cs="Times New Roman"/>
                <w:color w:val="000000" w:themeColor="text1"/>
                <w:sz w:val="24"/>
                <w:szCs w:val="24"/>
              </w:rPr>
              <w:t>进行完善，包括规范设置标识标牌，进行裙墙防渗，内部设置导流渠和收集池等，完善后危险废物贮存间可满足环保要求。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综上，</w:t>
            </w:r>
            <w:r>
              <w:rPr>
                <w:rFonts w:ascii="Times New Roman" w:hAnsi="Times New Roman" w:cs="Times New Roman"/>
                <w:color w:val="000000" w:themeColor="text1"/>
                <w:sz w:val="24"/>
                <w:szCs w:val="24"/>
              </w:rPr>
              <w:t>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（2）环境管理要求</w:t>
            </w:r>
          </w:p>
          <w:p>
            <w:pPr>
              <w:pStyle w:val="32"/>
              <w:ind w:firstLine="482"/>
              <w:rPr>
                <w:rFonts w:eastAsiaTheme="minorEastAsia"/>
                <w:b/>
                <w:color w:val="000000" w:themeColor="text1"/>
                <w:szCs w:val="24"/>
              </w:rPr>
            </w:pPr>
            <w:r>
              <w:rPr>
                <w:rFonts w:eastAsiaTheme="minorEastAsia"/>
                <w:b/>
                <w:color w:val="000000" w:themeColor="text1"/>
                <w:szCs w:val="24"/>
              </w:rPr>
              <w:t>①危险废物管理要求</w:t>
            </w:r>
          </w:p>
          <w:p>
            <w:pPr>
              <w:pStyle w:val="32"/>
              <w:ind w:firstLine="480"/>
              <w:rPr>
                <w:color w:val="000000" w:themeColor="text1"/>
                <w:szCs w:val="24"/>
              </w:rPr>
            </w:pPr>
            <w:r>
              <w:rPr>
                <w:color w:val="000000" w:themeColor="text1"/>
                <w:szCs w:val="24"/>
              </w:rPr>
              <w:t>针对项目产生的危险废物，项目在日常管理过程中，必须严格按照《危险废物贮存污染控制标准》（GB18597-2001）及修改单的要求，在对危险废物的收集、贮存</w:t>
            </w:r>
            <w:r>
              <w:rPr>
                <w:rFonts w:hint="eastAsia"/>
                <w:color w:val="000000" w:themeColor="text1"/>
                <w:szCs w:val="24"/>
              </w:rPr>
              <w:t>、利用</w:t>
            </w:r>
            <w:r>
              <w:rPr>
                <w:color w:val="000000" w:themeColor="text1"/>
                <w:szCs w:val="24"/>
              </w:rPr>
              <w:t>和委托有资质的单位处理过程中，做到下表提出的要求。</w:t>
            </w:r>
          </w:p>
          <w:p>
            <w:pPr>
              <w:pStyle w:val="32"/>
              <w:ind w:firstLine="480"/>
              <w:rPr>
                <w:color w:val="000000" w:themeColor="text1"/>
                <w:szCs w:val="24"/>
              </w:rPr>
            </w:pPr>
          </w:p>
          <w:p>
            <w:pPr>
              <w:pStyle w:val="32"/>
              <w:ind w:firstLine="480"/>
              <w:rPr>
                <w:color w:val="000000" w:themeColor="text1"/>
                <w:szCs w:val="24"/>
              </w:rPr>
            </w:pPr>
          </w:p>
          <w:p>
            <w:pPr>
              <w:pStyle w:val="32"/>
              <w:ind w:firstLine="480"/>
              <w:rPr>
                <w:color w:val="000000" w:themeColor="text1"/>
                <w:szCs w:val="24"/>
              </w:rPr>
            </w:pPr>
          </w:p>
          <w:p>
            <w:pPr>
              <w:pStyle w:val="32"/>
              <w:ind w:firstLine="480"/>
              <w:rPr>
                <w:color w:val="000000" w:themeColor="text1"/>
                <w:szCs w:val="24"/>
              </w:rPr>
            </w:pPr>
          </w:p>
          <w:p>
            <w:pPr>
              <w:pStyle w:val="32"/>
              <w:ind w:firstLine="480"/>
              <w:rPr>
                <w:color w:val="000000" w:themeColor="text1"/>
                <w:szCs w:val="24"/>
              </w:rPr>
            </w:pPr>
          </w:p>
          <w:p>
            <w:pPr>
              <w:pStyle w:val="26"/>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表4.2.4-3 项目危险废物管理要求一览表</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7"/>
              <w:gridCol w:w="816"/>
              <w:gridCol w:w="72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4"/>
                    <w:spacing w:before="78"/>
                    <w:ind w:left="11"/>
                    <w:rPr>
                      <w:rFonts w:eastAsiaTheme="minorEastAsia"/>
                      <w:color w:val="000000" w:themeColor="text1"/>
                    </w:rPr>
                  </w:pPr>
                  <w:r>
                    <w:rPr>
                      <w:rFonts w:eastAsiaTheme="minorEastAsia"/>
                      <w:color w:val="000000" w:themeColor="text1"/>
                    </w:rPr>
                    <w:t>序号</w:t>
                  </w:r>
                </w:p>
              </w:tc>
              <w:tc>
                <w:tcPr>
                  <w:tcW w:w="850" w:type="dxa"/>
                  <w:vAlign w:val="center"/>
                </w:tcPr>
                <w:p>
                  <w:pPr>
                    <w:pStyle w:val="24"/>
                    <w:spacing w:before="78"/>
                    <w:ind w:left="11"/>
                    <w:rPr>
                      <w:rFonts w:eastAsiaTheme="minorEastAsia"/>
                      <w:color w:val="000000" w:themeColor="text1"/>
                    </w:rPr>
                  </w:pPr>
                  <w:r>
                    <w:rPr>
                      <w:rFonts w:eastAsiaTheme="minorEastAsia"/>
                      <w:color w:val="000000" w:themeColor="text1"/>
                    </w:rPr>
                    <w:t>环节</w:t>
                  </w:r>
                </w:p>
              </w:tc>
              <w:tc>
                <w:tcPr>
                  <w:tcW w:w="7688" w:type="dxa"/>
                  <w:vAlign w:val="center"/>
                </w:tcPr>
                <w:p>
                  <w:pPr>
                    <w:pStyle w:val="24"/>
                    <w:spacing w:before="78"/>
                    <w:ind w:left="11"/>
                    <w:rPr>
                      <w:rFonts w:eastAsiaTheme="minorEastAsia"/>
                      <w:color w:val="000000" w:themeColor="text1"/>
                    </w:rPr>
                  </w:pPr>
                  <w:r>
                    <w:rPr>
                      <w:rFonts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4"/>
                    <w:spacing w:before="78"/>
                    <w:ind w:left="11"/>
                    <w:rPr>
                      <w:rFonts w:eastAsiaTheme="minorEastAsia"/>
                      <w:color w:val="000000" w:themeColor="text1"/>
                    </w:rPr>
                  </w:pPr>
                  <w:r>
                    <w:rPr>
                      <w:rFonts w:eastAsiaTheme="minorEastAsia"/>
                      <w:color w:val="000000" w:themeColor="text1"/>
                    </w:rPr>
                    <w:t>1</w:t>
                  </w:r>
                </w:p>
              </w:tc>
              <w:tc>
                <w:tcPr>
                  <w:tcW w:w="850" w:type="dxa"/>
                  <w:vAlign w:val="center"/>
                </w:tcPr>
                <w:p>
                  <w:pPr>
                    <w:pStyle w:val="24"/>
                    <w:spacing w:before="78"/>
                    <w:ind w:left="11"/>
                    <w:rPr>
                      <w:rFonts w:eastAsiaTheme="minorEastAsia"/>
                      <w:color w:val="000000" w:themeColor="text1"/>
                    </w:rPr>
                  </w:pPr>
                  <w:r>
                    <w:rPr>
                      <w:rFonts w:eastAsiaTheme="minorEastAsia"/>
                      <w:color w:val="000000" w:themeColor="text1"/>
                    </w:rPr>
                    <w:t>收集过程</w:t>
                  </w:r>
                </w:p>
              </w:tc>
              <w:tc>
                <w:tcPr>
                  <w:tcW w:w="7688" w:type="dxa"/>
                  <w:vAlign w:val="center"/>
                </w:tcPr>
                <w:p>
                  <w:pPr>
                    <w:pStyle w:val="24"/>
                    <w:spacing w:before="78"/>
                    <w:ind w:left="11" w:firstLine="210" w:firstLineChars="100"/>
                    <w:jc w:val="left"/>
                    <w:rPr>
                      <w:rFonts w:eastAsiaTheme="minorEastAsia"/>
                      <w:color w:val="000000" w:themeColor="text1"/>
                    </w:rPr>
                  </w:pPr>
                  <w:r>
                    <w:rPr>
                      <w:rFonts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4"/>
                    <w:spacing w:before="78"/>
                    <w:ind w:left="11"/>
                    <w:rPr>
                      <w:rFonts w:eastAsiaTheme="minorEastAsia"/>
                      <w:color w:val="000000" w:themeColor="text1"/>
                    </w:rPr>
                  </w:pPr>
                  <w:r>
                    <w:rPr>
                      <w:rFonts w:eastAsiaTheme="minorEastAsia"/>
                      <w:color w:val="000000" w:themeColor="text1"/>
                    </w:rPr>
                    <w:t>2</w:t>
                  </w:r>
                </w:p>
              </w:tc>
              <w:tc>
                <w:tcPr>
                  <w:tcW w:w="850" w:type="dxa"/>
                  <w:vAlign w:val="center"/>
                </w:tcPr>
                <w:p>
                  <w:pPr>
                    <w:pStyle w:val="24"/>
                    <w:spacing w:before="78"/>
                    <w:ind w:left="11"/>
                    <w:rPr>
                      <w:rFonts w:eastAsiaTheme="minorEastAsia"/>
                      <w:color w:val="000000" w:themeColor="text1"/>
                    </w:rPr>
                  </w:pPr>
                  <w:r>
                    <w:rPr>
                      <w:rFonts w:eastAsiaTheme="minorEastAsia"/>
                      <w:color w:val="000000" w:themeColor="text1"/>
                    </w:rPr>
                    <w:t>贮存过程</w:t>
                  </w:r>
                </w:p>
              </w:tc>
              <w:tc>
                <w:tcPr>
                  <w:tcW w:w="7688" w:type="dxa"/>
                  <w:vAlign w:val="center"/>
                </w:tcPr>
                <w:p>
                  <w:pPr>
                    <w:pStyle w:val="24"/>
                    <w:spacing w:before="78"/>
                    <w:ind w:left="11" w:firstLine="210" w:firstLineChars="100"/>
                    <w:jc w:val="left"/>
                    <w:rPr>
                      <w:rFonts w:eastAsiaTheme="minorEastAsia"/>
                      <w:color w:val="000000" w:themeColor="text1"/>
                    </w:rPr>
                  </w:pPr>
                  <w:r>
                    <w:rPr>
                      <w:rFonts w:eastAsiaTheme="minorEastAsia"/>
                      <w:color w:val="000000" w:themeColor="text1"/>
                    </w:rPr>
                    <w:t>①要做好危险废物贮存间的防渗、防泄漏工作。</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②危险废物堆场必须封顶，并做好防雨工作，场内须做好防渗措施。</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③危险废物需用符合标准的容器盛装，容器上需粘贴符合《危险废物贮存污染控制标准》（GB18597-2001）附录A所示的标签。</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④危险废物贮存间必须按GB15562.2《环境保护图形标志—固体废物贮存（处置）场》的规定设置警示标志。</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⑤装载危险废物的容器要满足相应的强度要求，必须完好无损。</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⑥盛装危险废物的容器材质和衬里要与危险废物性质相容（不相互反应）。</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⑦盛装危险废物容器都应有防漏裙脚或储漏盘，防漏裙脚或储漏盘的材料要与危险废物相容。</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⑧作好危险废物贮存情况的记录，记录上须注明危险废物的名称、来源、数量、特性和包装容器的类别、入库日期、存放库位、废物出库日期及接收单位名称。记录和货单在危险废物处置后继续保留三年。</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⑨必须定期对所贮存的危险废物包装容器进行检查，发现破损，应及时采取措施清理更换。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4"/>
                    <w:spacing w:before="78"/>
                    <w:ind w:left="11"/>
                    <w:rPr>
                      <w:rFonts w:eastAsiaTheme="minorEastAsia"/>
                      <w:color w:val="000000" w:themeColor="text1"/>
                    </w:rPr>
                  </w:pPr>
                  <w:r>
                    <w:rPr>
                      <w:rFonts w:eastAsiaTheme="minorEastAsia"/>
                      <w:color w:val="000000" w:themeColor="text1"/>
                    </w:rPr>
                    <w:t>3</w:t>
                  </w:r>
                </w:p>
              </w:tc>
              <w:tc>
                <w:tcPr>
                  <w:tcW w:w="850" w:type="dxa"/>
                  <w:vAlign w:val="center"/>
                </w:tcPr>
                <w:p>
                  <w:pPr>
                    <w:pStyle w:val="24"/>
                    <w:spacing w:before="78"/>
                    <w:ind w:left="11"/>
                    <w:rPr>
                      <w:rFonts w:eastAsiaTheme="minorEastAsia"/>
                      <w:color w:val="000000" w:themeColor="text1"/>
                    </w:rPr>
                  </w:pPr>
                  <w:r>
                    <w:rPr>
                      <w:rFonts w:eastAsiaTheme="minorEastAsia"/>
                      <w:color w:val="000000" w:themeColor="text1"/>
                    </w:rPr>
                    <w:t>委托转移</w:t>
                  </w:r>
                </w:p>
              </w:tc>
              <w:tc>
                <w:tcPr>
                  <w:tcW w:w="7688" w:type="dxa"/>
                  <w:vAlign w:val="center"/>
                </w:tcPr>
                <w:p>
                  <w:pPr>
                    <w:pStyle w:val="24"/>
                    <w:spacing w:before="78"/>
                    <w:ind w:left="11" w:firstLine="210" w:firstLineChars="100"/>
                    <w:jc w:val="left"/>
                    <w:rPr>
                      <w:rFonts w:eastAsiaTheme="minorEastAsia"/>
                      <w:color w:val="000000" w:themeColor="text1"/>
                    </w:rPr>
                  </w:pPr>
                  <w:r>
                    <w:rPr>
                      <w:rFonts w:eastAsiaTheme="minorEastAsia"/>
                      <w:color w:val="000000" w:themeColor="text1"/>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4"/>
                    <w:spacing w:before="78"/>
                    <w:ind w:left="11"/>
                    <w:rPr>
                      <w:rFonts w:eastAsiaTheme="minorEastAsia"/>
                      <w:color w:val="000000" w:themeColor="text1"/>
                    </w:rPr>
                  </w:pPr>
                  <w:r>
                    <w:rPr>
                      <w:rFonts w:eastAsiaTheme="minorEastAsia"/>
                      <w:color w:val="000000" w:themeColor="text1"/>
                    </w:rPr>
                    <w:t>4</w:t>
                  </w:r>
                </w:p>
              </w:tc>
              <w:tc>
                <w:tcPr>
                  <w:tcW w:w="850" w:type="dxa"/>
                  <w:vAlign w:val="center"/>
                </w:tcPr>
                <w:p>
                  <w:pPr>
                    <w:pStyle w:val="24"/>
                    <w:spacing w:before="78"/>
                    <w:ind w:left="11"/>
                    <w:rPr>
                      <w:rFonts w:eastAsiaTheme="minorEastAsia"/>
                      <w:color w:val="000000" w:themeColor="text1"/>
                    </w:rPr>
                  </w:pPr>
                  <w:r>
                    <w:rPr>
                      <w:rFonts w:eastAsiaTheme="minorEastAsia"/>
                      <w:color w:val="000000" w:themeColor="text1"/>
                    </w:rPr>
                    <w:t>危险废物贮存间的建设及管理</w:t>
                  </w:r>
                </w:p>
              </w:tc>
              <w:tc>
                <w:tcPr>
                  <w:tcW w:w="7688" w:type="dxa"/>
                  <w:vAlign w:val="center"/>
                </w:tcPr>
                <w:p>
                  <w:pPr>
                    <w:pStyle w:val="24"/>
                    <w:spacing w:before="78"/>
                    <w:ind w:left="11" w:firstLine="210" w:firstLineChars="100"/>
                    <w:jc w:val="left"/>
                    <w:rPr>
                      <w:rFonts w:eastAsiaTheme="minorEastAsia"/>
                      <w:color w:val="000000" w:themeColor="text1"/>
                    </w:rPr>
                  </w:pPr>
                  <w:r>
                    <w:rPr>
                      <w:rFonts w:eastAsiaTheme="minorEastAsia"/>
                      <w:color w:val="000000" w:themeColor="text1"/>
                    </w:rPr>
                    <w:t>①危险废物贮存间必须要密闭建设，门口内侧设立围堰，地面应做好硬化及“三防”措施；</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②危险废物贮存间门口需张贴标准规范的危险废物标识和危险信息版，屋内张贴企业《危险废物管理制度》；</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③危险废物贮存间需按照“双人双锁”制度管理；</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④不同种类危险废物应有明显的过道划分，墙上张贴危废名称，液体危废需将盛装容器放至防渗漏托盘内并在容器粘贴危险废物标签，固态危险废物包装需完好无破损并系挂危险废物标签，并按要求填写；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⑤建立台账并悬挂于危险废物贮存间内；</w:t>
                  </w:r>
                </w:p>
                <w:p>
                  <w:pPr>
                    <w:pStyle w:val="24"/>
                    <w:spacing w:before="78"/>
                    <w:ind w:left="11" w:firstLine="210" w:firstLineChars="100"/>
                    <w:jc w:val="left"/>
                    <w:rPr>
                      <w:rFonts w:eastAsiaTheme="minorEastAsia"/>
                      <w:color w:val="000000" w:themeColor="text1"/>
                    </w:rPr>
                  </w:pPr>
                  <w:r>
                    <w:rPr>
                      <w:rFonts w:eastAsiaTheme="minorEastAsia"/>
                      <w:color w:val="000000" w:themeColor="text1"/>
                    </w:rPr>
                    <w:t>⑥危险废物贮存间内禁止存放除危险废物及应急工具及其他物品；</w:t>
                  </w:r>
                </w:p>
              </w:tc>
            </w:tr>
          </w:tbl>
          <w:p>
            <w:pPr>
              <w:pStyle w:val="32"/>
              <w:spacing w:beforeLines="50"/>
              <w:ind w:firstLine="482"/>
              <w:rPr>
                <w:rFonts w:eastAsiaTheme="minorEastAsia"/>
                <w:b/>
                <w:color w:val="000000" w:themeColor="text1"/>
                <w:szCs w:val="24"/>
              </w:rPr>
            </w:pPr>
            <w:bookmarkStart w:id="4" w:name="_Toc484976361"/>
            <w:r>
              <w:rPr>
                <w:rFonts w:eastAsiaTheme="minorEastAsia"/>
                <w:b/>
                <w:color w:val="000000" w:themeColor="text1"/>
                <w:szCs w:val="24"/>
              </w:rPr>
              <w:t>②生活垃圾管理要求</w:t>
            </w:r>
          </w:p>
          <w:p>
            <w:pPr>
              <w:pStyle w:val="32"/>
              <w:ind w:firstLine="480"/>
              <w:rPr>
                <w:color w:val="000000" w:themeColor="text1"/>
                <w:szCs w:val="24"/>
              </w:rPr>
            </w:pPr>
            <w:r>
              <w:rPr>
                <w:color w:val="000000" w:themeColor="text1"/>
                <w:szCs w:val="24"/>
              </w:rPr>
              <w:t>项目产生的生活垃圾应做到日产日清。</w:t>
            </w:r>
          </w:p>
          <w:bookmarkEnd w:id="4"/>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32"/>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32"/>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本项目可能对地下水造成污染的途径主要有：废机油等在地面防渗层发生破损的情况下会发生渗漏，对地下水造成污染，其污染物类型包括</w:t>
            </w:r>
            <w:r>
              <w:rPr>
                <w:rFonts w:hint="eastAsia"/>
                <w:color w:val="000000" w:themeColor="text1"/>
                <w:szCs w:val="24"/>
              </w:rPr>
              <w:t>石油类</w:t>
            </w:r>
            <w:r>
              <w:rPr>
                <w:color w:val="000000" w:themeColor="text1"/>
                <w:szCs w:val="24"/>
              </w:rPr>
              <w:t>。</w:t>
            </w:r>
          </w:p>
          <w:p>
            <w:pPr>
              <w:pStyle w:val="32"/>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32"/>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本项目可能对地下水造成污染的途径主要有：危险废物，在地面防渗层发生破损的情况下会发生渗漏，对地下水造成污染。</w:t>
            </w:r>
          </w:p>
          <w:p>
            <w:pPr>
              <w:pStyle w:val="32"/>
              <w:ind w:firstLine="361" w:firstLineChars="150"/>
              <w:rPr>
                <w:rFonts w:eastAsiaTheme="minorEastAsia"/>
                <w:b/>
                <w:color w:val="000000" w:themeColor="text1"/>
                <w:szCs w:val="24"/>
              </w:rPr>
            </w:pPr>
            <w:r>
              <w:rPr>
                <w:rFonts w:eastAsiaTheme="minorEastAsia"/>
                <w:b/>
                <w:color w:val="000000" w:themeColor="text1"/>
                <w:szCs w:val="24"/>
              </w:rPr>
              <w:t>（2）防控措施</w:t>
            </w:r>
          </w:p>
          <w:p>
            <w:pPr>
              <w:pStyle w:val="32"/>
              <w:ind w:firstLine="480"/>
              <w:rPr>
                <w:color w:val="000000" w:themeColor="text1"/>
                <w:szCs w:val="24"/>
              </w:rPr>
            </w:pPr>
            <w:r>
              <w:rPr>
                <w:color w:val="000000" w:themeColor="text1"/>
                <w:szCs w:val="24"/>
              </w:rPr>
              <w:t>本项目地下水、土壤污染防治措施按照“源头控制、分区防治、应急响应”相结合的原则，从污染物的产生、入渗、扩散、应急响应进行控制。</w:t>
            </w:r>
          </w:p>
          <w:p>
            <w:pPr>
              <w:pStyle w:val="32"/>
              <w:ind w:firstLine="482"/>
              <w:rPr>
                <w:b/>
                <w:color w:val="000000" w:themeColor="text1"/>
                <w:szCs w:val="24"/>
              </w:rPr>
            </w:pPr>
            <w:r>
              <w:rPr>
                <w:b/>
                <w:color w:val="000000" w:themeColor="text1"/>
                <w:szCs w:val="24"/>
              </w:rPr>
              <w:t>①源头控制措施</w:t>
            </w:r>
          </w:p>
          <w:p>
            <w:pPr>
              <w:pStyle w:val="32"/>
              <w:ind w:firstLine="480"/>
              <w:rPr>
                <w:color w:val="000000" w:themeColor="text1"/>
                <w:szCs w:val="24"/>
              </w:rPr>
            </w:pPr>
            <w:r>
              <w:rPr>
                <w:color w:val="000000" w:themeColor="text1"/>
                <w:szCs w:val="24"/>
              </w:rPr>
              <w:t>严格按照公司制定的规范管理要求进行危险废物的管理。</w:t>
            </w:r>
          </w:p>
          <w:p>
            <w:pPr>
              <w:pStyle w:val="32"/>
              <w:ind w:firstLine="482"/>
              <w:rPr>
                <w:b/>
                <w:color w:val="000000" w:themeColor="text1"/>
                <w:szCs w:val="24"/>
              </w:rPr>
            </w:pPr>
            <w:r>
              <w:rPr>
                <w:b/>
                <w:color w:val="000000" w:themeColor="text1"/>
                <w:szCs w:val="24"/>
              </w:rPr>
              <w:t>②分区控制措施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根据《环境影响评价技术导则-地下水环境》（HJ610-2016），项目分区防控措施根据建设项目场地天然包气带防污性能、污染控制难易程度和污染物特性提出防渗技术要求。污染控制难易程度分级如下表所示</w:t>
            </w:r>
            <w:r>
              <w:rPr>
                <w:rFonts w:ascii="Times New Roman" w:hAnsi="Times New Roman" w:cs="Times New Roman"/>
                <w:color w:val="000000" w:themeColor="text1"/>
                <w:sz w:val="24"/>
              </w:rPr>
              <w:t>。</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表4.2.5-1  污染控制难易程度分级参照表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污染物控制难易程度</w:t>
                  </w:r>
                </w:p>
              </w:tc>
              <w:tc>
                <w:tcPr>
                  <w:tcW w:w="68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难</w:t>
                  </w:r>
                </w:p>
              </w:tc>
              <w:tc>
                <w:tcPr>
                  <w:tcW w:w="6875"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易</w:t>
                  </w:r>
                </w:p>
              </w:tc>
              <w:tc>
                <w:tcPr>
                  <w:tcW w:w="6875"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对地下水环境有污染的物料或污染物泄漏后，可及时发现和处理。</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天然包气带防污性能分级如下表所示。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表4.2.5-2  天然包气带防污性能分级</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分级</w:t>
                  </w:r>
                </w:p>
              </w:tc>
              <w:tc>
                <w:tcPr>
                  <w:tcW w:w="786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强</w:t>
                  </w:r>
                </w:p>
              </w:tc>
              <w:tc>
                <w:tcPr>
                  <w:tcW w:w="7867"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岩（土）单层厚度Mb≥1.0m，渗透系数K≤10</w:t>
                  </w:r>
                  <w:r>
                    <w:rPr>
                      <w:rFonts w:eastAsiaTheme="minorEastAsia"/>
                      <w:color w:val="000000" w:themeColor="text1"/>
                      <w:szCs w:val="21"/>
                      <w:vertAlign w:val="superscript"/>
                    </w:rPr>
                    <w:t>-6</w:t>
                  </w:r>
                  <w:r>
                    <w:rPr>
                      <w:rFonts w:eastAsiaTheme="minorEastAsia"/>
                      <w:color w:val="000000" w:themeColor="text1"/>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中</w:t>
                  </w:r>
                </w:p>
              </w:tc>
              <w:tc>
                <w:tcPr>
                  <w:tcW w:w="7867"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岩（土）单层厚度0.5m≤Mb＜1.0m，渗透系数K≤10</w:t>
                  </w:r>
                  <w:r>
                    <w:rPr>
                      <w:rFonts w:eastAsiaTheme="minorEastAsia"/>
                      <w:color w:val="000000" w:themeColor="text1"/>
                      <w:szCs w:val="21"/>
                      <w:vertAlign w:val="superscript"/>
                    </w:rPr>
                    <w:t>-6</w:t>
                  </w:r>
                  <w:r>
                    <w:rPr>
                      <w:rFonts w:eastAsiaTheme="minorEastAsia"/>
                      <w:color w:val="000000" w:themeColor="text1"/>
                      <w:szCs w:val="21"/>
                    </w:rPr>
                    <w:t>cm/s，且分布连续、稳定；</w:t>
                  </w:r>
                </w:p>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岩（土）单层厚度Mb≥1.0m，渗透系数10</w:t>
                  </w:r>
                  <w:r>
                    <w:rPr>
                      <w:rFonts w:eastAsiaTheme="minorEastAsia"/>
                      <w:color w:val="000000" w:themeColor="text1"/>
                      <w:szCs w:val="21"/>
                      <w:vertAlign w:val="superscript"/>
                    </w:rPr>
                    <w:t>-6</w:t>
                  </w:r>
                  <w:r>
                    <w:rPr>
                      <w:rFonts w:eastAsiaTheme="minorEastAsia"/>
                      <w:color w:val="000000" w:themeColor="text1"/>
                      <w:szCs w:val="21"/>
                    </w:rPr>
                    <w:t>cm/s＜K≤10</w:t>
                  </w:r>
                  <w:r>
                    <w:rPr>
                      <w:rFonts w:eastAsiaTheme="minorEastAsia"/>
                      <w:color w:val="000000" w:themeColor="text1"/>
                      <w:szCs w:val="21"/>
                      <w:vertAlign w:val="superscript"/>
                    </w:rPr>
                    <w:t>-4</w:t>
                  </w:r>
                  <w:r>
                    <w:rPr>
                      <w:rFonts w:eastAsiaTheme="minorEastAsia"/>
                      <w:color w:val="000000" w:themeColor="text1"/>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弱</w:t>
                  </w:r>
                </w:p>
              </w:tc>
              <w:tc>
                <w:tcPr>
                  <w:tcW w:w="7867"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岩（土）层不满足上述“强”和“中”条件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备注</w:t>
                  </w:r>
                </w:p>
              </w:tc>
              <w:tc>
                <w:tcPr>
                  <w:tcW w:w="7867"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项目区地下水类型主要为岩溶水，含水层岩性主要为古生界石炭系大塘阶组（C1d）浅海相泥质灰岩或白云岩，综上确定包气带防污性能为“弱”。</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地下水污染防渗分区按下表要求执行。</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表4.2.5-3  地下水污染防渗分区</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418"/>
              <w:gridCol w:w="1418"/>
              <w:gridCol w:w="170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防渗分区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天然包气带防污性能</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污染控制难易程度</w:t>
                  </w:r>
                </w:p>
              </w:tc>
              <w:tc>
                <w:tcPr>
                  <w:tcW w:w="988"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污染物类型</w:t>
                  </w:r>
                </w:p>
              </w:tc>
              <w:tc>
                <w:tcPr>
                  <w:tcW w:w="1771"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重点防渗区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重金属、持久性有机污染物</w:t>
                  </w:r>
                </w:p>
              </w:tc>
              <w:tc>
                <w:tcPr>
                  <w:tcW w:w="1771" w:type="pct"/>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等效黏土防渗层Mb≥6.0m，K≤1×10</w:t>
                  </w:r>
                  <w:r>
                    <w:rPr>
                      <w:rFonts w:eastAsiaTheme="minorEastAsia"/>
                      <w:color w:val="000000" w:themeColor="text1"/>
                      <w:szCs w:val="21"/>
                      <w:vertAlign w:val="superscript"/>
                    </w:rPr>
                    <w:t>-7</w:t>
                  </w:r>
                  <w:r>
                    <w:rPr>
                      <w:rFonts w:eastAsiaTheme="minorEastAsia"/>
                      <w:color w:val="000000" w:themeColor="text1"/>
                      <w:szCs w:val="21"/>
                    </w:rPr>
                    <w:t>cm/s；或参照GB18598执行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4"/>
                    <w:spacing w:line="360" w:lineRule="exact"/>
                    <w:rPr>
                      <w:rFonts w:eastAsiaTheme="minorEastAsia"/>
                      <w:color w:val="000000" w:themeColor="text1"/>
                      <w:szCs w:val="21"/>
                    </w:rPr>
                  </w:pP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continue"/>
                  <w:vAlign w:val="center"/>
                </w:tcPr>
                <w:p>
                  <w:pPr>
                    <w:pStyle w:val="24"/>
                    <w:spacing w:line="360" w:lineRule="exact"/>
                    <w:rPr>
                      <w:rFonts w:eastAsiaTheme="minorEastAsia"/>
                      <w:color w:val="000000" w:themeColor="text1"/>
                      <w:szCs w:val="21"/>
                    </w:rPr>
                  </w:pPr>
                </w:p>
              </w:tc>
              <w:tc>
                <w:tcPr>
                  <w:tcW w:w="1771" w:type="pct"/>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4"/>
                    <w:spacing w:line="360" w:lineRule="exact"/>
                    <w:rPr>
                      <w:rFonts w:eastAsiaTheme="minorEastAsia"/>
                      <w:color w:val="000000" w:themeColor="text1"/>
                      <w:szCs w:val="21"/>
                    </w:rPr>
                  </w:pP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continue"/>
                  <w:vAlign w:val="center"/>
                </w:tcPr>
                <w:p>
                  <w:pPr>
                    <w:pStyle w:val="24"/>
                    <w:spacing w:line="360" w:lineRule="exact"/>
                    <w:rPr>
                      <w:rFonts w:eastAsiaTheme="minorEastAsia"/>
                      <w:color w:val="000000" w:themeColor="text1"/>
                      <w:szCs w:val="21"/>
                    </w:rPr>
                  </w:pPr>
                </w:p>
              </w:tc>
              <w:tc>
                <w:tcPr>
                  <w:tcW w:w="1771" w:type="pct"/>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一般防渗区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易-难</w:t>
                  </w:r>
                </w:p>
              </w:tc>
              <w:tc>
                <w:tcPr>
                  <w:tcW w:w="988" w:type="pct"/>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其他类型</w:t>
                  </w:r>
                </w:p>
              </w:tc>
              <w:tc>
                <w:tcPr>
                  <w:tcW w:w="1771" w:type="pct"/>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等效黏土防渗层Mb≥1.5m，K≤1×10</w:t>
                  </w:r>
                  <w:r>
                    <w:rPr>
                      <w:rFonts w:eastAsiaTheme="minorEastAsia"/>
                      <w:color w:val="000000" w:themeColor="text1"/>
                      <w:szCs w:val="21"/>
                      <w:vertAlign w:val="superscript"/>
                    </w:rPr>
                    <w:t>-7</w:t>
                  </w:r>
                  <w:r>
                    <w:rPr>
                      <w:rFonts w:eastAsiaTheme="minorEastAsia"/>
                      <w:color w:val="000000" w:themeColor="text1"/>
                      <w:szCs w:val="21"/>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4"/>
                    <w:spacing w:line="360" w:lineRule="exact"/>
                    <w:rPr>
                      <w:rFonts w:eastAsiaTheme="minorEastAsia"/>
                      <w:color w:val="000000" w:themeColor="text1"/>
                      <w:szCs w:val="21"/>
                    </w:rPr>
                  </w:pP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continue"/>
                  <w:vAlign w:val="center"/>
                </w:tcPr>
                <w:p>
                  <w:pPr>
                    <w:pStyle w:val="24"/>
                    <w:spacing w:line="360" w:lineRule="exact"/>
                    <w:rPr>
                      <w:rFonts w:eastAsiaTheme="minorEastAsia"/>
                      <w:color w:val="000000" w:themeColor="text1"/>
                      <w:szCs w:val="21"/>
                    </w:rPr>
                  </w:pPr>
                </w:p>
              </w:tc>
              <w:tc>
                <w:tcPr>
                  <w:tcW w:w="1771" w:type="pct"/>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4"/>
                    <w:spacing w:line="360" w:lineRule="exact"/>
                    <w:rPr>
                      <w:rFonts w:eastAsiaTheme="minorEastAsia"/>
                      <w:color w:val="000000" w:themeColor="text1"/>
                      <w:szCs w:val="21"/>
                    </w:rPr>
                  </w:pP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中</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重金属、持久性有机污染物</w:t>
                  </w:r>
                </w:p>
              </w:tc>
              <w:tc>
                <w:tcPr>
                  <w:tcW w:w="1771" w:type="pct"/>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4"/>
                    <w:spacing w:line="360" w:lineRule="exact"/>
                    <w:rPr>
                      <w:rFonts w:eastAsiaTheme="minorEastAsia"/>
                      <w:color w:val="000000" w:themeColor="text1"/>
                      <w:szCs w:val="21"/>
                    </w:rPr>
                  </w:pP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continue"/>
                  <w:vAlign w:val="center"/>
                </w:tcPr>
                <w:p>
                  <w:pPr>
                    <w:pStyle w:val="24"/>
                    <w:spacing w:line="360" w:lineRule="exact"/>
                    <w:rPr>
                      <w:rFonts w:eastAsiaTheme="minorEastAsia"/>
                      <w:color w:val="000000" w:themeColor="text1"/>
                      <w:szCs w:val="21"/>
                    </w:rPr>
                  </w:pPr>
                </w:p>
              </w:tc>
              <w:tc>
                <w:tcPr>
                  <w:tcW w:w="1771" w:type="pct"/>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简单防渗区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其他类型</w:t>
                  </w:r>
                </w:p>
              </w:tc>
              <w:tc>
                <w:tcPr>
                  <w:tcW w:w="1771" w:type="pc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一般地面硬化</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根据以上分区原则可知，项目分区防渗具体如下：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危险废物贮存间</w:t>
            </w:r>
            <w:r>
              <w:rPr>
                <w:rFonts w:hint="eastAsia" w:ascii="Times New Roman" w:hAnsi="Times New Roman" w:cs="Times New Roman"/>
                <w:color w:val="000000" w:themeColor="text1"/>
                <w:sz w:val="24"/>
                <w:szCs w:val="24"/>
              </w:rPr>
              <w:t>地面采用了钢板进行防渗，但裙墙防渗达不到防渗要求，因此裙墙应采用</w:t>
            </w:r>
            <w:r>
              <w:rPr>
                <w:rFonts w:ascii="Times New Roman" w:hAnsi="Times New Roman" w:cs="Times New Roman"/>
                <w:color w:val="000000" w:themeColor="text1"/>
                <w:sz w:val="24"/>
                <w:szCs w:val="24"/>
              </w:rPr>
              <w:t>不低于2mm后的HDPE膜或其他人工防渗材料进行防渗，使其渗透系数≤10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根据分区防渗规范要求，项目生产车间、循环水池、废渣暂存库区域均划定为</w:t>
            </w:r>
            <w:r>
              <w:rPr>
                <w:rFonts w:ascii="Times New Roman" w:hAnsi="Times New Roman" w:cs="Times New Roman"/>
                <w:color w:val="000000" w:themeColor="text1"/>
                <w:sz w:val="24"/>
                <w:szCs w:val="24"/>
              </w:rPr>
              <w:t>一般防渗区，</w:t>
            </w:r>
            <w:r>
              <w:rPr>
                <w:rFonts w:hint="eastAsia" w:ascii="Times New Roman" w:hAnsi="Times New Roman" w:cs="Times New Roman"/>
                <w:color w:val="000000" w:themeColor="text1"/>
                <w:sz w:val="24"/>
                <w:szCs w:val="24"/>
              </w:rPr>
              <w:t>根据业主介绍，项目拟依托使用的八级沉淀池采取了防腐防渗措施，其</w:t>
            </w:r>
            <w:r>
              <w:rPr>
                <w:rFonts w:ascii="Times New Roman" w:hAnsi="Times New Roman" w:cs="Times New Roman"/>
                <w:color w:val="000000" w:themeColor="text1"/>
                <w:sz w:val="24"/>
                <w:szCs w:val="24"/>
              </w:rPr>
              <w:t>渗透系数≤1.0×10</w:t>
            </w:r>
            <w:r>
              <w:rPr>
                <w:rFonts w:ascii="Times New Roman" w:hAnsi="Times New Roman" w:cs="Times New Roman"/>
                <w:color w:val="000000" w:themeColor="text1"/>
                <w:sz w:val="24"/>
                <w:szCs w:val="24"/>
                <w:vertAlign w:val="superscript"/>
              </w:rPr>
              <w:t>-</w:t>
            </w:r>
            <w:r>
              <w:rPr>
                <w:rFonts w:hint="eastAsia"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r>
              <w:rPr>
                <w:rFonts w:hint="eastAsia" w:ascii="Times New Roman" w:hAnsi="Times New Roman" w:cs="Times New Roman"/>
                <w:color w:val="000000" w:themeColor="text1"/>
                <w:sz w:val="24"/>
                <w:szCs w:val="24"/>
              </w:rPr>
              <w:t>；而废渣暂存库均已进行了防渗施工，其</w:t>
            </w:r>
            <w:r>
              <w:rPr>
                <w:rFonts w:ascii="Times New Roman" w:hAnsi="Times New Roman" w:cs="Times New Roman"/>
                <w:color w:val="000000" w:themeColor="text1"/>
                <w:sz w:val="24"/>
                <w:szCs w:val="24"/>
              </w:rPr>
              <w:t>渗透系数≤1.0×10</w:t>
            </w:r>
            <w:r>
              <w:rPr>
                <w:rFonts w:ascii="Times New Roman" w:hAnsi="Times New Roman" w:cs="Times New Roman"/>
                <w:color w:val="000000" w:themeColor="text1"/>
                <w:sz w:val="24"/>
                <w:szCs w:val="24"/>
                <w:vertAlign w:val="superscript"/>
              </w:rPr>
              <w:t>-</w:t>
            </w:r>
            <w:r>
              <w:rPr>
                <w:rFonts w:hint="eastAsia"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r>
              <w:rPr>
                <w:rFonts w:hint="eastAsia" w:ascii="Times New Roman" w:hAnsi="Times New Roman" w:cs="Times New Roman"/>
                <w:color w:val="000000" w:themeColor="text1"/>
                <w:sz w:val="24"/>
                <w:szCs w:val="24"/>
              </w:rPr>
              <w:t>；生产车间各区域拟采用</w:t>
            </w:r>
            <w:r>
              <w:rPr>
                <w:rFonts w:ascii="Times New Roman" w:hAnsi="Times New Roman" w:cs="Times New Roman"/>
                <w:color w:val="000000" w:themeColor="text1"/>
                <w:sz w:val="24"/>
                <w:szCs w:val="24"/>
              </w:rPr>
              <w:t>粘土铺底，并在上层铺30cm的混凝土进行硬化。确保防渗性能，使其渗透系数≤1.0×10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32"/>
              <w:ind w:firstLine="361" w:firstLineChars="150"/>
              <w:rPr>
                <w:rFonts w:eastAsiaTheme="minorEastAsia"/>
                <w:b/>
                <w:color w:val="000000" w:themeColor="text1"/>
                <w:szCs w:val="24"/>
              </w:rPr>
            </w:pPr>
            <w:r>
              <w:rPr>
                <w:rFonts w:eastAsiaTheme="minorEastAsia"/>
                <w:b/>
                <w:color w:val="000000" w:themeColor="text1"/>
                <w:szCs w:val="24"/>
              </w:rPr>
              <w:t>（3）跟踪监测计划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由于该项目位于工业园区，且周围均分布着工况企业，该项目单独设置地下水跟踪监测点位，不具备参考意义，因此，该项目区域地下水监控按照</w:t>
            </w:r>
            <w:r>
              <w:rPr>
                <w:rFonts w:ascii="Times New Roman" w:hAnsi="Times New Roman" w:cs="Times New Roman"/>
                <w:color w:val="000000" w:themeColor="text1"/>
                <w:sz w:val="24"/>
                <w:szCs w:val="24"/>
              </w:rPr>
              <w:t>《云南省东川再就业特色产业园--四方地碧谷产业园规划修编（2014-2025）环境影响报告书》</w:t>
            </w:r>
            <w:r>
              <w:rPr>
                <w:rFonts w:hint="eastAsia" w:ascii="Times New Roman" w:hAnsi="Times New Roman" w:cs="Times New Roman"/>
                <w:color w:val="000000" w:themeColor="text1"/>
                <w:sz w:val="24"/>
                <w:szCs w:val="24"/>
              </w:rPr>
              <w:t>及其审查意见提出的相关要求执行。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本项目位于东川区再就业特区四方地工业园区昆明合旺有色金属有限公司厂区，属于工业园区，且不新增用地，生态环境影响较小。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32"/>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本项目危险废物，其危险特性如下表所示。</w:t>
            </w:r>
          </w:p>
          <w:p>
            <w:pPr>
              <w:pStyle w:val="26"/>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6"/>
              <w:gridCol w:w="1481"/>
              <w:gridCol w:w="1481"/>
              <w:gridCol w:w="1215"/>
              <w:gridCol w:w="31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6" w:type="dxa"/>
                  <w:vAlign w:val="center"/>
                </w:tcPr>
                <w:p>
                  <w:pPr>
                    <w:pStyle w:val="24"/>
                    <w:spacing w:line="360" w:lineRule="exact"/>
                    <w:rPr>
                      <w:color w:val="000000" w:themeColor="text1"/>
                      <w:szCs w:val="21"/>
                    </w:rPr>
                  </w:pPr>
                  <w:r>
                    <w:rPr>
                      <w:color w:val="000000" w:themeColor="text1"/>
                      <w:szCs w:val="21"/>
                    </w:rPr>
                    <w:t>产生环节</w:t>
                  </w:r>
                </w:p>
              </w:tc>
              <w:tc>
                <w:tcPr>
                  <w:tcW w:w="1481" w:type="dxa"/>
                  <w:vAlign w:val="center"/>
                </w:tcPr>
                <w:p>
                  <w:pPr>
                    <w:pStyle w:val="24"/>
                    <w:spacing w:line="360" w:lineRule="exact"/>
                    <w:rPr>
                      <w:color w:val="000000" w:themeColor="text1"/>
                      <w:szCs w:val="21"/>
                    </w:rPr>
                  </w:pPr>
                  <w:r>
                    <w:rPr>
                      <w:color w:val="000000" w:themeColor="text1"/>
                      <w:szCs w:val="21"/>
                    </w:rPr>
                    <w:t>危险物质</w:t>
                  </w:r>
                </w:p>
              </w:tc>
              <w:tc>
                <w:tcPr>
                  <w:tcW w:w="1481" w:type="dxa"/>
                  <w:vAlign w:val="center"/>
                </w:tcPr>
                <w:p>
                  <w:pPr>
                    <w:pStyle w:val="24"/>
                    <w:spacing w:line="360" w:lineRule="exact"/>
                    <w:rPr>
                      <w:color w:val="000000" w:themeColor="text1"/>
                      <w:szCs w:val="21"/>
                    </w:rPr>
                  </w:pPr>
                  <w:r>
                    <w:rPr>
                      <w:color w:val="000000" w:themeColor="text1"/>
                      <w:szCs w:val="21"/>
                    </w:rPr>
                    <w:t>年使用/产生量</w:t>
                  </w:r>
                </w:p>
              </w:tc>
              <w:tc>
                <w:tcPr>
                  <w:tcW w:w="1215" w:type="dxa"/>
                  <w:vAlign w:val="center"/>
                </w:tcPr>
                <w:p>
                  <w:pPr>
                    <w:pStyle w:val="24"/>
                    <w:spacing w:line="360" w:lineRule="exact"/>
                    <w:rPr>
                      <w:color w:val="000000" w:themeColor="text1"/>
                      <w:szCs w:val="21"/>
                    </w:rPr>
                  </w:pPr>
                  <w:r>
                    <w:rPr>
                      <w:color w:val="000000" w:themeColor="text1"/>
                      <w:szCs w:val="21"/>
                    </w:rPr>
                    <w:t>最大储存量</w:t>
                  </w:r>
                </w:p>
              </w:tc>
              <w:tc>
                <w:tcPr>
                  <w:tcW w:w="3122" w:type="dxa"/>
                  <w:vAlign w:val="center"/>
                </w:tcPr>
                <w:p>
                  <w:pPr>
                    <w:pStyle w:val="24"/>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6" w:type="dxa"/>
                  <w:vAlign w:val="center"/>
                </w:tcPr>
                <w:p>
                  <w:pPr>
                    <w:pStyle w:val="24"/>
                    <w:spacing w:line="360" w:lineRule="exact"/>
                    <w:rPr>
                      <w:color w:val="000000" w:themeColor="text1"/>
                      <w:szCs w:val="21"/>
                    </w:rPr>
                  </w:pPr>
                  <w:r>
                    <w:rPr>
                      <w:color w:val="000000" w:themeColor="text1"/>
                      <w:szCs w:val="21"/>
                    </w:rPr>
                    <w:t>使用环节</w:t>
                  </w:r>
                </w:p>
              </w:tc>
              <w:tc>
                <w:tcPr>
                  <w:tcW w:w="1481" w:type="dxa"/>
                  <w:vAlign w:val="center"/>
                </w:tcPr>
                <w:p>
                  <w:pPr>
                    <w:pStyle w:val="24"/>
                    <w:spacing w:line="360" w:lineRule="exact"/>
                    <w:rPr>
                      <w:color w:val="000000" w:themeColor="text1"/>
                      <w:szCs w:val="21"/>
                    </w:rPr>
                  </w:pPr>
                  <w:r>
                    <w:rPr>
                      <w:color w:val="000000" w:themeColor="text1"/>
                      <w:szCs w:val="21"/>
                    </w:rPr>
                    <w:t>天然气</w:t>
                  </w:r>
                </w:p>
              </w:tc>
              <w:tc>
                <w:tcPr>
                  <w:tcW w:w="1481" w:type="dxa"/>
                  <w:vAlign w:val="center"/>
                </w:tcPr>
                <w:p>
                  <w:pPr>
                    <w:pStyle w:val="24"/>
                    <w:spacing w:line="360" w:lineRule="exact"/>
                    <w:rPr>
                      <w:color w:val="000000" w:themeColor="text1"/>
                      <w:szCs w:val="21"/>
                    </w:rPr>
                  </w:pPr>
                  <w:r>
                    <w:rPr>
                      <w:rFonts w:hint="eastAsia"/>
                      <w:color w:val="000000" w:themeColor="text1"/>
                      <w:szCs w:val="24"/>
                    </w:rPr>
                    <w:t>150</w:t>
                  </w:r>
                  <w:r>
                    <w:rPr>
                      <w:color w:val="000000" w:themeColor="text1"/>
                      <w:szCs w:val="24"/>
                    </w:rPr>
                    <w:t>万m³/a（约</w:t>
                  </w:r>
                  <w:r>
                    <w:rPr>
                      <w:rFonts w:hint="eastAsia"/>
                      <w:color w:val="000000" w:themeColor="text1"/>
                      <w:szCs w:val="24"/>
                    </w:rPr>
                    <w:t>825</w:t>
                  </w:r>
                  <w:r>
                    <w:rPr>
                      <w:color w:val="000000" w:themeColor="text1"/>
                      <w:szCs w:val="24"/>
                    </w:rPr>
                    <w:t>t/a）</w:t>
                  </w:r>
                </w:p>
              </w:tc>
              <w:tc>
                <w:tcPr>
                  <w:tcW w:w="1215" w:type="dxa"/>
                  <w:vAlign w:val="center"/>
                </w:tcPr>
                <w:p>
                  <w:pPr>
                    <w:pStyle w:val="24"/>
                    <w:spacing w:line="360" w:lineRule="exact"/>
                    <w:ind w:left="11"/>
                    <w:rPr>
                      <w:color w:val="000000" w:themeColor="text1"/>
                    </w:rPr>
                  </w:pPr>
                  <w:r>
                    <w:rPr>
                      <w:color w:val="000000" w:themeColor="text1"/>
                    </w:rPr>
                    <w:t>不储存</w:t>
                  </w:r>
                </w:p>
              </w:tc>
              <w:tc>
                <w:tcPr>
                  <w:tcW w:w="3122" w:type="dxa"/>
                  <w:vAlign w:val="center"/>
                </w:tcPr>
                <w:p>
                  <w:pPr>
                    <w:pStyle w:val="24"/>
                    <w:spacing w:line="360" w:lineRule="exact"/>
                    <w:ind w:left="11" w:firstLine="210" w:firstLineChars="100"/>
                    <w:jc w:val="left"/>
                    <w:rPr>
                      <w:color w:val="000000" w:themeColor="text1"/>
                    </w:rPr>
                  </w:pPr>
                  <w:r>
                    <w:rPr>
                      <w:color w:val="000000" w:themeColor="text1"/>
                    </w:rPr>
                    <w:t>通过管道输送</w:t>
                  </w:r>
                  <w:r>
                    <w:rPr>
                      <w:rFonts w:hint="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6" w:type="dxa"/>
                  <w:vAlign w:val="center"/>
                </w:tcPr>
                <w:p>
                  <w:pPr>
                    <w:pStyle w:val="24"/>
                    <w:spacing w:line="360" w:lineRule="exact"/>
                    <w:rPr>
                      <w:color w:val="000000" w:themeColor="text1"/>
                      <w:szCs w:val="21"/>
                    </w:rPr>
                  </w:pPr>
                  <w:r>
                    <w:rPr>
                      <w:color w:val="000000" w:themeColor="text1"/>
                      <w:szCs w:val="21"/>
                    </w:rPr>
                    <w:t>产生污染物</w:t>
                  </w:r>
                </w:p>
              </w:tc>
              <w:tc>
                <w:tcPr>
                  <w:tcW w:w="148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废机油</w:t>
                  </w:r>
                </w:p>
              </w:tc>
              <w:tc>
                <w:tcPr>
                  <w:tcW w:w="148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80kg/a</w:t>
                  </w:r>
                </w:p>
              </w:tc>
              <w:tc>
                <w:tcPr>
                  <w:tcW w:w="1215" w:type="dxa"/>
                  <w:vAlign w:val="center"/>
                </w:tcPr>
                <w:p>
                  <w:pPr>
                    <w:pStyle w:val="24"/>
                    <w:spacing w:line="360" w:lineRule="exact"/>
                    <w:rPr>
                      <w:color w:val="000000" w:themeColor="text1"/>
                      <w:szCs w:val="21"/>
                    </w:rPr>
                  </w:pPr>
                  <w:r>
                    <w:rPr>
                      <w:color w:val="000000" w:themeColor="text1"/>
                      <w:szCs w:val="21"/>
                    </w:rPr>
                    <w:t>0.08t/a</w:t>
                  </w:r>
                </w:p>
              </w:tc>
              <w:tc>
                <w:tcPr>
                  <w:tcW w:w="3122" w:type="dxa"/>
                  <w:vAlign w:val="center"/>
                </w:tcPr>
                <w:p>
                  <w:pPr>
                    <w:pStyle w:val="24"/>
                    <w:spacing w:line="360" w:lineRule="exact"/>
                    <w:ind w:left="11" w:firstLine="210" w:firstLineChars="100"/>
                    <w:jc w:val="both"/>
                    <w:rPr>
                      <w:color w:val="000000" w:themeColor="text1"/>
                      <w:szCs w:val="21"/>
                    </w:rPr>
                  </w:pPr>
                  <w:r>
                    <w:rPr>
                      <w:rFonts w:hint="eastAsia"/>
                      <w:color w:val="000000" w:themeColor="text1"/>
                    </w:rPr>
                    <w:t>厂区已建设了</w:t>
                  </w:r>
                  <w:r>
                    <w:rPr>
                      <w:color w:val="000000" w:themeColor="text1"/>
                    </w:rPr>
                    <w:t>1个</w:t>
                  </w:r>
                  <w:r>
                    <w:rPr>
                      <w:rFonts w:hint="eastAsia"/>
                      <w:color w:val="000000" w:themeColor="text1"/>
                    </w:rPr>
                    <w:t>20</w:t>
                  </w:r>
                  <w:r>
                    <w:rPr>
                      <w:color w:val="000000" w:themeColor="text1"/>
                    </w:rPr>
                    <w:t>m²的危险废物贮存间对项目区废机油等危险废物进行暂存。</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26"/>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表4.2.7-2 危险物质主要成分基本性质一览表</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0"/>
              <w:gridCol w:w="1701"/>
              <w:gridCol w:w="57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vMerge w:val="restart"/>
                  <w:vAlign w:val="center"/>
                </w:tcPr>
                <w:p>
                  <w:pPr>
                    <w:pStyle w:val="24"/>
                    <w:spacing w:line="360" w:lineRule="exact"/>
                    <w:rPr>
                      <w:color w:val="000000" w:themeColor="text1"/>
                      <w:szCs w:val="21"/>
                    </w:rPr>
                  </w:pPr>
                  <w:r>
                    <w:rPr>
                      <w:color w:val="000000" w:themeColor="text1"/>
                      <w:szCs w:val="21"/>
                    </w:rPr>
                    <w:t>废机油</w:t>
                  </w:r>
                </w:p>
              </w:tc>
              <w:tc>
                <w:tcPr>
                  <w:tcW w:w="1701" w:type="dxa"/>
                </w:tcPr>
                <w:p>
                  <w:pPr>
                    <w:pStyle w:val="24"/>
                    <w:spacing w:line="360" w:lineRule="exact"/>
                    <w:rPr>
                      <w:color w:val="000000" w:themeColor="text1"/>
                      <w:szCs w:val="21"/>
                    </w:rPr>
                  </w:pPr>
                  <w:r>
                    <w:rPr>
                      <w:color w:val="000000" w:themeColor="text1"/>
                      <w:szCs w:val="21"/>
                    </w:rPr>
                    <w:t>废物类别</w:t>
                  </w:r>
                </w:p>
              </w:tc>
              <w:tc>
                <w:tcPr>
                  <w:tcW w:w="5744" w:type="dxa"/>
                  <w:vAlign w:val="center"/>
                </w:tcPr>
                <w:p>
                  <w:pPr>
                    <w:pStyle w:val="24"/>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vMerge w:val="continue"/>
                  <w:vAlign w:val="center"/>
                </w:tcPr>
                <w:p>
                  <w:pPr>
                    <w:pStyle w:val="24"/>
                    <w:spacing w:line="360" w:lineRule="exact"/>
                    <w:rPr>
                      <w:color w:val="000000" w:themeColor="text1"/>
                      <w:szCs w:val="21"/>
                    </w:rPr>
                  </w:pPr>
                </w:p>
              </w:tc>
              <w:tc>
                <w:tcPr>
                  <w:tcW w:w="1701" w:type="dxa"/>
                  <w:vAlign w:val="center"/>
                </w:tcPr>
                <w:p>
                  <w:pPr>
                    <w:pStyle w:val="24"/>
                    <w:spacing w:line="360" w:lineRule="exact"/>
                    <w:rPr>
                      <w:color w:val="000000" w:themeColor="text1"/>
                      <w:szCs w:val="21"/>
                    </w:rPr>
                  </w:pPr>
                  <w:r>
                    <w:rPr>
                      <w:color w:val="000000" w:themeColor="text1"/>
                      <w:szCs w:val="21"/>
                    </w:rPr>
                    <w:t>废物代码</w:t>
                  </w:r>
                </w:p>
              </w:tc>
              <w:tc>
                <w:tcPr>
                  <w:tcW w:w="5744" w:type="dxa"/>
                  <w:vAlign w:val="center"/>
                </w:tcPr>
                <w:p>
                  <w:pPr>
                    <w:pStyle w:val="24"/>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vMerge w:val="continue"/>
                  <w:vAlign w:val="center"/>
                </w:tcPr>
                <w:p>
                  <w:pPr>
                    <w:pStyle w:val="24"/>
                    <w:spacing w:line="360" w:lineRule="exact"/>
                    <w:rPr>
                      <w:color w:val="000000" w:themeColor="text1"/>
                      <w:szCs w:val="21"/>
                    </w:rPr>
                  </w:pPr>
                </w:p>
              </w:tc>
              <w:tc>
                <w:tcPr>
                  <w:tcW w:w="1701" w:type="dxa"/>
                  <w:vAlign w:val="center"/>
                </w:tcPr>
                <w:p>
                  <w:pPr>
                    <w:pStyle w:val="24"/>
                    <w:spacing w:line="360" w:lineRule="exact"/>
                    <w:rPr>
                      <w:color w:val="000000" w:themeColor="text1"/>
                      <w:szCs w:val="21"/>
                    </w:rPr>
                  </w:pPr>
                  <w:r>
                    <w:rPr>
                      <w:color w:val="000000" w:themeColor="text1"/>
                      <w:szCs w:val="21"/>
                    </w:rPr>
                    <w:t>危险特征</w:t>
                  </w:r>
                </w:p>
              </w:tc>
              <w:tc>
                <w:tcPr>
                  <w:tcW w:w="5744" w:type="dxa"/>
                  <w:vAlign w:val="center"/>
                </w:tcPr>
                <w:p>
                  <w:pPr>
                    <w:pStyle w:val="24"/>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vMerge w:val="continue"/>
                  <w:vAlign w:val="center"/>
                </w:tcPr>
                <w:p>
                  <w:pPr>
                    <w:pStyle w:val="24"/>
                    <w:spacing w:line="360" w:lineRule="exact"/>
                    <w:rPr>
                      <w:color w:val="000000" w:themeColor="text1"/>
                      <w:szCs w:val="21"/>
                    </w:rPr>
                  </w:pPr>
                </w:p>
              </w:tc>
              <w:tc>
                <w:tcPr>
                  <w:tcW w:w="1701" w:type="dxa"/>
                  <w:vAlign w:val="center"/>
                </w:tcPr>
                <w:p>
                  <w:pPr>
                    <w:pStyle w:val="24"/>
                    <w:spacing w:line="360" w:lineRule="exact"/>
                    <w:rPr>
                      <w:color w:val="000000" w:themeColor="text1"/>
                      <w:szCs w:val="21"/>
                    </w:rPr>
                  </w:pPr>
                  <w:r>
                    <w:rPr>
                      <w:color w:val="000000" w:themeColor="text1"/>
                      <w:szCs w:val="21"/>
                    </w:rPr>
                    <w:t>危险特性</w:t>
                  </w:r>
                </w:p>
              </w:tc>
              <w:tc>
                <w:tcPr>
                  <w:tcW w:w="5744" w:type="dxa"/>
                  <w:vAlign w:val="center"/>
                </w:tcPr>
                <w:p>
                  <w:pPr>
                    <w:pStyle w:val="24"/>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32"/>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本项目危险物质在存储及运输过程中泄露对地下水和土壤造成影响。影响途经具体如下：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①本项目天然气使用管道输送，在项目区内发生泄漏、火灾和爆炸的影响途径主要为管道破裂，导致天然气泄漏，遇明火或高温发生火灾和爆炸。</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本项目废机油在存储及运输过程中火灾、爆炸、泄露的环境风险。</w:t>
            </w:r>
          </w:p>
          <w:p>
            <w:pPr>
              <w:pStyle w:val="32"/>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根据本项目环境影响途经，提出以下风险防范措施：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bookmarkStart w:id="5" w:name="_Toc57516232"/>
            <w:bookmarkStart w:id="6" w:name="_Toc116622310"/>
            <w:bookmarkStart w:id="7" w:name="_Toc57516383"/>
            <w:bookmarkStart w:id="8" w:name="_Toc56427845"/>
            <w:bookmarkStart w:id="9" w:name="_Toc67822189"/>
            <w:bookmarkStart w:id="10" w:name="_Toc115259923"/>
            <w:bookmarkStart w:id="11" w:name="_Toc88466811"/>
            <w:bookmarkStart w:id="12" w:name="_Toc76139457"/>
            <w:bookmarkStart w:id="13" w:name="_Toc82857308"/>
            <w:bookmarkStart w:id="14" w:name="_Toc114997846"/>
            <w:r>
              <w:rPr>
                <w:rFonts w:ascii="Times New Roman" w:hAnsi="Times New Roman" w:cs="Times New Roman"/>
                <w:color w:val="000000" w:themeColor="text1"/>
                <w:sz w:val="24"/>
                <w:szCs w:val="24"/>
              </w:rPr>
              <w:t>①危废废物应储存于规范的危险废物贮存间；入库时，严格检验物品质量、数量、包装情况、有无泄漏。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③项目区配备相应品种的消防器材</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④</w:t>
            </w:r>
            <w:bookmarkEnd w:id="5"/>
            <w:bookmarkEnd w:id="6"/>
            <w:bookmarkEnd w:id="7"/>
            <w:bookmarkEnd w:id="8"/>
            <w:bookmarkEnd w:id="9"/>
            <w:bookmarkEnd w:id="10"/>
            <w:bookmarkEnd w:id="11"/>
            <w:bookmarkEnd w:id="12"/>
            <w:bookmarkEnd w:id="13"/>
            <w:bookmarkEnd w:id="14"/>
            <w:r>
              <w:rPr>
                <w:rFonts w:ascii="Times New Roman" w:hAnsi="Times New Roman" w:cs="Times New Roman"/>
                <w:color w:val="000000" w:themeColor="text1"/>
                <w:sz w:val="24"/>
                <w:szCs w:val="24"/>
              </w:rPr>
              <w:t>加强对项目区内天然气管道的巡查，一旦出现破裂，必须立即停产和停止供气，并进行处理；确保天然气管道完好无损。</w:t>
            </w:r>
          </w:p>
          <w:p>
            <w:pPr>
              <w:pStyle w:val="32"/>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本项目涉及到的危险物质主要有天然气、废机油等，在采取严格的防护措施后，事故发生概率较小，环境风险可接受。</w:t>
            </w:r>
          </w:p>
          <w:p>
            <w:pPr>
              <w:spacing w:line="360" w:lineRule="auto"/>
              <w:ind w:firstLine="482" w:firstLineChars="200"/>
              <w:rPr>
                <w:rFonts w:ascii="Times New Roman" w:hAnsi="Times New Roman" w:cs="Times New Roman"/>
                <w:b/>
                <w:color w:val="000000" w:themeColor="text1"/>
                <w:sz w:val="24"/>
                <w:szCs w:val="24"/>
              </w:rPr>
            </w:pPr>
            <w:bookmarkStart w:id="15" w:name="_Toc72228649"/>
            <w:r>
              <w:rPr>
                <w:rFonts w:ascii="Times New Roman" w:hAnsi="Times New Roman" w:cs="Times New Roman"/>
                <w:b/>
                <w:color w:val="000000" w:themeColor="text1"/>
                <w:sz w:val="24"/>
                <w:szCs w:val="24"/>
              </w:rPr>
              <w:t>4.3 环保投资估算</w:t>
            </w:r>
            <w:bookmarkEnd w:id="15"/>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项目总投资688.23万元，其中基建环保投资为45.8万元，占总投资的6.65%。年环保投资运行费用约为</w:t>
            </w:r>
            <w:r>
              <w:rPr>
                <w:rFonts w:hint="eastAsia"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万元，项目拟采取措施的具体内容、责任主体、实施时段及环境保护投入资金如下表所示。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26"/>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项目环保投资一览表 单位：万元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567"/>
              <w:gridCol w:w="669"/>
              <w:gridCol w:w="1346"/>
              <w:gridCol w:w="2631"/>
              <w:gridCol w:w="700"/>
              <w:gridCol w:w="143"/>
              <w:gridCol w:w="566"/>
              <w:gridCol w:w="78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vAlign w:val="center"/>
                </w:tcPr>
                <w:p>
                  <w:pPr>
                    <w:pStyle w:val="24"/>
                    <w:spacing w:line="360" w:lineRule="exact"/>
                    <w:rPr>
                      <w:color w:val="000000" w:themeColor="text1"/>
                      <w:szCs w:val="21"/>
                    </w:rPr>
                  </w:pPr>
                  <w:r>
                    <w:rPr>
                      <w:color w:val="000000" w:themeColor="text1"/>
                      <w:szCs w:val="21"/>
                    </w:rPr>
                    <w:t>时期</w:t>
                  </w:r>
                </w:p>
              </w:tc>
              <w:tc>
                <w:tcPr>
                  <w:tcW w:w="718" w:type="pct"/>
                  <w:gridSpan w:val="2"/>
                  <w:vMerge w:val="restart"/>
                  <w:vAlign w:val="center"/>
                </w:tcPr>
                <w:p>
                  <w:pPr>
                    <w:pStyle w:val="24"/>
                    <w:spacing w:line="360" w:lineRule="exact"/>
                    <w:rPr>
                      <w:color w:val="000000" w:themeColor="text1"/>
                      <w:szCs w:val="21"/>
                    </w:rPr>
                  </w:pPr>
                  <w:r>
                    <w:rPr>
                      <w:color w:val="000000" w:themeColor="text1"/>
                      <w:szCs w:val="21"/>
                    </w:rPr>
                    <w:t>类型</w:t>
                  </w:r>
                </w:p>
              </w:tc>
              <w:tc>
                <w:tcPr>
                  <w:tcW w:w="2311" w:type="pct"/>
                  <w:gridSpan w:val="2"/>
                  <w:vAlign w:val="center"/>
                </w:tcPr>
                <w:p>
                  <w:pPr>
                    <w:pStyle w:val="24"/>
                    <w:spacing w:line="360" w:lineRule="exact"/>
                    <w:rPr>
                      <w:color w:val="000000" w:themeColor="text1"/>
                      <w:szCs w:val="21"/>
                    </w:rPr>
                  </w:pPr>
                  <w:r>
                    <w:rPr>
                      <w:color w:val="000000" w:themeColor="text1"/>
                      <w:szCs w:val="21"/>
                    </w:rPr>
                    <w:t>环保措施</w:t>
                  </w:r>
                </w:p>
              </w:tc>
              <w:tc>
                <w:tcPr>
                  <w:tcW w:w="819" w:type="pct"/>
                  <w:gridSpan w:val="3"/>
                  <w:vAlign w:val="center"/>
                </w:tcPr>
                <w:p>
                  <w:pPr>
                    <w:pStyle w:val="24"/>
                    <w:spacing w:line="360" w:lineRule="exact"/>
                    <w:rPr>
                      <w:color w:val="000000" w:themeColor="text1"/>
                      <w:szCs w:val="21"/>
                    </w:rPr>
                  </w:pPr>
                  <w:r>
                    <w:rPr>
                      <w:color w:val="000000" w:themeColor="text1"/>
                      <w:szCs w:val="21"/>
                    </w:rPr>
                    <w:t>建设期资金投入（万元）</w:t>
                  </w:r>
                </w:p>
              </w:tc>
              <w:tc>
                <w:tcPr>
                  <w:tcW w:w="867" w:type="pct"/>
                  <w:gridSpan w:val="2"/>
                  <w:vAlign w:val="center"/>
                </w:tcPr>
                <w:p>
                  <w:pPr>
                    <w:pStyle w:val="24"/>
                    <w:spacing w:line="360" w:lineRule="exact"/>
                    <w:rPr>
                      <w:color w:val="000000" w:themeColor="text1"/>
                      <w:szCs w:val="21"/>
                    </w:rPr>
                  </w:pPr>
                  <w:r>
                    <w:rPr>
                      <w:color w:val="000000" w:themeColor="text1"/>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718" w:type="pct"/>
                  <w:gridSpan w:val="2"/>
                  <w:vMerge w:val="continue"/>
                  <w:vAlign w:val="center"/>
                </w:tcPr>
                <w:p>
                  <w:pPr>
                    <w:pStyle w:val="24"/>
                    <w:spacing w:line="360" w:lineRule="exact"/>
                    <w:rPr>
                      <w:color w:val="000000" w:themeColor="text1"/>
                      <w:szCs w:val="21"/>
                    </w:rPr>
                  </w:pPr>
                </w:p>
              </w:tc>
              <w:tc>
                <w:tcPr>
                  <w:tcW w:w="782" w:type="pct"/>
                  <w:vAlign w:val="center"/>
                </w:tcPr>
                <w:p>
                  <w:pPr>
                    <w:pStyle w:val="24"/>
                    <w:spacing w:line="360" w:lineRule="exact"/>
                    <w:rPr>
                      <w:color w:val="000000" w:themeColor="text1"/>
                      <w:szCs w:val="21"/>
                    </w:rPr>
                  </w:pPr>
                  <w:r>
                    <w:rPr>
                      <w:color w:val="000000" w:themeColor="text1"/>
                      <w:szCs w:val="21"/>
                    </w:rPr>
                    <w:t>环保项目</w:t>
                  </w:r>
                </w:p>
              </w:tc>
              <w:tc>
                <w:tcPr>
                  <w:tcW w:w="1529" w:type="pct"/>
                  <w:vAlign w:val="center"/>
                </w:tcPr>
                <w:p>
                  <w:pPr>
                    <w:pStyle w:val="24"/>
                    <w:spacing w:line="360" w:lineRule="exact"/>
                    <w:rPr>
                      <w:color w:val="000000" w:themeColor="text1"/>
                      <w:szCs w:val="21"/>
                    </w:rPr>
                  </w:pPr>
                  <w:r>
                    <w:rPr>
                      <w:color w:val="000000" w:themeColor="text1"/>
                      <w:szCs w:val="21"/>
                    </w:rPr>
                    <w:t>数量</w:t>
                  </w:r>
                </w:p>
              </w:tc>
              <w:tc>
                <w:tcPr>
                  <w:tcW w:w="407" w:type="pct"/>
                  <w:vAlign w:val="center"/>
                </w:tcPr>
                <w:p>
                  <w:pPr>
                    <w:pStyle w:val="24"/>
                    <w:spacing w:line="360" w:lineRule="exact"/>
                    <w:rPr>
                      <w:color w:val="000000" w:themeColor="text1"/>
                      <w:szCs w:val="21"/>
                    </w:rPr>
                  </w:pPr>
                  <w:r>
                    <w:rPr>
                      <w:color w:val="000000" w:themeColor="text1"/>
                      <w:szCs w:val="21"/>
                    </w:rPr>
                    <w:t>建设费用</w:t>
                  </w:r>
                </w:p>
              </w:tc>
              <w:tc>
                <w:tcPr>
                  <w:tcW w:w="412" w:type="pct"/>
                  <w:gridSpan w:val="2"/>
                  <w:vAlign w:val="center"/>
                </w:tcPr>
                <w:p>
                  <w:pPr>
                    <w:pStyle w:val="24"/>
                    <w:spacing w:line="360" w:lineRule="exact"/>
                    <w:rPr>
                      <w:color w:val="000000" w:themeColor="text1"/>
                      <w:szCs w:val="21"/>
                    </w:rPr>
                  </w:pPr>
                  <w:r>
                    <w:rPr>
                      <w:color w:val="000000" w:themeColor="text1"/>
                      <w:szCs w:val="21"/>
                    </w:rPr>
                    <w:t>责任主体</w:t>
                  </w:r>
                </w:p>
              </w:tc>
              <w:tc>
                <w:tcPr>
                  <w:tcW w:w="454" w:type="pct"/>
                  <w:vAlign w:val="center"/>
                </w:tcPr>
                <w:p>
                  <w:pPr>
                    <w:pStyle w:val="24"/>
                    <w:spacing w:line="360" w:lineRule="exact"/>
                    <w:rPr>
                      <w:color w:val="000000" w:themeColor="text1"/>
                      <w:szCs w:val="21"/>
                    </w:rPr>
                  </w:pPr>
                  <w:r>
                    <w:rPr>
                      <w:color w:val="000000" w:themeColor="text1"/>
                      <w:szCs w:val="21"/>
                    </w:rPr>
                    <w:t>运行维护费用</w:t>
                  </w:r>
                </w:p>
              </w:tc>
              <w:tc>
                <w:tcPr>
                  <w:tcW w:w="413" w:type="pct"/>
                  <w:vAlign w:val="center"/>
                </w:tcPr>
                <w:p>
                  <w:pPr>
                    <w:pStyle w:val="24"/>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vAlign w:val="center"/>
                </w:tcPr>
                <w:p>
                  <w:pPr>
                    <w:pStyle w:val="24"/>
                    <w:spacing w:line="360" w:lineRule="exact"/>
                    <w:rPr>
                      <w:color w:val="000000" w:themeColor="text1"/>
                      <w:szCs w:val="21"/>
                    </w:rPr>
                  </w:pPr>
                  <w:r>
                    <w:rPr>
                      <w:color w:val="000000" w:themeColor="text1"/>
                      <w:szCs w:val="21"/>
                    </w:rPr>
                    <w:t>运营期污染源</w:t>
                  </w:r>
                </w:p>
              </w:tc>
              <w:tc>
                <w:tcPr>
                  <w:tcW w:w="329" w:type="pct"/>
                  <w:vMerge w:val="restart"/>
                  <w:vAlign w:val="center"/>
                </w:tcPr>
                <w:p>
                  <w:pPr>
                    <w:pStyle w:val="24"/>
                    <w:spacing w:line="360" w:lineRule="exact"/>
                    <w:rPr>
                      <w:color w:val="000000" w:themeColor="text1"/>
                      <w:szCs w:val="21"/>
                    </w:rPr>
                  </w:pPr>
                  <w:r>
                    <w:rPr>
                      <w:color w:val="000000" w:themeColor="text1"/>
                      <w:szCs w:val="21"/>
                    </w:rPr>
                    <w:t>废气</w:t>
                  </w:r>
                </w:p>
              </w:tc>
              <w:tc>
                <w:tcPr>
                  <w:tcW w:w="389" w:type="pct"/>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烘干废气</w:t>
                  </w:r>
                </w:p>
              </w:tc>
              <w:tc>
                <w:tcPr>
                  <w:tcW w:w="782"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旋风除尘器</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除尘效率约为70%。</w:t>
                  </w:r>
                </w:p>
              </w:tc>
              <w:tc>
                <w:tcPr>
                  <w:tcW w:w="407" w:type="pct"/>
                  <w:vAlign w:val="center"/>
                </w:tcPr>
                <w:p>
                  <w:pPr>
                    <w:pStyle w:val="24"/>
                    <w:spacing w:line="360" w:lineRule="exact"/>
                    <w:rPr>
                      <w:color w:val="000000" w:themeColor="text1"/>
                      <w:szCs w:val="21"/>
                    </w:rPr>
                  </w:pPr>
                  <w:r>
                    <w:rPr>
                      <w:color w:val="000000" w:themeColor="text1"/>
                      <w:szCs w:val="21"/>
                    </w:rPr>
                    <w:t>3</w:t>
                  </w:r>
                </w:p>
              </w:tc>
              <w:tc>
                <w:tcPr>
                  <w:tcW w:w="412" w:type="pct"/>
                  <w:gridSpan w:val="2"/>
                  <w:vMerge w:val="restart"/>
                  <w:vAlign w:val="center"/>
                </w:tcPr>
                <w:p>
                  <w:pPr>
                    <w:pStyle w:val="24"/>
                    <w:spacing w:line="360" w:lineRule="exact"/>
                    <w:rPr>
                      <w:color w:val="000000" w:themeColor="text1"/>
                      <w:szCs w:val="21"/>
                    </w:rPr>
                  </w:pPr>
                  <w:r>
                    <w:rPr>
                      <w:color w:val="000000" w:themeColor="text1"/>
                      <w:szCs w:val="21"/>
                    </w:rPr>
                    <w:t>施工单位</w:t>
                  </w:r>
                </w:p>
              </w:tc>
              <w:tc>
                <w:tcPr>
                  <w:tcW w:w="454" w:type="pct"/>
                  <w:vAlign w:val="center"/>
                </w:tcPr>
                <w:p>
                  <w:pPr>
                    <w:pStyle w:val="24"/>
                    <w:spacing w:line="360" w:lineRule="exact"/>
                    <w:rPr>
                      <w:color w:val="000000" w:themeColor="text1"/>
                      <w:szCs w:val="21"/>
                    </w:rPr>
                  </w:pPr>
                  <w:r>
                    <w:rPr>
                      <w:color w:val="000000" w:themeColor="text1"/>
                      <w:szCs w:val="21"/>
                    </w:rPr>
                    <w:t>2</w:t>
                  </w:r>
                </w:p>
              </w:tc>
              <w:tc>
                <w:tcPr>
                  <w:tcW w:w="413" w:type="pct"/>
                  <w:vMerge w:val="restart"/>
                  <w:vAlign w:val="center"/>
                </w:tcPr>
                <w:p>
                  <w:pPr>
                    <w:pStyle w:val="24"/>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389" w:type="pct"/>
                  <w:vMerge w:val="continue"/>
                  <w:vAlign w:val="center"/>
                </w:tcPr>
                <w:p>
                  <w:pPr>
                    <w:pStyle w:val="24"/>
                    <w:spacing w:line="360" w:lineRule="exact"/>
                    <w:rPr>
                      <w:rFonts w:eastAsiaTheme="minorEastAsia"/>
                      <w:color w:val="000000" w:themeColor="text1"/>
                      <w:szCs w:val="21"/>
                    </w:rPr>
                  </w:pPr>
                </w:p>
              </w:tc>
              <w:tc>
                <w:tcPr>
                  <w:tcW w:w="782"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布袋除尘器</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除尘效率不低于96%。</w:t>
                  </w:r>
                </w:p>
              </w:tc>
              <w:tc>
                <w:tcPr>
                  <w:tcW w:w="407" w:type="pct"/>
                  <w:vAlign w:val="center"/>
                </w:tcPr>
                <w:p>
                  <w:pPr>
                    <w:pStyle w:val="24"/>
                    <w:spacing w:line="360" w:lineRule="exact"/>
                    <w:rPr>
                      <w:color w:val="000000" w:themeColor="text1"/>
                      <w:szCs w:val="21"/>
                    </w:rPr>
                  </w:pPr>
                  <w:r>
                    <w:rPr>
                      <w:color w:val="000000" w:themeColor="text1"/>
                      <w:szCs w:val="21"/>
                    </w:rPr>
                    <w:t>8</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1</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389" w:type="pct"/>
                  <w:vMerge w:val="continue"/>
                  <w:vAlign w:val="center"/>
                </w:tcPr>
                <w:p>
                  <w:pPr>
                    <w:pStyle w:val="24"/>
                    <w:spacing w:line="360" w:lineRule="exact"/>
                    <w:rPr>
                      <w:rFonts w:eastAsiaTheme="minorEastAsia"/>
                      <w:color w:val="000000" w:themeColor="text1"/>
                      <w:szCs w:val="21"/>
                    </w:rPr>
                  </w:pPr>
                </w:p>
              </w:tc>
              <w:tc>
                <w:tcPr>
                  <w:tcW w:w="782" w:type="pct"/>
                  <w:vAlign w:val="center"/>
                </w:tcPr>
                <w:p>
                  <w:pPr>
                    <w:pStyle w:val="24"/>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排气筒（DA001）</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1根Φ0.4m、高15m的排气筒（DA001）。</w:t>
                  </w:r>
                </w:p>
              </w:tc>
              <w:tc>
                <w:tcPr>
                  <w:tcW w:w="407" w:type="pct"/>
                  <w:vAlign w:val="center"/>
                </w:tcPr>
                <w:p>
                  <w:pPr>
                    <w:pStyle w:val="24"/>
                    <w:spacing w:line="360" w:lineRule="exact"/>
                    <w:rPr>
                      <w:color w:val="000000" w:themeColor="text1"/>
                      <w:szCs w:val="21"/>
                    </w:rPr>
                  </w:pPr>
                  <w:r>
                    <w:rPr>
                      <w:color w:val="000000" w:themeColor="text1"/>
                      <w:szCs w:val="21"/>
                    </w:rPr>
                    <w:t>0.2</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0</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389"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扬尘</w:t>
                  </w:r>
                </w:p>
              </w:tc>
              <w:tc>
                <w:tcPr>
                  <w:tcW w:w="782"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废渣暂存库围挡及顶棚</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有顶棚，设置三面围挡设施</w:t>
                  </w:r>
                </w:p>
              </w:tc>
              <w:tc>
                <w:tcPr>
                  <w:tcW w:w="407" w:type="pct"/>
                  <w:vAlign w:val="center"/>
                </w:tcPr>
                <w:p>
                  <w:pPr>
                    <w:pStyle w:val="24"/>
                    <w:spacing w:line="360" w:lineRule="exact"/>
                    <w:rPr>
                      <w:color w:val="000000" w:themeColor="text1"/>
                      <w:szCs w:val="21"/>
                    </w:rPr>
                  </w:pPr>
                  <w:r>
                    <w:rPr>
                      <w:color w:val="000000" w:themeColor="text1"/>
                      <w:szCs w:val="21"/>
                    </w:rPr>
                    <w:t>5</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2</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restart"/>
                  <w:vAlign w:val="center"/>
                </w:tcPr>
                <w:p>
                  <w:pPr>
                    <w:pStyle w:val="24"/>
                    <w:spacing w:line="360" w:lineRule="exact"/>
                    <w:rPr>
                      <w:color w:val="000000" w:themeColor="text1"/>
                      <w:szCs w:val="21"/>
                    </w:rPr>
                  </w:pPr>
                  <w:r>
                    <w:rPr>
                      <w:color w:val="000000" w:themeColor="text1"/>
                      <w:szCs w:val="21"/>
                    </w:rPr>
                    <w:t>废水</w:t>
                  </w:r>
                </w:p>
              </w:tc>
              <w:tc>
                <w:tcPr>
                  <w:tcW w:w="1171" w:type="pct"/>
                  <w:gridSpan w:val="2"/>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雨污分流</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雨水管网</w:t>
                  </w:r>
                </w:p>
              </w:tc>
              <w:tc>
                <w:tcPr>
                  <w:tcW w:w="407" w:type="pct"/>
                  <w:vAlign w:val="center"/>
                </w:tcPr>
                <w:p>
                  <w:pPr>
                    <w:pStyle w:val="24"/>
                    <w:spacing w:line="360" w:lineRule="exact"/>
                    <w:rPr>
                      <w:color w:val="000000" w:themeColor="text1"/>
                      <w:szCs w:val="21"/>
                    </w:rPr>
                  </w:pPr>
                  <w:r>
                    <w:rPr>
                      <w:color w:val="000000" w:themeColor="text1"/>
                      <w:szCs w:val="21"/>
                    </w:rPr>
                    <w:t>--</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389" w:type="pct"/>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生产废水</w:t>
                  </w:r>
                </w:p>
              </w:tc>
              <w:tc>
                <w:tcPr>
                  <w:tcW w:w="782"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废水收集调节池</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1个有效容积约为100m³。</w:t>
                  </w:r>
                </w:p>
              </w:tc>
              <w:tc>
                <w:tcPr>
                  <w:tcW w:w="407" w:type="pct"/>
                  <w:vAlign w:val="center"/>
                </w:tcPr>
                <w:p>
                  <w:pPr>
                    <w:pStyle w:val="24"/>
                    <w:spacing w:line="360" w:lineRule="exact"/>
                    <w:rPr>
                      <w:color w:val="000000" w:themeColor="text1"/>
                      <w:szCs w:val="21"/>
                    </w:rPr>
                  </w:pPr>
                  <w:r>
                    <w:rPr>
                      <w:color w:val="000000" w:themeColor="text1"/>
                      <w:szCs w:val="21"/>
                    </w:rPr>
                    <w:t>6</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2</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389" w:type="pct"/>
                  <w:vMerge w:val="continue"/>
                  <w:vAlign w:val="center"/>
                </w:tcPr>
                <w:p>
                  <w:pPr>
                    <w:pStyle w:val="24"/>
                    <w:spacing w:line="360" w:lineRule="exact"/>
                    <w:rPr>
                      <w:rFonts w:eastAsiaTheme="minorEastAsia"/>
                      <w:color w:val="000000" w:themeColor="text1"/>
                      <w:szCs w:val="21"/>
                    </w:rPr>
                  </w:pPr>
                </w:p>
              </w:tc>
              <w:tc>
                <w:tcPr>
                  <w:tcW w:w="782"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八级沉淀池</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8个，各沉淀池的尺寸均为Φ4.6m、深4.5m的圆柱体，其有效容积为80m³/个，合计为640m³。</w:t>
                  </w:r>
                </w:p>
              </w:tc>
              <w:tc>
                <w:tcPr>
                  <w:tcW w:w="407" w:type="pct"/>
                  <w:vAlign w:val="center"/>
                </w:tcPr>
                <w:p>
                  <w:pPr>
                    <w:pStyle w:val="24"/>
                    <w:spacing w:line="360" w:lineRule="exact"/>
                    <w:rPr>
                      <w:color w:val="000000" w:themeColor="text1"/>
                      <w:szCs w:val="21"/>
                    </w:rPr>
                  </w:pPr>
                  <w:r>
                    <w:rPr>
                      <w:color w:val="000000" w:themeColor="text1"/>
                      <w:szCs w:val="21"/>
                    </w:rPr>
                    <w:t>“48”</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3</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389" w:type="pct"/>
                  <w:vMerge w:val="continue"/>
                  <w:vAlign w:val="center"/>
                </w:tcPr>
                <w:p>
                  <w:pPr>
                    <w:pStyle w:val="24"/>
                    <w:spacing w:line="360" w:lineRule="exact"/>
                    <w:rPr>
                      <w:rFonts w:eastAsiaTheme="minorEastAsia"/>
                      <w:color w:val="000000" w:themeColor="text1"/>
                      <w:szCs w:val="21"/>
                    </w:rPr>
                  </w:pPr>
                </w:p>
              </w:tc>
              <w:tc>
                <w:tcPr>
                  <w:tcW w:w="782" w:type="pc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回用水池</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1个200m³的回用水池。</w:t>
                  </w:r>
                </w:p>
              </w:tc>
              <w:tc>
                <w:tcPr>
                  <w:tcW w:w="407" w:type="pct"/>
                  <w:vAlign w:val="center"/>
                </w:tcPr>
                <w:p>
                  <w:pPr>
                    <w:pStyle w:val="24"/>
                    <w:spacing w:line="360" w:lineRule="exact"/>
                    <w:rPr>
                      <w:color w:val="000000" w:themeColor="text1"/>
                      <w:szCs w:val="21"/>
                    </w:rPr>
                  </w:pPr>
                  <w:r>
                    <w:rPr>
                      <w:color w:val="000000" w:themeColor="text1"/>
                      <w:szCs w:val="21"/>
                    </w:rPr>
                    <w:t>9</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1</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389" w:type="pct"/>
                  <w:vMerge w:val="restart"/>
                  <w:vAlign w:val="center"/>
                </w:tcPr>
                <w:p>
                  <w:pPr>
                    <w:pStyle w:val="24"/>
                    <w:spacing w:line="360" w:lineRule="exact"/>
                    <w:rPr>
                      <w:color w:val="000000" w:themeColor="text1"/>
                      <w:szCs w:val="21"/>
                    </w:rPr>
                  </w:pPr>
                  <w:r>
                    <w:rPr>
                      <w:color w:val="000000" w:themeColor="text1"/>
                      <w:szCs w:val="21"/>
                    </w:rPr>
                    <w:t>生活污水</w:t>
                  </w:r>
                </w:p>
              </w:tc>
              <w:tc>
                <w:tcPr>
                  <w:tcW w:w="782" w:type="pct"/>
                  <w:vAlign w:val="center"/>
                </w:tcPr>
                <w:p>
                  <w:pPr>
                    <w:pStyle w:val="24"/>
                    <w:spacing w:line="360" w:lineRule="exact"/>
                    <w:rPr>
                      <w:color w:val="000000" w:themeColor="text1"/>
                      <w:szCs w:val="21"/>
                    </w:rPr>
                  </w:pPr>
                  <w:r>
                    <w:rPr>
                      <w:color w:val="000000" w:themeColor="text1"/>
                      <w:szCs w:val="21"/>
                    </w:rPr>
                    <w:t>化粪池</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1个有效容积为20m³的化粪池</w:t>
                  </w:r>
                </w:p>
              </w:tc>
              <w:tc>
                <w:tcPr>
                  <w:tcW w:w="407" w:type="pct"/>
                  <w:vAlign w:val="center"/>
                </w:tcPr>
                <w:p>
                  <w:pPr>
                    <w:pStyle w:val="24"/>
                    <w:spacing w:line="360" w:lineRule="exact"/>
                    <w:rPr>
                      <w:color w:val="000000" w:themeColor="text1"/>
                      <w:szCs w:val="21"/>
                    </w:rPr>
                  </w:pPr>
                  <w:r>
                    <w:rPr>
                      <w:color w:val="000000" w:themeColor="text1"/>
                      <w:szCs w:val="21"/>
                    </w:rPr>
                    <w:t>“2”</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0</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389" w:type="pct"/>
                  <w:vMerge w:val="continue"/>
                  <w:vAlign w:val="center"/>
                </w:tcPr>
                <w:p>
                  <w:pPr>
                    <w:pStyle w:val="24"/>
                    <w:spacing w:line="360" w:lineRule="exact"/>
                    <w:rPr>
                      <w:color w:val="000000" w:themeColor="text1"/>
                      <w:szCs w:val="21"/>
                    </w:rPr>
                  </w:pPr>
                </w:p>
              </w:tc>
              <w:tc>
                <w:tcPr>
                  <w:tcW w:w="782" w:type="pct"/>
                  <w:vAlign w:val="center"/>
                </w:tcPr>
                <w:p>
                  <w:pPr>
                    <w:pStyle w:val="24"/>
                    <w:spacing w:line="360" w:lineRule="exact"/>
                    <w:rPr>
                      <w:color w:val="000000" w:themeColor="text1"/>
                      <w:szCs w:val="21"/>
                    </w:rPr>
                  </w:pPr>
                  <w:r>
                    <w:rPr>
                      <w:color w:val="000000" w:themeColor="text1"/>
                      <w:szCs w:val="21"/>
                    </w:rPr>
                    <w:t>隔油池</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1个1m³的隔油池</w:t>
                  </w:r>
                </w:p>
              </w:tc>
              <w:tc>
                <w:tcPr>
                  <w:tcW w:w="407" w:type="pct"/>
                  <w:vAlign w:val="center"/>
                </w:tcPr>
                <w:p>
                  <w:pPr>
                    <w:pStyle w:val="24"/>
                    <w:spacing w:line="360" w:lineRule="exact"/>
                    <w:rPr>
                      <w:color w:val="000000" w:themeColor="text1"/>
                      <w:szCs w:val="21"/>
                    </w:rPr>
                  </w:pPr>
                  <w:r>
                    <w:rPr>
                      <w:color w:val="000000" w:themeColor="text1"/>
                      <w:szCs w:val="21"/>
                    </w:rPr>
                    <w:t>1</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0</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389" w:type="pct"/>
                  <w:vAlign w:val="center"/>
                </w:tcPr>
                <w:p>
                  <w:pPr>
                    <w:pStyle w:val="24"/>
                    <w:spacing w:line="360" w:lineRule="exact"/>
                    <w:rPr>
                      <w:color w:val="000000" w:themeColor="text1"/>
                      <w:szCs w:val="21"/>
                    </w:rPr>
                  </w:pPr>
                  <w:r>
                    <w:rPr>
                      <w:color w:val="000000" w:themeColor="text1"/>
                      <w:szCs w:val="21"/>
                    </w:rPr>
                    <w:t>初期雨水</w:t>
                  </w:r>
                </w:p>
              </w:tc>
              <w:tc>
                <w:tcPr>
                  <w:tcW w:w="782" w:type="pct"/>
                  <w:vAlign w:val="center"/>
                </w:tcPr>
                <w:p>
                  <w:pPr>
                    <w:pStyle w:val="24"/>
                    <w:spacing w:line="360" w:lineRule="exact"/>
                    <w:rPr>
                      <w:color w:val="000000" w:themeColor="text1"/>
                      <w:szCs w:val="21"/>
                    </w:rPr>
                  </w:pPr>
                  <w:r>
                    <w:rPr>
                      <w:color w:val="000000" w:themeColor="text1"/>
                      <w:szCs w:val="21"/>
                    </w:rPr>
                    <w:t>初期雨水收集池</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1个150m³的初期雨水收集池</w:t>
                  </w:r>
                </w:p>
              </w:tc>
              <w:tc>
                <w:tcPr>
                  <w:tcW w:w="407" w:type="pct"/>
                  <w:vAlign w:val="center"/>
                </w:tcPr>
                <w:p>
                  <w:pPr>
                    <w:pStyle w:val="24"/>
                    <w:spacing w:line="360" w:lineRule="exact"/>
                    <w:rPr>
                      <w:color w:val="000000" w:themeColor="text1"/>
                      <w:szCs w:val="21"/>
                    </w:rPr>
                  </w:pPr>
                  <w:r>
                    <w:rPr>
                      <w:color w:val="000000" w:themeColor="text1"/>
                      <w:szCs w:val="21"/>
                    </w:rPr>
                    <w:t>“7”</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0</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718" w:type="pct"/>
                  <w:gridSpan w:val="2"/>
                  <w:vMerge w:val="restart"/>
                  <w:vAlign w:val="center"/>
                </w:tcPr>
                <w:p>
                  <w:pPr>
                    <w:pStyle w:val="24"/>
                    <w:spacing w:line="360" w:lineRule="exact"/>
                    <w:rPr>
                      <w:color w:val="000000" w:themeColor="text1"/>
                      <w:szCs w:val="21"/>
                    </w:rPr>
                  </w:pPr>
                  <w:r>
                    <w:rPr>
                      <w:color w:val="000000" w:themeColor="text1"/>
                      <w:szCs w:val="21"/>
                    </w:rPr>
                    <w:t>地下水防渗</w:t>
                  </w:r>
                </w:p>
              </w:tc>
              <w:tc>
                <w:tcPr>
                  <w:tcW w:w="782" w:type="pct"/>
                  <w:vAlign w:val="center"/>
                </w:tcPr>
                <w:p>
                  <w:pPr>
                    <w:pStyle w:val="24"/>
                    <w:spacing w:line="360" w:lineRule="exact"/>
                    <w:rPr>
                      <w:color w:val="000000" w:themeColor="text1"/>
                      <w:szCs w:val="21"/>
                    </w:rPr>
                  </w:pPr>
                  <w:r>
                    <w:rPr>
                      <w:color w:val="000000" w:themeColor="text1"/>
                      <w:szCs w:val="21"/>
                    </w:rPr>
                    <w:t>重点防渗区</w:t>
                  </w:r>
                </w:p>
              </w:tc>
              <w:tc>
                <w:tcPr>
                  <w:tcW w:w="1529" w:type="pct"/>
                  <w:vAlign w:val="center"/>
                </w:tcPr>
                <w:p>
                  <w:pPr>
                    <w:pStyle w:val="24"/>
                    <w:spacing w:line="360" w:lineRule="exact"/>
                    <w:ind w:firstLine="210" w:firstLineChars="100"/>
                    <w:jc w:val="both"/>
                    <w:rPr>
                      <w:color w:val="000000" w:themeColor="text1"/>
                      <w:szCs w:val="21"/>
                      <w:lang w:val="en-US"/>
                    </w:rPr>
                  </w:pPr>
                  <w:r>
                    <w:rPr>
                      <w:color w:val="000000" w:themeColor="text1"/>
                      <w:szCs w:val="21"/>
                    </w:rPr>
                    <w:t>裙墙应采用不低于2mm后的HDPE膜或其他人工防渗材料进行防渗，使其渗透系数≤10</w:t>
                  </w:r>
                  <w:r>
                    <w:rPr>
                      <w:color w:val="000000" w:themeColor="text1"/>
                      <w:szCs w:val="21"/>
                      <w:vertAlign w:val="superscript"/>
                    </w:rPr>
                    <w:t>-10</w:t>
                  </w:r>
                  <w:r>
                    <w:rPr>
                      <w:color w:val="000000" w:themeColor="text1"/>
                      <w:szCs w:val="21"/>
                    </w:rPr>
                    <w:t>cm/s；</w:t>
                  </w:r>
                </w:p>
              </w:tc>
              <w:tc>
                <w:tcPr>
                  <w:tcW w:w="407" w:type="pct"/>
                  <w:vAlign w:val="center"/>
                </w:tcPr>
                <w:p>
                  <w:pPr>
                    <w:pStyle w:val="24"/>
                    <w:spacing w:line="360" w:lineRule="exact"/>
                    <w:rPr>
                      <w:color w:val="000000" w:themeColor="text1"/>
                      <w:szCs w:val="21"/>
                    </w:rPr>
                  </w:pPr>
                  <w:r>
                    <w:rPr>
                      <w:color w:val="000000" w:themeColor="text1"/>
                      <w:szCs w:val="21"/>
                    </w:rPr>
                    <w:t>5</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0</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718" w:type="pct"/>
                  <w:gridSpan w:val="2"/>
                  <w:vMerge w:val="continue"/>
                  <w:vAlign w:val="center"/>
                </w:tcPr>
                <w:p>
                  <w:pPr>
                    <w:pStyle w:val="24"/>
                    <w:spacing w:line="360" w:lineRule="exact"/>
                    <w:rPr>
                      <w:color w:val="000000" w:themeColor="text1"/>
                      <w:szCs w:val="21"/>
                    </w:rPr>
                  </w:pPr>
                </w:p>
              </w:tc>
              <w:tc>
                <w:tcPr>
                  <w:tcW w:w="782" w:type="pct"/>
                  <w:vAlign w:val="center"/>
                </w:tcPr>
                <w:p>
                  <w:pPr>
                    <w:pStyle w:val="24"/>
                    <w:spacing w:line="360" w:lineRule="exact"/>
                    <w:rPr>
                      <w:color w:val="000000" w:themeColor="text1"/>
                      <w:szCs w:val="21"/>
                    </w:rPr>
                  </w:pPr>
                  <w:r>
                    <w:rPr>
                      <w:color w:val="000000" w:themeColor="text1"/>
                      <w:szCs w:val="21"/>
                    </w:rPr>
                    <w:t>一般防渗区</w:t>
                  </w:r>
                </w:p>
              </w:tc>
              <w:tc>
                <w:tcPr>
                  <w:tcW w:w="1529" w:type="pct"/>
                  <w:vAlign w:val="center"/>
                </w:tcPr>
                <w:p>
                  <w:pPr>
                    <w:pStyle w:val="24"/>
                    <w:spacing w:line="360" w:lineRule="exact"/>
                    <w:ind w:firstLine="210" w:firstLineChars="100"/>
                    <w:jc w:val="both"/>
                    <w:rPr>
                      <w:color w:val="000000" w:themeColor="text1"/>
                      <w:szCs w:val="21"/>
                    </w:rPr>
                  </w:pPr>
                  <w:r>
                    <w:rPr>
                      <w:color w:val="000000" w:themeColor="text1"/>
                      <w:szCs w:val="21"/>
                    </w:rPr>
                    <w:t>生产车间各区域拟采用粘土铺底，并在上层铺30cm的混凝土进行硬化。确保防渗性能，使其渗透系数≤1.0×10</w:t>
                  </w:r>
                  <w:r>
                    <w:rPr>
                      <w:color w:val="000000" w:themeColor="text1"/>
                      <w:szCs w:val="21"/>
                      <w:vertAlign w:val="superscript"/>
                    </w:rPr>
                    <w:t>-7</w:t>
                  </w:r>
                  <w:r>
                    <w:rPr>
                      <w:color w:val="000000" w:themeColor="text1"/>
                      <w:szCs w:val="21"/>
                    </w:rPr>
                    <w:t>cm/s。</w:t>
                  </w:r>
                </w:p>
              </w:tc>
              <w:tc>
                <w:tcPr>
                  <w:tcW w:w="407" w:type="pct"/>
                  <w:vAlign w:val="center"/>
                </w:tcPr>
                <w:p>
                  <w:pPr>
                    <w:pStyle w:val="24"/>
                    <w:spacing w:line="360" w:lineRule="exact"/>
                    <w:rPr>
                      <w:color w:val="000000" w:themeColor="text1"/>
                      <w:szCs w:val="21"/>
                    </w:rPr>
                  </w:pPr>
                  <w:r>
                    <w:rPr>
                      <w:color w:val="000000" w:themeColor="text1"/>
                      <w:szCs w:val="21"/>
                    </w:rPr>
                    <w:t>“60”</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0</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Align w:val="center"/>
                </w:tcPr>
                <w:p>
                  <w:pPr>
                    <w:pStyle w:val="24"/>
                    <w:spacing w:line="360" w:lineRule="exact"/>
                    <w:rPr>
                      <w:color w:val="000000" w:themeColor="text1"/>
                      <w:szCs w:val="21"/>
                    </w:rPr>
                  </w:pPr>
                  <w:r>
                    <w:rPr>
                      <w:color w:val="000000" w:themeColor="text1"/>
                      <w:szCs w:val="21"/>
                    </w:rPr>
                    <w:t>噪声</w:t>
                  </w:r>
                </w:p>
              </w:tc>
              <w:tc>
                <w:tcPr>
                  <w:tcW w:w="389" w:type="pct"/>
                  <w:vAlign w:val="center"/>
                </w:tcPr>
                <w:p>
                  <w:pPr>
                    <w:pStyle w:val="24"/>
                    <w:spacing w:line="360" w:lineRule="exact"/>
                    <w:rPr>
                      <w:color w:val="000000" w:themeColor="text1"/>
                      <w:szCs w:val="21"/>
                    </w:rPr>
                  </w:pPr>
                  <w:r>
                    <w:rPr>
                      <w:color w:val="000000" w:themeColor="text1"/>
                      <w:szCs w:val="21"/>
                    </w:rPr>
                    <w:t>设备噪声</w:t>
                  </w:r>
                </w:p>
              </w:tc>
              <w:tc>
                <w:tcPr>
                  <w:tcW w:w="782" w:type="pct"/>
                  <w:vAlign w:val="center"/>
                </w:tcPr>
                <w:p>
                  <w:pPr>
                    <w:pStyle w:val="24"/>
                    <w:spacing w:line="360" w:lineRule="exact"/>
                    <w:rPr>
                      <w:color w:val="000000" w:themeColor="text1"/>
                      <w:szCs w:val="21"/>
                    </w:rPr>
                  </w:pPr>
                  <w:r>
                    <w:rPr>
                      <w:color w:val="000000" w:themeColor="text1"/>
                      <w:szCs w:val="21"/>
                    </w:rPr>
                    <w:t>减震垫、消声器等</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407" w:type="pct"/>
                  <w:vAlign w:val="center"/>
                </w:tcPr>
                <w:p>
                  <w:pPr>
                    <w:pStyle w:val="24"/>
                    <w:spacing w:line="360" w:lineRule="exact"/>
                    <w:rPr>
                      <w:color w:val="000000" w:themeColor="text1"/>
                      <w:szCs w:val="21"/>
                    </w:rPr>
                  </w:pPr>
                  <w:r>
                    <w:rPr>
                      <w:color w:val="000000" w:themeColor="text1"/>
                      <w:szCs w:val="21"/>
                    </w:rPr>
                    <w:t>2</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0</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restart"/>
                  <w:vAlign w:val="center"/>
                </w:tcPr>
                <w:p>
                  <w:pPr>
                    <w:pStyle w:val="24"/>
                    <w:spacing w:line="360" w:lineRule="exact"/>
                    <w:rPr>
                      <w:color w:val="000000" w:themeColor="text1"/>
                      <w:szCs w:val="21"/>
                    </w:rPr>
                  </w:pPr>
                  <w:r>
                    <w:rPr>
                      <w:color w:val="000000" w:themeColor="text1"/>
                      <w:szCs w:val="21"/>
                    </w:rPr>
                    <w:t>固废</w:t>
                  </w:r>
                </w:p>
              </w:tc>
              <w:tc>
                <w:tcPr>
                  <w:tcW w:w="389" w:type="pct"/>
                  <w:vAlign w:val="center"/>
                </w:tcPr>
                <w:p>
                  <w:pPr>
                    <w:pStyle w:val="24"/>
                    <w:spacing w:line="360" w:lineRule="exact"/>
                    <w:rPr>
                      <w:color w:val="000000" w:themeColor="text1"/>
                      <w:szCs w:val="21"/>
                    </w:rPr>
                  </w:pPr>
                  <w:r>
                    <w:rPr>
                      <w:color w:val="000000" w:themeColor="text1"/>
                      <w:szCs w:val="21"/>
                    </w:rPr>
                    <w:t>废渣</w:t>
                  </w:r>
                </w:p>
              </w:tc>
              <w:tc>
                <w:tcPr>
                  <w:tcW w:w="782" w:type="pct"/>
                  <w:vAlign w:val="center"/>
                </w:tcPr>
                <w:p>
                  <w:pPr>
                    <w:pStyle w:val="24"/>
                    <w:spacing w:line="360" w:lineRule="exact"/>
                    <w:rPr>
                      <w:color w:val="000000" w:themeColor="text1"/>
                      <w:szCs w:val="21"/>
                    </w:rPr>
                  </w:pPr>
                  <w:r>
                    <w:rPr>
                      <w:color w:val="000000" w:themeColor="text1"/>
                      <w:szCs w:val="21"/>
                    </w:rPr>
                    <w:t>废渣暂存库</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1个，600m²</w:t>
                  </w:r>
                </w:p>
              </w:tc>
              <w:tc>
                <w:tcPr>
                  <w:tcW w:w="407" w:type="pct"/>
                  <w:vAlign w:val="center"/>
                </w:tcPr>
                <w:p>
                  <w:pPr>
                    <w:pStyle w:val="24"/>
                    <w:spacing w:line="360" w:lineRule="exact"/>
                    <w:rPr>
                      <w:color w:val="000000" w:themeColor="text1"/>
                      <w:szCs w:val="21"/>
                    </w:rPr>
                  </w:pPr>
                  <w:r>
                    <w:rPr>
                      <w:color w:val="000000" w:themeColor="text1"/>
                      <w:szCs w:val="21"/>
                    </w:rPr>
                    <w:t>--</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6</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Merge w:val="continue"/>
                  <w:vAlign w:val="center"/>
                </w:tcPr>
                <w:p>
                  <w:pPr>
                    <w:pStyle w:val="24"/>
                    <w:spacing w:line="360" w:lineRule="exact"/>
                    <w:rPr>
                      <w:color w:val="000000" w:themeColor="text1"/>
                      <w:szCs w:val="21"/>
                    </w:rPr>
                  </w:pPr>
                </w:p>
              </w:tc>
              <w:tc>
                <w:tcPr>
                  <w:tcW w:w="389" w:type="pct"/>
                  <w:vAlign w:val="center"/>
                </w:tcPr>
                <w:p>
                  <w:pPr>
                    <w:pStyle w:val="24"/>
                    <w:spacing w:line="360" w:lineRule="exact"/>
                    <w:rPr>
                      <w:color w:val="000000" w:themeColor="text1"/>
                      <w:szCs w:val="21"/>
                    </w:rPr>
                  </w:pPr>
                  <w:r>
                    <w:rPr>
                      <w:color w:val="000000" w:themeColor="text1"/>
                      <w:szCs w:val="21"/>
                    </w:rPr>
                    <w:t>危险废物</w:t>
                  </w:r>
                </w:p>
              </w:tc>
              <w:tc>
                <w:tcPr>
                  <w:tcW w:w="782" w:type="pct"/>
                  <w:vAlign w:val="center"/>
                </w:tcPr>
                <w:p>
                  <w:pPr>
                    <w:pStyle w:val="24"/>
                    <w:spacing w:line="360" w:lineRule="exact"/>
                    <w:rPr>
                      <w:color w:val="000000" w:themeColor="text1"/>
                      <w:szCs w:val="21"/>
                    </w:rPr>
                  </w:pPr>
                  <w:r>
                    <w:rPr>
                      <w:color w:val="000000" w:themeColor="text1"/>
                      <w:szCs w:val="21"/>
                    </w:rPr>
                    <w:t>危险废物贮存间</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1个，20m²</w:t>
                  </w:r>
                </w:p>
              </w:tc>
              <w:tc>
                <w:tcPr>
                  <w:tcW w:w="407" w:type="pct"/>
                  <w:vAlign w:val="center"/>
                </w:tcPr>
                <w:p>
                  <w:pPr>
                    <w:pStyle w:val="24"/>
                    <w:spacing w:line="360" w:lineRule="exact"/>
                    <w:rPr>
                      <w:color w:val="000000" w:themeColor="text1"/>
                      <w:szCs w:val="21"/>
                    </w:rPr>
                  </w:pPr>
                  <w:r>
                    <w:rPr>
                      <w:color w:val="000000" w:themeColor="text1"/>
                      <w:szCs w:val="21"/>
                    </w:rPr>
                    <w:t>6</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2</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718" w:type="pct"/>
                  <w:gridSpan w:val="2"/>
                  <w:vAlign w:val="center"/>
                </w:tcPr>
                <w:p>
                  <w:pPr>
                    <w:pStyle w:val="24"/>
                    <w:spacing w:line="360" w:lineRule="exact"/>
                    <w:rPr>
                      <w:color w:val="000000" w:themeColor="text1"/>
                      <w:szCs w:val="21"/>
                    </w:rPr>
                  </w:pPr>
                  <w:r>
                    <w:rPr>
                      <w:color w:val="000000" w:themeColor="text1"/>
                      <w:szCs w:val="21"/>
                    </w:rPr>
                    <w:t>环境风险</w:t>
                  </w:r>
                </w:p>
              </w:tc>
              <w:tc>
                <w:tcPr>
                  <w:tcW w:w="782" w:type="pct"/>
                  <w:vAlign w:val="center"/>
                </w:tcPr>
                <w:p>
                  <w:pPr>
                    <w:pStyle w:val="24"/>
                    <w:spacing w:line="360" w:lineRule="exact"/>
                    <w:rPr>
                      <w:color w:val="000000" w:themeColor="text1"/>
                      <w:szCs w:val="21"/>
                    </w:rPr>
                  </w:pPr>
                  <w:r>
                    <w:rPr>
                      <w:color w:val="000000" w:themeColor="text1"/>
                      <w:szCs w:val="21"/>
                    </w:rPr>
                    <w:t>事故池</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1个，80m³</w:t>
                  </w:r>
                </w:p>
              </w:tc>
              <w:tc>
                <w:tcPr>
                  <w:tcW w:w="407" w:type="pct"/>
                  <w:vAlign w:val="center"/>
                </w:tcPr>
                <w:p>
                  <w:pPr>
                    <w:pStyle w:val="24"/>
                    <w:spacing w:line="360" w:lineRule="exact"/>
                    <w:rPr>
                      <w:color w:val="000000" w:themeColor="text1"/>
                      <w:szCs w:val="21"/>
                    </w:rPr>
                  </w:pPr>
                  <w:r>
                    <w:rPr>
                      <w:color w:val="000000" w:themeColor="text1"/>
                      <w:szCs w:val="21"/>
                    </w:rPr>
                    <w:t>“6”</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0</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4"/>
                    <w:spacing w:line="360" w:lineRule="exact"/>
                    <w:rPr>
                      <w:color w:val="000000" w:themeColor="text1"/>
                      <w:szCs w:val="21"/>
                    </w:rPr>
                  </w:pPr>
                </w:p>
              </w:tc>
              <w:tc>
                <w:tcPr>
                  <w:tcW w:w="329" w:type="pct"/>
                  <w:vAlign w:val="center"/>
                </w:tcPr>
                <w:p>
                  <w:pPr>
                    <w:pStyle w:val="24"/>
                    <w:spacing w:line="360" w:lineRule="exact"/>
                    <w:rPr>
                      <w:color w:val="000000" w:themeColor="text1"/>
                      <w:szCs w:val="21"/>
                    </w:rPr>
                  </w:pPr>
                  <w:r>
                    <w:rPr>
                      <w:color w:val="000000" w:themeColor="text1"/>
                      <w:szCs w:val="21"/>
                    </w:rPr>
                    <w:t>其他</w:t>
                  </w:r>
                </w:p>
              </w:tc>
              <w:tc>
                <w:tcPr>
                  <w:tcW w:w="1171" w:type="pct"/>
                  <w:gridSpan w:val="2"/>
                  <w:vAlign w:val="center"/>
                </w:tcPr>
                <w:p>
                  <w:pPr>
                    <w:pStyle w:val="24"/>
                    <w:spacing w:line="360" w:lineRule="exact"/>
                    <w:rPr>
                      <w:color w:val="000000" w:themeColor="text1"/>
                      <w:szCs w:val="21"/>
                    </w:rPr>
                  </w:pPr>
                  <w:r>
                    <w:rPr>
                      <w:color w:val="000000" w:themeColor="text1"/>
                      <w:szCs w:val="21"/>
                    </w:rPr>
                    <w:t>标识牌</w:t>
                  </w:r>
                </w:p>
              </w:tc>
              <w:tc>
                <w:tcPr>
                  <w:tcW w:w="1529" w:type="pct"/>
                  <w:vAlign w:val="center"/>
                </w:tcPr>
                <w:p>
                  <w:pPr>
                    <w:pStyle w:val="24"/>
                    <w:spacing w:line="360" w:lineRule="exact"/>
                    <w:ind w:firstLine="210" w:firstLineChars="100"/>
                    <w:jc w:val="left"/>
                    <w:rPr>
                      <w:color w:val="000000" w:themeColor="text1"/>
                      <w:szCs w:val="21"/>
                    </w:rPr>
                  </w:pPr>
                  <w:r>
                    <w:rPr>
                      <w:color w:val="000000" w:themeColor="text1"/>
                      <w:szCs w:val="21"/>
                    </w:rPr>
                    <w:t>--</w:t>
                  </w:r>
                </w:p>
              </w:tc>
              <w:tc>
                <w:tcPr>
                  <w:tcW w:w="407" w:type="pct"/>
                  <w:vAlign w:val="center"/>
                </w:tcPr>
                <w:p>
                  <w:pPr>
                    <w:pStyle w:val="24"/>
                    <w:spacing w:line="360" w:lineRule="exact"/>
                    <w:rPr>
                      <w:color w:val="000000" w:themeColor="text1"/>
                      <w:szCs w:val="21"/>
                    </w:rPr>
                  </w:pPr>
                  <w:r>
                    <w:rPr>
                      <w:color w:val="000000" w:themeColor="text1"/>
                      <w:szCs w:val="21"/>
                    </w:rPr>
                    <w:t>0.1</w:t>
                  </w:r>
                </w:p>
              </w:tc>
              <w:tc>
                <w:tcPr>
                  <w:tcW w:w="412" w:type="pct"/>
                  <w:gridSpan w:val="2"/>
                  <w:vMerge w:val="continue"/>
                  <w:vAlign w:val="center"/>
                </w:tcPr>
                <w:p>
                  <w:pPr>
                    <w:pStyle w:val="24"/>
                    <w:spacing w:line="360" w:lineRule="exact"/>
                    <w:rPr>
                      <w:color w:val="000000" w:themeColor="text1"/>
                      <w:szCs w:val="21"/>
                    </w:rPr>
                  </w:pPr>
                </w:p>
              </w:tc>
              <w:tc>
                <w:tcPr>
                  <w:tcW w:w="454" w:type="pct"/>
                  <w:vAlign w:val="center"/>
                </w:tcPr>
                <w:p>
                  <w:pPr>
                    <w:pStyle w:val="24"/>
                    <w:spacing w:line="360" w:lineRule="exact"/>
                    <w:rPr>
                      <w:color w:val="000000" w:themeColor="text1"/>
                      <w:szCs w:val="21"/>
                    </w:rPr>
                  </w:pPr>
                  <w:r>
                    <w:rPr>
                      <w:color w:val="000000" w:themeColor="text1"/>
                      <w:szCs w:val="21"/>
                    </w:rPr>
                    <w:t>0</w:t>
                  </w:r>
                </w:p>
              </w:tc>
              <w:tc>
                <w:tcPr>
                  <w:tcW w:w="413" w:type="pct"/>
                  <w:vMerge w:val="continue"/>
                  <w:vAlign w:val="center"/>
                </w:tcPr>
                <w:p>
                  <w:pPr>
                    <w:pStyle w:val="24"/>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4" w:type="pct"/>
                  <w:gridSpan w:val="5"/>
                  <w:vAlign w:val="center"/>
                </w:tcPr>
                <w:p>
                  <w:pPr>
                    <w:pStyle w:val="24"/>
                    <w:spacing w:line="360" w:lineRule="exact"/>
                    <w:rPr>
                      <w:color w:val="000000" w:themeColor="text1"/>
                      <w:szCs w:val="21"/>
                    </w:rPr>
                  </w:pPr>
                  <w:r>
                    <w:rPr>
                      <w:color w:val="000000" w:themeColor="text1"/>
                      <w:szCs w:val="21"/>
                    </w:rPr>
                    <w:t>管理相关费用</w:t>
                  </w:r>
                </w:p>
              </w:tc>
              <w:tc>
                <w:tcPr>
                  <w:tcW w:w="1686" w:type="pct"/>
                  <w:gridSpan w:val="5"/>
                  <w:vAlign w:val="center"/>
                </w:tcPr>
                <w:p>
                  <w:pPr>
                    <w:pStyle w:val="24"/>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4" w:type="pct"/>
                  <w:gridSpan w:val="5"/>
                  <w:vAlign w:val="center"/>
                </w:tcPr>
                <w:p>
                  <w:pPr>
                    <w:pStyle w:val="24"/>
                    <w:spacing w:line="360" w:lineRule="exact"/>
                    <w:rPr>
                      <w:color w:val="000000" w:themeColor="text1"/>
                      <w:szCs w:val="21"/>
                    </w:rPr>
                  </w:pPr>
                  <w:r>
                    <w:rPr>
                      <w:color w:val="000000" w:themeColor="text1"/>
                      <w:szCs w:val="21"/>
                    </w:rPr>
                    <w:t>合计</w:t>
                  </w:r>
                </w:p>
              </w:tc>
              <w:tc>
                <w:tcPr>
                  <w:tcW w:w="490" w:type="pct"/>
                  <w:gridSpan w:val="2"/>
                  <w:vAlign w:val="center"/>
                </w:tcPr>
                <w:p>
                  <w:pPr>
                    <w:pStyle w:val="24"/>
                    <w:spacing w:line="360" w:lineRule="exact"/>
                    <w:rPr>
                      <w:color w:val="000000" w:themeColor="text1"/>
                      <w:szCs w:val="21"/>
                    </w:rPr>
                  </w:pPr>
                  <w:r>
                    <w:rPr>
                      <w:color w:val="000000" w:themeColor="text1"/>
                      <w:szCs w:val="21"/>
                    </w:rPr>
                    <w:t>45.8</w:t>
                  </w:r>
                </w:p>
              </w:tc>
              <w:tc>
                <w:tcPr>
                  <w:tcW w:w="329" w:type="pct"/>
                  <w:vAlign w:val="center"/>
                </w:tcPr>
                <w:p>
                  <w:pPr>
                    <w:pStyle w:val="24"/>
                    <w:spacing w:line="360" w:lineRule="exact"/>
                    <w:rPr>
                      <w:color w:val="000000" w:themeColor="text1"/>
                      <w:szCs w:val="21"/>
                    </w:rPr>
                  </w:pPr>
                  <w:r>
                    <w:rPr>
                      <w:color w:val="000000" w:themeColor="text1"/>
                      <w:szCs w:val="21"/>
                    </w:rPr>
                    <w:t>--</w:t>
                  </w:r>
                </w:p>
              </w:tc>
              <w:tc>
                <w:tcPr>
                  <w:tcW w:w="454" w:type="pct"/>
                  <w:vAlign w:val="center"/>
                </w:tcPr>
                <w:p>
                  <w:pPr>
                    <w:pStyle w:val="24"/>
                    <w:spacing w:line="360" w:lineRule="exact"/>
                    <w:rPr>
                      <w:color w:val="000000" w:themeColor="text1"/>
                      <w:szCs w:val="21"/>
                    </w:rPr>
                  </w:pPr>
                  <w:r>
                    <w:rPr>
                      <w:color w:val="000000" w:themeColor="text1"/>
                      <w:szCs w:val="21"/>
                    </w:rPr>
                    <w:t>19</w:t>
                  </w:r>
                </w:p>
              </w:tc>
              <w:tc>
                <w:tcPr>
                  <w:tcW w:w="413" w:type="pct"/>
                  <w:vAlign w:val="center"/>
                </w:tcPr>
                <w:p>
                  <w:pPr>
                    <w:pStyle w:val="24"/>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vAlign w:val="center"/>
                </w:tcPr>
                <w:p>
                  <w:pPr>
                    <w:pStyle w:val="24"/>
                    <w:spacing w:line="360" w:lineRule="exact"/>
                    <w:ind w:firstLine="210" w:firstLineChars="100"/>
                    <w:jc w:val="left"/>
                    <w:rPr>
                      <w:color w:val="000000" w:themeColor="text1"/>
                      <w:szCs w:val="21"/>
                    </w:rPr>
                  </w:pPr>
                  <w:r>
                    <w:rPr>
                      <w:rFonts w:hint="eastAsia"/>
                      <w:color w:val="000000" w:themeColor="text1"/>
                      <w:szCs w:val="21"/>
                    </w:rPr>
                    <w:t>备注：“”表示已投资，不进行重复计算</w:t>
                  </w:r>
                </w:p>
              </w:tc>
            </w:tr>
          </w:tbl>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bCs/>
                <w:color w:val="000000" w:themeColor="text1"/>
              </w:rPr>
            </w:pPr>
          </w:p>
          <w:p>
            <w:pPr>
              <w:pStyle w:val="32"/>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15"/>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1"/>
        <w:gridCol w:w="851"/>
        <w:gridCol w:w="852"/>
        <w:gridCol w:w="859"/>
        <w:gridCol w:w="1135"/>
        <w:gridCol w:w="3104"/>
        <w:gridCol w:w="16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562"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13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310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60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851" w:type="dxa"/>
            <w:vAlign w:val="center"/>
          </w:tcPr>
          <w:p>
            <w:pPr>
              <w:pStyle w:val="24"/>
              <w:spacing w:line="360" w:lineRule="exact"/>
              <w:rPr>
                <w:color w:val="000000" w:themeColor="text1"/>
                <w:szCs w:val="21"/>
              </w:rPr>
            </w:pPr>
            <w:r>
              <w:rPr>
                <w:rFonts w:hint="eastAsia"/>
                <w:color w:val="000000" w:themeColor="text1"/>
                <w:szCs w:val="21"/>
              </w:rPr>
              <w:t>烘干系统</w:t>
            </w:r>
          </w:p>
        </w:tc>
        <w:tc>
          <w:tcPr>
            <w:tcW w:w="852" w:type="dxa"/>
            <w:vAlign w:val="center"/>
          </w:tcPr>
          <w:p>
            <w:pPr>
              <w:pStyle w:val="24"/>
              <w:spacing w:line="360" w:lineRule="exact"/>
              <w:rPr>
                <w:color w:val="000000" w:themeColor="text1"/>
                <w:szCs w:val="21"/>
              </w:rPr>
            </w:pPr>
            <w:r>
              <w:rPr>
                <w:rFonts w:hint="eastAsia"/>
                <w:color w:val="000000" w:themeColor="text1"/>
                <w:szCs w:val="21"/>
              </w:rPr>
              <w:t>烘干</w:t>
            </w:r>
          </w:p>
        </w:tc>
        <w:tc>
          <w:tcPr>
            <w:tcW w:w="859" w:type="dxa"/>
            <w:vAlign w:val="center"/>
          </w:tcPr>
          <w:p>
            <w:pPr>
              <w:pStyle w:val="24"/>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有组织</w:t>
            </w:r>
          </w:p>
        </w:tc>
        <w:tc>
          <w:tcPr>
            <w:tcW w:w="1135" w:type="dxa"/>
            <w:vAlign w:val="center"/>
          </w:tcPr>
          <w:p>
            <w:pPr>
              <w:pStyle w:val="24"/>
              <w:rPr>
                <w:rFonts w:eastAsiaTheme="minorEastAsia"/>
                <w:color w:val="000000" w:themeColor="text1"/>
                <w:szCs w:val="21"/>
              </w:rPr>
            </w:pPr>
            <w:r>
              <w:rPr>
                <w:rFonts w:hint="eastAsia"/>
                <w:color w:val="000000" w:themeColor="text1"/>
                <w:szCs w:val="21"/>
              </w:rPr>
              <w:t>颗粒物</w:t>
            </w:r>
            <w:r>
              <w:rPr>
                <w:color w:val="000000" w:themeColor="text1"/>
                <w:szCs w:val="21"/>
              </w:rPr>
              <w:t>、SO</w:t>
            </w:r>
            <w:r>
              <w:rPr>
                <w:color w:val="000000" w:themeColor="text1"/>
                <w:szCs w:val="21"/>
                <w:vertAlign w:val="subscript"/>
              </w:rPr>
              <w:t>2</w:t>
            </w:r>
            <w:r>
              <w:rPr>
                <w:color w:val="000000" w:themeColor="text1"/>
                <w:szCs w:val="21"/>
              </w:rPr>
              <w:t>、NOx</w:t>
            </w:r>
          </w:p>
        </w:tc>
        <w:tc>
          <w:tcPr>
            <w:tcW w:w="3104" w:type="dxa"/>
            <w:vAlign w:val="center"/>
          </w:tcPr>
          <w:p>
            <w:pPr>
              <w:pStyle w:val="24"/>
              <w:spacing w:line="360" w:lineRule="exact"/>
              <w:ind w:firstLine="210" w:firstLineChars="100"/>
              <w:jc w:val="both"/>
              <w:rPr>
                <w:rFonts w:eastAsiaTheme="minorEastAsia"/>
                <w:color w:val="000000" w:themeColor="text1"/>
                <w:szCs w:val="21"/>
              </w:rPr>
            </w:pPr>
            <w:r>
              <w:rPr>
                <w:color w:val="000000" w:themeColor="text1"/>
                <w:szCs w:val="21"/>
              </w:rPr>
              <w:t>针对烘干工序产生的废气，项目拟设置旋风除尘器+布袋除尘器对其进行处理，其中旋风除尘效率为70%，布袋除尘除尘效率为96%，则综合除尘效率约为98.8%，该系统处理风量为</w:t>
            </w:r>
            <w:r>
              <w:rPr>
                <w:rFonts w:hint="eastAsia"/>
                <w:color w:val="000000" w:themeColor="text1"/>
                <w:szCs w:val="21"/>
              </w:rPr>
              <w:t>6</w:t>
            </w:r>
            <w:r>
              <w:rPr>
                <w:color w:val="000000" w:themeColor="text1"/>
                <w:szCs w:val="21"/>
              </w:rPr>
              <w:t>000m³/h</w:t>
            </w:r>
            <w:r>
              <w:rPr>
                <w:rFonts w:hint="eastAsia"/>
                <w:color w:val="000000" w:themeColor="text1"/>
                <w:szCs w:val="21"/>
              </w:rPr>
              <w:t>，</w:t>
            </w:r>
            <w:r>
              <w:rPr>
                <w:color w:val="000000" w:themeColor="text1"/>
                <w:szCs w:val="21"/>
              </w:rPr>
              <w:t>烘干废气经处理后通过1根Φ0.4m、高15m的排气筒（DA001）外排。</w:t>
            </w:r>
          </w:p>
        </w:tc>
        <w:tc>
          <w:tcPr>
            <w:tcW w:w="1604" w:type="dxa"/>
            <w:vAlign w:val="center"/>
          </w:tcPr>
          <w:p>
            <w:pPr>
              <w:pStyle w:val="24"/>
              <w:spacing w:line="360" w:lineRule="exact"/>
              <w:ind w:firstLine="210" w:firstLineChars="100"/>
              <w:jc w:val="both"/>
              <w:rPr>
                <w:rFonts w:eastAsiaTheme="minorEastAsia"/>
                <w:color w:val="000000" w:themeColor="text1"/>
                <w:szCs w:val="21"/>
              </w:rPr>
            </w:pPr>
            <w:r>
              <w:rPr>
                <w:rFonts w:hint="eastAsia"/>
                <w:color w:val="000000" w:themeColor="text1"/>
                <w:szCs w:val="24"/>
              </w:rPr>
              <w:t>颗粒物执行</w:t>
            </w:r>
            <w:r>
              <w:rPr>
                <w:color w:val="000000" w:themeColor="text1"/>
                <w:szCs w:val="24"/>
              </w:rPr>
              <w:t>《工业炉窑大气污染物排放标准》（GB9078-1996）中表2中干燥炉、窑的二级标准限值</w:t>
            </w:r>
            <w:r>
              <w:rPr>
                <w:rFonts w:hint="eastAsia"/>
                <w:color w:val="000000" w:themeColor="text1"/>
                <w:szCs w:val="24"/>
              </w:rPr>
              <w:t>；</w:t>
            </w:r>
            <w:r>
              <w:rPr>
                <w:color w:val="000000" w:themeColor="text1"/>
                <w:szCs w:val="24"/>
              </w:rPr>
              <w:t>SO</w:t>
            </w:r>
            <w:r>
              <w:rPr>
                <w:color w:val="000000" w:themeColor="text1"/>
                <w:szCs w:val="24"/>
                <w:vertAlign w:val="subscript"/>
              </w:rPr>
              <w:t>2</w:t>
            </w:r>
            <w:r>
              <w:rPr>
                <w:color w:val="000000" w:themeColor="text1"/>
                <w:szCs w:val="24"/>
              </w:rPr>
              <w:t>和NOx</w:t>
            </w:r>
            <w:r>
              <w:rPr>
                <w:rFonts w:hint="eastAsia"/>
                <w:color w:val="000000" w:themeColor="text1"/>
                <w:szCs w:val="24"/>
              </w:rPr>
              <w:t>执行</w:t>
            </w:r>
            <w:r>
              <w:rPr>
                <w:color w:val="000000" w:themeColor="text1"/>
                <w:szCs w:val="24"/>
              </w:rPr>
              <w:t>《锅炉大气污染物排放标准》（GB13271-2014）标准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Align w:val="center"/>
          </w:tcPr>
          <w:p>
            <w:pPr>
              <w:pStyle w:val="24"/>
              <w:spacing w:line="360" w:lineRule="exact"/>
              <w:rPr>
                <w:color w:val="000000" w:themeColor="text1"/>
                <w:szCs w:val="21"/>
              </w:rPr>
            </w:pPr>
            <w:r>
              <w:rPr>
                <w:rFonts w:hint="eastAsia"/>
                <w:color w:val="000000" w:themeColor="text1"/>
                <w:szCs w:val="21"/>
              </w:rPr>
              <w:t>废渣暂存库</w:t>
            </w:r>
          </w:p>
        </w:tc>
        <w:tc>
          <w:tcPr>
            <w:tcW w:w="852" w:type="dxa"/>
            <w:vAlign w:val="center"/>
          </w:tcPr>
          <w:p>
            <w:pPr>
              <w:pStyle w:val="24"/>
              <w:spacing w:line="360" w:lineRule="exact"/>
              <w:rPr>
                <w:color w:val="000000" w:themeColor="text1"/>
                <w:szCs w:val="21"/>
              </w:rPr>
            </w:pPr>
            <w:r>
              <w:rPr>
                <w:rFonts w:hint="eastAsia"/>
                <w:color w:val="000000" w:themeColor="text1"/>
                <w:szCs w:val="21"/>
              </w:rPr>
              <w:t>装卸、暂存</w:t>
            </w:r>
          </w:p>
        </w:tc>
        <w:tc>
          <w:tcPr>
            <w:tcW w:w="859" w:type="dxa"/>
            <w:vAlign w:val="center"/>
          </w:tcPr>
          <w:p>
            <w:pPr>
              <w:pStyle w:val="24"/>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无组织</w:t>
            </w:r>
          </w:p>
        </w:tc>
        <w:tc>
          <w:tcPr>
            <w:tcW w:w="1135" w:type="dxa"/>
            <w:vAlign w:val="center"/>
          </w:tcPr>
          <w:p>
            <w:pPr>
              <w:pStyle w:val="24"/>
              <w:rPr>
                <w:rFonts w:eastAsiaTheme="minorEastAsia"/>
                <w:color w:val="000000" w:themeColor="text1"/>
                <w:szCs w:val="21"/>
              </w:rPr>
            </w:pPr>
            <w:r>
              <w:rPr>
                <w:rFonts w:hint="eastAsia" w:eastAsiaTheme="minorEastAsia"/>
                <w:color w:val="000000" w:themeColor="text1"/>
                <w:szCs w:val="21"/>
              </w:rPr>
              <w:t>颗粒物</w:t>
            </w:r>
          </w:p>
        </w:tc>
        <w:tc>
          <w:tcPr>
            <w:tcW w:w="3104" w:type="dxa"/>
            <w:vAlign w:val="center"/>
          </w:tcPr>
          <w:p>
            <w:pPr>
              <w:pStyle w:val="24"/>
              <w:spacing w:line="360" w:lineRule="exact"/>
              <w:ind w:firstLine="210" w:firstLineChars="100"/>
              <w:jc w:val="both"/>
              <w:rPr>
                <w:rFonts w:eastAsiaTheme="minorEastAsia"/>
                <w:color w:val="000000" w:themeColor="text1"/>
                <w:szCs w:val="21"/>
              </w:rPr>
            </w:pPr>
            <w:r>
              <w:rPr>
                <w:rFonts w:hint="eastAsia"/>
                <w:color w:val="000000" w:themeColor="text1"/>
                <w:szCs w:val="21"/>
              </w:rPr>
              <w:t>为了降低废渣暂存库的扬尘，拟对废渣暂存库设置三面围挡和顶棚，则其扬尘抑制率约为80%。</w:t>
            </w:r>
          </w:p>
        </w:tc>
        <w:tc>
          <w:tcPr>
            <w:tcW w:w="1604" w:type="dxa"/>
            <w:vAlign w:val="center"/>
          </w:tcPr>
          <w:p>
            <w:pPr>
              <w:pStyle w:val="24"/>
              <w:spacing w:line="360" w:lineRule="exact"/>
              <w:ind w:firstLine="210" w:firstLineChars="100"/>
              <w:jc w:val="both"/>
              <w:rPr>
                <w:rFonts w:eastAsiaTheme="minorEastAsia"/>
                <w:color w:val="000000" w:themeColor="text1"/>
                <w:szCs w:val="21"/>
              </w:rPr>
            </w:pPr>
            <w:r>
              <w:rPr>
                <w:color w:val="000000" w:themeColor="text1"/>
                <w:szCs w:val="24"/>
              </w:rPr>
              <w:t>《大气污染物综合排放标准》（GB16297-1996）无组织排放标准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851" w:type="dxa"/>
            <w:vAlign w:val="center"/>
          </w:tcPr>
          <w:p>
            <w:pPr>
              <w:pStyle w:val="24"/>
              <w:spacing w:line="360" w:lineRule="exact"/>
              <w:rPr>
                <w:color w:val="000000" w:themeColor="text1"/>
                <w:szCs w:val="21"/>
              </w:rPr>
            </w:pPr>
            <w:r>
              <w:rPr>
                <w:rFonts w:hint="eastAsia"/>
                <w:color w:val="000000" w:themeColor="text1"/>
                <w:szCs w:val="21"/>
              </w:rPr>
              <w:t>生产车间</w:t>
            </w:r>
          </w:p>
        </w:tc>
        <w:tc>
          <w:tcPr>
            <w:tcW w:w="852" w:type="dxa"/>
            <w:vAlign w:val="center"/>
          </w:tcPr>
          <w:p>
            <w:pPr>
              <w:pStyle w:val="24"/>
              <w:spacing w:line="360" w:lineRule="exact"/>
              <w:rPr>
                <w:color w:val="000000" w:themeColor="text1"/>
                <w:szCs w:val="21"/>
              </w:rPr>
            </w:pPr>
            <w:r>
              <w:rPr>
                <w:rFonts w:hint="eastAsia"/>
                <w:color w:val="000000" w:themeColor="text1"/>
                <w:szCs w:val="21"/>
              </w:rPr>
              <w:t>选别系统</w:t>
            </w:r>
          </w:p>
        </w:tc>
        <w:tc>
          <w:tcPr>
            <w:tcW w:w="859" w:type="dxa"/>
            <w:vAlign w:val="center"/>
          </w:tcPr>
          <w:p>
            <w:pPr>
              <w:pStyle w:val="24"/>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w:t>
            </w:r>
          </w:p>
        </w:tc>
        <w:tc>
          <w:tcPr>
            <w:tcW w:w="1135" w:type="dxa"/>
            <w:vAlign w:val="center"/>
          </w:tcPr>
          <w:p>
            <w:pPr>
              <w:pStyle w:val="24"/>
              <w:spacing w:line="360" w:lineRule="exact"/>
              <w:rPr>
                <w:rFonts w:eastAsiaTheme="minorEastAsia"/>
                <w:color w:val="000000" w:themeColor="text1"/>
                <w:szCs w:val="21"/>
                <w:lang w:val="en-US"/>
              </w:rPr>
            </w:pPr>
            <w:r>
              <w:rPr>
                <w:rFonts w:hint="eastAsia" w:eastAsiaTheme="minorEastAsia"/>
                <w:color w:val="000000" w:themeColor="text1"/>
                <w:szCs w:val="21"/>
                <w:lang w:val="en-US"/>
              </w:rPr>
              <w:t>生产废水（pH、CODcr</w:t>
            </w:r>
            <w:r>
              <w:rPr>
                <w:rFonts w:hint="eastAsia" w:eastAsiaTheme="minorEastAsia"/>
                <w:color w:val="000000" w:themeColor="text1"/>
                <w:szCs w:val="21"/>
              </w:rPr>
              <w:t>、</w:t>
            </w:r>
            <w:r>
              <w:rPr>
                <w:rFonts w:eastAsiaTheme="minorEastAsia"/>
                <w:color w:val="000000" w:themeColor="text1"/>
                <w:szCs w:val="21"/>
                <w:lang w:val="en-US"/>
              </w:rPr>
              <w:t>SS</w:t>
            </w:r>
            <w:r>
              <w:rPr>
                <w:rFonts w:hint="eastAsia" w:eastAsiaTheme="minorEastAsia"/>
                <w:color w:val="000000" w:themeColor="text1"/>
                <w:szCs w:val="21"/>
              </w:rPr>
              <w:t>、</w:t>
            </w:r>
            <w:r>
              <w:rPr>
                <w:rFonts w:eastAsiaTheme="minorEastAsia"/>
                <w:color w:val="000000" w:themeColor="text1"/>
                <w:szCs w:val="21"/>
                <w:lang w:val="en-US"/>
              </w:rPr>
              <w:t>NH</w:t>
            </w:r>
            <w:r>
              <w:rPr>
                <w:rFonts w:eastAsiaTheme="minorEastAsia"/>
                <w:color w:val="000000" w:themeColor="text1"/>
                <w:szCs w:val="21"/>
                <w:vertAlign w:val="subscript"/>
                <w:lang w:val="en-US"/>
              </w:rPr>
              <w:t>3</w:t>
            </w:r>
            <w:r>
              <w:rPr>
                <w:rFonts w:eastAsiaTheme="minorEastAsia"/>
                <w:color w:val="000000" w:themeColor="text1"/>
                <w:szCs w:val="21"/>
                <w:lang w:val="en-US"/>
              </w:rPr>
              <w:t>-N</w:t>
            </w:r>
            <w:r>
              <w:rPr>
                <w:rFonts w:hint="eastAsia" w:eastAsiaTheme="minorEastAsia"/>
                <w:color w:val="000000" w:themeColor="text1"/>
                <w:szCs w:val="21"/>
                <w:lang w:val="en-US"/>
              </w:rPr>
              <w:t>、Cr</w:t>
            </w:r>
            <w:r>
              <w:rPr>
                <w:rFonts w:hint="eastAsia" w:eastAsiaTheme="minorEastAsia"/>
                <w:color w:val="000000" w:themeColor="text1"/>
                <w:szCs w:val="21"/>
              </w:rPr>
              <w:t>、</w:t>
            </w:r>
            <w:r>
              <w:rPr>
                <w:rFonts w:eastAsiaTheme="minorEastAsia"/>
                <w:color w:val="000000" w:themeColor="text1"/>
                <w:szCs w:val="21"/>
                <w:lang w:val="en-US"/>
              </w:rPr>
              <w:t>Pb</w:t>
            </w:r>
            <w:r>
              <w:rPr>
                <w:rFonts w:hint="eastAsia" w:eastAsiaTheme="minorEastAsia"/>
                <w:color w:val="000000" w:themeColor="text1"/>
                <w:szCs w:val="21"/>
              </w:rPr>
              <w:t>、</w:t>
            </w:r>
            <w:r>
              <w:rPr>
                <w:rFonts w:eastAsiaTheme="minorEastAsia"/>
                <w:color w:val="000000" w:themeColor="text1"/>
                <w:szCs w:val="21"/>
                <w:lang w:val="en-US"/>
              </w:rPr>
              <w:t>Fe</w:t>
            </w:r>
            <w:r>
              <w:rPr>
                <w:rFonts w:hint="eastAsia" w:eastAsiaTheme="minorEastAsia"/>
                <w:color w:val="000000" w:themeColor="text1"/>
                <w:szCs w:val="21"/>
                <w:lang w:val="en-US"/>
              </w:rPr>
              <w:t>、氟化物）</w:t>
            </w:r>
          </w:p>
        </w:tc>
        <w:tc>
          <w:tcPr>
            <w:tcW w:w="3104" w:type="dxa"/>
            <w:vAlign w:val="center"/>
          </w:tcPr>
          <w:p>
            <w:pPr>
              <w:pStyle w:val="24"/>
              <w:spacing w:line="360" w:lineRule="exact"/>
              <w:ind w:firstLine="210" w:firstLineChars="100"/>
              <w:jc w:val="both"/>
              <w:rPr>
                <w:color w:val="000000" w:themeColor="text1"/>
                <w:szCs w:val="21"/>
              </w:rPr>
            </w:pPr>
            <w:r>
              <w:rPr>
                <w:rFonts w:hint="eastAsia"/>
                <w:color w:val="000000" w:themeColor="text1"/>
                <w:szCs w:val="21"/>
              </w:rPr>
              <w:t>项目拟在生产车间旁配套设置1个有效容积约为</w:t>
            </w:r>
            <w:r>
              <w:rPr>
                <w:color w:val="000000" w:themeColor="text1"/>
                <w:szCs w:val="21"/>
              </w:rPr>
              <w:t>1</w:t>
            </w:r>
            <w:r>
              <w:rPr>
                <w:rFonts w:hint="eastAsia"/>
                <w:color w:val="000000" w:themeColor="text1"/>
                <w:szCs w:val="21"/>
              </w:rPr>
              <w:t>00</w:t>
            </w:r>
            <w:r>
              <w:rPr>
                <w:color w:val="000000" w:themeColor="text1"/>
                <w:szCs w:val="21"/>
              </w:rPr>
              <w:t>m³的</w:t>
            </w:r>
            <w:r>
              <w:rPr>
                <w:rFonts w:hint="eastAsia"/>
                <w:color w:val="000000" w:themeColor="text1"/>
                <w:szCs w:val="21"/>
              </w:rPr>
              <w:t>废水收集调节池，对各工序产生的废水进行收集、调节后进入有效容积约为640</w:t>
            </w:r>
            <w:r>
              <w:rPr>
                <w:color w:val="000000" w:themeColor="text1"/>
                <w:szCs w:val="21"/>
              </w:rPr>
              <w:t>m³的</w:t>
            </w:r>
            <w:r>
              <w:rPr>
                <w:rFonts w:hint="eastAsia"/>
                <w:color w:val="000000" w:themeColor="text1"/>
                <w:szCs w:val="21"/>
              </w:rPr>
              <w:t>八级沉淀池进行沉淀处理后，全部回用于生产车间，不外排。</w:t>
            </w:r>
          </w:p>
        </w:tc>
        <w:tc>
          <w:tcPr>
            <w:tcW w:w="1604"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bCs w:val="0"/>
                <w:snapToGrid/>
                <w:color w:val="000000" w:themeColor="text1"/>
                <w:kern w:val="0"/>
                <w:szCs w:val="21"/>
                <w:lang w:val="en-US"/>
              </w:rPr>
              <w:t>不外排</w:t>
            </w:r>
            <w:r>
              <w:rPr>
                <w:rFonts w:hint="eastAsia" w:eastAsiaTheme="minorEastAsia"/>
                <w:bCs w:val="0"/>
                <w:snapToGrid/>
                <w:color w:val="000000" w:themeColor="text1"/>
                <w:kern w:val="0"/>
                <w:szCs w:val="21"/>
                <w:lang w:val="en-US"/>
              </w:rPr>
              <w:t>；执行</w:t>
            </w:r>
            <w:r>
              <w:rPr>
                <w:rFonts w:eastAsiaTheme="minorEastAsia"/>
                <w:color w:val="000000" w:themeColor="text1"/>
              </w:rPr>
              <w:t>《城市污水再生利用  工业用水水质》（GB/T 19923-2005）标准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1703" w:type="dxa"/>
            <w:gridSpan w:val="2"/>
            <w:tcBorders>
              <w:right w:val="single" w:color="auto" w:sz="4" w:space="0"/>
            </w:tcBorders>
            <w:vAlign w:val="center"/>
          </w:tcPr>
          <w:p>
            <w:pPr>
              <w:pStyle w:val="24"/>
              <w:spacing w:line="360" w:lineRule="exact"/>
              <w:rPr>
                <w:color w:val="000000" w:themeColor="text1"/>
                <w:szCs w:val="21"/>
              </w:rPr>
            </w:pPr>
            <w:r>
              <w:rPr>
                <w:color w:val="000000" w:themeColor="text1"/>
                <w:szCs w:val="21"/>
              </w:rPr>
              <w:t>员工生活</w:t>
            </w:r>
          </w:p>
        </w:tc>
        <w:tc>
          <w:tcPr>
            <w:tcW w:w="859" w:type="dxa"/>
            <w:tcBorders>
              <w:left w:val="single" w:color="auto" w:sz="4" w:space="0"/>
            </w:tcBorders>
            <w:vAlign w:val="center"/>
          </w:tcPr>
          <w:p>
            <w:pPr>
              <w:pStyle w:val="24"/>
              <w:spacing w:line="360" w:lineRule="exact"/>
              <w:rPr>
                <w:color w:val="000000" w:themeColor="text1"/>
                <w:szCs w:val="21"/>
              </w:rPr>
            </w:pPr>
            <w:r>
              <w:rPr>
                <w:rFonts w:eastAsiaTheme="minorEastAsia"/>
                <w:bCs w:val="0"/>
                <w:snapToGrid/>
                <w:color w:val="000000" w:themeColor="text1"/>
                <w:kern w:val="0"/>
                <w:szCs w:val="21"/>
                <w:lang w:val="en-US"/>
              </w:rPr>
              <w:t>隔油池、化粪池</w:t>
            </w:r>
          </w:p>
        </w:tc>
        <w:tc>
          <w:tcPr>
            <w:tcW w:w="1135" w:type="dxa"/>
            <w:vAlign w:val="center"/>
          </w:tcPr>
          <w:p>
            <w:pPr>
              <w:pStyle w:val="24"/>
              <w:rPr>
                <w:rFonts w:eastAsiaTheme="minorEastAsia"/>
                <w:color w:val="000000" w:themeColor="text1"/>
                <w:sz w:val="20"/>
                <w:szCs w:val="21"/>
              </w:rPr>
            </w:pPr>
            <w:r>
              <w:rPr>
                <w:rFonts w:eastAsiaTheme="minorEastAsia"/>
                <w:color w:val="000000" w:themeColor="text1"/>
                <w:szCs w:val="21"/>
              </w:rPr>
              <w:t>生活污水（pH、CODcr、BOD5、NH3-N、SS、总磷、总氮、阴离子表面活性剂、粪大肠菌群数）</w:t>
            </w:r>
          </w:p>
        </w:tc>
        <w:tc>
          <w:tcPr>
            <w:tcW w:w="3104"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针对项目厨房生活污水，</w:t>
            </w:r>
            <w:r>
              <w:rPr>
                <w:rFonts w:hint="eastAsia" w:eastAsiaTheme="minorEastAsia"/>
                <w:color w:val="000000" w:themeColor="text1"/>
                <w:szCs w:val="21"/>
              </w:rPr>
              <w:t>拟</w:t>
            </w:r>
            <w:r>
              <w:rPr>
                <w:rFonts w:eastAsiaTheme="minorEastAsia"/>
                <w:color w:val="000000" w:themeColor="text1"/>
                <w:szCs w:val="21"/>
              </w:rPr>
              <w:t>配套设置1个1m³的隔油池对其进行预处理，同时项目生活区旁已设置了1个有效容积为20m³的化粪池对项目区生活污水进行处理。项目生活污水经隔油池、化粪池处理后可达到《污水排入城镇下水道水质标准》（GB/T31962-2015）B等级标准后，通过园区污水管网进入四方地与碧谷园区污水处理厂处理。</w:t>
            </w:r>
          </w:p>
        </w:tc>
        <w:tc>
          <w:tcPr>
            <w:tcW w:w="1604" w:type="dxa"/>
            <w:tcBorders>
              <w:top w:val="single" w:color="auto" w:sz="4" w:space="0"/>
            </w:tcBorders>
            <w:vAlign w:val="center"/>
          </w:tcPr>
          <w:p>
            <w:pPr>
              <w:pStyle w:val="24"/>
              <w:spacing w:line="360" w:lineRule="exact"/>
              <w:ind w:firstLine="210" w:firstLineChars="100"/>
              <w:jc w:val="both"/>
              <w:rPr>
                <w:rFonts w:eastAsiaTheme="minorEastAsia"/>
                <w:color w:val="000000" w:themeColor="text1"/>
              </w:rPr>
            </w:pPr>
            <w:r>
              <w:rPr>
                <w:rFonts w:eastAsiaTheme="minorEastAsia"/>
                <w:color w:val="000000" w:themeColor="text1"/>
              </w:rPr>
              <w:t>达到《污水排入城镇下水道水质标准》（GB/T31962-2015）B等级标准。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1703" w:type="dxa"/>
            <w:gridSpan w:val="2"/>
            <w:vMerge w:val="restart"/>
            <w:tcBorders>
              <w:right w:val="single" w:color="auto" w:sz="4" w:space="0"/>
            </w:tcBorders>
            <w:vAlign w:val="center"/>
          </w:tcPr>
          <w:p>
            <w:pPr>
              <w:pStyle w:val="24"/>
              <w:spacing w:line="360" w:lineRule="exact"/>
              <w:rPr>
                <w:color w:val="000000" w:themeColor="text1"/>
                <w:szCs w:val="21"/>
              </w:rPr>
            </w:pPr>
            <w:r>
              <w:rPr>
                <w:rFonts w:eastAsiaTheme="minorEastAsia"/>
                <w:bCs w:val="0"/>
                <w:snapToGrid/>
                <w:color w:val="000000" w:themeColor="text1"/>
                <w:kern w:val="0"/>
                <w:szCs w:val="21"/>
                <w:lang w:val="en-US"/>
              </w:rPr>
              <w:t>厂区</w:t>
            </w:r>
          </w:p>
        </w:tc>
        <w:tc>
          <w:tcPr>
            <w:tcW w:w="859" w:type="dxa"/>
            <w:tcBorders>
              <w:left w:val="single" w:color="auto" w:sz="4" w:space="0"/>
            </w:tcBorders>
            <w:vAlign w:val="center"/>
          </w:tcPr>
          <w:p>
            <w:pPr>
              <w:pStyle w:val="24"/>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w:t>
            </w:r>
          </w:p>
        </w:tc>
        <w:tc>
          <w:tcPr>
            <w:tcW w:w="1135" w:type="dxa"/>
            <w:vAlign w:val="center"/>
          </w:tcPr>
          <w:p>
            <w:pPr>
              <w:pStyle w:val="24"/>
              <w:rPr>
                <w:rFonts w:eastAsiaTheme="minorEastAsia"/>
                <w:color w:val="000000" w:themeColor="text1"/>
                <w:szCs w:val="21"/>
              </w:rPr>
            </w:pPr>
            <w:r>
              <w:rPr>
                <w:rFonts w:hint="eastAsia" w:eastAsiaTheme="minorEastAsia"/>
                <w:color w:val="000000" w:themeColor="text1"/>
                <w:szCs w:val="21"/>
              </w:rPr>
              <w:t>初期雨水</w:t>
            </w:r>
          </w:p>
        </w:tc>
        <w:tc>
          <w:tcPr>
            <w:tcW w:w="3104" w:type="dxa"/>
            <w:vAlign w:val="center"/>
          </w:tcPr>
          <w:p>
            <w:pPr>
              <w:pStyle w:val="24"/>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已在本项目区旁配套设置了1个</w:t>
            </w:r>
            <w:r>
              <w:rPr>
                <w:rFonts w:eastAsiaTheme="minorEastAsia"/>
                <w:color w:val="000000" w:themeColor="text1"/>
                <w:szCs w:val="21"/>
              </w:rPr>
              <w:t>150m³的初期雨水收集池，对厂区的初期雨水进行收集；收集后</w:t>
            </w:r>
            <w:r>
              <w:rPr>
                <w:rFonts w:hint="eastAsia" w:eastAsiaTheme="minorEastAsia"/>
                <w:color w:val="000000" w:themeColor="text1"/>
                <w:szCs w:val="21"/>
              </w:rPr>
              <w:t>用于本项目生产用水，</w:t>
            </w:r>
            <w:r>
              <w:rPr>
                <w:rFonts w:eastAsiaTheme="minorEastAsia"/>
                <w:color w:val="000000" w:themeColor="text1"/>
                <w:szCs w:val="21"/>
              </w:rPr>
              <w:t>不外排</w:t>
            </w:r>
            <w:r>
              <w:rPr>
                <w:rFonts w:hint="eastAsia" w:eastAsiaTheme="minorEastAsia"/>
                <w:color w:val="000000" w:themeColor="text1"/>
                <w:szCs w:val="21"/>
              </w:rPr>
              <w:t>。</w:t>
            </w:r>
          </w:p>
        </w:tc>
        <w:tc>
          <w:tcPr>
            <w:tcW w:w="1604" w:type="dxa"/>
            <w:tcBorders>
              <w:top w:val="single" w:color="auto" w:sz="4" w:space="0"/>
            </w:tcBorders>
            <w:vAlign w:val="center"/>
          </w:tcPr>
          <w:p>
            <w:pPr>
              <w:pStyle w:val="24"/>
              <w:spacing w:line="360" w:lineRule="exact"/>
              <w:ind w:firstLine="210" w:firstLineChars="100"/>
              <w:jc w:val="both"/>
              <w:rPr>
                <w:rFonts w:eastAsiaTheme="minorEastAsia"/>
                <w:color w:val="000000" w:themeColor="text1"/>
                <w:szCs w:val="21"/>
              </w:rPr>
            </w:pPr>
            <w:r>
              <w:rPr>
                <w:rFonts w:eastAsiaTheme="minorEastAsia"/>
                <w:bCs w:val="0"/>
                <w:snapToGrid/>
                <w:color w:val="000000" w:themeColor="text1"/>
                <w:kern w:val="0"/>
                <w:szCs w:val="21"/>
                <w:lang w:val="en-US"/>
              </w:rPr>
              <w:t>不外排</w:t>
            </w:r>
            <w:r>
              <w:rPr>
                <w:rFonts w:hint="eastAsia" w:eastAsiaTheme="minorEastAsia"/>
                <w:bCs w:val="0"/>
                <w:snapToGrid/>
                <w:color w:val="000000" w:themeColor="text1"/>
                <w:kern w:val="0"/>
                <w:szCs w:val="21"/>
                <w:lang w:val="en-US"/>
              </w:rPr>
              <w:t>；执行</w:t>
            </w:r>
            <w:r>
              <w:rPr>
                <w:rFonts w:eastAsiaTheme="minorEastAsia"/>
                <w:color w:val="000000" w:themeColor="text1"/>
              </w:rPr>
              <w:t>《城市污水再生利用  工业用水水质》（GB/T 19923-2005）标准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1703" w:type="dxa"/>
            <w:gridSpan w:val="2"/>
            <w:vMerge w:val="continue"/>
            <w:tcBorders>
              <w:right w:val="single" w:color="auto" w:sz="4" w:space="0"/>
            </w:tcBorders>
            <w:vAlign w:val="center"/>
          </w:tcPr>
          <w:p>
            <w:pPr>
              <w:pStyle w:val="24"/>
              <w:spacing w:line="360" w:lineRule="exact"/>
              <w:rPr>
                <w:rFonts w:eastAsiaTheme="minorEastAsia"/>
                <w:bCs w:val="0"/>
                <w:snapToGrid/>
                <w:color w:val="000000" w:themeColor="text1"/>
                <w:kern w:val="0"/>
                <w:szCs w:val="21"/>
                <w:lang w:val="en-US"/>
              </w:rPr>
            </w:pPr>
          </w:p>
        </w:tc>
        <w:tc>
          <w:tcPr>
            <w:tcW w:w="859" w:type="dxa"/>
            <w:tcBorders>
              <w:left w:val="single" w:color="auto" w:sz="4" w:space="0"/>
            </w:tcBorders>
            <w:vAlign w:val="center"/>
          </w:tcPr>
          <w:p>
            <w:pPr>
              <w:pStyle w:val="24"/>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雨水口</w:t>
            </w:r>
          </w:p>
        </w:tc>
        <w:tc>
          <w:tcPr>
            <w:tcW w:w="1135" w:type="dxa"/>
            <w:vAlign w:val="center"/>
          </w:tcPr>
          <w:p>
            <w:pPr>
              <w:pStyle w:val="24"/>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雨水</w:t>
            </w:r>
          </w:p>
        </w:tc>
        <w:tc>
          <w:tcPr>
            <w:tcW w:w="3104"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雨水外排。</w:t>
            </w:r>
          </w:p>
        </w:tc>
        <w:tc>
          <w:tcPr>
            <w:tcW w:w="160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851"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eastAsia="宋体" w:cs="Times New Roman"/>
                <w:color w:val="000000" w:themeColor="text1"/>
                <w:kern w:val="32"/>
              </w:rPr>
              <w:t>预处理车间</w:t>
            </w: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振动给料机</w:t>
            </w:r>
          </w:p>
        </w:tc>
        <w:tc>
          <w:tcPr>
            <w:tcW w:w="1135"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3104" w:type="dxa"/>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604" w:type="dxa"/>
            <w:vMerge w:val="restart"/>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达到《工业企业厂界环境噪声排放标准》（GB12348-2008）3类。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MQG1836格子型球磨机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CTB1021磁选机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渣浆泵</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皮带机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eastAsia="宋体" w:cs="Times New Roman"/>
                <w:color w:val="000000" w:themeColor="text1"/>
                <w:kern w:val="32"/>
              </w:rPr>
              <w:t>磁性物选别车间</w:t>
            </w: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1021高频细筛</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MQY1245溢流型球磨机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φ1200螺旋溜槽</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云天摇床</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GW-3过滤机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Φ1200*21000烘干机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CTB0918弱磁机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50m²的板框压滤机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渣浆泵</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皮带机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eastAsia="宋体" w:cs="Times New Roman"/>
                <w:color w:val="000000" w:themeColor="text1"/>
                <w:kern w:val="32"/>
              </w:rPr>
              <w:t>非磁性物选别车间</w:t>
            </w: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φ1200螺旋溜槽</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150m²板框压滤机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GP-30-6盘式过滤机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渣浆泵</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tcBorders>
              <w:bottom w:val="single" w:color="auto" w:sz="4" w:space="0"/>
            </w:tcBorders>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皮带机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eastAsia="宋体" w:cs="Times New Roman"/>
                <w:color w:val="000000" w:themeColor="text1"/>
                <w:kern w:val="32"/>
              </w:rPr>
              <w:t>原料仓</w:t>
            </w: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装载机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pStyle w:val="24"/>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叉车</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3104" w:type="dxa"/>
            <w:vMerge w:val="continue"/>
            <w:vAlign w:val="center"/>
          </w:tcPr>
          <w:p>
            <w:pPr>
              <w:pStyle w:val="24"/>
              <w:spacing w:line="360" w:lineRule="exact"/>
              <w:rPr>
                <w:rFonts w:eastAsiaTheme="minorEastAsia"/>
                <w:color w:val="000000" w:themeColor="text1"/>
                <w:szCs w:val="21"/>
              </w:rPr>
            </w:pPr>
          </w:p>
        </w:tc>
        <w:tc>
          <w:tcPr>
            <w:tcW w:w="1604"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851" w:type="dxa"/>
            <w:vMerge w:val="restart"/>
            <w:vAlign w:val="center"/>
          </w:tcPr>
          <w:p>
            <w:pPr>
              <w:spacing w:line="360" w:lineRule="exact"/>
              <w:jc w:val="center"/>
              <w:rPr>
                <w:rFonts w:ascii="Times New Roman" w:hAnsi="Times New Roman" w:cs="Times New Roman"/>
                <w:color w:val="000000" w:themeColor="text1"/>
                <w:kern w:val="0"/>
              </w:rPr>
            </w:pPr>
            <w:r>
              <w:rPr>
                <w:rFonts w:hint="eastAsia" w:ascii="Times New Roman" w:hAnsi="Times New Roman" w:cs="Times New Roman"/>
                <w:color w:val="000000" w:themeColor="text1"/>
                <w:kern w:val="0"/>
              </w:rPr>
              <w:t>生产车间</w:t>
            </w:r>
          </w:p>
        </w:tc>
        <w:tc>
          <w:tcPr>
            <w:tcW w:w="1711" w:type="dxa"/>
            <w:gridSpan w:val="2"/>
            <w:vAlign w:val="center"/>
          </w:tcPr>
          <w:p>
            <w:pPr>
              <w:spacing w:line="360" w:lineRule="exact"/>
              <w:jc w:val="center"/>
              <w:rPr>
                <w:rFonts w:ascii="Times New Roman" w:hAnsi="Times New Roman" w:cs="Times New Roman"/>
                <w:color w:val="000000" w:themeColor="text1"/>
                <w:kern w:val="0"/>
              </w:rPr>
            </w:pPr>
            <w:r>
              <w:rPr>
                <w:rFonts w:hint="eastAsia" w:ascii="Times New Roman" w:hAnsi="Times New Roman" w:cs="Times New Roman"/>
                <w:color w:val="000000" w:themeColor="text1"/>
                <w:kern w:val="0"/>
              </w:rPr>
              <w:t>选别系统</w:t>
            </w:r>
          </w:p>
        </w:tc>
        <w:tc>
          <w:tcPr>
            <w:tcW w:w="1135" w:type="dxa"/>
            <w:tcBorders>
              <w:bottom w:val="single" w:color="auto" w:sz="4" w:space="0"/>
            </w:tcBorders>
            <w:vAlign w:val="center"/>
          </w:tcPr>
          <w:p>
            <w:pPr>
              <w:spacing w:line="360" w:lineRule="exact"/>
              <w:jc w:val="center"/>
              <w:rPr>
                <w:rFonts w:ascii="Times New Roman" w:hAnsi="Times New Roman" w:cs="Times New Roman"/>
                <w:color w:val="000000" w:themeColor="text1"/>
                <w:kern w:val="0"/>
              </w:rPr>
            </w:pPr>
            <w:r>
              <w:rPr>
                <w:rFonts w:hint="eastAsia" w:ascii="Times New Roman" w:hAnsi="Times New Roman" w:cs="Times New Roman"/>
                <w:color w:val="000000" w:themeColor="text1"/>
                <w:kern w:val="0"/>
              </w:rPr>
              <w:t>废渣</w:t>
            </w:r>
          </w:p>
        </w:tc>
        <w:tc>
          <w:tcPr>
            <w:tcW w:w="3104" w:type="dxa"/>
            <w:tcBorders>
              <w:bottom w:val="single" w:color="auto" w:sz="4" w:space="0"/>
            </w:tcBorders>
            <w:vAlign w:val="center"/>
          </w:tcPr>
          <w:p>
            <w:pPr>
              <w:pStyle w:val="24"/>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一部分用于会泽县强胜页岩砖厂作为制砖原料，剩余部分委托</w:t>
            </w:r>
            <w:r>
              <w:rPr>
                <w:rFonts w:eastAsiaTheme="minorEastAsia"/>
                <w:color w:val="000000" w:themeColor="text1"/>
                <w:szCs w:val="24"/>
              </w:rPr>
              <w:t>四方地工业园区弃渣场处置</w:t>
            </w:r>
            <w:r>
              <w:rPr>
                <w:rFonts w:hint="eastAsia" w:eastAsiaTheme="minorEastAsia"/>
                <w:color w:val="000000" w:themeColor="text1"/>
                <w:szCs w:val="24"/>
              </w:rPr>
              <w:t>。</w:t>
            </w:r>
          </w:p>
        </w:tc>
        <w:tc>
          <w:tcPr>
            <w:tcW w:w="1604" w:type="dxa"/>
            <w:tcBorders>
              <w:bottom w:val="single" w:color="auto" w:sz="4" w:space="0"/>
            </w:tcBorders>
            <w:vAlign w:val="center"/>
          </w:tcPr>
          <w:p>
            <w:pPr>
              <w:pStyle w:val="24"/>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处置率100%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 w:hRule="atLeast"/>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cs="Times New Roman"/>
                <w:color w:val="000000" w:themeColor="text1"/>
                <w:kern w:val="0"/>
              </w:rPr>
            </w:pPr>
          </w:p>
        </w:tc>
        <w:tc>
          <w:tcPr>
            <w:tcW w:w="1711" w:type="dxa"/>
            <w:gridSpan w:val="2"/>
            <w:vAlign w:val="center"/>
          </w:tcPr>
          <w:p>
            <w:pPr>
              <w:spacing w:line="360" w:lineRule="exact"/>
              <w:jc w:val="center"/>
              <w:rPr>
                <w:rFonts w:ascii="Times New Roman" w:hAnsi="Times New Roman" w:cs="Times New Roman"/>
                <w:color w:val="000000" w:themeColor="text1"/>
                <w:kern w:val="0"/>
              </w:rPr>
            </w:pPr>
            <w:r>
              <w:rPr>
                <w:rFonts w:hint="eastAsia" w:ascii="Times New Roman" w:hAnsi="Times New Roman" w:cs="Times New Roman"/>
                <w:color w:val="000000" w:themeColor="text1"/>
                <w:kern w:val="0"/>
              </w:rPr>
              <w:t>烘干系统</w:t>
            </w:r>
          </w:p>
        </w:tc>
        <w:tc>
          <w:tcPr>
            <w:tcW w:w="1135" w:type="dxa"/>
            <w:tcBorders>
              <w:top w:val="single" w:color="auto" w:sz="4" w:space="0"/>
            </w:tcBorders>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收集粉尘</w:t>
            </w:r>
          </w:p>
        </w:tc>
        <w:tc>
          <w:tcPr>
            <w:tcW w:w="3104" w:type="dxa"/>
            <w:tcBorders>
              <w:top w:val="single" w:color="auto" w:sz="4" w:space="0"/>
              <w:bottom w:val="single" w:color="auto" w:sz="4" w:space="0"/>
            </w:tcBorders>
            <w:vAlign w:val="center"/>
          </w:tcPr>
          <w:p>
            <w:pPr>
              <w:pStyle w:val="24"/>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收集粉尘的主要成分即为还原铁粉，作为还原铁粉产品外卖。</w:t>
            </w:r>
          </w:p>
        </w:tc>
        <w:tc>
          <w:tcPr>
            <w:tcW w:w="1604" w:type="dxa"/>
            <w:tcBorders>
              <w:top w:val="single" w:color="auto" w:sz="4" w:space="0"/>
            </w:tcBorders>
            <w:vAlign w:val="center"/>
          </w:tcPr>
          <w:p>
            <w:pPr>
              <w:pStyle w:val="24"/>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处置率100%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62" w:type="dxa"/>
            <w:gridSpan w:val="3"/>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设备维护</w:t>
            </w:r>
          </w:p>
        </w:tc>
        <w:tc>
          <w:tcPr>
            <w:tcW w:w="113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废机油</w:t>
            </w:r>
          </w:p>
        </w:tc>
        <w:tc>
          <w:tcPr>
            <w:tcW w:w="3104" w:type="dxa"/>
            <w:tcBorders>
              <w:top w:val="single" w:color="auto" w:sz="4" w:space="0"/>
            </w:tcBorders>
            <w:vAlign w:val="center"/>
          </w:tcPr>
          <w:p>
            <w:pPr>
              <w:pStyle w:val="24"/>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厂区已建设了</w:t>
            </w:r>
            <w:r>
              <w:rPr>
                <w:rFonts w:eastAsiaTheme="minorEastAsia"/>
                <w:color w:val="000000" w:themeColor="text1"/>
                <w:szCs w:val="24"/>
              </w:rPr>
              <w:t>1个</w:t>
            </w:r>
            <w:r>
              <w:rPr>
                <w:rFonts w:hint="eastAsia" w:eastAsiaTheme="minorEastAsia"/>
                <w:color w:val="000000" w:themeColor="text1"/>
                <w:szCs w:val="24"/>
              </w:rPr>
              <w:t>20</w:t>
            </w:r>
            <w:r>
              <w:rPr>
                <w:rFonts w:eastAsiaTheme="minorEastAsia"/>
                <w:color w:val="000000" w:themeColor="text1"/>
                <w:szCs w:val="24"/>
              </w:rPr>
              <w:t>m²的危险废物贮存间对项目区废机油等危险废物进行暂存</w:t>
            </w:r>
            <w:r>
              <w:rPr>
                <w:rFonts w:hint="eastAsia" w:eastAsiaTheme="minorEastAsia"/>
                <w:color w:val="000000" w:themeColor="text1"/>
                <w:szCs w:val="24"/>
              </w:rPr>
              <w:t>；部分用于生产设备润滑使用，无法使用部分委托有资质的单位处置</w:t>
            </w:r>
            <w:r>
              <w:rPr>
                <w:rFonts w:eastAsiaTheme="minorEastAsia"/>
                <w:color w:val="000000" w:themeColor="text1"/>
                <w:szCs w:val="24"/>
              </w:rPr>
              <w:t>。</w:t>
            </w:r>
          </w:p>
        </w:tc>
        <w:tc>
          <w:tcPr>
            <w:tcW w:w="1604"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62" w:type="dxa"/>
            <w:gridSpan w:val="3"/>
            <w:vMerge w:val="continue"/>
            <w:vAlign w:val="center"/>
          </w:tcPr>
          <w:p>
            <w:pPr>
              <w:spacing w:line="360" w:lineRule="exact"/>
              <w:jc w:val="center"/>
              <w:rPr>
                <w:rFonts w:ascii="Times New Roman" w:hAnsi="Times New Roman" w:cs="Times New Roman"/>
                <w:color w:val="000000" w:themeColor="text1"/>
                <w:kern w:val="0"/>
              </w:rPr>
            </w:pPr>
          </w:p>
        </w:tc>
        <w:tc>
          <w:tcPr>
            <w:tcW w:w="113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3104"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使用垃圾桶集中收集，委托环卫部门定期清运处置。</w:t>
            </w:r>
          </w:p>
        </w:tc>
        <w:tc>
          <w:tcPr>
            <w:tcW w:w="1604"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62" w:type="dxa"/>
            <w:gridSpan w:val="3"/>
            <w:vAlign w:val="center"/>
          </w:tcPr>
          <w:p>
            <w:pPr>
              <w:pStyle w:val="24"/>
              <w:spacing w:line="360" w:lineRule="exact"/>
              <w:rPr>
                <w:color w:val="000000" w:themeColor="text1"/>
                <w:szCs w:val="21"/>
              </w:rPr>
            </w:pPr>
            <w:r>
              <w:rPr>
                <w:color w:val="000000" w:themeColor="text1"/>
                <w:szCs w:val="21"/>
              </w:rPr>
              <w:t>员工生活</w:t>
            </w:r>
          </w:p>
        </w:tc>
        <w:tc>
          <w:tcPr>
            <w:tcW w:w="1135" w:type="dxa"/>
            <w:vAlign w:val="center"/>
          </w:tcPr>
          <w:p>
            <w:pPr>
              <w:pStyle w:val="24"/>
              <w:spacing w:line="360" w:lineRule="exact"/>
              <w:rPr>
                <w:color w:val="000000" w:themeColor="text1"/>
                <w:szCs w:val="21"/>
              </w:rPr>
            </w:pPr>
            <w:r>
              <w:rPr>
                <w:color w:val="000000" w:themeColor="text1"/>
                <w:szCs w:val="21"/>
              </w:rPr>
              <w:t>生活垃圾</w:t>
            </w:r>
          </w:p>
        </w:tc>
        <w:tc>
          <w:tcPr>
            <w:tcW w:w="3104"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1604" w:type="dxa"/>
            <w:vAlign w:val="center"/>
          </w:tcPr>
          <w:p>
            <w:pPr>
              <w:pStyle w:val="24"/>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405" w:type="dxa"/>
            <w:gridSpan w:val="6"/>
            <w:vAlign w:val="center"/>
          </w:tcPr>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rFonts w:eastAsiaTheme="minorEastAsia"/>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项目重点防渗区为危险废物贮存间</w:t>
            </w:r>
            <w:r>
              <w:rPr>
                <w:rFonts w:hint="eastAsia" w:eastAsiaTheme="minorEastAsia"/>
                <w:color w:val="000000" w:themeColor="text1"/>
                <w:sz w:val="24"/>
                <w:szCs w:val="21"/>
              </w:rPr>
              <w:t>：</w:t>
            </w:r>
            <w:r>
              <w:rPr>
                <w:rFonts w:eastAsiaTheme="minorEastAsia"/>
                <w:color w:val="000000" w:themeColor="text1"/>
                <w:sz w:val="24"/>
                <w:szCs w:val="21"/>
              </w:rPr>
              <w:t>危险废物贮存间</w:t>
            </w:r>
            <w:r>
              <w:rPr>
                <w:rFonts w:hint="eastAsia" w:eastAsiaTheme="minorEastAsia"/>
                <w:color w:val="000000" w:themeColor="text1"/>
                <w:sz w:val="24"/>
                <w:szCs w:val="21"/>
              </w:rPr>
              <w:t>地面采用了钢板进行防渗，但裙墙防渗达不到防渗要求，因此裙墙应采用</w:t>
            </w:r>
            <w:r>
              <w:rPr>
                <w:rFonts w:eastAsiaTheme="minorEastAsia"/>
                <w:color w:val="000000" w:themeColor="text1"/>
                <w:sz w:val="24"/>
                <w:szCs w:val="21"/>
              </w:rPr>
              <w:t>不低于2mm后的HDPE膜或其他人工防渗材料进行防渗，使其渗透系数≤10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eastAsiaTheme="minorEastAsia"/>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24"/>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根据分区防渗规范要求，项目生产车间、循环水池、废渣暂存库区域均划定为</w:t>
            </w:r>
            <w:r>
              <w:rPr>
                <w:rFonts w:eastAsiaTheme="minorEastAsia"/>
                <w:color w:val="000000" w:themeColor="text1"/>
                <w:sz w:val="24"/>
                <w:szCs w:val="21"/>
              </w:rPr>
              <w:t>一般防渗区，</w:t>
            </w:r>
            <w:r>
              <w:rPr>
                <w:rFonts w:hint="eastAsia" w:eastAsiaTheme="minorEastAsia"/>
                <w:color w:val="000000" w:themeColor="text1"/>
                <w:sz w:val="24"/>
                <w:szCs w:val="21"/>
              </w:rPr>
              <w:t>根据业主介绍，项目拟依托使用的八级沉淀池采取了防腐防渗措施，其</w:t>
            </w:r>
            <w:r>
              <w:rPr>
                <w:rFonts w:eastAsiaTheme="minorEastAsia"/>
                <w:color w:val="000000" w:themeColor="text1"/>
                <w:sz w:val="24"/>
                <w:szCs w:val="21"/>
              </w:rPr>
              <w:t>渗透系数≤1.0×10</w:t>
            </w:r>
            <w:r>
              <w:rPr>
                <w:rFonts w:eastAsiaTheme="minorEastAsia"/>
                <w:color w:val="000000" w:themeColor="text1"/>
                <w:sz w:val="24"/>
                <w:szCs w:val="21"/>
                <w:vertAlign w:val="superscript"/>
              </w:rPr>
              <w:t>-</w:t>
            </w:r>
            <w:r>
              <w:rPr>
                <w:rFonts w:hint="eastAsia" w:eastAsiaTheme="minorEastAsia"/>
                <w:color w:val="000000" w:themeColor="text1"/>
                <w:sz w:val="24"/>
                <w:szCs w:val="21"/>
                <w:vertAlign w:val="superscript"/>
              </w:rPr>
              <w:t>10</w:t>
            </w:r>
            <w:r>
              <w:rPr>
                <w:rFonts w:eastAsiaTheme="minorEastAsia"/>
                <w:color w:val="000000" w:themeColor="text1"/>
                <w:sz w:val="24"/>
                <w:szCs w:val="21"/>
              </w:rPr>
              <w:t>cm/s</w:t>
            </w:r>
            <w:r>
              <w:rPr>
                <w:rFonts w:hint="eastAsia" w:eastAsiaTheme="minorEastAsia"/>
                <w:color w:val="000000" w:themeColor="text1"/>
                <w:sz w:val="24"/>
                <w:szCs w:val="21"/>
              </w:rPr>
              <w:t>；而废渣暂存库均已进行了防渗施工，其</w:t>
            </w:r>
            <w:r>
              <w:rPr>
                <w:rFonts w:eastAsiaTheme="minorEastAsia"/>
                <w:color w:val="000000" w:themeColor="text1"/>
                <w:sz w:val="24"/>
                <w:szCs w:val="21"/>
              </w:rPr>
              <w:t>渗透系数≤1.0×10</w:t>
            </w:r>
            <w:r>
              <w:rPr>
                <w:rFonts w:eastAsiaTheme="minorEastAsia"/>
                <w:color w:val="000000" w:themeColor="text1"/>
                <w:sz w:val="24"/>
                <w:szCs w:val="21"/>
                <w:vertAlign w:val="superscript"/>
              </w:rPr>
              <w:t>-</w:t>
            </w:r>
            <w:r>
              <w:rPr>
                <w:rFonts w:hint="eastAsia" w:eastAsiaTheme="minorEastAsia"/>
                <w:color w:val="000000" w:themeColor="text1"/>
                <w:sz w:val="24"/>
                <w:szCs w:val="21"/>
                <w:vertAlign w:val="superscript"/>
              </w:rPr>
              <w:t>7</w:t>
            </w:r>
            <w:r>
              <w:rPr>
                <w:rFonts w:eastAsiaTheme="minorEastAsia"/>
                <w:color w:val="000000" w:themeColor="text1"/>
                <w:sz w:val="24"/>
                <w:szCs w:val="21"/>
              </w:rPr>
              <w:t>cm/s</w:t>
            </w:r>
            <w:r>
              <w:rPr>
                <w:rFonts w:hint="eastAsia" w:eastAsiaTheme="minorEastAsia"/>
                <w:color w:val="000000" w:themeColor="text1"/>
                <w:sz w:val="24"/>
                <w:szCs w:val="21"/>
              </w:rPr>
              <w:t>；生产车间各区域拟采用</w:t>
            </w:r>
            <w:r>
              <w:rPr>
                <w:rFonts w:eastAsiaTheme="minorEastAsia"/>
                <w:color w:val="000000" w:themeColor="text1"/>
                <w:sz w:val="24"/>
                <w:szCs w:val="21"/>
              </w:rPr>
              <w:t>粘土铺底，并在上层铺30cm的混凝土进行硬化。确保防渗性能，使其渗透系数≤1.0×10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rFonts w:eastAsiaTheme="minorEastAsia"/>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根据项目特点，对于基本上不产生污染物的简单防渗区，不采取专门针对地下水污染的防治措施。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405" w:type="dxa"/>
            <w:gridSpan w:val="6"/>
            <w:vAlign w:val="center"/>
          </w:tcPr>
          <w:p>
            <w:pPr>
              <w:pStyle w:val="24"/>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405" w:type="dxa"/>
            <w:gridSpan w:val="6"/>
            <w:vAlign w:val="center"/>
          </w:tcPr>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①危废废物应储存于规范的危险废物贮存间；入库时，严格检验物品质量、数量、包装情况、有无泄漏。</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②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③项目区配备相应品种的消防器材</w:t>
            </w:r>
            <w:r>
              <w:rPr>
                <w:rFonts w:hint="eastAsia" w:eastAsiaTheme="minorEastAsia"/>
                <w:color w:val="000000" w:themeColor="text1"/>
                <w:sz w:val="24"/>
                <w:szCs w:val="21"/>
              </w:rPr>
              <w:t>。</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④加强对项目区内天然气管道的巡查，一旦出现破裂，必须立即停产和停止供气，并进行处理；确保天然气管道完好无损。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405" w:type="dxa"/>
            <w:gridSpan w:val="6"/>
            <w:vAlign w:val="center"/>
          </w:tcPr>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①建设单位按照危险废物管理的规范要求，设置危险废物识别标志、环境保护图形标志。</w:t>
            </w:r>
          </w:p>
          <w:p>
            <w:pPr>
              <w:pStyle w:val="24"/>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②要求建设单位制定突发环境事件应急预案，报所在地县级以上环境保护行政主管部门备案并按照预案要求每年组织演练。</w:t>
            </w: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ind w:firstLine="240" w:firstLineChars="100"/>
              <w:jc w:val="both"/>
              <w:rPr>
                <w:rFonts w:eastAsiaTheme="minorEastAsia"/>
                <w:color w:val="000000" w:themeColor="text1"/>
                <w:sz w:val="24"/>
                <w:szCs w:val="21"/>
              </w:rPr>
            </w:pPr>
          </w:p>
          <w:p>
            <w:pPr>
              <w:pStyle w:val="24"/>
              <w:spacing w:line="360" w:lineRule="auto"/>
              <w:jc w:val="both"/>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15"/>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合旺有色金属有限公司拟建设的昆明合旺有色金属有限公司固体废物综合利用项目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984"/>
        <w:gridCol w:w="1560"/>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198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6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现有工程排放量（固体废物产生量）①</w:t>
            </w:r>
          </w:p>
        </w:tc>
        <w:tc>
          <w:tcPr>
            <w:tcW w:w="141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本项目排放量（固体废物产生量）④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本项目建成后全厂排放量（固体废物产生量）⑥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废气</w:t>
            </w: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颗粒物</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9.17</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9.17</w:t>
            </w:r>
          </w:p>
        </w:tc>
        <w:tc>
          <w:tcPr>
            <w:tcW w:w="130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9.17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4"/>
              <w:spacing w:line="360" w:lineRule="exact"/>
              <w:rPr>
                <w:rFonts w:eastAsiaTheme="minorEastAsia"/>
                <w:color w:val="000000" w:themeColor="text1"/>
                <w:szCs w:val="2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SO</w:t>
            </w:r>
            <w:r>
              <w:rPr>
                <w:rFonts w:eastAsiaTheme="minorEastAsia"/>
                <w:color w:val="000000" w:themeColor="text1"/>
                <w:szCs w:val="21"/>
                <w:vertAlign w:val="subscript"/>
              </w:rPr>
              <w:t>2</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0.3</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0.3</w:t>
            </w:r>
          </w:p>
        </w:tc>
        <w:tc>
          <w:tcPr>
            <w:tcW w:w="130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4"/>
              <w:spacing w:line="360" w:lineRule="exact"/>
              <w:rPr>
                <w:rFonts w:eastAsiaTheme="minorEastAsia"/>
                <w:color w:val="000000" w:themeColor="text1"/>
                <w:szCs w:val="2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NOx</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2.81</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2.81</w:t>
            </w:r>
          </w:p>
        </w:tc>
        <w:tc>
          <w:tcPr>
            <w:tcW w:w="130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废水量</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422.4m³/a</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422.4m³/a</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422.4m³/a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pH</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CODcr</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0.12</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0.12</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0.08</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0.08</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SS</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0.07</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0.07</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总磷</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0.003</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0.003</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总氮</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0.017</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0.017</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动植物油</w:t>
            </w:r>
          </w:p>
        </w:tc>
        <w:tc>
          <w:tcPr>
            <w:tcW w:w="1560"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0.03</w:t>
            </w:r>
          </w:p>
        </w:tc>
        <w:tc>
          <w:tcPr>
            <w:tcW w:w="1575"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0.03</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5</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w:t>
            </w:r>
            <w:r>
              <w:rPr>
                <w:rFonts w:hint="eastAsia" w:eastAsiaTheme="minorEastAsia"/>
                <w:color w:val="000000" w:themeColor="text1"/>
                <w:szCs w:val="21"/>
              </w:rPr>
              <w:t>5</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1984"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废渣</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14.3万t/a</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14.3万t/a</w:t>
            </w:r>
          </w:p>
        </w:tc>
        <w:tc>
          <w:tcPr>
            <w:tcW w:w="130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14.3万t/a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4"/>
              <w:spacing w:line="360" w:lineRule="exact"/>
              <w:rPr>
                <w:rFonts w:eastAsiaTheme="minorEastAsia"/>
                <w:color w:val="000000" w:themeColor="text1"/>
                <w:szCs w:val="2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收集粉尘</w:t>
            </w:r>
          </w:p>
        </w:tc>
        <w:tc>
          <w:tcPr>
            <w:tcW w:w="1560"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7.38t/a</w:t>
            </w:r>
          </w:p>
        </w:tc>
        <w:tc>
          <w:tcPr>
            <w:tcW w:w="1575"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7.38t/a</w:t>
            </w:r>
          </w:p>
        </w:tc>
        <w:tc>
          <w:tcPr>
            <w:tcW w:w="1308"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7.38t/a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4"/>
              <w:spacing w:line="360" w:lineRule="exact"/>
              <w:rPr>
                <w:rFonts w:eastAsiaTheme="minorEastAsia"/>
                <w:color w:val="000000" w:themeColor="text1"/>
                <w:szCs w:val="21"/>
              </w:rPr>
            </w:pP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60"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10kg/a</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危险废物</w:t>
            </w:r>
          </w:p>
        </w:tc>
        <w:tc>
          <w:tcPr>
            <w:tcW w:w="1984"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废机油</w:t>
            </w:r>
          </w:p>
        </w:tc>
        <w:tc>
          <w:tcPr>
            <w:tcW w:w="1560"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24"/>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24"/>
              <w:spacing w:line="360" w:lineRule="exact"/>
              <w:rPr>
                <w:rFonts w:eastAsiaTheme="minorEastAsia"/>
                <w:color w:val="000000" w:themeColor="text1"/>
                <w:szCs w:val="21"/>
              </w:rPr>
            </w:pPr>
            <w:r>
              <w:rPr>
                <w:rFonts w:eastAsiaTheme="minorEastAsia"/>
                <w:color w:val="000000" w:themeColor="text1"/>
                <w:szCs w:val="21"/>
              </w:rPr>
              <w:t>80kg/a</w:t>
            </w:r>
          </w:p>
        </w:tc>
      </w:tr>
    </w:tbl>
    <w:p>
      <w:pPr>
        <w:ind w:firstLine="420" w:firstLineChars="200"/>
        <w:jc w:val="left"/>
        <w:rPr>
          <w:rFonts w:ascii="Times New Roman" w:hAnsi="Times New Roman" w:cs="Times New Roman"/>
          <w:b/>
          <w:color w:val="000000" w:themeColor="text1"/>
        </w:rPr>
      </w:pPr>
      <w:r>
        <w:rPr>
          <w:rFonts w:ascii="Times New Roman" w:hAnsi="Times New Roman" w:cs="Times New Roman"/>
          <w:b/>
          <w:color w:val="000000" w:themeColor="text1"/>
        </w:rPr>
        <w:t>注：⑥=①+③+④-⑤；⑦=⑥-①</w:t>
      </w:r>
    </w:p>
    <w:p>
      <w:pPr>
        <w:ind w:firstLine="420" w:firstLineChars="200"/>
        <w:jc w:val="left"/>
        <w:rPr>
          <w:rFonts w:ascii="Times New Roman" w:hAnsi="Times New Roman" w:cs="Times New Roman"/>
          <w:b/>
          <w:color w:val="000000" w:themeColor="text1"/>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1</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uRZ2kP2vnvQvYi0PncOBARbdO4I=" w:salt="n8Yhca39dqHvLImPaM0MQ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5F"/>
    <w:rsid w:val="0000037C"/>
    <w:rsid w:val="00001460"/>
    <w:rsid w:val="00001C9A"/>
    <w:rsid w:val="00010A49"/>
    <w:rsid w:val="00012C80"/>
    <w:rsid w:val="00013833"/>
    <w:rsid w:val="00021721"/>
    <w:rsid w:val="0002285A"/>
    <w:rsid w:val="00031A59"/>
    <w:rsid w:val="00032B08"/>
    <w:rsid w:val="000344EF"/>
    <w:rsid w:val="00034809"/>
    <w:rsid w:val="00035576"/>
    <w:rsid w:val="00040A28"/>
    <w:rsid w:val="00040D99"/>
    <w:rsid w:val="00046D9B"/>
    <w:rsid w:val="00050E55"/>
    <w:rsid w:val="00054F28"/>
    <w:rsid w:val="0005744F"/>
    <w:rsid w:val="00062FAD"/>
    <w:rsid w:val="00067BF4"/>
    <w:rsid w:val="00070F66"/>
    <w:rsid w:val="00075FFD"/>
    <w:rsid w:val="000760FE"/>
    <w:rsid w:val="00082602"/>
    <w:rsid w:val="000954A9"/>
    <w:rsid w:val="000B04E4"/>
    <w:rsid w:val="000B35C4"/>
    <w:rsid w:val="000B6EE8"/>
    <w:rsid w:val="000B7547"/>
    <w:rsid w:val="000D1B94"/>
    <w:rsid w:val="000D4D91"/>
    <w:rsid w:val="000E500A"/>
    <w:rsid w:val="000E6F05"/>
    <w:rsid w:val="000F5DE9"/>
    <w:rsid w:val="0010241D"/>
    <w:rsid w:val="00111F14"/>
    <w:rsid w:val="00116200"/>
    <w:rsid w:val="00121AAE"/>
    <w:rsid w:val="00122036"/>
    <w:rsid w:val="001250CA"/>
    <w:rsid w:val="00125B5D"/>
    <w:rsid w:val="00126836"/>
    <w:rsid w:val="001307E7"/>
    <w:rsid w:val="0015464F"/>
    <w:rsid w:val="0017180C"/>
    <w:rsid w:val="001719D1"/>
    <w:rsid w:val="00171AF4"/>
    <w:rsid w:val="00172D3E"/>
    <w:rsid w:val="001731F9"/>
    <w:rsid w:val="001750E1"/>
    <w:rsid w:val="0017574F"/>
    <w:rsid w:val="001801DD"/>
    <w:rsid w:val="0018089D"/>
    <w:rsid w:val="00182D5B"/>
    <w:rsid w:val="001864CE"/>
    <w:rsid w:val="00187B44"/>
    <w:rsid w:val="00197070"/>
    <w:rsid w:val="001977B7"/>
    <w:rsid w:val="00197C78"/>
    <w:rsid w:val="001A70EF"/>
    <w:rsid w:val="001B4D27"/>
    <w:rsid w:val="001C0A81"/>
    <w:rsid w:val="001C3FC6"/>
    <w:rsid w:val="001D3CCB"/>
    <w:rsid w:val="001E1D94"/>
    <w:rsid w:val="001F03FE"/>
    <w:rsid w:val="001F0A05"/>
    <w:rsid w:val="001F2DED"/>
    <w:rsid w:val="001F522D"/>
    <w:rsid w:val="00203A93"/>
    <w:rsid w:val="0021020E"/>
    <w:rsid w:val="002210A0"/>
    <w:rsid w:val="00245CA3"/>
    <w:rsid w:val="00252D41"/>
    <w:rsid w:val="002666BE"/>
    <w:rsid w:val="002735A4"/>
    <w:rsid w:val="00277862"/>
    <w:rsid w:val="00283568"/>
    <w:rsid w:val="002931E6"/>
    <w:rsid w:val="002963A7"/>
    <w:rsid w:val="00296512"/>
    <w:rsid w:val="002A1028"/>
    <w:rsid w:val="002A1BFA"/>
    <w:rsid w:val="002A1DB1"/>
    <w:rsid w:val="002B2BE4"/>
    <w:rsid w:val="002B40E5"/>
    <w:rsid w:val="002B5B05"/>
    <w:rsid w:val="002C07C0"/>
    <w:rsid w:val="002C3853"/>
    <w:rsid w:val="002E25DE"/>
    <w:rsid w:val="002E3C02"/>
    <w:rsid w:val="002E3E71"/>
    <w:rsid w:val="002E3F5D"/>
    <w:rsid w:val="002E4EE2"/>
    <w:rsid w:val="002E5628"/>
    <w:rsid w:val="002F37F6"/>
    <w:rsid w:val="003012BB"/>
    <w:rsid w:val="00317F26"/>
    <w:rsid w:val="00322DCE"/>
    <w:rsid w:val="00323170"/>
    <w:rsid w:val="00332BCA"/>
    <w:rsid w:val="0034317D"/>
    <w:rsid w:val="00354B52"/>
    <w:rsid w:val="00361CF9"/>
    <w:rsid w:val="00371986"/>
    <w:rsid w:val="00371B13"/>
    <w:rsid w:val="00372641"/>
    <w:rsid w:val="003852E6"/>
    <w:rsid w:val="00385DE6"/>
    <w:rsid w:val="003879AF"/>
    <w:rsid w:val="00390401"/>
    <w:rsid w:val="00394E91"/>
    <w:rsid w:val="003A1A97"/>
    <w:rsid w:val="003A2C94"/>
    <w:rsid w:val="003A4F39"/>
    <w:rsid w:val="003B149E"/>
    <w:rsid w:val="003B6B9D"/>
    <w:rsid w:val="003C4D0F"/>
    <w:rsid w:val="003D03A2"/>
    <w:rsid w:val="003D15BD"/>
    <w:rsid w:val="003D25E7"/>
    <w:rsid w:val="003D4831"/>
    <w:rsid w:val="003E1314"/>
    <w:rsid w:val="003E1A39"/>
    <w:rsid w:val="003E24A1"/>
    <w:rsid w:val="003E2878"/>
    <w:rsid w:val="003E4647"/>
    <w:rsid w:val="003F0CB4"/>
    <w:rsid w:val="003F4B40"/>
    <w:rsid w:val="003F5310"/>
    <w:rsid w:val="00405DB9"/>
    <w:rsid w:val="00412056"/>
    <w:rsid w:val="0042165D"/>
    <w:rsid w:val="0042483F"/>
    <w:rsid w:val="004329BC"/>
    <w:rsid w:val="004369B4"/>
    <w:rsid w:val="004431BA"/>
    <w:rsid w:val="004459AB"/>
    <w:rsid w:val="00445CD5"/>
    <w:rsid w:val="004521CF"/>
    <w:rsid w:val="00452F00"/>
    <w:rsid w:val="00465080"/>
    <w:rsid w:val="00477A89"/>
    <w:rsid w:val="004840C4"/>
    <w:rsid w:val="00484777"/>
    <w:rsid w:val="00490ECA"/>
    <w:rsid w:val="004A0E4C"/>
    <w:rsid w:val="004A1EEA"/>
    <w:rsid w:val="004A2FFF"/>
    <w:rsid w:val="004A37C5"/>
    <w:rsid w:val="004A4E36"/>
    <w:rsid w:val="004A7486"/>
    <w:rsid w:val="004C7D2E"/>
    <w:rsid w:val="004D3DA8"/>
    <w:rsid w:val="004D5133"/>
    <w:rsid w:val="004E0B6A"/>
    <w:rsid w:val="004F046C"/>
    <w:rsid w:val="004F79F0"/>
    <w:rsid w:val="004F7ED7"/>
    <w:rsid w:val="00505002"/>
    <w:rsid w:val="00511B6E"/>
    <w:rsid w:val="005164B3"/>
    <w:rsid w:val="00516F69"/>
    <w:rsid w:val="00531AD8"/>
    <w:rsid w:val="00531E5D"/>
    <w:rsid w:val="00533467"/>
    <w:rsid w:val="005340F1"/>
    <w:rsid w:val="005344D8"/>
    <w:rsid w:val="00542078"/>
    <w:rsid w:val="00543C10"/>
    <w:rsid w:val="00544F28"/>
    <w:rsid w:val="00551B30"/>
    <w:rsid w:val="00551E76"/>
    <w:rsid w:val="005528F5"/>
    <w:rsid w:val="0055331A"/>
    <w:rsid w:val="0055687A"/>
    <w:rsid w:val="005568AC"/>
    <w:rsid w:val="005571AA"/>
    <w:rsid w:val="00570AC5"/>
    <w:rsid w:val="00570B7C"/>
    <w:rsid w:val="00572A09"/>
    <w:rsid w:val="00586942"/>
    <w:rsid w:val="00595DFB"/>
    <w:rsid w:val="00595DFF"/>
    <w:rsid w:val="005A040B"/>
    <w:rsid w:val="005A468F"/>
    <w:rsid w:val="005B5075"/>
    <w:rsid w:val="005B60E2"/>
    <w:rsid w:val="005C3240"/>
    <w:rsid w:val="005C358A"/>
    <w:rsid w:val="005C38F9"/>
    <w:rsid w:val="005C5209"/>
    <w:rsid w:val="005C6ECF"/>
    <w:rsid w:val="005D1BB5"/>
    <w:rsid w:val="005D2878"/>
    <w:rsid w:val="005D2DAC"/>
    <w:rsid w:val="005D40A7"/>
    <w:rsid w:val="005D6D94"/>
    <w:rsid w:val="005E43DF"/>
    <w:rsid w:val="005E7578"/>
    <w:rsid w:val="00607B6F"/>
    <w:rsid w:val="00613C50"/>
    <w:rsid w:val="00617A01"/>
    <w:rsid w:val="0062045F"/>
    <w:rsid w:val="0062070A"/>
    <w:rsid w:val="00623A6B"/>
    <w:rsid w:val="0063583F"/>
    <w:rsid w:val="00636BF7"/>
    <w:rsid w:val="006379C6"/>
    <w:rsid w:val="00663A36"/>
    <w:rsid w:val="00670600"/>
    <w:rsid w:val="006826DF"/>
    <w:rsid w:val="00685451"/>
    <w:rsid w:val="0068738A"/>
    <w:rsid w:val="00687D0A"/>
    <w:rsid w:val="006946BA"/>
    <w:rsid w:val="006952FD"/>
    <w:rsid w:val="006A0148"/>
    <w:rsid w:val="006A310F"/>
    <w:rsid w:val="006A5256"/>
    <w:rsid w:val="006A7586"/>
    <w:rsid w:val="006B30E2"/>
    <w:rsid w:val="006C0272"/>
    <w:rsid w:val="006C0B93"/>
    <w:rsid w:val="006C1364"/>
    <w:rsid w:val="006C1666"/>
    <w:rsid w:val="006C1D02"/>
    <w:rsid w:val="006C52A7"/>
    <w:rsid w:val="006C58DC"/>
    <w:rsid w:val="006C640B"/>
    <w:rsid w:val="006D1F47"/>
    <w:rsid w:val="006D449A"/>
    <w:rsid w:val="006D469B"/>
    <w:rsid w:val="006E20AC"/>
    <w:rsid w:val="006E2C47"/>
    <w:rsid w:val="006E3BBE"/>
    <w:rsid w:val="006E4148"/>
    <w:rsid w:val="006E69D9"/>
    <w:rsid w:val="006F2742"/>
    <w:rsid w:val="006F31A9"/>
    <w:rsid w:val="006F404F"/>
    <w:rsid w:val="006F6817"/>
    <w:rsid w:val="00702658"/>
    <w:rsid w:val="00702A5D"/>
    <w:rsid w:val="00710575"/>
    <w:rsid w:val="00712452"/>
    <w:rsid w:val="00715081"/>
    <w:rsid w:val="007205B9"/>
    <w:rsid w:val="00734F3E"/>
    <w:rsid w:val="00740A4F"/>
    <w:rsid w:val="007431C8"/>
    <w:rsid w:val="00745C1E"/>
    <w:rsid w:val="00751732"/>
    <w:rsid w:val="0075551E"/>
    <w:rsid w:val="00756F3F"/>
    <w:rsid w:val="00760397"/>
    <w:rsid w:val="007620A6"/>
    <w:rsid w:val="00766AE0"/>
    <w:rsid w:val="00766D22"/>
    <w:rsid w:val="0077006B"/>
    <w:rsid w:val="007752A9"/>
    <w:rsid w:val="007809B0"/>
    <w:rsid w:val="00785FBC"/>
    <w:rsid w:val="00786705"/>
    <w:rsid w:val="0079096A"/>
    <w:rsid w:val="007923CD"/>
    <w:rsid w:val="00793033"/>
    <w:rsid w:val="00793C8B"/>
    <w:rsid w:val="00797D3A"/>
    <w:rsid w:val="007A17E9"/>
    <w:rsid w:val="007A1811"/>
    <w:rsid w:val="007A4B48"/>
    <w:rsid w:val="007A6586"/>
    <w:rsid w:val="007B296B"/>
    <w:rsid w:val="007B741C"/>
    <w:rsid w:val="007C0DE2"/>
    <w:rsid w:val="007C48B8"/>
    <w:rsid w:val="007D01C3"/>
    <w:rsid w:val="007D01EC"/>
    <w:rsid w:val="007D440B"/>
    <w:rsid w:val="007D66D8"/>
    <w:rsid w:val="007F4217"/>
    <w:rsid w:val="00800713"/>
    <w:rsid w:val="0080313A"/>
    <w:rsid w:val="008037FF"/>
    <w:rsid w:val="00804005"/>
    <w:rsid w:val="00814387"/>
    <w:rsid w:val="00820EEF"/>
    <w:rsid w:val="008278FC"/>
    <w:rsid w:val="00844558"/>
    <w:rsid w:val="00847A3B"/>
    <w:rsid w:val="00853681"/>
    <w:rsid w:val="00857DB7"/>
    <w:rsid w:val="00862A78"/>
    <w:rsid w:val="00876278"/>
    <w:rsid w:val="0087758A"/>
    <w:rsid w:val="00877DC6"/>
    <w:rsid w:val="00884880"/>
    <w:rsid w:val="008902AE"/>
    <w:rsid w:val="008948EB"/>
    <w:rsid w:val="00897E97"/>
    <w:rsid w:val="008A1159"/>
    <w:rsid w:val="008A6FD6"/>
    <w:rsid w:val="008B21E0"/>
    <w:rsid w:val="008B702B"/>
    <w:rsid w:val="008C08AB"/>
    <w:rsid w:val="008C1FB7"/>
    <w:rsid w:val="008C50F0"/>
    <w:rsid w:val="008C7652"/>
    <w:rsid w:val="008D15CE"/>
    <w:rsid w:val="008D164F"/>
    <w:rsid w:val="008E375A"/>
    <w:rsid w:val="008E56A4"/>
    <w:rsid w:val="008F4CE6"/>
    <w:rsid w:val="008F5F3E"/>
    <w:rsid w:val="008F74C5"/>
    <w:rsid w:val="008F7660"/>
    <w:rsid w:val="008F7AE0"/>
    <w:rsid w:val="00903A8B"/>
    <w:rsid w:val="009050A1"/>
    <w:rsid w:val="00913BBF"/>
    <w:rsid w:val="009206AC"/>
    <w:rsid w:val="009252EF"/>
    <w:rsid w:val="00925E63"/>
    <w:rsid w:val="00927433"/>
    <w:rsid w:val="00927C70"/>
    <w:rsid w:val="00931F67"/>
    <w:rsid w:val="00935E07"/>
    <w:rsid w:val="00936AFA"/>
    <w:rsid w:val="009371D8"/>
    <w:rsid w:val="00954268"/>
    <w:rsid w:val="009545F8"/>
    <w:rsid w:val="00966221"/>
    <w:rsid w:val="00973DC5"/>
    <w:rsid w:val="00974646"/>
    <w:rsid w:val="009800F5"/>
    <w:rsid w:val="00987D4A"/>
    <w:rsid w:val="0099505A"/>
    <w:rsid w:val="009A28F3"/>
    <w:rsid w:val="009A570D"/>
    <w:rsid w:val="009A6B88"/>
    <w:rsid w:val="009B7740"/>
    <w:rsid w:val="009C091A"/>
    <w:rsid w:val="009C166B"/>
    <w:rsid w:val="009D27CC"/>
    <w:rsid w:val="009D368A"/>
    <w:rsid w:val="009D41A3"/>
    <w:rsid w:val="009E20A5"/>
    <w:rsid w:val="009E33D7"/>
    <w:rsid w:val="009E461F"/>
    <w:rsid w:val="009E4666"/>
    <w:rsid w:val="009F1793"/>
    <w:rsid w:val="009F2273"/>
    <w:rsid w:val="009F2D07"/>
    <w:rsid w:val="00A05998"/>
    <w:rsid w:val="00A06B38"/>
    <w:rsid w:val="00A158CC"/>
    <w:rsid w:val="00A22965"/>
    <w:rsid w:val="00A37D8D"/>
    <w:rsid w:val="00A4202F"/>
    <w:rsid w:val="00A4354F"/>
    <w:rsid w:val="00A4616E"/>
    <w:rsid w:val="00A46859"/>
    <w:rsid w:val="00A46F3A"/>
    <w:rsid w:val="00A475BE"/>
    <w:rsid w:val="00A52AFE"/>
    <w:rsid w:val="00A53E67"/>
    <w:rsid w:val="00A707E4"/>
    <w:rsid w:val="00A719DE"/>
    <w:rsid w:val="00A77714"/>
    <w:rsid w:val="00A80A3E"/>
    <w:rsid w:val="00A923EE"/>
    <w:rsid w:val="00A92F34"/>
    <w:rsid w:val="00A96334"/>
    <w:rsid w:val="00AA5A9C"/>
    <w:rsid w:val="00AA7709"/>
    <w:rsid w:val="00AB571D"/>
    <w:rsid w:val="00AB68A8"/>
    <w:rsid w:val="00AB6D1E"/>
    <w:rsid w:val="00AC07DE"/>
    <w:rsid w:val="00AC6D60"/>
    <w:rsid w:val="00AD1B30"/>
    <w:rsid w:val="00AD5A01"/>
    <w:rsid w:val="00AD70C8"/>
    <w:rsid w:val="00AE1FB4"/>
    <w:rsid w:val="00AE2950"/>
    <w:rsid w:val="00AE48A8"/>
    <w:rsid w:val="00AE6373"/>
    <w:rsid w:val="00AF0DF7"/>
    <w:rsid w:val="00AF7020"/>
    <w:rsid w:val="00B11487"/>
    <w:rsid w:val="00B12184"/>
    <w:rsid w:val="00B1473D"/>
    <w:rsid w:val="00B1487D"/>
    <w:rsid w:val="00B1596E"/>
    <w:rsid w:val="00B20232"/>
    <w:rsid w:val="00B21DB0"/>
    <w:rsid w:val="00B26AB9"/>
    <w:rsid w:val="00B31882"/>
    <w:rsid w:val="00B33013"/>
    <w:rsid w:val="00B4575C"/>
    <w:rsid w:val="00B45987"/>
    <w:rsid w:val="00B45CFC"/>
    <w:rsid w:val="00B46E0F"/>
    <w:rsid w:val="00B5125D"/>
    <w:rsid w:val="00B53D4D"/>
    <w:rsid w:val="00B56333"/>
    <w:rsid w:val="00B620DD"/>
    <w:rsid w:val="00B77F51"/>
    <w:rsid w:val="00B80331"/>
    <w:rsid w:val="00B8599C"/>
    <w:rsid w:val="00B87833"/>
    <w:rsid w:val="00B9657F"/>
    <w:rsid w:val="00BA39DB"/>
    <w:rsid w:val="00BA4DC1"/>
    <w:rsid w:val="00BA79D2"/>
    <w:rsid w:val="00BB5F36"/>
    <w:rsid w:val="00BC42B9"/>
    <w:rsid w:val="00BC4C15"/>
    <w:rsid w:val="00BC5093"/>
    <w:rsid w:val="00BD0523"/>
    <w:rsid w:val="00BD0FFC"/>
    <w:rsid w:val="00BD317E"/>
    <w:rsid w:val="00BE0032"/>
    <w:rsid w:val="00BE4393"/>
    <w:rsid w:val="00BE716A"/>
    <w:rsid w:val="00BF0309"/>
    <w:rsid w:val="00BF0650"/>
    <w:rsid w:val="00BF117C"/>
    <w:rsid w:val="00BF5489"/>
    <w:rsid w:val="00BF592F"/>
    <w:rsid w:val="00BF739D"/>
    <w:rsid w:val="00BF7C1F"/>
    <w:rsid w:val="00C023BF"/>
    <w:rsid w:val="00C11EC6"/>
    <w:rsid w:val="00C21282"/>
    <w:rsid w:val="00C23DA0"/>
    <w:rsid w:val="00C2445F"/>
    <w:rsid w:val="00C31F22"/>
    <w:rsid w:val="00C337D6"/>
    <w:rsid w:val="00C36564"/>
    <w:rsid w:val="00C37163"/>
    <w:rsid w:val="00C37EB4"/>
    <w:rsid w:val="00C416AA"/>
    <w:rsid w:val="00C458C4"/>
    <w:rsid w:val="00C466EA"/>
    <w:rsid w:val="00C46C54"/>
    <w:rsid w:val="00C5657F"/>
    <w:rsid w:val="00C5703D"/>
    <w:rsid w:val="00C62458"/>
    <w:rsid w:val="00C6321B"/>
    <w:rsid w:val="00C63515"/>
    <w:rsid w:val="00C635BA"/>
    <w:rsid w:val="00C63B71"/>
    <w:rsid w:val="00C64149"/>
    <w:rsid w:val="00C71B72"/>
    <w:rsid w:val="00C72737"/>
    <w:rsid w:val="00C72DAD"/>
    <w:rsid w:val="00C77C13"/>
    <w:rsid w:val="00C85CB3"/>
    <w:rsid w:val="00C92CDF"/>
    <w:rsid w:val="00C9314B"/>
    <w:rsid w:val="00CA1213"/>
    <w:rsid w:val="00CA4BB4"/>
    <w:rsid w:val="00CA4DD5"/>
    <w:rsid w:val="00CA6CE9"/>
    <w:rsid w:val="00CB20C7"/>
    <w:rsid w:val="00CB2F29"/>
    <w:rsid w:val="00CC2BD0"/>
    <w:rsid w:val="00CC3974"/>
    <w:rsid w:val="00CC5962"/>
    <w:rsid w:val="00CC600C"/>
    <w:rsid w:val="00CD10E5"/>
    <w:rsid w:val="00CD485D"/>
    <w:rsid w:val="00CD511C"/>
    <w:rsid w:val="00CE2306"/>
    <w:rsid w:val="00CE3245"/>
    <w:rsid w:val="00CE32C0"/>
    <w:rsid w:val="00CE4D56"/>
    <w:rsid w:val="00CF2AC6"/>
    <w:rsid w:val="00CF31B0"/>
    <w:rsid w:val="00CF64FE"/>
    <w:rsid w:val="00CF7FB1"/>
    <w:rsid w:val="00D02159"/>
    <w:rsid w:val="00D11CB4"/>
    <w:rsid w:val="00D13852"/>
    <w:rsid w:val="00D1449F"/>
    <w:rsid w:val="00D2157C"/>
    <w:rsid w:val="00D21A6D"/>
    <w:rsid w:val="00D21E22"/>
    <w:rsid w:val="00D23738"/>
    <w:rsid w:val="00D2536F"/>
    <w:rsid w:val="00D33CC5"/>
    <w:rsid w:val="00D33F3C"/>
    <w:rsid w:val="00D426F0"/>
    <w:rsid w:val="00D51EA8"/>
    <w:rsid w:val="00D52226"/>
    <w:rsid w:val="00D54364"/>
    <w:rsid w:val="00D554CF"/>
    <w:rsid w:val="00D62262"/>
    <w:rsid w:val="00D66B7D"/>
    <w:rsid w:val="00D707F7"/>
    <w:rsid w:val="00D708CF"/>
    <w:rsid w:val="00D71E9C"/>
    <w:rsid w:val="00D72434"/>
    <w:rsid w:val="00D731D2"/>
    <w:rsid w:val="00D73B45"/>
    <w:rsid w:val="00D911B2"/>
    <w:rsid w:val="00D965D5"/>
    <w:rsid w:val="00DA1769"/>
    <w:rsid w:val="00DA2FBA"/>
    <w:rsid w:val="00DA6C99"/>
    <w:rsid w:val="00DA707D"/>
    <w:rsid w:val="00DB6353"/>
    <w:rsid w:val="00DB680A"/>
    <w:rsid w:val="00DC67B5"/>
    <w:rsid w:val="00DD0426"/>
    <w:rsid w:val="00DD7A9F"/>
    <w:rsid w:val="00DE4B23"/>
    <w:rsid w:val="00DF5A36"/>
    <w:rsid w:val="00E1063F"/>
    <w:rsid w:val="00E2185D"/>
    <w:rsid w:val="00E27815"/>
    <w:rsid w:val="00E303D4"/>
    <w:rsid w:val="00E42FBC"/>
    <w:rsid w:val="00E519CE"/>
    <w:rsid w:val="00E51BFD"/>
    <w:rsid w:val="00E63B58"/>
    <w:rsid w:val="00E66D1F"/>
    <w:rsid w:val="00E67620"/>
    <w:rsid w:val="00E7474A"/>
    <w:rsid w:val="00E75E2F"/>
    <w:rsid w:val="00E8453C"/>
    <w:rsid w:val="00E87BC1"/>
    <w:rsid w:val="00E914AF"/>
    <w:rsid w:val="00E9156B"/>
    <w:rsid w:val="00E91797"/>
    <w:rsid w:val="00E964EA"/>
    <w:rsid w:val="00E9735A"/>
    <w:rsid w:val="00EA0CF8"/>
    <w:rsid w:val="00EA3639"/>
    <w:rsid w:val="00EA3913"/>
    <w:rsid w:val="00EA7D37"/>
    <w:rsid w:val="00EB0DD5"/>
    <w:rsid w:val="00EB0E32"/>
    <w:rsid w:val="00EB1CB2"/>
    <w:rsid w:val="00EB297D"/>
    <w:rsid w:val="00EB6CFB"/>
    <w:rsid w:val="00EC0172"/>
    <w:rsid w:val="00EC0446"/>
    <w:rsid w:val="00ED2EC4"/>
    <w:rsid w:val="00ED35F4"/>
    <w:rsid w:val="00ED3A56"/>
    <w:rsid w:val="00ED71D0"/>
    <w:rsid w:val="00EE14D0"/>
    <w:rsid w:val="00EF36F5"/>
    <w:rsid w:val="00EF3C0E"/>
    <w:rsid w:val="00EF4749"/>
    <w:rsid w:val="00EF62C3"/>
    <w:rsid w:val="00F003D2"/>
    <w:rsid w:val="00F02D22"/>
    <w:rsid w:val="00F12E9C"/>
    <w:rsid w:val="00F1433A"/>
    <w:rsid w:val="00F153FF"/>
    <w:rsid w:val="00F234D9"/>
    <w:rsid w:val="00F249CA"/>
    <w:rsid w:val="00F2526D"/>
    <w:rsid w:val="00F32629"/>
    <w:rsid w:val="00F41EA4"/>
    <w:rsid w:val="00F500E4"/>
    <w:rsid w:val="00F600C0"/>
    <w:rsid w:val="00F60F88"/>
    <w:rsid w:val="00F6192B"/>
    <w:rsid w:val="00F624A7"/>
    <w:rsid w:val="00F63B25"/>
    <w:rsid w:val="00F66966"/>
    <w:rsid w:val="00F772AB"/>
    <w:rsid w:val="00F80C21"/>
    <w:rsid w:val="00F81460"/>
    <w:rsid w:val="00F82262"/>
    <w:rsid w:val="00F827AD"/>
    <w:rsid w:val="00F82C79"/>
    <w:rsid w:val="00F83B32"/>
    <w:rsid w:val="00F83F93"/>
    <w:rsid w:val="00F91ABB"/>
    <w:rsid w:val="00F924C3"/>
    <w:rsid w:val="00F93088"/>
    <w:rsid w:val="00FA0B2F"/>
    <w:rsid w:val="00FA1481"/>
    <w:rsid w:val="00FB01E5"/>
    <w:rsid w:val="00FB1246"/>
    <w:rsid w:val="00FB484A"/>
    <w:rsid w:val="00FB5B45"/>
    <w:rsid w:val="00FD2BFA"/>
    <w:rsid w:val="00FD675C"/>
    <w:rsid w:val="00FD7052"/>
    <w:rsid w:val="00FE27FD"/>
    <w:rsid w:val="00FE4015"/>
    <w:rsid w:val="00FE596E"/>
    <w:rsid w:val="00FF727E"/>
    <w:rsid w:val="05C2461A"/>
    <w:rsid w:val="17BB757B"/>
    <w:rsid w:val="6287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38"/>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40"/>
    <w:semiHidden/>
    <w:unhideWhenUsed/>
    <w:qFormat/>
    <w:uiPriority w:val="9"/>
    <w:pPr>
      <w:keepNext/>
      <w:keepLines/>
      <w:spacing w:before="260" w:after="260" w:line="416" w:lineRule="auto"/>
      <w:outlineLvl w:val="2"/>
    </w:pPr>
    <w:rPr>
      <w:b/>
      <w:bCs/>
      <w:sz w:val="32"/>
      <w:szCs w:val="32"/>
    </w:rPr>
  </w:style>
  <w:style w:type="paragraph" w:styleId="4">
    <w:name w:val="heading 8"/>
    <w:basedOn w:val="1"/>
    <w:next w:val="1"/>
    <w:link w:val="4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4"/>
    <w:qFormat/>
    <w:uiPriority w:val="99"/>
    <w:pPr>
      <w:widowControl/>
      <w:ind w:firstLine="420" w:firstLineChars="200"/>
      <w:jc w:val="left"/>
    </w:pPr>
    <w:rPr>
      <w:rFonts w:ascii="Calibri" w:hAnsi="Calibri" w:eastAsia="宋体" w:cs="Times New Roman"/>
      <w:sz w:val="28"/>
      <w:szCs w:val="20"/>
    </w:rPr>
  </w:style>
  <w:style w:type="paragraph" w:styleId="6">
    <w:name w:val="Document Map"/>
    <w:basedOn w:val="1"/>
    <w:link w:val="21"/>
    <w:semiHidden/>
    <w:unhideWhenUsed/>
    <w:qFormat/>
    <w:uiPriority w:val="99"/>
    <w:rPr>
      <w:rFonts w:ascii="宋体" w:eastAsia="宋体"/>
      <w:sz w:val="20"/>
      <w:szCs w:val="18"/>
    </w:rPr>
  </w:style>
  <w:style w:type="paragraph" w:styleId="7">
    <w:name w:val="annotation text"/>
    <w:basedOn w:val="1"/>
    <w:link w:val="28"/>
    <w:semiHidden/>
    <w:unhideWhenUsed/>
    <w:uiPriority w:val="99"/>
    <w:pPr>
      <w:jc w:val="left"/>
    </w:pPr>
  </w:style>
  <w:style w:type="paragraph" w:styleId="8">
    <w:name w:val="Body Text"/>
    <w:basedOn w:val="1"/>
    <w:link w:val="37"/>
    <w:semiHidden/>
    <w:unhideWhenUsed/>
    <w:qFormat/>
    <w:uiPriority w:val="99"/>
    <w:pPr>
      <w:spacing w:after="120"/>
    </w:pPr>
  </w:style>
  <w:style w:type="paragraph" w:styleId="9">
    <w:name w:val="Balloon Text"/>
    <w:basedOn w:val="1"/>
    <w:link w:val="20"/>
    <w:unhideWhenUsed/>
    <w:uiPriority w:val="99"/>
    <w:rPr>
      <w:sz w:val="18"/>
      <w:szCs w:val="18"/>
    </w:rPr>
  </w:style>
  <w:style w:type="paragraph" w:styleId="10">
    <w:name w:val="footer"/>
    <w:basedOn w:val="1"/>
    <w:link w:val="23"/>
    <w:semiHidden/>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5"/>
    <w:qFormat/>
    <w:uiPriority w:val="0"/>
    <w:pPr>
      <w:spacing w:after="120"/>
      <w:ind w:left="420" w:leftChars="200"/>
    </w:pPr>
    <w:rPr>
      <w:rFonts w:ascii="Times New Roman" w:hAnsi="Times New Roman" w:eastAsia="宋体" w:cs="Times New Roman"/>
      <w:sz w:val="16"/>
      <w:szCs w:val="16"/>
    </w:rPr>
  </w:style>
  <w:style w:type="paragraph" w:styleId="13">
    <w:name w:val="annotation subject"/>
    <w:basedOn w:val="7"/>
    <w:next w:val="7"/>
    <w:link w:val="29"/>
    <w:semiHidden/>
    <w:unhideWhenUsed/>
    <w:qFormat/>
    <w:uiPriority w:val="99"/>
    <w:rPr>
      <w:b/>
      <w:bCs/>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page number"/>
    <w:basedOn w:val="16"/>
    <w:uiPriority w:val="0"/>
  </w:style>
  <w:style w:type="character" w:styleId="18">
    <w:name w:val="Hyperlink"/>
    <w:basedOn w:val="16"/>
    <w:semiHidden/>
    <w:unhideWhenUsed/>
    <w:qFormat/>
    <w:uiPriority w:val="99"/>
    <w:rPr>
      <w:color w:val="0000FF"/>
      <w:u w:val="single"/>
    </w:rPr>
  </w:style>
  <w:style w:type="character" w:styleId="19">
    <w:name w:val="annotation reference"/>
    <w:basedOn w:val="16"/>
    <w:semiHidden/>
    <w:unhideWhenUsed/>
    <w:qFormat/>
    <w:uiPriority w:val="99"/>
    <w:rPr>
      <w:sz w:val="21"/>
      <w:szCs w:val="21"/>
    </w:rPr>
  </w:style>
  <w:style w:type="character" w:customStyle="1" w:styleId="20">
    <w:name w:val="批注框文本 Char"/>
    <w:basedOn w:val="16"/>
    <w:link w:val="9"/>
    <w:uiPriority w:val="99"/>
    <w:rPr>
      <w:sz w:val="18"/>
      <w:szCs w:val="18"/>
    </w:rPr>
  </w:style>
  <w:style w:type="character" w:customStyle="1" w:styleId="21">
    <w:name w:val="文档结构图 Char"/>
    <w:basedOn w:val="16"/>
    <w:link w:val="6"/>
    <w:semiHidden/>
    <w:uiPriority w:val="99"/>
    <w:rPr>
      <w:rFonts w:ascii="宋体" w:eastAsia="宋体"/>
      <w:sz w:val="20"/>
      <w:szCs w:val="18"/>
    </w:rPr>
  </w:style>
  <w:style w:type="character" w:customStyle="1" w:styleId="22">
    <w:name w:val="页眉 Char"/>
    <w:basedOn w:val="16"/>
    <w:link w:val="11"/>
    <w:semiHidden/>
    <w:uiPriority w:val="99"/>
    <w:rPr>
      <w:sz w:val="18"/>
      <w:szCs w:val="18"/>
    </w:rPr>
  </w:style>
  <w:style w:type="character" w:customStyle="1" w:styleId="23">
    <w:name w:val="页脚 Char"/>
    <w:basedOn w:val="16"/>
    <w:link w:val="10"/>
    <w:semiHidden/>
    <w:uiPriority w:val="99"/>
    <w:rPr>
      <w:sz w:val="18"/>
      <w:szCs w:val="18"/>
    </w:rPr>
  </w:style>
  <w:style w:type="paragraph" w:customStyle="1" w:styleId="24">
    <w:name w:val="表体"/>
    <w:basedOn w:val="1"/>
    <w:link w:val="36"/>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25">
    <w:name w:val="正文文本缩进 3 Char"/>
    <w:basedOn w:val="16"/>
    <w:link w:val="12"/>
    <w:uiPriority w:val="0"/>
    <w:rPr>
      <w:rFonts w:ascii="Times New Roman" w:hAnsi="Times New Roman" w:eastAsia="宋体" w:cs="Times New Roman"/>
      <w:sz w:val="16"/>
      <w:szCs w:val="16"/>
    </w:rPr>
  </w:style>
  <w:style w:type="paragraph" w:customStyle="1" w:styleId="26">
    <w:name w:val="表头"/>
    <w:basedOn w:val="1"/>
    <w:link w:val="27"/>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27">
    <w:name w:val="表头 Char Char"/>
    <w:link w:val="26"/>
    <w:uiPriority w:val="0"/>
    <w:rPr>
      <w:rFonts w:ascii="Times New Roman" w:hAnsi="宋体" w:eastAsia="FangSong_GB2312" w:cs="Times New Roman"/>
      <w:b/>
      <w:kern w:val="0"/>
      <w:sz w:val="28"/>
      <w:szCs w:val="28"/>
    </w:rPr>
  </w:style>
  <w:style w:type="character" w:customStyle="1" w:styleId="28">
    <w:name w:val="批注文字 Char"/>
    <w:basedOn w:val="16"/>
    <w:link w:val="7"/>
    <w:semiHidden/>
    <w:qFormat/>
    <w:uiPriority w:val="99"/>
  </w:style>
  <w:style w:type="character" w:customStyle="1" w:styleId="29">
    <w:name w:val="批注主题 Char"/>
    <w:basedOn w:val="28"/>
    <w:link w:val="13"/>
    <w:semiHidden/>
    <w:qFormat/>
    <w:uiPriority w:val="99"/>
    <w:rPr>
      <w:b/>
      <w:bCs/>
    </w:rPr>
  </w:style>
  <w:style w:type="character" w:customStyle="1" w:styleId="30">
    <w:name w:val="题注1 Char"/>
    <w:link w:val="31"/>
    <w:qFormat/>
    <w:uiPriority w:val="0"/>
    <w:rPr>
      <w:rFonts w:cs="宋体"/>
      <w:b/>
      <w:bCs/>
      <w:spacing w:val="10"/>
      <w:szCs w:val="24"/>
    </w:rPr>
  </w:style>
  <w:style w:type="paragraph" w:customStyle="1" w:styleId="31">
    <w:name w:val="题注1"/>
    <w:basedOn w:val="1"/>
    <w:link w:val="30"/>
    <w:qFormat/>
    <w:uiPriority w:val="0"/>
    <w:pPr>
      <w:spacing w:beforeLines="20" w:afterLines="20"/>
      <w:jc w:val="center"/>
    </w:pPr>
    <w:rPr>
      <w:rFonts w:cs="宋体"/>
      <w:b/>
      <w:bCs/>
      <w:spacing w:val="10"/>
      <w:szCs w:val="24"/>
    </w:rPr>
  </w:style>
  <w:style w:type="paragraph" w:customStyle="1" w:styleId="32">
    <w:name w:val="赵"/>
    <w:basedOn w:val="1"/>
    <w:link w:val="33"/>
    <w:uiPriority w:val="0"/>
    <w:pPr>
      <w:spacing w:line="360" w:lineRule="auto"/>
      <w:ind w:firstLine="200" w:firstLineChars="200"/>
    </w:pPr>
    <w:rPr>
      <w:rFonts w:ascii="Times New Roman" w:hAnsi="Times New Roman" w:eastAsia="宋体" w:cs="Times New Roman"/>
      <w:sz w:val="24"/>
      <w:szCs w:val="30"/>
    </w:rPr>
  </w:style>
  <w:style w:type="character" w:customStyle="1" w:styleId="33">
    <w:name w:val="赵 Char"/>
    <w:basedOn w:val="16"/>
    <w:link w:val="32"/>
    <w:uiPriority w:val="0"/>
    <w:rPr>
      <w:rFonts w:ascii="Times New Roman" w:hAnsi="Times New Roman" w:eastAsia="宋体" w:cs="Times New Roman"/>
      <w:sz w:val="24"/>
      <w:szCs w:val="30"/>
    </w:rPr>
  </w:style>
  <w:style w:type="paragraph" w:customStyle="1" w:styleId="34">
    <w:name w:val="【表头】"/>
    <w:basedOn w:val="1"/>
    <w:link w:val="35"/>
    <w:qFormat/>
    <w:uiPriority w:val="0"/>
    <w:pPr>
      <w:jc w:val="center"/>
    </w:pPr>
    <w:rPr>
      <w:rFonts w:ascii="Times New Roman" w:hAnsi="Times New Roman" w:eastAsia="宋体" w:cs="Times New Roman"/>
      <w:b/>
      <w:szCs w:val="24"/>
    </w:rPr>
  </w:style>
  <w:style w:type="character" w:customStyle="1" w:styleId="35">
    <w:name w:val="【表头】 Char"/>
    <w:link w:val="34"/>
    <w:uiPriority w:val="0"/>
    <w:rPr>
      <w:rFonts w:ascii="Times New Roman" w:hAnsi="Times New Roman" w:eastAsia="宋体" w:cs="Times New Roman"/>
      <w:b/>
      <w:szCs w:val="24"/>
    </w:rPr>
  </w:style>
  <w:style w:type="character" w:customStyle="1" w:styleId="36">
    <w:name w:val="表体 Char Char"/>
    <w:link w:val="24"/>
    <w:locked/>
    <w:uiPriority w:val="0"/>
    <w:rPr>
      <w:rFonts w:ascii="Times New Roman" w:hAnsi="Times New Roman" w:eastAsia="宋体" w:cs="Times New Roman"/>
      <w:bCs/>
      <w:snapToGrid w:val="0"/>
      <w:color w:val="000000"/>
      <w:kern w:val="32"/>
      <w:szCs w:val="20"/>
      <w:lang w:val="zh-CN"/>
    </w:rPr>
  </w:style>
  <w:style w:type="character" w:customStyle="1" w:styleId="37">
    <w:name w:val="正文文本 Char"/>
    <w:basedOn w:val="16"/>
    <w:link w:val="8"/>
    <w:semiHidden/>
    <w:uiPriority w:val="99"/>
  </w:style>
  <w:style w:type="character" w:customStyle="1" w:styleId="38">
    <w:name w:val="标题 2 Char"/>
    <w:basedOn w:val="16"/>
    <w:link w:val="2"/>
    <w:uiPriority w:val="0"/>
    <w:rPr>
      <w:rFonts w:ascii="Times New Roman" w:hAnsi="Times New Roman" w:eastAsia="黑体" w:cs="Times New Roman"/>
      <w:color w:val="000000" w:themeColor="text1"/>
      <w:sz w:val="30"/>
      <w:szCs w:val="24"/>
    </w:rPr>
  </w:style>
  <w:style w:type="character" w:customStyle="1" w:styleId="39">
    <w:name w:val="表头 Char1"/>
    <w:basedOn w:val="16"/>
    <w:qFormat/>
    <w:uiPriority w:val="0"/>
    <w:rPr>
      <w:rFonts w:ascii="Times New Roman" w:hAnsi="Times New Roman" w:eastAsia="宋体" w:cs="Times New Roman"/>
      <w:b/>
      <w:bCs/>
      <w:kern w:val="0"/>
      <w:szCs w:val="28"/>
    </w:rPr>
  </w:style>
  <w:style w:type="character" w:customStyle="1" w:styleId="40">
    <w:name w:val="标题 3 Char"/>
    <w:basedOn w:val="16"/>
    <w:link w:val="3"/>
    <w:semiHidden/>
    <w:uiPriority w:val="9"/>
    <w:rPr>
      <w:b/>
      <w:bCs/>
      <w:sz w:val="32"/>
      <w:szCs w:val="32"/>
    </w:rPr>
  </w:style>
  <w:style w:type="table" w:customStyle="1" w:styleId="41">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42">
    <w:name w:val="标题 8 Char"/>
    <w:basedOn w:val="16"/>
    <w:link w:val="4"/>
    <w:uiPriority w:val="99"/>
    <w:rPr>
      <w:rFonts w:asciiTheme="majorHAnsi" w:hAnsiTheme="majorHAnsi" w:eastAsiaTheme="majorEastAsia" w:cstheme="majorBidi"/>
      <w:sz w:val="24"/>
      <w:szCs w:val="24"/>
    </w:rPr>
  </w:style>
  <w:style w:type="paragraph" w:customStyle="1" w:styleId="43">
    <w:name w:val="表格正文"/>
    <w:basedOn w:val="1"/>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44">
    <w:name w:val="正文缩进 Char1"/>
    <w:link w:val="5"/>
    <w:uiPriority w:val="99"/>
    <w:rPr>
      <w:rFonts w:ascii="Calibri" w:hAnsi="Calibri" w:eastAsia="宋体" w:cs="Times New Roman"/>
      <w:sz w:val="28"/>
      <w:szCs w:val="20"/>
    </w:rPr>
  </w:style>
  <w:style w:type="paragraph" w:customStyle="1" w:styleId="45">
    <w:name w:val="样式1"/>
    <w:basedOn w:val="1"/>
    <w:link w:val="46"/>
    <w:qFormat/>
    <w:uiPriority w:val="0"/>
    <w:pPr>
      <w:spacing w:line="360" w:lineRule="auto"/>
      <w:ind w:firstLine="510"/>
    </w:pPr>
    <w:rPr>
      <w:rFonts w:ascii="Times New Roman" w:hAnsi="Times New Roman" w:eastAsia="宋体" w:cs="Times New Roman"/>
      <w:sz w:val="24"/>
      <w:szCs w:val="20"/>
    </w:rPr>
  </w:style>
  <w:style w:type="character" w:customStyle="1" w:styleId="46">
    <w:name w:val="样式1 Char"/>
    <w:link w:val="45"/>
    <w:qFormat/>
    <w:locked/>
    <w:uiPriority w:val="0"/>
    <w:rPr>
      <w:rFonts w:ascii="Times New Roman" w:hAnsi="Times New Roman" w:eastAsia="宋体" w:cs="Times New Roman"/>
      <w:sz w:val="24"/>
      <w:szCs w:val="20"/>
    </w:rPr>
  </w:style>
  <w:style w:type="paragraph" w:customStyle="1" w:styleId="47">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7.emf"/><Relationship Id="rId13" Type="http://schemas.openxmlformats.org/officeDocument/2006/relationships/oleObject" Target="embeddings/oleObject3.bin"/><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BA8EA-7093-413F-9F40-6B4092C933C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8179</Words>
  <Characters>46623</Characters>
  <Lines>388</Lines>
  <Paragraphs>109</Paragraphs>
  <TotalTime>7015</TotalTime>
  <ScaleCrop>false</ScaleCrop>
  <LinksUpToDate>false</LinksUpToDate>
  <CharactersWithSpaces>54693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曹恩耒</cp:lastModifiedBy>
  <cp:lastPrinted>2021-08-10T03:45:00Z</cp:lastPrinted>
  <dcterms:modified xsi:type="dcterms:W3CDTF">2021-08-16T07:59:01Z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EB5579A12B924241A7694300126F52E1</vt:lpwstr>
  </property>
</Properties>
</file>