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rPr>
      </w:pPr>
      <w:r>
        <w:rPr>
          <w:rFonts w:hint="eastAsia" w:ascii="方正小标宋_GBK" w:eastAsia="方正小标宋_GBK"/>
          <w:color w:val="auto"/>
          <w:sz w:val="36"/>
          <w:szCs w:val="36"/>
        </w:rPr>
        <w:t>项目支出绩效评价报告</w:t>
      </w:r>
    </w:p>
    <w:p>
      <w:pPr>
        <w:keepNext w:val="0"/>
        <w:keepLines w:val="0"/>
        <w:pageBreakBefore w:val="0"/>
        <w:kinsoku/>
        <w:wordWrap/>
        <w:overflowPunct/>
        <w:autoSpaceDE/>
        <w:bidi w:val="0"/>
        <w:adjustRightInd/>
        <w:snapToGrid/>
        <w:spacing w:line="240" w:lineRule="auto"/>
        <w:jc w:val="center"/>
        <w:textAlignment w:val="auto"/>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摘要</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为切实做好离休干部医疗保障工作，我区制定了《东川区离休干部医疗保障实施细则》（东政办发[2002]111号）。根据实施细则，我区区属机关、事业、企业单位离休干部医疗费自2002年10月1日起实行统筹管理。离休干部医疗费按规定实行实报实销。统筹标准按收支平衡的原则，由区劳动保障部门会同财政部门提出意见报区政府批准执行，一年一定。区医保局对离休干部医疗保障统筹金应尽量做到收支平衡，当收不抵支时，由财政给予解决。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离休干部医疗统筹金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评价结论</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楷体_GB2312" w:hAnsi="楷体_GB2312" w:eastAsia="楷体_GB2312" w:cs="楷体_GB2312"/>
          <w:color w:val="auto"/>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b w:val="0"/>
          <w:bCs w:val="0"/>
          <w:color w:val="auto"/>
          <w:sz w:val="32"/>
          <w:szCs w:val="32"/>
          <w:lang w:eastAsia="zh-CN"/>
        </w:rPr>
        <w:t>离休干部项目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三、</w:t>
      </w:r>
      <w:r>
        <w:rPr>
          <w:rFonts w:hint="eastAsia" w:ascii="楷体_GB2312" w:hAnsi="楷体_GB2312" w:eastAsia="楷体_GB2312" w:cs="楷体_GB2312"/>
          <w:color w:val="auto"/>
          <w:szCs w:val="32"/>
        </w:rPr>
        <w:t>经验、问题和建议</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1.主要经验及做法</w:t>
      </w:r>
    </w:p>
    <w:p>
      <w:pPr>
        <w:keepNext w:val="0"/>
        <w:keepLines w:val="0"/>
        <w:pageBreakBefore w:val="0"/>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，让医保政策家喻户晓，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存在的问题</w:t>
      </w:r>
    </w:p>
    <w:p>
      <w:pPr>
        <w:keepNext w:val="0"/>
        <w:keepLines w:val="0"/>
        <w:pageBreakBefore w:val="0"/>
        <w:widowControl/>
        <w:shd w:val="clear" w:color="auto" w:fill="FFFFFF"/>
        <w:kinsoku/>
        <w:wordWrap/>
        <w:overflowPunct/>
        <w:autoSpaceDE/>
        <w:bidi w:val="0"/>
        <w:adjustRightInd/>
        <w:snapToGrid/>
        <w:spacing w:line="240" w:lineRule="auto"/>
        <w:ind w:firstLine="63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kern w:val="0"/>
          <w:sz w:val="32"/>
          <w:szCs w:val="32"/>
          <w:lang w:val="en-US" w:eastAsia="zh-CN" w:bidi="ar-SA"/>
        </w:rPr>
        <w:t>国家的政策对</w:t>
      </w:r>
      <w:r>
        <w:rPr>
          <w:rFonts w:hint="eastAsia" w:ascii="仿宋_GB2312" w:hAnsi="仿宋_GB2312" w:cs="仿宋_GB2312"/>
          <w:b w:val="0"/>
          <w:bCs w:val="0"/>
          <w:color w:val="auto"/>
          <w:kern w:val="0"/>
          <w:sz w:val="32"/>
          <w:szCs w:val="32"/>
          <w:lang w:val="en-US" w:eastAsia="zh-CN" w:bidi="ar-SA"/>
        </w:rPr>
        <w:t>离休干部人员</w:t>
      </w:r>
      <w:r>
        <w:rPr>
          <w:rFonts w:hint="eastAsia" w:ascii="仿宋_GB2312" w:hAnsi="仿宋_GB2312" w:eastAsia="仿宋_GB2312" w:cs="仿宋_GB2312"/>
          <w:b w:val="0"/>
          <w:bCs w:val="0"/>
          <w:color w:val="auto"/>
          <w:kern w:val="0"/>
          <w:sz w:val="32"/>
          <w:szCs w:val="32"/>
          <w:lang w:val="en-US" w:eastAsia="zh-CN" w:bidi="ar-SA"/>
        </w:rPr>
        <w:t>是倾斜的，最大值的享有福利是他们共有的心态，应接受最好的医疗条件、享受最好的医疗服务，也存在极少数人小病大养，一人享受全家吃药的不良倾向</w:t>
      </w:r>
      <w:r>
        <w:rPr>
          <w:rFonts w:hint="eastAsia" w:ascii="仿宋_GB2312" w:hAnsi="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由于物价上涨快，医院特殊治疗和检查多，如ICU重病监护室，核磁共振、CT、彩超等特殊检查治疗耗用了大量的医疗资金。各种癌症、肾病综合症等大病、重病时有发生，一年只要发生一例就要耗资百万元以上，加之这一群体年龄大，身体状况愈下，人员虽逐年减少，但所需医疗费确</w:t>
      </w:r>
      <w:r>
        <w:rPr>
          <w:rFonts w:hint="eastAsia" w:ascii="仿宋_GB2312" w:hAnsi="仿宋_GB2312" w:cs="仿宋_GB2312"/>
          <w:b w:val="0"/>
          <w:bCs w:val="0"/>
          <w:color w:val="auto"/>
          <w:kern w:val="0"/>
          <w:sz w:val="32"/>
          <w:szCs w:val="32"/>
          <w:lang w:val="en-US" w:eastAsia="zh-CN" w:bidi="ar-SA"/>
        </w:rPr>
        <w:t>没有逐年减少，甚至不降反增</w:t>
      </w:r>
      <w:r>
        <w:rPr>
          <w:rFonts w:hint="eastAsia" w:ascii="仿宋_GB2312" w:hAnsi="仿宋_GB2312" w:eastAsia="仿宋_GB2312" w:cs="仿宋_GB2312"/>
          <w:b w:val="0"/>
          <w:bCs w:val="0"/>
          <w:color w:val="auto"/>
          <w:kern w:val="0"/>
          <w:sz w:val="32"/>
          <w:szCs w:val="32"/>
          <w:lang w:val="en-US" w:eastAsia="zh-CN" w:bidi="ar-SA"/>
        </w:rPr>
        <w:t>。</w:t>
      </w:r>
    </w:p>
    <w:p>
      <w:pPr>
        <w:keepNext w:val="0"/>
        <w:keepLines w:val="0"/>
        <w:pageBreakBefore w:val="0"/>
        <w:numPr>
          <w:ilvl w:val="0"/>
          <w:numId w:val="0"/>
        </w:numPr>
        <w:kinsoku/>
        <w:wordWrap/>
        <w:overflowPunct/>
        <w:autoSpaceDE/>
        <w:bidi w:val="0"/>
        <w:adjustRightInd/>
        <w:snapToGrid/>
        <w:spacing w:line="240" w:lineRule="auto"/>
        <w:ind w:leftChars="200"/>
        <w:jc w:val="left"/>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改进措施及建议</w:t>
      </w:r>
    </w:p>
    <w:p>
      <w:pPr>
        <w:keepNext w:val="0"/>
        <w:keepLines w:val="0"/>
        <w:pageBreakBefore w:val="0"/>
        <w:kinsoku/>
        <w:wordWrap/>
        <w:overflowPunct/>
        <w:autoSpaceDE/>
        <w:bidi w:val="0"/>
        <w:adjustRightInd/>
        <w:snapToGrid/>
        <w:spacing w:line="240" w:lineRule="auto"/>
        <w:ind w:firstLine="632" w:firstLineChars="200"/>
        <w:textAlignment w:val="auto"/>
        <w:rPr>
          <w:color w:val="auto"/>
        </w:rPr>
      </w:pPr>
      <w:r>
        <w:rPr>
          <w:rFonts w:hint="eastAsia" w:ascii="仿宋_GB2312" w:hAnsi="仿宋_GB2312" w:eastAsia="仿宋_GB2312" w:cs="仿宋_GB2312"/>
          <w:color w:val="auto"/>
          <w:kern w:val="0"/>
          <w:szCs w:val="32"/>
        </w:rPr>
        <w:t>合理确定筹资水平。进一步规范管理医保</w:t>
      </w:r>
      <w:r>
        <w:rPr>
          <w:rFonts w:hint="eastAsia" w:ascii="仿宋_GB2312" w:hAnsi="仿宋_GB2312" w:cs="仿宋_GB2312"/>
          <w:color w:val="auto"/>
          <w:kern w:val="0"/>
          <w:szCs w:val="32"/>
          <w:lang w:eastAsia="zh-CN"/>
        </w:rPr>
        <w:t>资金</w:t>
      </w:r>
      <w:r>
        <w:rPr>
          <w:rFonts w:hint="eastAsia" w:ascii="仿宋_GB2312" w:hAnsi="仿宋_GB2312" w:eastAsia="仿宋_GB2312" w:cs="仿宋_GB2312"/>
          <w:color w:val="auto"/>
          <w:kern w:val="0"/>
          <w:szCs w:val="32"/>
        </w:rPr>
        <w:t>。</w:t>
      </w:r>
    </w:p>
    <w:p>
      <w:pPr>
        <w:keepNext w:val="0"/>
        <w:keepLines w:val="0"/>
        <w:pageBreakBefore w:val="0"/>
        <w:kinsoku/>
        <w:wordWrap/>
        <w:overflowPunct/>
        <w:autoSpaceDE/>
        <w:bidi w:val="0"/>
        <w:adjustRightInd/>
        <w:snapToGrid/>
        <w:spacing w:line="240" w:lineRule="auto"/>
        <w:jc w:val="both"/>
        <w:textAlignment w:val="auto"/>
        <w:rPr>
          <w:rFonts w:hint="eastAsia" w:ascii="方正小标宋简体" w:eastAsia="方正小标宋简体"/>
          <w:color w:val="auto"/>
          <w:sz w:val="44"/>
          <w:szCs w:val="44"/>
        </w:rPr>
      </w:pPr>
    </w:p>
    <w:p>
      <w:pPr>
        <w:keepNext w:val="0"/>
        <w:keepLines w:val="0"/>
        <w:pageBreakBefore w:val="0"/>
        <w:kinsoku/>
        <w:wordWrap/>
        <w:overflowPunct/>
        <w:autoSpaceDE/>
        <w:bidi w:val="0"/>
        <w:adjustRightInd/>
        <w:snapToGrid/>
        <w:spacing w:line="240" w:lineRule="auto"/>
        <w:jc w:val="both"/>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昆明市东川区医疗保障局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val="en-US" w:eastAsia="zh-CN"/>
        </w:rPr>
        <w:t>2019年离休干部项目绩效自评报告</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为切实做好离休干部医疗保障工作，我区制定了《东川区离休干部医疗保障实施细则》（东政办发[2002]111号）。根据实施细则，我区区属机关、事业、企业单位离休干部医疗费自2002年10月1日起实行统筹管理。离休干部医疗费按规定实行实报实销。统筹标准按收支平衡的原则，由区劳动保障部门会同财政部门提出意见报区政府批准执行，一年一定。区医保局对离休干部医疗保障统筹金应尽量做到收支平衡，当收不抵支时，由财政给予解决。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离休干部医疗统筹金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1.离休干部参保工作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根据中央、省、市、区相关文件，对符合离休干部待遇享受的人员保障覆盖面达到100%。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离休干部</w:t>
      </w:r>
      <w:r>
        <w:rPr>
          <w:rFonts w:hint="eastAsia" w:ascii="仿宋_GB2312" w:hAnsi="仿宋_GB2312" w:eastAsia="仿宋_GB2312" w:cs="仿宋_GB2312"/>
          <w:b w:val="0"/>
          <w:bCs w:val="0"/>
          <w:color w:val="auto"/>
          <w:sz w:val="32"/>
          <w:szCs w:val="32"/>
          <w:lang w:val="en-US" w:eastAsia="zh-CN"/>
        </w:rPr>
        <w:t>医疗费用待遇审核工作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根据中央、省、市、区相关文件，对符合离休干部待遇享受的人员，按文件相关要求进行待遇审核，无错审漏审。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离休干部资金收支管理工作</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严格执行有关基金会计制度及内部控制制度，较好地完成了</w:t>
      </w:r>
      <w:r>
        <w:rPr>
          <w:rFonts w:hint="eastAsia" w:ascii="仿宋_GB2312" w:hAnsi="仿宋_GB2312" w:eastAsia="仿宋_GB2312" w:cs="仿宋_GB2312"/>
          <w:b w:val="0"/>
          <w:bCs w:val="0"/>
          <w:color w:val="auto"/>
          <w:sz w:val="32"/>
          <w:szCs w:val="32"/>
          <w:lang w:eastAsia="zh-CN"/>
        </w:rPr>
        <w:t>离休干部专项资金的</w:t>
      </w:r>
      <w:r>
        <w:rPr>
          <w:rFonts w:hint="eastAsia" w:ascii="仿宋_GB2312" w:hAnsi="仿宋_GB2312" w:eastAsia="仿宋_GB2312" w:cs="仿宋_GB2312"/>
          <w:b w:val="0"/>
          <w:bCs w:val="0"/>
          <w:color w:val="auto"/>
          <w:sz w:val="32"/>
          <w:szCs w:val="32"/>
        </w:rPr>
        <w:t>安全运行。</w:t>
      </w:r>
      <w:r>
        <w:rPr>
          <w:rFonts w:hint="eastAsia" w:ascii="仿宋_GB2312" w:hAnsi="仿宋_GB2312" w:eastAsia="仿宋_GB2312" w:cs="仿宋_GB2312"/>
          <w:b w:val="0"/>
          <w:bCs w:val="0"/>
          <w:color w:val="auto"/>
          <w:sz w:val="32"/>
          <w:szCs w:val="32"/>
          <w:lang w:val="en-US" w:eastAsia="zh-CN"/>
        </w:rPr>
        <w:t>截止</w:t>
      </w:r>
      <w:r>
        <w:rPr>
          <w:rFonts w:hint="eastAsia" w:ascii="仿宋_GB2312" w:hAnsi="仿宋_GB2312" w:cs="仿宋_GB2312"/>
          <w:b w:val="0"/>
          <w:bCs w:val="0"/>
          <w:color w:val="auto"/>
          <w:sz w:val="32"/>
          <w:szCs w:val="32"/>
          <w:lang w:val="en-US" w:eastAsia="zh-CN"/>
        </w:rPr>
        <w:t>2019</w:t>
      </w:r>
      <w:r>
        <w:rPr>
          <w:rFonts w:hint="eastAsia" w:ascii="仿宋_GB2312" w:hAnsi="仿宋_GB2312" w:eastAsia="仿宋_GB2312" w:cs="仿宋_GB2312"/>
          <w:b w:val="0"/>
          <w:bCs w:val="0"/>
          <w:color w:val="auto"/>
          <w:sz w:val="32"/>
          <w:szCs w:val="32"/>
          <w:lang w:val="en-US" w:eastAsia="zh-CN"/>
        </w:rPr>
        <w:t>年12月31日，离休干部医疗保障统筹金收到专款</w:t>
      </w:r>
      <w:r>
        <w:rPr>
          <w:rFonts w:hint="eastAsia" w:ascii="仿宋_GB2312" w:hAnsi="仿宋_GB2312" w:cs="仿宋_GB2312"/>
          <w:b w:val="0"/>
          <w:bCs w:val="0"/>
          <w:color w:val="auto"/>
          <w:sz w:val="32"/>
          <w:szCs w:val="32"/>
          <w:lang w:val="en-US" w:eastAsia="zh-CN"/>
        </w:rPr>
        <w:t>500</w:t>
      </w:r>
      <w:r>
        <w:rPr>
          <w:rFonts w:hint="eastAsia" w:ascii="仿宋_GB2312" w:hAnsi="仿宋_GB2312" w:eastAsia="仿宋_GB2312" w:cs="仿宋_GB2312"/>
          <w:b w:val="0"/>
          <w:bCs w:val="0"/>
          <w:color w:val="auto"/>
          <w:sz w:val="32"/>
          <w:szCs w:val="32"/>
          <w:lang w:val="en-US" w:eastAsia="zh-CN"/>
        </w:rPr>
        <w:t>万元，支出</w:t>
      </w:r>
      <w:r>
        <w:rPr>
          <w:rFonts w:hint="eastAsia" w:ascii="仿宋_GB2312" w:hAnsi="仿宋_GB2312" w:cs="仿宋_GB2312"/>
          <w:b w:val="0"/>
          <w:bCs w:val="0"/>
          <w:color w:val="auto"/>
          <w:sz w:val="32"/>
          <w:szCs w:val="32"/>
          <w:lang w:val="en-US" w:eastAsia="zh-CN"/>
        </w:rPr>
        <w:t>559.86</w:t>
      </w:r>
      <w:r>
        <w:rPr>
          <w:rFonts w:hint="eastAsia" w:ascii="仿宋_GB2312" w:hAnsi="仿宋_GB2312" w:eastAsia="仿宋_GB2312" w:cs="仿宋_GB2312"/>
          <w:b w:val="0"/>
          <w:bCs w:val="0"/>
          <w:color w:val="auto"/>
          <w:sz w:val="32"/>
          <w:szCs w:val="32"/>
          <w:lang w:val="en-US" w:eastAsia="zh-CN"/>
        </w:rPr>
        <w:t>万元。</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500</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500</w:t>
      </w:r>
      <w:r>
        <w:rPr>
          <w:rFonts w:hint="eastAsia" w:ascii="仿宋_GB2312" w:hAnsi="仿宋_GB2312" w:eastAsia="仿宋_GB2312" w:cs="仿宋_GB2312"/>
          <w:b w:val="0"/>
          <w:bCs w:val="0"/>
          <w:color w:val="auto"/>
          <w:sz w:val="32"/>
          <w:szCs w:val="32"/>
        </w:rPr>
        <w:t>万元，无上级补助收入、事业收入、经营收入和附属单位上缴收入。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highlight w:val="cya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年支出</w:t>
      </w:r>
      <w:r>
        <w:rPr>
          <w:rFonts w:hint="eastAsia" w:ascii="仿宋_GB2312" w:hAnsi="仿宋_GB2312" w:cs="仿宋_GB2312"/>
          <w:b w:val="0"/>
          <w:bCs w:val="0"/>
          <w:color w:val="auto"/>
          <w:sz w:val="32"/>
          <w:szCs w:val="32"/>
          <w:lang w:val="en-US" w:eastAsia="zh-CN"/>
        </w:rPr>
        <w:t>559.86</w:t>
      </w:r>
      <w:r>
        <w:rPr>
          <w:rFonts w:hint="eastAsia" w:ascii="仿宋_GB2312" w:hAnsi="仿宋_GB2312" w:eastAsia="仿宋_GB2312" w:cs="仿宋_GB2312"/>
          <w:b w:val="0"/>
          <w:bCs w:val="0"/>
          <w:color w:val="auto"/>
          <w:sz w:val="32"/>
          <w:szCs w:val="32"/>
        </w:rPr>
        <w:t>万元。</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eastAsia="zh-CN"/>
        </w:rPr>
        <w:t>末累计</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rPr>
        <w:t>结转结余</w:t>
      </w:r>
      <w:r>
        <w:rPr>
          <w:rFonts w:hint="eastAsia" w:ascii="仿宋_GB2312" w:hAnsi="仿宋_GB2312" w:eastAsia="仿宋_GB2312" w:cs="仿宋_GB2312"/>
          <w:b w:val="0"/>
          <w:bCs w:val="0"/>
          <w:color w:val="auto"/>
          <w:sz w:val="32"/>
          <w:szCs w:val="32"/>
          <w:lang w:val="en-US" w:eastAsia="zh-CN"/>
        </w:rPr>
        <w:t>591.04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因离休干部项目属于连年持续性保障项目，结转结余部分下年继续使用。</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为切实做好离休干部医疗保障工作，我区制定了《东川区离休干部医疗保障实施细则》（东政办发[2002]111号）。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昆明市东川区医疗保险经办机构内部控制制度（试行）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昆明市定点医疗机构服务协议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，定期抽取一定比例病例进行审核。工作中，一方面切实保障离休干部的医疗需求，最大限度的方便离休干部就医；另一方面又加强审核工作，将离休干部医疗费控制在合理费用范围内，坚决杜绝浪费。</w:t>
      </w:r>
    </w:p>
    <w:p>
      <w:pPr>
        <w:keepNext w:val="0"/>
        <w:keepLines w:val="0"/>
        <w:pageBreakBefore w:val="0"/>
        <w:kinsoku/>
        <w:wordWrap/>
        <w:overflow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绩效目标</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总目标及年度目标：充分保障离休干部人员待遇享受覆盖面达到</w:t>
      </w:r>
      <w:r>
        <w:rPr>
          <w:rFonts w:hint="eastAsia" w:ascii="仿宋_GB2312" w:hAnsi="仿宋_GB2312" w:eastAsia="仿宋_GB2312" w:cs="仿宋_GB2312"/>
          <w:b w:val="0"/>
          <w:bCs w:val="0"/>
          <w:color w:val="auto"/>
          <w:sz w:val="32"/>
          <w:szCs w:val="32"/>
          <w:lang w:val="en-US" w:eastAsia="zh-CN"/>
        </w:rPr>
        <w:t>100%。</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color w:val="auto"/>
          <w:szCs w:val="32"/>
        </w:rPr>
        <w:t>绩效评价目的。</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全区离休干部医疗统筹金的实施情况进行绩效评价，考核项目资金的产出与绩效，了解、分析、检验项目是否达到预期目标，资金使用是否规范有效，为今后安排离休干部医疗费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Cs w:val="32"/>
        </w:rPr>
        <w:t>（二）绩效评价工作方案制定过程。</w:t>
      </w:r>
    </w:p>
    <w:p>
      <w:pPr>
        <w:keepNext w:val="0"/>
        <w:keepLines w:val="0"/>
        <w:pageBreakBefore w:val="0"/>
        <w:kinsoku/>
        <w:wordWrap/>
        <w:overflowPunct/>
        <w:autoSpaceDE/>
        <w:autoSpaceDN w:val="0"/>
        <w:bidi w:val="0"/>
        <w:adjustRightInd/>
        <w:snapToGrid/>
        <w:spacing w:line="240" w:lineRule="auto"/>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依据《东川区离休干部医疗保障实施细则》（东政办发[2002]111号）文件研究制定了绩效评价工作方案及成立了绩效评价工作领导小组，会后依据实际制定了符合离休干部项目支出的评价体系框架。</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（三）绩效评价原则、评价方法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Cs w:val="32"/>
        </w:rPr>
        <w:t>绩效评价原则</w:t>
      </w:r>
      <w:r>
        <w:rPr>
          <w:rFonts w:hint="eastAsia" w:ascii="仿宋_GB2312" w:hAnsi="仿宋_GB2312" w:eastAsia="仿宋_GB2312" w:cs="仿宋_GB2312"/>
          <w:color w:val="auto"/>
          <w:szCs w:val="32"/>
          <w:lang w:eastAsia="zh-CN"/>
        </w:rPr>
        <w:t>及方法：依据《昆明市东川区医疗保障局预算绩效管理暂行办法》（东医保〔2020〕9号）文件进行科学规范</w:t>
      </w:r>
      <w:r>
        <w:rPr>
          <w:rFonts w:hint="eastAsia" w:ascii="仿宋_GB2312" w:hAnsi="仿宋_GB2312" w:eastAsia="仿宋_GB2312" w:cs="仿宋_GB2312"/>
          <w:color w:val="auto"/>
          <w:szCs w:val="32"/>
        </w:rPr>
        <w:t>、公开公正、绩效相关等原则。</w:t>
      </w:r>
      <w:r>
        <w:rPr>
          <w:rFonts w:hint="eastAsia" w:ascii="仿宋_GB2312" w:hAnsi="仿宋_GB2312" w:eastAsia="仿宋_GB2312" w:cs="仿宋_GB2312"/>
          <w:color w:val="auto"/>
          <w:szCs w:val="32"/>
          <w:lang w:eastAsia="zh-CN"/>
        </w:rPr>
        <w:t>依托</w:t>
      </w:r>
      <w:r>
        <w:rPr>
          <w:rFonts w:hint="eastAsia" w:ascii="仿宋_GB2312" w:hAnsi="仿宋_GB2312" w:eastAsia="仿宋_GB2312" w:cs="仿宋_GB2312"/>
          <w:color w:val="auto"/>
          <w:szCs w:val="32"/>
        </w:rPr>
        <w:t>指标评价</w:t>
      </w:r>
      <w:r>
        <w:rPr>
          <w:rFonts w:hint="eastAsia" w:ascii="仿宋_GB2312" w:hAnsi="仿宋_GB2312" w:eastAsia="仿宋_GB2312" w:cs="仿宋_GB2312"/>
          <w:color w:val="auto"/>
          <w:szCs w:val="32"/>
          <w:lang w:eastAsia="zh-CN"/>
        </w:rPr>
        <w:t>体系框架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进行相关</w:t>
      </w:r>
      <w:r>
        <w:rPr>
          <w:rFonts w:hint="eastAsia" w:ascii="仿宋_GB2312" w:hAnsi="仿宋_GB2312" w:eastAsia="仿宋_GB2312" w:cs="仿宋_GB2312"/>
          <w:color w:val="auto"/>
          <w:szCs w:val="32"/>
        </w:rPr>
        <w:t>数据采集和社会</w:t>
      </w:r>
      <w:r>
        <w:rPr>
          <w:rFonts w:hint="eastAsia" w:ascii="仿宋_GB2312" w:hAnsi="仿宋_GB2312" w:eastAsia="仿宋_GB2312" w:cs="仿宋_GB2312"/>
          <w:color w:val="auto"/>
          <w:szCs w:val="32"/>
          <w:lang w:eastAsia="zh-CN"/>
        </w:rPr>
        <w:t>问卷</w:t>
      </w:r>
      <w:r>
        <w:rPr>
          <w:rFonts w:hint="eastAsia" w:ascii="仿宋_GB2312" w:hAnsi="仿宋_GB2312" w:eastAsia="仿宋_GB2312" w:cs="仿宋_GB2312"/>
          <w:color w:val="auto"/>
          <w:szCs w:val="32"/>
        </w:rPr>
        <w:t>调查</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方法。</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（四）绩效评价实施过程</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1.数据填报和采集。</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2.社会调查。</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3.数据分析和撰写报告。</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（五）本次绩效评价的局限性。</w:t>
      </w:r>
    </w:p>
    <w:p>
      <w:pPr>
        <w:keepNext w:val="0"/>
        <w:keepLines w:val="0"/>
        <w:pageBreakBefore w:val="0"/>
        <w:kinsoku/>
        <w:wordWrap/>
        <w:overflowPunct/>
        <w:topLinePunct/>
        <w:autoSpaceDE/>
        <w:bidi w:val="0"/>
        <w:adjustRightInd/>
        <w:snapToGrid/>
        <w:spacing w:line="240" w:lineRule="auto"/>
        <w:ind w:firstLine="790" w:firstLineChars="25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本次项目绩效评价时间紧任务重。</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（一）评价结论</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b w:val="0"/>
          <w:bCs w:val="0"/>
          <w:color w:val="auto"/>
          <w:sz w:val="32"/>
          <w:szCs w:val="32"/>
          <w:lang w:eastAsia="zh-CN"/>
        </w:rPr>
        <w:t>离休干部项目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97.6</w:t>
      </w:r>
      <w:r>
        <w:rPr>
          <w:rFonts w:hint="eastAsia" w:ascii="仿宋_GB2312" w:hAnsi="仿宋_GB2312" w:eastAsia="仿宋_GB2312" w:cs="仿宋_GB2312"/>
          <w:b w:val="0"/>
          <w:bCs w:val="0"/>
          <w:color w:val="auto"/>
          <w:sz w:val="32"/>
          <w:szCs w:val="32"/>
        </w:rPr>
        <w:t>分，评价结果为优。从整体看绩效目标明确，各项工作开展完成情况良好。但存在</w:t>
      </w:r>
      <w:r>
        <w:rPr>
          <w:rFonts w:hint="eastAsia" w:ascii="仿宋_GB2312" w:hAnsi="仿宋_GB2312" w:cs="仿宋_GB2312"/>
          <w:b w:val="0"/>
          <w:bCs w:val="0"/>
          <w:color w:val="auto"/>
          <w:sz w:val="32"/>
          <w:szCs w:val="32"/>
          <w:lang w:eastAsia="zh-CN"/>
        </w:rPr>
        <w:t>监管措施、前期调研不够充分，预算执行率需要</w:t>
      </w:r>
      <w:r>
        <w:rPr>
          <w:rFonts w:hint="eastAsia" w:ascii="仿宋_GB2312" w:hAnsi="仿宋_GB2312" w:eastAsia="仿宋_GB2312" w:cs="仿宋_GB2312"/>
          <w:b w:val="0"/>
          <w:bCs w:val="0"/>
          <w:color w:val="auto"/>
          <w:sz w:val="32"/>
          <w:szCs w:val="32"/>
        </w:rPr>
        <w:t>加强等问题。</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pStyle w:val="8"/>
        <w:keepNext w:val="0"/>
        <w:keepLines w:val="0"/>
        <w:pageBreakBefore w:val="0"/>
        <w:widowControl/>
        <w:shd w:val="clear" w:color="auto" w:fill="FFFFFF"/>
        <w:kinsoku/>
        <w:wordWrap/>
        <w:overflowPunct/>
        <w:autoSpaceDE/>
        <w:bidi w:val="0"/>
        <w:adjustRightInd/>
        <w:snapToGrid/>
        <w:spacing w:beforeAutospacing="0" w:afterAutospacing="0" w:line="240" w:lineRule="auto"/>
        <w:ind w:firstLine="632"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kern w:val="2"/>
          <w:sz w:val="32"/>
          <w:szCs w:val="32"/>
        </w:rPr>
        <w:t>在学习</w:t>
      </w:r>
      <w:r>
        <w:rPr>
          <w:rFonts w:hint="eastAsia" w:ascii="仿宋_GB2312" w:hAnsi="仿宋_GB2312" w:eastAsia="仿宋_GB2312" w:cs="仿宋_GB2312"/>
          <w:b w:val="0"/>
          <w:bCs w:val="0"/>
          <w:color w:val="auto"/>
          <w:kern w:val="2"/>
          <w:sz w:val="32"/>
          <w:szCs w:val="32"/>
          <w:lang w:eastAsia="zh-CN"/>
        </w:rPr>
        <w:t>成长</w:t>
      </w:r>
      <w:r>
        <w:rPr>
          <w:rFonts w:hint="eastAsia" w:ascii="仿宋_GB2312" w:hAnsi="仿宋_GB2312" w:eastAsia="仿宋_GB2312" w:cs="仿宋_GB2312"/>
          <w:b w:val="0"/>
          <w:bCs w:val="0"/>
          <w:color w:val="auto"/>
          <w:kern w:val="2"/>
          <w:sz w:val="32"/>
          <w:szCs w:val="32"/>
        </w:rPr>
        <w:t>中，狠抓谋</w:t>
      </w:r>
      <w:r>
        <w:rPr>
          <w:rFonts w:hint="eastAsia" w:ascii="仿宋_GB2312" w:hAnsi="仿宋_GB2312" w:eastAsia="仿宋_GB2312" w:cs="仿宋_GB2312"/>
          <w:b w:val="0"/>
          <w:bCs w:val="0"/>
          <w:color w:val="auto"/>
          <w:sz w:val="32"/>
          <w:szCs w:val="32"/>
          <w:shd w:val="clear" w:color="auto" w:fill="FFFFFF"/>
        </w:rPr>
        <w:t>划部署、强化执行落实，各项年度目标稳步推进，</w:t>
      </w:r>
      <w:r>
        <w:rPr>
          <w:rFonts w:hint="eastAsia" w:ascii="仿宋_GB2312" w:hAnsi="仿宋_GB2312" w:eastAsia="仿宋_GB2312" w:cs="仿宋_GB2312"/>
          <w:b w:val="0"/>
          <w:bCs w:val="0"/>
          <w:color w:val="auto"/>
          <w:sz w:val="32"/>
          <w:szCs w:val="32"/>
          <w:shd w:val="clear" w:color="auto" w:fill="FFFFFF"/>
          <w:lang w:eastAsia="zh-CN"/>
        </w:rPr>
        <w:t>离休干部人员医疗待遇</w:t>
      </w:r>
      <w:r>
        <w:rPr>
          <w:rFonts w:hint="eastAsia" w:ascii="仿宋_GB2312" w:hAnsi="仿宋_GB2312" w:eastAsia="仿宋_GB2312" w:cs="仿宋_GB2312"/>
          <w:b w:val="0"/>
          <w:bCs w:val="0"/>
          <w:color w:val="auto"/>
          <w:sz w:val="32"/>
          <w:szCs w:val="32"/>
          <w:shd w:val="clear" w:color="auto" w:fill="FFFFFF"/>
        </w:rPr>
        <w:t>全面落实，公共服务能力稳步提升。</w:t>
      </w:r>
      <w:bookmarkStart w:id="0" w:name="_GoBack"/>
      <w:bookmarkEnd w:id="0"/>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17.6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10分，评价得分为7.6分。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监管措施需要进一步完善及提升执行力度。</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240" w:lineRule="auto"/>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Cs w:val="32"/>
          <w:lang w:eastAsia="zh-CN"/>
        </w:rPr>
        <w:t>2019</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收入</w:t>
      </w:r>
      <w:r>
        <w:rPr>
          <w:rFonts w:hint="eastAsia" w:ascii="仿宋_GB2312" w:hAnsi="仿宋_GB2312" w:cs="仿宋_GB2312"/>
          <w:color w:val="auto"/>
          <w:szCs w:val="32"/>
          <w:lang w:val="en-US" w:eastAsia="zh-CN"/>
        </w:rPr>
        <w:t>505.48万元（其中：</w:t>
      </w:r>
      <w:r>
        <w:rPr>
          <w:rFonts w:hint="eastAsia" w:ascii="仿宋_GB2312" w:hAnsi="仿宋_GB2312" w:eastAsia="仿宋_GB2312" w:cs="仿宋_GB2312"/>
          <w:color w:val="auto"/>
          <w:szCs w:val="32"/>
        </w:rPr>
        <w:t>以政府补助的支持方式，补助离休干部医疗保障统筹金</w:t>
      </w:r>
      <w:r>
        <w:rPr>
          <w:rFonts w:hint="eastAsia" w:ascii="仿宋_GB2312" w:hAnsi="仿宋_GB2312" w:cs="仿宋_GB2312"/>
          <w:color w:val="auto"/>
          <w:szCs w:val="32"/>
          <w:lang w:val="en-US" w:eastAsia="zh-CN"/>
        </w:rPr>
        <w:t>500</w:t>
      </w:r>
      <w:r>
        <w:rPr>
          <w:rFonts w:hint="eastAsia" w:ascii="仿宋_GB2312" w:hAnsi="仿宋_GB2312" w:eastAsia="仿宋_GB2312" w:cs="仿宋_GB2312"/>
          <w:color w:val="auto"/>
          <w:szCs w:val="32"/>
        </w:rPr>
        <w:t>万元，利息收入</w:t>
      </w:r>
      <w:r>
        <w:rPr>
          <w:rFonts w:hint="eastAsia" w:ascii="仿宋_GB2312" w:hAnsi="仿宋_GB2312" w:cs="仿宋_GB2312"/>
          <w:color w:val="auto"/>
          <w:szCs w:val="32"/>
          <w:lang w:val="en-US" w:eastAsia="zh-CN"/>
        </w:rPr>
        <w:t>5.48</w:t>
      </w:r>
      <w:r>
        <w:rPr>
          <w:rFonts w:hint="eastAsia" w:ascii="仿宋_GB2312" w:hAnsi="仿宋_GB2312" w:eastAsia="仿宋_GB2312" w:cs="仿宋_GB2312"/>
          <w:color w:val="auto"/>
          <w:szCs w:val="32"/>
        </w:rPr>
        <w:t>万元</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本年</w:t>
      </w:r>
      <w:r>
        <w:rPr>
          <w:rFonts w:hint="eastAsia" w:ascii="仿宋_GB2312" w:hAnsi="仿宋_GB2312" w:cs="仿宋_GB2312"/>
          <w:color w:val="auto"/>
          <w:szCs w:val="32"/>
          <w:lang w:eastAsia="zh-CN"/>
        </w:rPr>
        <w:t>待遇</w:t>
      </w:r>
      <w:r>
        <w:rPr>
          <w:rFonts w:hint="eastAsia" w:ascii="仿宋_GB2312" w:hAnsi="仿宋_GB2312" w:eastAsia="仿宋_GB2312" w:cs="仿宋_GB2312"/>
          <w:color w:val="auto"/>
          <w:szCs w:val="32"/>
        </w:rPr>
        <w:t>支出</w:t>
      </w:r>
      <w:r>
        <w:rPr>
          <w:rFonts w:hint="eastAsia" w:ascii="仿宋_GB2312" w:hAnsi="仿宋_GB2312" w:cs="仿宋_GB2312"/>
          <w:color w:val="auto"/>
          <w:szCs w:val="32"/>
          <w:lang w:val="en-US" w:eastAsia="zh-CN"/>
        </w:rPr>
        <w:t>526.66</w:t>
      </w:r>
      <w:r>
        <w:rPr>
          <w:rFonts w:hint="eastAsia" w:ascii="仿宋_GB2312" w:hAnsi="仿宋_GB2312" w:eastAsia="仿宋_GB2312" w:cs="仿宋_GB2312"/>
          <w:color w:val="auto"/>
          <w:szCs w:val="32"/>
        </w:rPr>
        <w:t>万元，</w:t>
      </w:r>
      <w:r>
        <w:rPr>
          <w:rFonts w:hint="eastAsia" w:ascii="仿宋_GB2312" w:hAnsi="仿宋_GB2312" w:cs="仿宋_GB2312"/>
          <w:color w:val="auto"/>
          <w:szCs w:val="32"/>
          <w:lang w:eastAsia="zh-CN"/>
        </w:rPr>
        <w:t>其他支出：</w:t>
      </w:r>
      <w:r>
        <w:rPr>
          <w:rFonts w:hint="eastAsia" w:ascii="仿宋_GB2312" w:hAnsi="仿宋_GB2312" w:cs="仿宋_GB2312"/>
          <w:color w:val="auto"/>
          <w:szCs w:val="32"/>
          <w:lang w:val="en-US" w:eastAsia="zh-CN"/>
        </w:rPr>
        <w:t>33.20万元（医疗照顾人员配套支出）；</w:t>
      </w:r>
      <w:r>
        <w:rPr>
          <w:rFonts w:hint="eastAsia" w:ascii="仿宋_GB2312" w:hAnsi="仿宋_GB2312" w:eastAsia="仿宋_GB2312" w:cs="仿宋_GB2312"/>
          <w:color w:val="auto"/>
          <w:szCs w:val="32"/>
        </w:rPr>
        <w:t>上年结转结余645.42万元，本年末收支累计结余为591.04万元，下年继续使用。</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五、主要经验做法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firstLine="632" w:firstLineChars="200"/>
        <w:jc w:val="left"/>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，让医保政策家喻户晓，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Chars="0" w:right="0"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w:t>
      </w:r>
    </w:p>
    <w:p>
      <w:pPr>
        <w:pStyle w:val="4"/>
        <w:keepNext w:val="0"/>
        <w:keepLines w:val="0"/>
        <w:pageBreakBefore w:val="0"/>
        <w:kinsoku/>
        <w:wordWrap/>
        <w:overflowPunct/>
        <w:topLinePunct w:val="0"/>
        <w:autoSpaceDE/>
        <w:autoSpaceDN/>
        <w:bidi w:val="0"/>
        <w:adjustRightInd/>
        <w:snapToGrid/>
        <w:spacing w:line="240" w:lineRule="auto"/>
        <w:ind w:leftChars="0" w:right="0"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严格审核医疗保险待遇支付。</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六、存在的问题</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1.国家的政策对离休干部人员是倾斜的，最大值的享有福利是他们共有的心态，应接受最好的医疗条件、享受最好的医疗服务，也存在极少数人小病大养，一人享受全家吃药的不良倾向。</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2.由于物价上涨快，医院特殊治疗和检查多，如ICU重病监护室，核磁共振、CT、彩超等特殊检查治疗耗用了大量的医疗资金。</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3.各种癌症、肾病综合症等大病、重病时有发生，一年只要发生一例就要耗资百万元以上，加之这一群体年龄大，身体状况愈下，人员虽逐年减少，但所需医疗费确逐年增加。</w:t>
      </w:r>
    </w:p>
    <w:p>
      <w:pPr>
        <w:keepNext w:val="0"/>
        <w:keepLines w:val="0"/>
        <w:pageBreakBefore w:val="0"/>
        <w:kinsoku/>
        <w:wordWrap/>
        <w:overflowPunct/>
        <w:topLinePunct/>
        <w:autoSpaceDE/>
        <w:bidi w:val="0"/>
        <w:adjustRightInd/>
        <w:snapToGrid/>
        <w:spacing w:line="240" w:lineRule="auto"/>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七、改进措施及建议</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rPr>
        <w:t>合理确定筹资水平。一般可按当地上年的离休干部年人均医药费实际发生额，并考虑增减因素确定。</w:t>
      </w:r>
    </w:p>
    <w:p>
      <w:pPr>
        <w:keepNext w:val="0"/>
        <w:keepLines w:val="0"/>
        <w:pageBreakBefore w:val="0"/>
        <w:widowControl/>
        <w:shd w:val="clear" w:color="auto" w:fill="FFFFFF"/>
        <w:kinsoku/>
        <w:wordWrap/>
        <w:overflowPunct/>
        <w:autoSpaceDE/>
        <w:bidi w:val="0"/>
        <w:adjustRightInd/>
        <w:snapToGrid/>
        <w:spacing w:line="240" w:lineRule="auto"/>
        <w:ind w:firstLine="63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kern w:val="0"/>
          <w:szCs w:val="32"/>
        </w:rPr>
        <w:t>2</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rPr>
        <w:t>进一步规范管理医保</w:t>
      </w:r>
      <w:r>
        <w:rPr>
          <w:rFonts w:hint="eastAsia" w:ascii="仿宋_GB2312" w:hAnsi="仿宋_GB2312" w:cs="仿宋_GB2312"/>
          <w:color w:val="auto"/>
          <w:kern w:val="0"/>
          <w:szCs w:val="32"/>
          <w:lang w:eastAsia="zh-CN"/>
        </w:rPr>
        <w:t>资金</w:t>
      </w:r>
      <w:r>
        <w:rPr>
          <w:rFonts w:hint="eastAsia" w:ascii="仿宋_GB2312" w:hAnsi="仿宋_GB2312" w:eastAsia="仿宋_GB2312" w:cs="仿宋_GB2312"/>
          <w:color w:val="auto"/>
          <w:kern w:val="0"/>
          <w:szCs w:val="32"/>
        </w:rPr>
        <w:t>。制定和完善离休干部就诊、用药、报销等具体管理办法，既要保证离休干部医疗待遇，方便离休干部就医，又要加强管理，防止浪费。有关部门要加强监督，确保离休干部医疗待遇的落实和资金合理使用。</w:t>
      </w:r>
    </w:p>
    <w:p>
      <w:pPr>
        <w:keepNext w:val="0"/>
        <w:keepLines w:val="0"/>
        <w:pageBreakBefore w:val="0"/>
        <w:kinsoku/>
        <w:wordWrap/>
        <w:overflowPunct/>
        <w:autoSpaceDE/>
        <w:bidi w:val="0"/>
        <w:adjustRightInd/>
        <w:snapToGrid/>
        <w:spacing w:line="240" w:lineRule="auto"/>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w:t>
      </w:r>
      <w:r>
        <w:rPr>
          <w:rFonts w:hint="eastAsia" w:ascii="仿宋_GB2312" w:hAnsi="仿宋_GB2312" w:cs="仿宋_GB2312"/>
          <w:b w:val="0"/>
          <w:bCs w:val="0"/>
          <w:color w:val="auto"/>
          <w:sz w:val="32"/>
          <w:szCs w:val="32"/>
          <w:lang w:eastAsia="zh-CN"/>
        </w:rPr>
        <w:t>保障局</w:t>
      </w:r>
    </w:p>
    <w:p>
      <w:pPr>
        <w:keepNext w:val="0"/>
        <w:keepLines w:val="0"/>
        <w:pageBreakBefore w:val="0"/>
        <w:kinsoku/>
        <w:wordWrap/>
        <w:overflowPunct/>
        <w:autoSpaceDE/>
        <w:bidi w:val="0"/>
        <w:adjustRightInd/>
        <w:snapToGrid/>
        <w:spacing w:line="240" w:lineRule="auto"/>
        <w:jc w:val="center"/>
        <w:textAlignment w:val="auto"/>
        <w:rPr>
          <w:rFonts w:ascii="仿宋_GB2312"/>
          <w:b w:val="0"/>
          <w:bCs w:val="0"/>
          <w:color w:val="auto"/>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日</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29600AF"/>
    <w:rsid w:val="075730B2"/>
    <w:rsid w:val="0A1B7E59"/>
    <w:rsid w:val="0A346E57"/>
    <w:rsid w:val="10BB07D4"/>
    <w:rsid w:val="139B620C"/>
    <w:rsid w:val="15D0044B"/>
    <w:rsid w:val="234B0A4E"/>
    <w:rsid w:val="24C95675"/>
    <w:rsid w:val="262C3DF3"/>
    <w:rsid w:val="2DDB4434"/>
    <w:rsid w:val="2E2325F8"/>
    <w:rsid w:val="308C4AC3"/>
    <w:rsid w:val="32780617"/>
    <w:rsid w:val="330F3B0A"/>
    <w:rsid w:val="33BE1C27"/>
    <w:rsid w:val="369C15EF"/>
    <w:rsid w:val="375D209E"/>
    <w:rsid w:val="38C1437D"/>
    <w:rsid w:val="402B7C64"/>
    <w:rsid w:val="4109475E"/>
    <w:rsid w:val="4176348D"/>
    <w:rsid w:val="42A53AC2"/>
    <w:rsid w:val="46982D4B"/>
    <w:rsid w:val="48F22EEF"/>
    <w:rsid w:val="4E556730"/>
    <w:rsid w:val="4F7370ED"/>
    <w:rsid w:val="504E7E66"/>
    <w:rsid w:val="52110942"/>
    <w:rsid w:val="57E068B3"/>
    <w:rsid w:val="5CE0009C"/>
    <w:rsid w:val="600671BE"/>
    <w:rsid w:val="607A2744"/>
    <w:rsid w:val="65690042"/>
    <w:rsid w:val="656F4043"/>
    <w:rsid w:val="659B5E74"/>
    <w:rsid w:val="661C62FC"/>
    <w:rsid w:val="6B905BE1"/>
    <w:rsid w:val="6ED54555"/>
    <w:rsid w:val="754A345D"/>
    <w:rsid w:val="768E1385"/>
    <w:rsid w:val="773C1BAB"/>
    <w:rsid w:val="78843C42"/>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99"/>
    <w:pPr>
      <w:ind w:firstLine="632" w:firstLineChars="200"/>
    </w:pPr>
    <w:rPr>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6"/>
    <w:qFormat/>
    <w:uiPriority w:val="99"/>
    <w:pPr>
      <w:ind w:left="100" w:leftChars="2500"/>
    </w:pPr>
    <w:rPr>
      <w:kern w:val="0"/>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6"/>
    <w:semiHidden/>
    <w:qFormat/>
    <w:uiPriority w:val="99"/>
    <w:rPr>
      <w:rFonts w:eastAsia="仿宋_GB2312"/>
      <w:sz w:val="18"/>
      <w:szCs w:val="18"/>
    </w:rPr>
  </w:style>
  <w:style w:type="character" w:customStyle="1" w:styleId="16">
    <w:name w:val="日期 Char"/>
    <w:link w:val="5"/>
    <w:semiHidden/>
    <w:qFormat/>
    <w:uiPriority w:val="99"/>
    <w:rPr>
      <w:rFonts w:eastAsia="仿宋_GB2312"/>
      <w:sz w:val="32"/>
      <w:szCs w:val="20"/>
    </w:rPr>
  </w:style>
  <w:style w:type="character" w:customStyle="1" w:styleId="17">
    <w:name w:val="正文文本缩进 Char"/>
    <w:link w:val="3"/>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2"/>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红领巾</cp:lastModifiedBy>
  <cp:lastPrinted>2019-07-09T02:31:00Z</cp:lastPrinted>
  <dcterms:modified xsi:type="dcterms:W3CDTF">2020-05-29T06:31:24Z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