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r>
        <w:rPr>
          <w:rFonts w:hint="eastAsia" w:ascii="方正小标宋_GBK" w:eastAsia="方正小标宋_GBK"/>
          <w:sz w:val="36"/>
          <w:szCs w:val="36"/>
        </w:rPr>
        <w:t>土地复垦成本支出资金支出绩效评价报告</w:t>
      </w:r>
    </w:p>
    <w:p/>
    <w:p>
      <w:pPr>
        <w:numPr>
          <w:ilvl w:val="0"/>
          <w:numId w:val="1"/>
        </w:numPr>
        <w:spacing w:line="540" w:lineRule="exact"/>
        <w:ind w:firstLine="640" w:firstLineChars="200"/>
        <w:jc w:val="left"/>
        <w:rPr>
          <w:rFonts w:hint="eastAsia" w:ascii="黑体" w:hAnsi="黑体" w:eastAsia="黑体"/>
          <w:szCs w:val="32"/>
        </w:rPr>
      </w:pPr>
      <w:r>
        <w:rPr>
          <w:rFonts w:hint="eastAsia" w:ascii="黑体" w:hAnsi="黑体" w:eastAsia="黑体"/>
          <w:szCs w:val="32"/>
        </w:rPr>
        <w:t>项目概况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numPr>
          <w:ilvl w:val="0"/>
          <w:numId w:val="0"/>
        </w:numPr>
        <w:topLinePunct/>
        <w:spacing w:line="540" w:lineRule="exact"/>
        <w:ind w:leftChars="250"/>
        <w:rPr>
          <w:rFonts w:hint="eastAsia" w:ascii="仿宋_GB2312" w:hAnsi="仿宋_GB2312" w:eastAsia="仿宋_GB2312" w:cs="仿宋_GB2312"/>
          <w:szCs w:val="32"/>
        </w:rPr>
      </w:pPr>
      <w:r>
        <w:rPr>
          <w:rFonts w:hint="eastAsia" w:ascii="仿宋_GB2312" w:hAnsi="仿宋_GB2312" w:eastAsia="仿宋_GB2312" w:cs="仿宋_GB2312"/>
          <w:szCs w:val="32"/>
        </w:rPr>
        <w:t>1.立项背景及目的。</w:t>
      </w:r>
    </w:p>
    <w:p>
      <w:pPr>
        <w:topLinePunct/>
        <w:spacing w:line="54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国土资源部关于用好用活增减挂钩政策支持扶贫开发及易地扶贫搬迁工作的通知》(国土资规〔2016〕2号)、《云南省国土资源厅关于贯彻落实城乡建设用地增减挂钩政策支持脱贫攻坚的实施意见》(云国土资〔2017〕128号）规定，用好用活国家土地增减挂钩政策，结合我区精准扶贫政策要求，通过拆旧建新和土地整理复垦等措施，在保证项目拆旧区和建新区内各类土地面积平衡的基础上，最终实现降低农村建设用地，增加城市建设用地，提高耕地有效面积及质量。通过利用宅基地退出复垦后产生的耕地占补平衡指标上市交易，所得收入弥补财政前期投入，全力促推农村“空心村”整治，合理配置村镇土地资源，优化城乡用地结构和布局，进一步提高土地利用效率，腾出农村废弃建设用地指标，缓解我区用地压力，优化农村环境，振兴乡村建设，促推区域经济社会发展。</w:t>
      </w:r>
    </w:p>
    <w:p>
      <w:pPr>
        <w:numPr>
          <w:ilvl w:val="0"/>
          <w:numId w:val="2"/>
        </w:numPr>
        <w:topLinePunct/>
        <w:spacing w:line="540" w:lineRule="exact"/>
        <w:ind w:left="0" w:leftChars="0" w:firstLine="800" w:firstLineChars="250"/>
        <w:rPr>
          <w:rFonts w:hint="eastAsia" w:ascii="仿宋_GB2312" w:hAnsi="仿宋_GB2312" w:eastAsia="仿宋_GB2312" w:cs="仿宋_GB2312"/>
          <w:szCs w:val="32"/>
        </w:rPr>
      </w:pPr>
      <w:r>
        <w:rPr>
          <w:rFonts w:hint="eastAsia" w:ascii="仿宋_GB2312" w:hAnsi="仿宋_GB2312" w:eastAsia="仿宋_GB2312" w:cs="仿宋_GB2312"/>
          <w:szCs w:val="32"/>
        </w:rPr>
        <w:t>项目实施情况。</w:t>
      </w:r>
    </w:p>
    <w:p>
      <w:pPr>
        <w:ind w:firstLine="640" w:firstLineChars="200"/>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纳入今年跨省调剂的因民镇小水井村等8个村城乡建设用地增减挂钩项目、汤丹镇新塘村城乡建设用地增减挂钩项目、因民镇炉灯村等4个村城乡建设用地增减挂钩项目，2019年6月底前完成土地复垦外业施工及区级自查、年底前完成整体验收。</w:t>
      </w:r>
    </w:p>
    <w:p>
      <w:pPr>
        <w:ind w:firstLine="640" w:firstLineChars="200"/>
        <w:jc w:val="left"/>
        <w:rPr>
          <w:rFonts w:hint="eastAsia" w:ascii="仿宋_GB2312"/>
          <w:szCs w:val="32"/>
          <w:lang w:val="en-US" w:eastAsia="zh-CN"/>
        </w:rPr>
      </w:pPr>
    </w:p>
    <w:p>
      <w:pPr>
        <w:numPr>
          <w:ilvl w:val="0"/>
          <w:numId w:val="2"/>
        </w:numPr>
        <w:topLinePunct/>
        <w:spacing w:line="540" w:lineRule="exact"/>
        <w:ind w:left="0" w:leftChars="0" w:firstLine="800" w:firstLineChars="250"/>
        <w:rPr>
          <w:rFonts w:hint="eastAsia" w:ascii="仿宋_GB2312" w:hAnsi="楷体"/>
          <w:szCs w:val="32"/>
          <w:lang w:val="en-US" w:eastAsia="zh-CN"/>
        </w:rPr>
      </w:pPr>
      <w:r>
        <w:rPr>
          <w:rFonts w:hint="eastAsia" w:ascii="仿宋_GB2312" w:hAnsi="楷体"/>
          <w:szCs w:val="32"/>
          <w:lang w:val="en-US" w:eastAsia="zh-CN"/>
        </w:rPr>
        <w:t>资金来源及使用情况。</w:t>
      </w:r>
    </w:p>
    <w:p>
      <w:pPr>
        <w:numPr>
          <w:ilvl w:val="0"/>
          <w:numId w:val="0"/>
        </w:numPr>
        <w:topLinePunct/>
        <w:spacing w:line="540" w:lineRule="exact"/>
        <w:rPr>
          <w:rFonts w:hint="eastAsia" w:ascii="仿宋_GB2312" w:hAnsi="楷体"/>
          <w:szCs w:val="32"/>
        </w:rPr>
      </w:pPr>
      <w:r>
        <w:rPr>
          <w:rFonts w:hint="eastAsia" w:ascii="仿宋_GB2312" w:hAnsi="楷体"/>
          <w:szCs w:val="32"/>
        </w:rPr>
        <w:t>根据《昆明市财政局关于下达2019年土地指标跨省域调剂收入安排的支出预算的通知》（昆财农〔2019〕124 号）文件要求，2019年</w:t>
      </w:r>
      <w:r>
        <w:rPr>
          <w:rFonts w:hint="eastAsia" w:ascii="仿宋_GB2312" w:hAnsi="楷体"/>
          <w:szCs w:val="32"/>
          <w:lang w:eastAsia="zh-CN"/>
        </w:rPr>
        <w:t>区财政安排</w:t>
      </w:r>
      <w:r>
        <w:rPr>
          <w:rFonts w:hint="eastAsia" w:ascii="仿宋_GB2312" w:hAnsi="楷体"/>
          <w:szCs w:val="32"/>
        </w:rPr>
        <w:t>土地指标跨</w:t>
      </w:r>
      <w:r>
        <w:rPr>
          <w:rFonts w:hint="eastAsia" w:ascii="仿宋_GB2312" w:hAnsi="楷体"/>
          <w:szCs w:val="32"/>
          <w:lang w:eastAsia="zh-CN"/>
        </w:rPr>
        <w:t>跨省调剂收入</w:t>
      </w:r>
      <w:r>
        <w:rPr>
          <w:rFonts w:hint="eastAsia" w:ascii="仿宋_GB2312" w:hAnsi="楷体"/>
          <w:szCs w:val="32"/>
          <w:lang w:val="en-US" w:eastAsia="zh-CN"/>
        </w:rPr>
        <w:t>900万元作为土地复垦成本支出（拆旧复垦）项目经费。截至2019年12月，该项目拨付资金873.5万元。</w:t>
      </w:r>
    </w:p>
    <w:p>
      <w:pPr>
        <w:numPr>
          <w:numId w:val="0"/>
        </w:numPr>
        <w:topLinePunct/>
        <w:spacing w:line="540" w:lineRule="exact"/>
        <w:ind w:firstLine="640" w:firstLineChars="200"/>
        <w:rPr>
          <w:rFonts w:hint="eastAsia" w:ascii="楷体_GB2312" w:hAnsi="楷体_GB2312" w:eastAsia="楷体_GB2312" w:cs="楷体_GB2312"/>
          <w:color w:val="FF0000"/>
          <w:szCs w:val="32"/>
        </w:rPr>
      </w:pPr>
      <w:r>
        <w:rPr>
          <w:rFonts w:hint="eastAsia" w:ascii="仿宋_GB2312" w:hAnsi="楷体"/>
          <w:szCs w:val="32"/>
          <w:lang w:val="en-US" w:eastAsia="zh-CN"/>
        </w:rPr>
        <w:t>4.组织及管理情况。包括项目组织情况、项目实施流程、资金拨付流程。</w:t>
      </w:r>
    </w:p>
    <w:p>
      <w:pPr>
        <w:ind w:firstLine="640" w:firstLineChars="200"/>
        <w:rPr>
          <w:rFonts w:hint="eastAsia"/>
          <w:sz w:val="32"/>
          <w:szCs w:val="32"/>
        </w:rPr>
      </w:pPr>
      <w:r>
        <w:rPr>
          <w:rFonts w:hint="eastAsia"/>
          <w:sz w:val="32"/>
          <w:szCs w:val="32"/>
        </w:rPr>
        <w:t>为加强东川区城乡建设用地增减挂钩项目拆旧区拆除复垦工作的统一领导，加快推进东川区城乡建设用地增减挂钩项目拆旧区拆除复垦工作，</w:t>
      </w:r>
      <w:r>
        <w:rPr>
          <w:rFonts w:hint="eastAsia"/>
          <w:sz w:val="32"/>
          <w:szCs w:val="32"/>
          <w:lang w:val="en-US" w:eastAsia="zh-CN"/>
        </w:rPr>
        <w:t>2018年</w:t>
      </w:r>
      <w:r>
        <w:rPr>
          <w:rFonts w:hint="eastAsia"/>
          <w:sz w:val="32"/>
          <w:szCs w:val="32"/>
        </w:rPr>
        <w:t>决定成立</w:t>
      </w:r>
      <w:r>
        <w:rPr>
          <w:rFonts w:hint="eastAsia"/>
          <w:sz w:val="32"/>
          <w:szCs w:val="32"/>
          <w:lang w:eastAsia="zh-CN"/>
        </w:rPr>
        <w:t>以区长任组长的</w:t>
      </w:r>
      <w:r>
        <w:rPr>
          <w:rFonts w:hint="eastAsia"/>
          <w:sz w:val="32"/>
          <w:szCs w:val="32"/>
        </w:rPr>
        <w:t>东川区城乡建设用地增减挂钩项目拆旧区拆除复垦工作领导小组</w:t>
      </w:r>
      <w:r>
        <w:rPr>
          <w:rFonts w:hint="eastAsia"/>
          <w:sz w:val="32"/>
          <w:szCs w:val="32"/>
          <w:lang w:eastAsia="zh-CN"/>
        </w:rPr>
        <w:t>，</w:t>
      </w:r>
      <w:r>
        <w:rPr>
          <w:rFonts w:hint="eastAsia"/>
          <w:sz w:val="32"/>
          <w:szCs w:val="32"/>
        </w:rPr>
        <w:t>全面组织、指导、协调、推进东川区城乡建设用地增减挂钩项目拆旧区拆除复垦工作，统筹协调区属有关部门和乡镇（街道）实施及验收工作，协调解决建设资金等有关事项。领导小组下设办公室在区国土资源局</w:t>
      </w:r>
      <w:r>
        <w:rPr>
          <w:rFonts w:hint="eastAsia"/>
          <w:sz w:val="32"/>
          <w:szCs w:val="32"/>
          <w:lang w:eastAsia="zh-CN"/>
        </w:rPr>
        <w:t>（</w:t>
      </w:r>
      <w:r>
        <w:rPr>
          <w:rFonts w:hint="eastAsia"/>
          <w:sz w:val="32"/>
          <w:szCs w:val="32"/>
          <w:lang w:val="en-US" w:eastAsia="zh-CN"/>
        </w:rPr>
        <w:t>2019年机构改革后为自然资源局），</w:t>
      </w:r>
      <w:r>
        <w:rPr>
          <w:rFonts w:hint="eastAsia"/>
          <w:sz w:val="32"/>
          <w:szCs w:val="32"/>
        </w:rPr>
        <w:t>办公室主要职责：承担领导小组日常工作，负责做好需提交领导小组审议批准事项的准备工作；指导各乡镇（街道）及施工单位进行项目施工，并在施工过程中全面监督、检查、督促；将省自然资源厅批复的项目及每一地块设计方案现场逐一移交各乡镇（街道）及施工单位；牵头负责对项目自检自查；协调省、市对项目进行验收及报备工作；完成领导小组交办的其他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楷体"/>
          <w:szCs w:val="32"/>
        </w:rPr>
      </w:pPr>
      <w:r>
        <w:rPr>
          <w:rFonts w:hint="eastAsia" w:ascii="仿宋_GB2312" w:hAnsi="楷体"/>
          <w:szCs w:val="32"/>
          <w:lang w:eastAsia="zh-CN"/>
        </w:rPr>
        <w:t>项目以</w:t>
      </w:r>
      <w:r>
        <w:rPr>
          <w:rFonts w:hint="eastAsia" w:ascii="仿宋_GB2312" w:hAnsi="楷体"/>
          <w:szCs w:val="32"/>
        </w:rPr>
        <w:t>区建投公司为实施主体，并依法按照相关规定负责完成项目实施招投标工作。各乡镇（街道）全面负责项目拆旧区复垦工作，组织农户将项目拆旧区移交施工单位。施工单位严格依据规划设计施工，按时、按质、按量完成复垦工作。2019年2月1日至2019年12月30日。项目竣工后，各乡镇（街道）及时提出申请报区</w:t>
      </w:r>
      <w:r>
        <w:rPr>
          <w:rFonts w:hint="eastAsia" w:ascii="仿宋_GB2312" w:hAnsi="楷体"/>
          <w:szCs w:val="32"/>
          <w:lang w:eastAsia="zh-CN"/>
        </w:rPr>
        <w:t>自然资源局</w:t>
      </w:r>
      <w:r>
        <w:rPr>
          <w:rFonts w:hint="eastAsia" w:ascii="仿宋_GB2312" w:hAnsi="楷体"/>
          <w:szCs w:val="32"/>
        </w:rPr>
        <w:t>，</w:t>
      </w:r>
      <w:r>
        <w:rPr>
          <w:rFonts w:hint="eastAsia" w:ascii="仿宋_GB2312" w:hAnsi="楷体"/>
          <w:szCs w:val="32"/>
          <w:lang w:eastAsia="zh-CN"/>
        </w:rPr>
        <w:t>自然资源局</w:t>
      </w:r>
      <w:r>
        <w:rPr>
          <w:rFonts w:hint="eastAsia" w:ascii="仿宋_GB2312" w:hAnsi="楷体"/>
          <w:szCs w:val="32"/>
        </w:rPr>
        <w:t>邀请区发改、扶贫、农业、住建、林业、环保、水利、财政、交通等部门组织实施单位和监理单位按照增减挂钩实施方案对拆旧复垦土地开展自查。项目自查发现存在问题的，第一时间反馈乡镇（街道）进行整改。自查通过后，报请昆明市国土资源局进行初验，初验通过后报请省自然资源厅终验。</w:t>
      </w:r>
    </w:p>
    <w:p>
      <w:pPr>
        <w:pStyle w:val="2"/>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2019年实际到位资金900万元，统一拨到区自然资源局账号，由区自然资源局根据项目完成情况据实拨付，2019年共拨付区建投公司及铁鑫公司873.5万元，结转26.5万元，预算执行率达97%。</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hint="eastAsia" w:ascii="仿宋_GB2312" w:hAnsi="楷体"/>
          <w:szCs w:val="32"/>
        </w:rPr>
      </w:pPr>
      <w:r>
        <w:rPr>
          <w:rFonts w:hint="eastAsia" w:ascii="仿宋_GB2312" w:hAnsi="楷体"/>
          <w:szCs w:val="32"/>
        </w:rPr>
        <w:t>1.总目标。</w:t>
      </w:r>
    </w:p>
    <w:p>
      <w:pPr>
        <w:topLinePunct/>
        <w:spacing w:line="540" w:lineRule="exact"/>
        <w:ind w:firstLine="800" w:firstLineChars="250"/>
        <w:rPr>
          <w:rFonts w:hint="eastAsia" w:ascii="仿宋_GB2312" w:hAnsi="楷体" w:eastAsia="仿宋_GB2312"/>
          <w:szCs w:val="32"/>
          <w:lang w:eastAsia="zh-CN"/>
        </w:rPr>
      </w:pPr>
      <w:r>
        <w:rPr>
          <w:rFonts w:hint="eastAsia" w:ascii="仿宋_GB2312" w:hAnsi="楷体"/>
          <w:szCs w:val="32"/>
        </w:rPr>
        <w:t>拆旧区复垦规模规模4947亩</w:t>
      </w:r>
      <w:r>
        <w:rPr>
          <w:rFonts w:hint="eastAsia" w:ascii="仿宋_GB2312" w:hAnsi="楷体"/>
          <w:szCs w:val="32"/>
          <w:lang w:eastAsia="zh-CN"/>
        </w:rPr>
        <w:t>。</w:t>
      </w:r>
    </w:p>
    <w:p>
      <w:pPr>
        <w:numPr>
          <w:ilvl w:val="0"/>
          <w:numId w:val="3"/>
        </w:numPr>
        <w:topLinePunct/>
        <w:spacing w:line="540" w:lineRule="exact"/>
        <w:ind w:firstLine="800" w:firstLineChars="250"/>
        <w:rPr>
          <w:rFonts w:hint="eastAsia" w:ascii="仿宋_GB2312" w:hAnsi="楷体"/>
          <w:szCs w:val="32"/>
        </w:rPr>
      </w:pPr>
      <w:r>
        <w:rPr>
          <w:rFonts w:hint="eastAsia" w:ascii="仿宋_GB2312" w:hAnsi="楷体"/>
          <w:szCs w:val="32"/>
        </w:rPr>
        <w:t>年度目标。包括产出目标、效果目标。</w:t>
      </w:r>
    </w:p>
    <w:p>
      <w:pPr>
        <w:topLinePunct/>
        <w:spacing w:line="540" w:lineRule="exact"/>
        <w:ind w:firstLine="800" w:firstLineChars="250"/>
        <w:rPr>
          <w:rFonts w:hint="eastAsia" w:ascii="仿宋_GB2312" w:hAnsi="楷体"/>
          <w:szCs w:val="32"/>
          <w:lang w:val="en-US" w:eastAsia="zh-CN"/>
        </w:rPr>
      </w:pPr>
      <w:r>
        <w:rPr>
          <w:rFonts w:hint="eastAsia" w:ascii="仿宋_GB2312" w:hAnsi="楷体"/>
          <w:szCs w:val="32"/>
          <w:lang w:val="en-US" w:eastAsia="zh-CN"/>
        </w:rPr>
        <w:t>实现汤丹镇新塘村城乡建设用地增减挂钩项目、东川区因民镇小水井等8个村城乡建设用地增减挂钩项目、东川区因民镇炉灯村等4个村城乡建设用地增减挂钩项目拆旧复垦工程进行验收。</w:t>
      </w:r>
    </w:p>
    <w:p>
      <w:pPr>
        <w:spacing w:line="560" w:lineRule="exact"/>
        <w:ind w:firstLine="640" w:firstLineChars="200"/>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eastAsia="zh-CN"/>
        </w:rPr>
        <w:t>产出目标：</w:t>
      </w:r>
      <w:r>
        <w:rPr>
          <w:rFonts w:hint="eastAsia" w:ascii="仿宋_GB2312" w:hAnsi="仿宋_GB2312" w:eastAsia="仿宋_GB2312" w:cs="仿宋_GB2312"/>
          <w:color w:val="000000"/>
          <w:sz w:val="32"/>
          <w:szCs w:val="32"/>
        </w:rPr>
        <w:t>东川区共新建</w:t>
      </w:r>
      <w:r>
        <w:rPr>
          <w:rFonts w:hint="eastAsia" w:ascii="仿宋_GB2312" w:hAnsi="仿宋_GB2312" w:eastAsia="仿宋_GB2312" w:cs="仿宋_GB2312"/>
          <w:color w:val="000000"/>
          <w:sz w:val="32"/>
          <w:szCs w:val="32"/>
          <w:lang w:eastAsia="zh-CN"/>
        </w:rPr>
        <w:t>易地扶贫搬迁</w:t>
      </w:r>
      <w:r>
        <w:rPr>
          <w:rFonts w:hint="eastAsia" w:ascii="仿宋_GB2312" w:hAnsi="仿宋_GB2312" w:eastAsia="仿宋_GB2312" w:cs="仿宋_GB2312"/>
          <w:color w:val="000000"/>
          <w:sz w:val="32"/>
          <w:szCs w:val="32"/>
        </w:rPr>
        <w:t>安置点13个，新建13个安置点均按要求编制了地质灾害危险性评估报告</w:t>
      </w:r>
      <w:r>
        <w:rPr>
          <w:rFonts w:hint="eastAsia" w:ascii="仿宋_GB2312" w:hAnsi="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效果目标：</w:t>
      </w:r>
      <w:r>
        <w:rPr>
          <w:rFonts w:hint="eastAsia" w:ascii="仿宋_GB2312" w:hAnsi="仿宋_GB2312" w:eastAsia="仿宋_GB2312" w:cs="仿宋_GB2312"/>
          <w:color w:val="000000"/>
          <w:sz w:val="32"/>
          <w:szCs w:val="32"/>
        </w:rPr>
        <w:t>13个安置点加上已实施的城区自主购房安置，涵盖了东川区易地扶贫搬迁的全部人口。</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80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（二）绩效评价原则、评价方法</w:t>
      </w:r>
    </w:p>
    <w:p>
      <w:pPr>
        <w:topLinePunct/>
        <w:spacing w:line="540" w:lineRule="exact"/>
        <w:ind w:firstLine="800" w:firstLineChars="250"/>
        <w:rPr>
          <w:rFonts w:hint="eastAsia" w:ascii="仿宋_GB2312" w:hAnsi="楷体"/>
          <w:szCs w:val="32"/>
        </w:rPr>
      </w:pPr>
      <w:r>
        <w:rPr>
          <w:rFonts w:hint="eastAsia" w:ascii="仿宋_GB2312" w:hAnsi="楷体"/>
          <w:szCs w:val="32"/>
        </w:rPr>
        <w:t>1.绩效评价原则。</w:t>
      </w:r>
    </w:p>
    <w:p>
      <w:pPr>
        <w:spacing w:line="560" w:lineRule="exact"/>
        <w:ind w:firstLine="640" w:firstLineChars="200"/>
        <w:rPr>
          <w:rFonts w:ascii="仿宋_GB2312"/>
        </w:rPr>
      </w:pPr>
      <w:r>
        <w:rPr>
          <w:rFonts w:hint="eastAsia" w:ascii="仿宋_GB2312"/>
        </w:rPr>
        <w:t>根据《昆明市东川区人民政府关于印发昆明市东川区预算绩效管理暂行办法》（东政发）[2015]104号），本次评价指标体系制定遵循相关性原则、重要性原则、可比性原则、经济性原则和系统性原则。</w:t>
      </w:r>
    </w:p>
    <w:p>
      <w:pPr>
        <w:spacing w:line="560" w:lineRule="exact"/>
        <w:ind w:firstLine="640" w:firstLineChars="200"/>
        <w:rPr>
          <w:rFonts w:hint="eastAsia" w:ascii="仿宋_GB2312" w:hAnsi="楷体"/>
          <w:szCs w:val="32"/>
        </w:rPr>
      </w:pPr>
      <w:r>
        <w:rPr>
          <w:rFonts w:hint="eastAsia" w:ascii="仿宋_GB2312" w:hAnsi="楷体"/>
          <w:szCs w:val="32"/>
        </w:rPr>
        <w:t>2.绩效评价方法。</w:t>
      </w:r>
    </w:p>
    <w:p>
      <w:pPr>
        <w:spacing w:line="560" w:lineRule="exact"/>
        <w:ind w:firstLine="640" w:firstLineChars="200"/>
      </w:pPr>
      <w:r>
        <w:rPr>
          <w:rFonts w:hint="eastAsia" w:ascii="仿宋_GB2312"/>
        </w:rPr>
        <w:t>主要依据《东川区预算绩效管理暂行办法》（东政发[2015]104号）、《昆明市东川区人民政府办公室关于印发东川区预算绩效管理工作考核办法（试行）》（东政办[2017]24号）确定绩效评价方法。在实施过程中，根据项目财政支出的具体情况，主要采用成本效益分析法、比较法、因素分析法，了解本项目资金使用管理、项目实施管理、项目产出以及产生的社会效益等情况，评价本项目绩效得分。</w:t>
      </w:r>
    </w:p>
    <w:p>
      <w:pPr>
        <w:topLinePunct/>
        <w:spacing w:line="540" w:lineRule="exact"/>
        <w:ind w:firstLine="80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800" w:firstLineChars="250"/>
        <w:rPr>
          <w:rFonts w:ascii="仿宋_GB2312" w:hAnsi="楷体"/>
          <w:szCs w:val="32"/>
        </w:rPr>
      </w:pPr>
      <w:r>
        <w:rPr>
          <w:rFonts w:hint="eastAsia" w:ascii="仿宋_GB2312" w:hAnsi="楷体"/>
          <w:szCs w:val="32"/>
        </w:rPr>
        <w:t>1.数据填报和采集。</w:t>
      </w:r>
    </w:p>
    <w:p>
      <w:pPr>
        <w:topLinePunct/>
        <w:spacing w:line="540" w:lineRule="exact"/>
        <w:ind w:firstLine="800" w:firstLineChars="250"/>
        <w:rPr>
          <w:rFonts w:ascii="仿宋_GB2312" w:hAnsi="楷体"/>
          <w:szCs w:val="32"/>
        </w:rPr>
      </w:pPr>
      <w:r>
        <w:rPr>
          <w:rFonts w:hint="eastAsia" w:ascii="仿宋_GB2312" w:hAnsi="楷体"/>
          <w:szCs w:val="32"/>
        </w:rPr>
        <w:t>2.社会调查。</w:t>
      </w:r>
    </w:p>
    <w:p>
      <w:pPr>
        <w:topLinePunct/>
        <w:spacing w:line="540" w:lineRule="exact"/>
        <w:ind w:firstLine="80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（五）本次绩效评价的局限性。</w:t>
      </w:r>
    </w:p>
    <w:p>
      <w:pPr>
        <w:pStyle w:val="2"/>
        <w:rPr>
          <w:rFonts w:hint="eastAsia" w:eastAsia="楷体"/>
          <w:lang w:eastAsia="zh-CN"/>
        </w:rPr>
      </w:pPr>
      <w:r>
        <w:rPr>
          <w:rFonts w:hint="eastAsia" w:ascii="楷体" w:hAnsi="楷体" w:eastAsia="楷体"/>
          <w:szCs w:val="32"/>
          <w:lang w:eastAsia="zh-CN"/>
        </w:rPr>
        <w:t>因当年预算资金未全部到位，到位支付资金和项目进度不匹配，本次绩效评价不整。</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800" w:firstLineChars="250"/>
        <w:rPr>
          <w:rFonts w:hint="eastAsia" w:ascii="仿宋" w:hAnsi="仿宋" w:eastAsia="仿宋"/>
          <w:szCs w:val="32"/>
        </w:rPr>
      </w:pPr>
      <w:r>
        <w:rPr>
          <w:rFonts w:hint="eastAsia" w:ascii="仿宋" w:hAnsi="仿宋" w:eastAsia="仿宋"/>
          <w:szCs w:val="32"/>
        </w:rPr>
        <w:t>1.评价结果。</w:t>
      </w:r>
    </w:p>
    <w:p>
      <w:pPr>
        <w:ind w:firstLine="640" w:firstLineChars="200"/>
        <w:jc w:val="left"/>
        <w:rPr>
          <w:rFonts w:ascii="仿宋_GB2312" w:hAnsi="宋体" w:cs="宋体"/>
          <w:kern w:val="0"/>
          <w:szCs w:val="32"/>
        </w:rPr>
      </w:pPr>
      <w:r>
        <w:rPr>
          <w:rFonts w:hint="eastAsia" w:ascii="仿宋_GB2312"/>
          <w:szCs w:val="32"/>
        </w:rPr>
        <w:t>根据《昆明市财政局关于下达2019年土地指标跨省域调剂收入安排的支出预算的通知》（昆财农[2019]124号）和（东财农[2019]3号文件，下达给区自然资源局土地复垦成本支出（拆旧复垦）项目资金2453万元，实际拨付资金为900万元，主要用于支付昆明市东川区汤丹镇新塘村城乡建设用地增减挂钩项目、昆明市东川区因民镇炉灯村等4个村城乡建设用地增减挂钩项目、昆明市东川区因民镇小水井等8个村城乡建设用地增减挂钩项目资金，项目已完工并通过了区级初验，截止2019年12月30日，资金已拨付873.5万元，资金拨付率为97%，未拨付资金为26.5万元。</w:t>
      </w:r>
    </w:p>
    <w:p>
      <w:pPr>
        <w:numPr>
          <w:ilvl w:val="0"/>
          <w:numId w:val="4"/>
        </w:numPr>
        <w:topLinePunct/>
        <w:spacing w:line="540" w:lineRule="exact"/>
        <w:ind w:firstLine="800" w:firstLineChars="250"/>
        <w:rPr>
          <w:rFonts w:hint="eastAsia" w:ascii="仿宋_GB2312" w:hAnsi="仿宋"/>
          <w:szCs w:val="32"/>
        </w:rPr>
      </w:pPr>
      <w:r>
        <w:rPr>
          <w:rFonts w:hint="eastAsia" w:ascii="仿宋_GB2312" w:hAnsi="仿宋"/>
          <w:szCs w:val="32"/>
        </w:rPr>
        <w:t>主要绩效。</w:t>
      </w:r>
    </w:p>
    <w:p>
      <w:pPr>
        <w:topLinePunct/>
        <w:spacing w:line="540" w:lineRule="exact"/>
        <w:ind w:firstLine="800" w:firstLineChars="250"/>
        <w:rPr>
          <w:rFonts w:hint="eastAsia"/>
        </w:rPr>
      </w:pPr>
      <w:r>
        <w:rPr>
          <w:rFonts w:hint="eastAsia" w:ascii="仿宋_GB2312" w:hAnsi="楷体"/>
          <w:szCs w:val="32"/>
        </w:rPr>
        <w:t>实际完成拆旧复垦面积4391亩，安置点用地规模645亩，节余指标规模3746亩，其中耕地面积2512亩。已获批项目实施方案9个，拆旧复垦规模2977亩，剩余5个实施方案拆旧复垦规模1970亩。 2018年省厅下达跨省域调剂指标803亩，2019年下达指标619亩，合计1422亩</w:t>
      </w:r>
      <w:r>
        <w:rPr>
          <w:rFonts w:hint="eastAsia" w:ascii="仿宋_GB2312" w:hAnsi="楷体"/>
          <w:szCs w:val="32"/>
          <w:lang w:eastAsia="zh-CN"/>
        </w:rPr>
        <w:t>。</w:t>
      </w:r>
    </w:p>
    <w:p>
      <w:pPr>
        <w:numPr>
          <w:ilvl w:val="0"/>
          <w:numId w:val="5"/>
        </w:numPr>
        <w:topLinePunct/>
        <w:spacing w:line="540" w:lineRule="exact"/>
        <w:ind w:firstLine="800" w:firstLineChars="250"/>
        <w:rPr>
          <w:rFonts w:hint="eastAsia" w:ascii="仿宋" w:hAnsi="仿宋" w:eastAsia="仿宋"/>
          <w:szCs w:val="32"/>
        </w:rPr>
      </w:pPr>
      <w:r>
        <w:rPr>
          <w:rFonts w:hint="eastAsia" w:ascii="楷体" w:hAnsi="楷体" w:eastAsia="楷体"/>
          <w:szCs w:val="32"/>
        </w:rPr>
        <w:t>具体绩效分析。</w:t>
      </w:r>
      <w:r>
        <w:rPr>
          <w:rFonts w:hint="eastAsia" w:ascii="仿宋" w:hAnsi="仿宋" w:eastAsia="仿宋"/>
          <w:szCs w:val="32"/>
        </w:rPr>
        <w:t>对照绩效评价指标体系逐项进行分析、评价并打分。</w:t>
      </w:r>
    </w:p>
    <w:p>
      <w:pPr>
        <w:pStyle w:val="2"/>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实现</w:t>
      </w:r>
      <w:r>
        <w:rPr>
          <w:rFonts w:hint="eastAsia" w:ascii="仿宋_GB2312" w:eastAsia="仿宋_GB2312" w:cs="Times New Roman"/>
          <w:kern w:val="2"/>
          <w:sz w:val="32"/>
          <w:szCs w:val="32"/>
          <w:lang w:val="en-US" w:eastAsia="zh-CN" w:bidi="ar-SA"/>
        </w:rPr>
        <w:t>绩效目标</w:t>
      </w:r>
      <w:r>
        <w:rPr>
          <w:rFonts w:hint="eastAsia" w:ascii="仿宋_GB2312" w:hAnsi="Times New Roman" w:eastAsia="仿宋_GB2312" w:cs="Times New Roman"/>
          <w:kern w:val="2"/>
          <w:sz w:val="32"/>
          <w:szCs w:val="32"/>
          <w:lang w:val="en-US" w:eastAsia="zh-CN" w:bidi="ar-SA"/>
        </w:rPr>
        <w:t>8个乡镇土地复垦，</w:t>
      </w:r>
      <w:r>
        <w:rPr>
          <w:rFonts w:hint="eastAsia" w:ascii="仿宋_GB2312" w:eastAsia="仿宋_GB2312" w:cs="Times New Roman"/>
          <w:kern w:val="2"/>
          <w:sz w:val="32"/>
          <w:szCs w:val="32"/>
          <w:lang w:val="en-US" w:eastAsia="zh-CN" w:bidi="ar-SA"/>
        </w:rPr>
        <w:t>20分；在土地整理复垦标准内完成项目，10分；</w:t>
      </w:r>
      <w:r>
        <w:rPr>
          <w:rFonts w:hint="eastAsia" w:ascii="仿宋_GB2312" w:hAnsi="Times New Roman" w:eastAsia="仿宋_GB2312" w:cs="Times New Roman"/>
          <w:kern w:val="2"/>
          <w:sz w:val="32"/>
          <w:szCs w:val="32"/>
          <w:lang w:val="en-US" w:eastAsia="zh-CN" w:bidi="ar-SA"/>
        </w:rPr>
        <w:t>增加耕地2880余亩，</w:t>
      </w:r>
      <w:r>
        <w:rPr>
          <w:rFonts w:hint="eastAsia" w:ascii="仿宋_GB2312" w:eastAsia="仿宋_GB2312" w:cs="Times New Roman"/>
          <w:kern w:val="2"/>
          <w:sz w:val="32"/>
          <w:szCs w:val="32"/>
          <w:lang w:val="en-US" w:eastAsia="zh-CN" w:bidi="ar-SA"/>
        </w:rPr>
        <w:t>8分；</w:t>
      </w:r>
      <w:r>
        <w:rPr>
          <w:rFonts w:hint="eastAsia" w:ascii="仿宋_GB2312" w:hAnsi="Times New Roman" w:eastAsia="仿宋_GB2312" w:cs="Times New Roman"/>
          <w:kern w:val="2"/>
          <w:sz w:val="32"/>
          <w:szCs w:val="32"/>
          <w:lang w:val="en-US" w:eastAsia="zh-CN" w:bidi="ar-SA"/>
        </w:rPr>
        <w:t>预计增加经济收入220万元，</w:t>
      </w:r>
      <w:r>
        <w:rPr>
          <w:rFonts w:hint="eastAsia" w:ascii="仿宋_GB2312" w:eastAsia="仿宋_GB2312" w:cs="Times New Roman"/>
          <w:kern w:val="2"/>
          <w:sz w:val="32"/>
          <w:szCs w:val="32"/>
          <w:lang w:val="en-US" w:eastAsia="zh-CN" w:bidi="ar-SA"/>
        </w:rPr>
        <w:t>9分；</w:t>
      </w:r>
      <w:r>
        <w:rPr>
          <w:rFonts w:hint="eastAsia" w:ascii="仿宋_GB2312" w:hAnsi="Times New Roman" w:eastAsia="仿宋_GB2312" w:cs="Times New Roman"/>
          <w:kern w:val="2"/>
          <w:sz w:val="32"/>
          <w:szCs w:val="32"/>
          <w:lang w:val="en-US" w:eastAsia="zh-CN" w:bidi="ar-SA"/>
        </w:rPr>
        <w:t>在30年内减少地质灾害发生，</w:t>
      </w:r>
      <w:r>
        <w:rPr>
          <w:rFonts w:hint="eastAsia" w:ascii="仿宋_GB2312" w:eastAsia="仿宋_GB2312" w:cs="Times New Roman"/>
          <w:kern w:val="2"/>
          <w:sz w:val="32"/>
          <w:szCs w:val="32"/>
          <w:lang w:val="en-US" w:eastAsia="zh-CN" w:bidi="ar-SA"/>
        </w:rPr>
        <w:t>20分；</w:t>
      </w:r>
      <w:r>
        <w:rPr>
          <w:rFonts w:hint="eastAsia" w:ascii="仿宋_GB2312" w:hAnsi="Times New Roman" w:eastAsia="仿宋_GB2312" w:cs="Times New Roman"/>
          <w:kern w:val="2"/>
          <w:sz w:val="32"/>
          <w:szCs w:val="32"/>
          <w:lang w:val="en-US" w:eastAsia="zh-CN" w:bidi="ar-SA"/>
        </w:rPr>
        <w:t>推动地方经济发展</w:t>
      </w:r>
      <w:r>
        <w:rPr>
          <w:rFonts w:hint="eastAsia" w:ascii="仿宋_GB2312" w:eastAsia="仿宋_GB2312" w:cs="Times New Roman"/>
          <w:kern w:val="2"/>
          <w:sz w:val="32"/>
          <w:szCs w:val="32"/>
          <w:lang w:val="en-US" w:eastAsia="zh-CN" w:bidi="ar-SA"/>
        </w:rPr>
        <w:t>，20分；工程治理后项目区群众满意度，10分；项目绩效评价总分100分，绩效自评总计97分</w:t>
      </w:r>
      <w:r>
        <w:rPr>
          <w:rFonts w:hint="eastAsia" w:ascii="仿宋_GB2312" w:hAnsi="Times New Roman" w:eastAsia="仿宋_GB2312" w:cs="Times New Roman"/>
          <w:kern w:val="2"/>
          <w:sz w:val="32"/>
          <w:szCs w:val="32"/>
          <w:lang w:val="en-US" w:eastAsia="zh-CN" w:bidi="ar-SA"/>
        </w:rPr>
        <w:t>。</w:t>
      </w:r>
    </w:p>
    <w:p>
      <w:pPr>
        <w:topLinePunct/>
        <w:spacing w:line="540" w:lineRule="exact"/>
        <w:ind w:firstLine="800" w:firstLineChars="250"/>
        <w:rPr>
          <w:rFonts w:ascii="黑体" w:hAnsi="黑体" w:eastAsia="黑体"/>
          <w:szCs w:val="32"/>
        </w:rPr>
      </w:pPr>
      <w:r>
        <w:rPr>
          <w:rFonts w:hint="eastAsia" w:ascii="黑体" w:hAnsi="黑体" w:eastAsia="黑体"/>
          <w:szCs w:val="32"/>
        </w:rPr>
        <w:t>四、成本效益分析。</w:t>
      </w:r>
      <w:r>
        <w:rPr>
          <w:rFonts w:hint="eastAsia" w:ascii="仿宋_GB2312" w:hAnsi="仿宋"/>
        </w:rPr>
        <w:t>对资金使用方向、资金收入和支出结构；项目和资金管理情况；资金的节约性、资金使用效果；变化趋势等进行分析评价。</w:t>
      </w:r>
    </w:p>
    <w:p>
      <w:pPr>
        <w:topLinePunct/>
        <w:spacing w:line="540" w:lineRule="exact"/>
        <w:ind w:firstLine="80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800" w:firstLineChars="250"/>
        <w:rPr>
          <w:rFonts w:hint="eastAsia" w:ascii="楷体" w:hAnsi="楷体" w:eastAsia="楷体"/>
          <w:szCs w:val="32"/>
        </w:rPr>
      </w:pPr>
      <w:r>
        <w:rPr>
          <w:rFonts w:hint="eastAsia" w:ascii="楷体" w:hAnsi="楷体" w:eastAsia="楷体"/>
          <w:szCs w:val="32"/>
        </w:rPr>
        <w:t>（一）主要经验及做法；</w:t>
      </w:r>
    </w:p>
    <w:p>
      <w:pPr>
        <w:rPr>
          <w:rFonts w:hint="eastAsia" w:ascii="仿宋_GB2312" w:hAnsi="仿宋" w:eastAsia="仿宋_GB2312" w:cs="Times New Roman"/>
          <w:kern w:val="2"/>
          <w:sz w:val="32"/>
          <w:szCs w:val="20"/>
          <w:lang w:val="en-US" w:eastAsia="zh-CN" w:bidi="ar-SA"/>
        </w:rPr>
      </w:pPr>
      <w:r>
        <w:rPr>
          <w:rFonts w:hint="eastAsia" w:ascii="仿宋_GB2312" w:hAnsi="仿宋" w:eastAsia="仿宋_GB2312" w:cs="Times New Roman"/>
          <w:kern w:val="2"/>
          <w:sz w:val="32"/>
          <w:szCs w:val="20"/>
          <w:lang w:val="en-US" w:eastAsia="zh-CN" w:bidi="ar-SA"/>
        </w:rPr>
        <w:t>因区自然资源局等领导小组办公室成员单位难以安排专业人员负责该项目，项目由办公室委托区建投公司为实施主体，负责筹措拆除复垦资金，并依法按照相关规定负责完成项目实施招投标工作。</w:t>
      </w:r>
      <w:r>
        <w:rPr>
          <w:rFonts w:hint="eastAsia"/>
          <w:sz w:val="32"/>
          <w:szCs w:val="32"/>
        </w:rPr>
        <w:t>各乡镇（街道）充分参与拆除复垦工作，做好协调配合工作。</w:t>
      </w:r>
      <w:r>
        <w:rPr>
          <w:rFonts w:hint="eastAsia"/>
          <w:sz w:val="32"/>
          <w:szCs w:val="32"/>
          <w:lang w:eastAsia="zh-CN"/>
        </w:rPr>
        <w:t>有利于项目推动和顺利实施。</w:t>
      </w:r>
    </w:p>
    <w:p>
      <w:pPr>
        <w:numPr>
          <w:ilvl w:val="0"/>
          <w:numId w:val="0"/>
        </w:numPr>
        <w:topLinePunct/>
        <w:spacing w:line="540" w:lineRule="exact"/>
        <w:ind w:leftChars="250"/>
        <w:rPr>
          <w:rFonts w:hint="eastAsia" w:ascii="楷体" w:hAnsi="楷体" w:eastAsia="楷体"/>
          <w:szCs w:val="32"/>
        </w:rPr>
      </w:pPr>
      <w:r>
        <w:rPr>
          <w:rFonts w:hint="eastAsia" w:ascii="楷体" w:hAnsi="楷体" w:eastAsia="楷体"/>
          <w:szCs w:val="32"/>
          <w:lang w:eastAsia="zh-CN"/>
        </w:rPr>
        <w:t>（二）</w:t>
      </w:r>
      <w:r>
        <w:rPr>
          <w:rFonts w:hint="eastAsia" w:ascii="楷体" w:hAnsi="楷体" w:eastAsia="楷体"/>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1.工程量复核不够准确细致，图件制作不规范。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2.部分建筑拆除不到位，建筑垃圾清运不彻底。</w:t>
      </w: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3.复垦管护不到位，存在复垦撂荒现象。</w:t>
      </w:r>
    </w:p>
    <w:p>
      <w:pPr>
        <w:rPr>
          <w:rFonts w:hint="default"/>
          <w:lang w:val="en-US" w:eastAsia="zh-CN"/>
        </w:rPr>
      </w:pPr>
      <w:r>
        <w:rPr>
          <w:rFonts w:hint="eastAsia" w:ascii="仿宋" w:hAnsi="仿宋" w:eastAsia="仿宋" w:cs="仿宋"/>
          <w:kern w:val="2"/>
          <w:sz w:val="32"/>
          <w:szCs w:val="32"/>
          <w:lang w:val="en-US" w:eastAsia="zh-CN" w:bidi="ar-SA"/>
        </w:rPr>
        <w:t xml:space="preserve">    4.资金到位不及时，</w:t>
      </w:r>
      <w:r>
        <w:rPr>
          <w:rFonts w:hint="eastAsia"/>
          <w:sz w:val="32"/>
          <w:szCs w:val="32"/>
        </w:rPr>
        <w:t>从预售指标收益中按拆旧复垦面积拨付给乡镇（街道）工作经费1万元/亩</w:t>
      </w:r>
      <w:r>
        <w:rPr>
          <w:rFonts w:hint="eastAsia"/>
          <w:sz w:val="32"/>
          <w:szCs w:val="32"/>
          <w:lang w:eastAsia="zh-CN"/>
        </w:rPr>
        <w:t>未全部落实到位，影响项目进度。</w:t>
      </w:r>
    </w:p>
    <w:p>
      <w:pPr>
        <w:numPr>
          <w:ilvl w:val="0"/>
          <w:numId w:val="0"/>
        </w:numPr>
        <w:topLinePunct/>
        <w:spacing w:line="540" w:lineRule="exact"/>
        <w:ind w:leftChars="250"/>
        <w:rPr>
          <w:rFonts w:ascii="楷体" w:hAnsi="楷体" w:eastAsia="楷体"/>
          <w:szCs w:val="32"/>
        </w:rPr>
      </w:pPr>
      <w:r>
        <w:rPr>
          <w:rFonts w:hint="eastAsia" w:ascii="楷体" w:hAnsi="楷体" w:eastAsia="楷体"/>
          <w:szCs w:val="32"/>
        </w:rPr>
        <w:t>（三）建议和改进措施。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度重视工程量复核工作，工程量复核应确保做实、做细、做规范；加强对复垦质量把关，确保拆旧复垦到位，垃圾清运彻底，复垦质量及配套工程达到规划设计要求；部分围挡坍塌、沟渠堵塞等情况请梳理排查修复疏通；加强对复垦土地的管护和使用，防止复垦撂荒；增加工程内容，尽可能增加客土、完善田间道路等配套工程，增加水土保持等防护措施，确保复垦方向科学合理；加快项目验收进度和资金拨付进度，确保顺利通过验收。</w:t>
      </w:r>
      <w:bookmarkStart w:id="0" w:name="_GoBack"/>
      <w:bookmarkEnd w:id="0"/>
    </w:p>
    <w:p>
      <w:pPr>
        <w:numPr>
          <w:ilvl w:val="0"/>
          <w:numId w:val="0"/>
        </w:numPr>
        <w:spacing w:line="540" w:lineRule="exact"/>
        <w:jc w:val="left"/>
        <w:rPr>
          <w:rFonts w:hint="eastAsia" w:ascii="黑体" w:hAns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E-BZ9-PK74888-Identity-H">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DA833"/>
    <w:multiLevelType w:val="singleLevel"/>
    <w:tmpl w:val="82EDA833"/>
    <w:lvl w:ilvl="0" w:tentative="0">
      <w:start w:val="2"/>
      <w:numFmt w:val="decimal"/>
      <w:lvlText w:val="%1."/>
      <w:lvlJc w:val="left"/>
      <w:pPr>
        <w:tabs>
          <w:tab w:val="left" w:pos="312"/>
        </w:tabs>
      </w:pPr>
    </w:lvl>
  </w:abstractNum>
  <w:abstractNum w:abstractNumId="1">
    <w:nsid w:val="AE0C8CB1"/>
    <w:multiLevelType w:val="singleLevel"/>
    <w:tmpl w:val="AE0C8CB1"/>
    <w:lvl w:ilvl="0" w:tentative="0">
      <w:start w:val="2"/>
      <w:numFmt w:val="chineseCounting"/>
      <w:suff w:val="nothing"/>
      <w:lvlText w:val="（%1）"/>
      <w:lvlJc w:val="left"/>
      <w:rPr>
        <w:rFonts w:hint="eastAsia"/>
      </w:rPr>
    </w:lvl>
  </w:abstractNum>
  <w:abstractNum w:abstractNumId="2">
    <w:nsid w:val="D2295A3C"/>
    <w:multiLevelType w:val="singleLevel"/>
    <w:tmpl w:val="D2295A3C"/>
    <w:lvl w:ilvl="0" w:tentative="0">
      <w:start w:val="2"/>
      <w:numFmt w:val="decimal"/>
      <w:lvlText w:val="%1."/>
      <w:lvlJc w:val="left"/>
      <w:pPr>
        <w:tabs>
          <w:tab w:val="left" w:pos="312"/>
        </w:tabs>
      </w:pPr>
    </w:lvl>
  </w:abstractNum>
  <w:abstractNum w:abstractNumId="3">
    <w:nsid w:val="EAF61F5B"/>
    <w:multiLevelType w:val="singleLevel"/>
    <w:tmpl w:val="EAF61F5B"/>
    <w:lvl w:ilvl="0" w:tentative="0">
      <w:start w:val="1"/>
      <w:numFmt w:val="chineseCounting"/>
      <w:suff w:val="nothing"/>
      <w:lvlText w:val="%1、"/>
      <w:lvlJc w:val="left"/>
      <w:rPr>
        <w:rFonts w:hint="eastAsia"/>
      </w:rPr>
    </w:lvl>
  </w:abstractNum>
  <w:abstractNum w:abstractNumId="4">
    <w:nsid w:val="7C6810F3"/>
    <w:multiLevelType w:val="singleLevel"/>
    <w:tmpl w:val="7C6810F3"/>
    <w:lvl w:ilvl="0" w:tentative="0">
      <w:start w:val="2"/>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548C"/>
    <w:rsid w:val="00025A83"/>
    <w:rsid w:val="0004799A"/>
    <w:rsid w:val="00052D7E"/>
    <w:rsid w:val="00054A45"/>
    <w:rsid w:val="00066DA6"/>
    <w:rsid w:val="00080CC6"/>
    <w:rsid w:val="00081A62"/>
    <w:rsid w:val="000A27E5"/>
    <w:rsid w:val="000A34CD"/>
    <w:rsid w:val="000B1C39"/>
    <w:rsid w:val="000C6B3F"/>
    <w:rsid w:val="000D494D"/>
    <w:rsid w:val="000E1274"/>
    <w:rsid w:val="00125A0E"/>
    <w:rsid w:val="00132B6C"/>
    <w:rsid w:val="00133D44"/>
    <w:rsid w:val="00143730"/>
    <w:rsid w:val="00156F06"/>
    <w:rsid w:val="00176169"/>
    <w:rsid w:val="001853CE"/>
    <w:rsid w:val="001C76C6"/>
    <w:rsid w:val="001E558E"/>
    <w:rsid w:val="001F0C67"/>
    <w:rsid w:val="001F2688"/>
    <w:rsid w:val="001F6310"/>
    <w:rsid w:val="00220F91"/>
    <w:rsid w:val="00222C4D"/>
    <w:rsid w:val="00227151"/>
    <w:rsid w:val="0023458C"/>
    <w:rsid w:val="00254942"/>
    <w:rsid w:val="00257C60"/>
    <w:rsid w:val="00262F22"/>
    <w:rsid w:val="00265B44"/>
    <w:rsid w:val="00266A8E"/>
    <w:rsid w:val="00266F75"/>
    <w:rsid w:val="00272199"/>
    <w:rsid w:val="00273B45"/>
    <w:rsid w:val="00273EFF"/>
    <w:rsid w:val="00274813"/>
    <w:rsid w:val="002815AC"/>
    <w:rsid w:val="0029030F"/>
    <w:rsid w:val="002A3E88"/>
    <w:rsid w:val="002C1CE6"/>
    <w:rsid w:val="002C71A9"/>
    <w:rsid w:val="002D6C81"/>
    <w:rsid w:val="00301971"/>
    <w:rsid w:val="00304A91"/>
    <w:rsid w:val="00313E2B"/>
    <w:rsid w:val="00314A66"/>
    <w:rsid w:val="00323228"/>
    <w:rsid w:val="003466F2"/>
    <w:rsid w:val="00346E12"/>
    <w:rsid w:val="0035359B"/>
    <w:rsid w:val="00357917"/>
    <w:rsid w:val="0036038C"/>
    <w:rsid w:val="003735F1"/>
    <w:rsid w:val="003933E4"/>
    <w:rsid w:val="003A259A"/>
    <w:rsid w:val="003B05A8"/>
    <w:rsid w:val="003C305E"/>
    <w:rsid w:val="003C4DD1"/>
    <w:rsid w:val="003C72FF"/>
    <w:rsid w:val="003D2A9F"/>
    <w:rsid w:val="003D3842"/>
    <w:rsid w:val="003D5587"/>
    <w:rsid w:val="003E7AF9"/>
    <w:rsid w:val="003F2434"/>
    <w:rsid w:val="00410AEC"/>
    <w:rsid w:val="00414A39"/>
    <w:rsid w:val="004405D9"/>
    <w:rsid w:val="00443191"/>
    <w:rsid w:val="00457F15"/>
    <w:rsid w:val="004610C9"/>
    <w:rsid w:val="0046757E"/>
    <w:rsid w:val="00494CE3"/>
    <w:rsid w:val="004A149C"/>
    <w:rsid w:val="004A47E2"/>
    <w:rsid w:val="004E65E8"/>
    <w:rsid w:val="00504C3C"/>
    <w:rsid w:val="00505C13"/>
    <w:rsid w:val="005069D9"/>
    <w:rsid w:val="00517998"/>
    <w:rsid w:val="00522F90"/>
    <w:rsid w:val="0054493F"/>
    <w:rsid w:val="00553E75"/>
    <w:rsid w:val="005554C0"/>
    <w:rsid w:val="00555E23"/>
    <w:rsid w:val="00560DBE"/>
    <w:rsid w:val="0057452D"/>
    <w:rsid w:val="00587494"/>
    <w:rsid w:val="00597ED8"/>
    <w:rsid w:val="005A429A"/>
    <w:rsid w:val="005A43EF"/>
    <w:rsid w:val="005A60CB"/>
    <w:rsid w:val="005C130F"/>
    <w:rsid w:val="005E0D7D"/>
    <w:rsid w:val="005E7AF9"/>
    <w:rsid w:val="006214DB"/>
    <w:rsid w:val="006511D7"/>
    <w:rsid w:val="00670462"/>
    <w:rsid w:val="00687F0A"/>
    <w:rsid w:val="00697A19"/>
    <w:rsid w:val="006B0FD9"/>
    <w:rsid w:val="006B1643"/>
    <w:rsid w:val="006B4CBA"/>
    <w:rsid w:val="006D3CBD"/>
    <w:rsid w:val="006E046B"/>
    <w:rsid w:val="006E7FCD"/>
    <w:rsid w:val="006F60B1"/>
    <w:rsid w:val="00701BE2"/>
    <w:rsid w:val="00726C78"/>
    <w:rsid w:val="0073792C"/>
    <w:rsid w:val="0074252E"/>
    <w:rsid w:val="00751D7A"/>
    <w:rsid w:val="0076335F"/>
    <w:rsid w:val="00763C09"/>
    <w:rsid w:val="00797403"/>
    <w:rsid w:val="007A37B7"/>
    <w:rsid w:val="007A3D6B"/>
    <w:rsid w:val="007D29E8"/>
    <w:rsid w:val="007E1F99"/>
    <w:rsid w:val="007F215D"/>
    <w:rsid w:val="008304FA"/>
    <w:rsid w:val="00830CD9"/>
    <w:rsid w:val="00845D5D"/>
    <w:rsid w:val="0085120E"/>
    <w:rsid w:val="00856C32"/>
    <w:rsid w:val="008572D0"/>
    <w:rsid w:val="00865E76"/>
    <w:rsid w:val="008823DD"/>
    <w:rsid w:val="00891B30"/>
    <w:rsid w:val="008C592C"/>
    <w:rsid w:val="008E578B"/>
    <w:rsid w:val="008F6865"/>
    <w:rsid w:val="00930B19"/>
    <w:rsid w:val="00943303"/>
    <w:rsid w:val="00943C9B"/>
    <w:rsid w:val="009504D5"/>
    <w:rsid w:val="00953466"/>
    <w:rsid w:val="0095395F"/>
    <w:rsid w:val="00954E7D"/>
    <w:rsid w:val="009556E2"/>
    <w:rsid w:val="009633AD"/>
    <w:rsid w:val="00971387"/>
    <w:rsid w:val="00984443"/>
    <w:rsid w:val="00985161"/>
    <w:rsid w:val="009A27F9"/>
    <w:rsid w:val="009A30FE"/>
    <w:rsid w:val="009B03F9"/>
    <w:rsid w:val="009D26BA"/>
    <w:rsid w:val="009D4CF7"/>
    <w:rsid w:val="009E0475"/>
    <w:rsid w:val="00A062EF"/>
    <w:rsid w:val="00A116A2"/>
    <w:rsid w:val="00A16B39"/>
    <w:rsid w:val="00A266A4"/>
    <w:rsid w:val="00A2724C"/>
    <w:rsid w:val="00A470BE"/>
    <w:rsid w:val="00A47277"/>
    <w:rsid w:val="00A55B32"/>
    <w:rsid w:val="00A566A1"/>
    <w:rsid w:val="00A574FE"/>
    <w:rsid w:val="00A732AA"/>
    <w:rsid w:val="00A75198"/>
    <w:rsid w:val="00A779CA"/>
    <w:rsid w:val="00A80D5A"/>
    <w:rsid w:val="00AA3C83"/>
    <w:rsid w:val="00AB5F19"/>
    <w:rsid w:val="00AC0807"/>
    <w:rsid w:val="00AC516E"/>
    <w:rsid w:val="00AD1442"/>
    <w:rsid w:val="00AD1B21"/>
    <w:rsid w:val="00AD4F3C"/>
    <w:rsid w:val="00AD6005"/>
    <w:rsid w:val="00AE4D88"/>
    <w:rsid w:val="00AF4915"/>
    <w:rsid w:val="00AF4E58"/>
    <w:rsid w:val="00B040C4"/>
    <w:rsid w:val="00B04D6B"/>
    <w:rsid w:val="00B1237A"/>
    <w:rsid w:val="00B303F0"/>
    <w:rsid w:val="00B44C36"/>
    <w:rsid w:val="00B46A13"/>
    <w:rsid w:val="00B52EC4"/>
    <w:rsid w:val="00B54B86"/>
    <w:rsid w:val="00B572F5"/>
    <w:rsid w:val="00B61A7A"/>
    <w:rsid w:val="00B62ACB"/>
    <w:rsid w:val="00B75223"/>
    <w:rsid w:val="00B805A6"/>
    <w:rsid w:val="00B830A0"/>
    <w:rsid w:val="00BA38CF"/>
    <w:rsid w:val="00BD6CB0"/>
    <w:rsid w:val="00BE2940"/>
    <w:rsid w:val="00BE6740"/>
    <w:rsid w:val="00BF431A"/>
    <w:rsid w:val="00C0628D"/>
    <w:rsid w:val="00C161DB"/>
    <w:rsid w:val="00C176FB"/>
    <w:rsid w:val="00C27D57"/>
    <w:rsid w:val="00C27D9E"/>
    <w:rsid w:val="00C32A64"/>
    <w:rsid w:val="00C333A2"/>
    <w:rsid w:val="00C34E7D"/>
    <w:rsid w:val="00C37F21"/>
    <w:rsid w:val="00C40101"/>
    <w:rsid w:val="00C50454"/>
    <w:rsid w:val="00C80BD1"/>
    <w:rsid w:val="00C949B6"/>
    <w:rsid w:val="00CD0AD5"/>
    <w:rsid w:val="00CE4964"/>
    <w:rsid w:val="00CE6E67"/>
    <w:rsid w:val="00CF3053"/>
    <w:rsid w:val="00D23418"/>
    <w:rsid w:val="00D23BEF"/>
    <w:rsid w:val="00D42822"/>
    <w:rsid w:val="00D42CDB"/>
    <w:rsid w:val="00D50998"/>
    <w:rsid w:val="00D5293E"/>
    <w:rsid w:val="00D5548C"/>
    <w:rsid w:val="00D71401"/>
    <w:rsid w:val="00DA69C1"/>
    <w:rsid w:val="00DB5FDA"/>
    <w:rsid w:val="00DC371F"/>
    <w:rsid w:val="00DD2200"/>
    <w:rsid w:val="00DD6FAA"/>
    <w:rsid w:val="00DF187C"/>
    <w:rsid w:val="00E03CC7"/>
    <w:rsid w:val="00E20528"/>
    <w:rsid w:val="00E66E3F"/>
    <w:rsid w:val="00E7188A"/>
    <w:rsid w:val="00E7608A"/>
    <w:rsid w:val="00E81E3E"/>
    <w:rsid w:val="00E82D2A"/>
    <w:rsid w:val="00E97AE4"/>
    <w:rsid w:val="00EC4E19"/>
    <w:rsid w:val="00EC5204"/>
    <w:rsid w:val="00EC54E1"/>
    <w:rsid w:val="00ED02B0"/>
    <w:rsid w:val="00F06AF9"/>
    <w:rsid w:val="00F10303"/>
    <w:rsid w:val="00F143BB"/>
    <w:rsid w:val="00F342E9"/>
    <w:rsid w:val="00F40BAF"/>
    <w:rsid w:val="00F42BF8"/>
    <w:rsid w:val="00F4525C"/>
    <w:rsid w:val="00F47350"/>
    <w:rsid w:val="00F522B0"/>
    <w:rsid w:val="00F54211"/>
    <w:rsid w:val="00F56005"/>
    <w:rsid w:val="00F6411E"/>
    <w:rsid w:val="00F85CDD"/>
    <w:rsid w:val="00F9269D"/>
    <w:rsid w:val="00F95B09"/>
    <w:rsid w:val="00FA0798"/>
    <w:rsid w:val="00FB47F5"/>
    <w:rsid w:val="00FC1AB0"/>
    <w:rsid w:val="00FD6664"/>
    <w:rsid w:val="00FE250A"/>
    <w:rsid w:val="08BA1F69"/>
    <w:rsid w:val="2EA32613"/>
    <w:rsid w:val="332B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2"/>
    <w:basedOn w:val="1"/>
    <w:next w:val="1"/>
    <w:qFormat/>
    <w:uiPriority w:val="9"/>
    <w:pPr>
      <w:keepNext/>
      <w:keepLines/>
      <w:spacing w:line="560" w:lineRule="exact"/>
      <w:ind w:firstLine="640"/>
      <w:outlineLvl w:val="1"/>
    </w:pPr>
    <w:rPr>
      <w:rFonts w:eastAsia="黑体"/>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style31"/>
    <w:basedOn w:val="6"/>
    <w:qFormat/>
    <w:uiPriority w:val="0"/>
    <w:rPr>
      <w:rFonts w:hint="default" w:ascii="E-BZ9-PK74888-Identity-H" w:hAnsi="E-BZ9-PK74888-Identity-H"/>
      <w:color w:val="00000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Company>
  <Pages>1</Pages>
  <Words>46</Words>
  <Characters>264</Characters>
  <Lines>2</Lines>
  <Paragraphs>1</Paragraphs>
  <TotalTime>2</TotalTime>
  <ScaleCrop>false</ScaleCrop>
  <LinksUpToDate>false</LinksUpToDate>
  <CharactersWithSpaces>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2020-06-05T02:48:00Z</dcterms:created>
  <dc:creator>昆明市东川区国土资源局</dc:creator>
  <cp:lastModifiedBy>红尘有你</cp:lastModifiedBy>
  <dcterms:modified xsi:type="dcterms:W3CDTF">2020-08-14T13:26:01Z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