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项目支出绩效评价报告</w:t>
      </w:r>
    </w:p>
    <w:p>
      <w:pPr>
        <w:numPr>
          <w:ilvl w:val="0"/>
          <w:numId w:val="1"/>
        </w:num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项目概况</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宋体" w:hAnsi="宋体" w:eastAsia="仿宋_GB2312"/>
          <w:color w:val="000000"/>
          <w:sz w:val="32"/>
          <w:szCs w:val="32"/>
        </w:rPr>
        <w:t>东川区质量强区工作在市政府的坚强领导下，在“市强市办”的大力指导下，对照《</w:t>
      </w:r>
      <w:r>
        <w:rPr>
          <w:rFonts w:hint="eastAsia" w:ascii="宋体" w:hAnsi="宋体" w:eastAsia="仿宋_GB2312" w:cs="仿宋_GB2312"/>
          <w:color w:val="000000"/>
          <w:sz w:val="32"/>
        </w:rPr>
        <w:t>昆明市2019年质量强市专项工作目标考核细则</w:t>
      </w:r>
      <w:r>
        <w:rPr>
          <w:rFonts w:hint="eastAsia" w:ascii="宋体" w:hAnsi="宋体" w:eastAsia="仿宋_GB2312"/>
          <w:color w:val="000000"/>
          <w:sz w:val="32"/>
          <w:szCs w:val="32"/>
        </w:rPr>
        <w:t>》</w:t>
      </w:r>
      <w:r>
        <w:rPr>
          <w:rFonts w:hint="eastAsia" w:ascii="宋体" w:hAnsi="宋体"/>
          <w:color w:val="000000"/>
          <w:sz w:val="32"/>
          <w:szCs w:val="32"/>
          <w:lang w:eastAsia="zh-CN"/>
        </w:rPr>
        <w:t>，</w:t>
      </w:r>
      <w:r>
        <w:rPr>
          <w:rFonts w:hint="eastAsia" w:ascii="宋体" w:hAnsi="宋体" w:eastAsia="仿宋_GB2312"/>
          <w:color w:val="000000"/>
          <w:sz w:val="32"/>
          <w:szCs w:val="32"/>
        </w:rPr>
        <w:t>认真贯彻省、市质量强区相关会议精神，扎实开展质量强区工作</w:t>
      </w:r>
      <w:r>
        <w:rPr>
          <w:rFonts w:hint="eastAsia" w:ascii="仿宋_GB2312" w:eastAsia="仿宋_GB2312"/>
          <w:sz w:val="32"/>
          <w:szCs w:val="32"/>
        </w:rPr>
        <w:t>。</w:t>
      </w:r>
    </w:p>
    <w:p>
      <w:pPr>
        <w:numPr>
          <w:ilvl w:val="0"/>
          <w:numId w:val="1"/>
        </w:num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评价结论</w:t>
      </w:r>
    </w:p>
    <w:p>
      <w:pPr>
        <w:adjustRightInd w:val="0"/>
        <w:snapToGrid w:val="0"/>
        <w:spacing w:line="560" w:lineRule="exact"/>
        <w:ind w:left="640" w:leftChars="200"/>
        <w:jc w:val="left"/>
        <w:rPr>
          <w:rFonts w:hint="eastAsia" w:ascii="仿宋_GB2312" w:hAnsi="仿宋" w:cs="仿宋"/>
          <w:szCs w:val="32"/>
        </w:rPr>
      </w:pPr>
      <w:r>
        <w:rPr>
          <w:rFonts w:hint="eastAsia" w:ascii="仿宋_GB2312" w:hAnsi="仿宋" w:cs="仿宋"/>
          <w:szCs w:val="32"/>
        </w:rPr>
        <w:t>评价结果为良。</w:t>
      </w:r>
    </w:p>
    <w:p>
      <w:p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三、经验、问题和建议</w:t>
      </w:r>
    </w:p>
    <w:p>
      <w:pPr>
        <w:adjustRightInd w:val="0"/>
        <w:snapToGrid w:val="0"/>
        <w:spacing w:line="560" w:lineRule="exact"/>
        <w:ind w:firstLine="643" w:firstLineChars="200"/>
        <w:jc w:val="left"/>
        <w:rPr>
          <w:rFonts w:hint="eastAsia" w:ascii="楷体_GB2312" w:hAnsi="楷体" w:eastAsia="楷体_GB2312"/>
          <w:b/>
          <w:szCs w:val="32"/>
        </w:rPr>
      </w:pPr>
      <w:r>
        <w:rPr>
          <w:rFonts w:hint="eastAsia" w:ascii="楷体_GB2312" w:hAnsi="楷体" w:eastAsia="楷体_GB2312"/>
          <w:b/>
          <w:szCs w:val="32"/>
        </w:rPr>
        <w:t>1.主要经验及做法</w:t>
      </w:r>
    </w:p>
    <w:p>
      <w:pPr>
        <w:widowControl/>
        <w:adjustRightInd w:val="0"/>
        <w:snapToGrid w:val="0"/>
        <w:spacing w:line="560" w:lineRule="exact"/>
        <w:ind w:firstLine="640" w:firstLineChars="200"/>
        <w:jc w:val="left"/>
        <w:rPr>
          <w:rFonts w:hint="default" w:ascii="仿宋_GB2312" w:hAnsi="仿宋" w:eastAsia="仿宋_GB2312" w:cs="仿宋"/>
          <w:kern w:val="0"/>
          <w:szCs w:val="32"/>
          <w:lang w:val="en-US" w:eastAsia="zh-CN"/>
        </w:rPr>
      </w:pPr>
      <w:r>
        <w:rPr>
          <w:rFonts w:hint="eastAsia" w:ascii="仿宋_GB2312" w:hAnsi="仿宋" w:cs="仿宋"/>
          <w:kern w:val="0"/>
          <w:szCs w:val="32"/>
          <w:lang w:val="en-US" w:eastAsia="zh-CN"/>
        </w:rPr>
        <w:t>第一、加强组织保障</w:t>
      </w:r>
      <w:r>
        <w:rPr>
          <w:rFonts w:hint="eastAsia" w:ascii="仿宋_GB2312" w:hAnsi="仿宋" w:cs="仿宋"/>
          <w:kern w:val="0"/>
          <w:szCs w:val="32"/>
        </w:rPr>
        <w:t>，</w:t>
      </w:r>
      <w:r>
        <w:rPr>
          <w:rFonts w:hint="eastAsia" w:ascii="仿宋_GB2312" w:hAnsi="仿宋" w:cs="仿宋"/>
          <w:kern w:val="0"/>
          <w:szCs w:val="32"/>
          <w:lang w:val="en-US" w:eastAsia="zh-CN"/>
        </w:rPr>
        <w:t>做好宏观质量管理</w:t>
      </w:r>
    </w:p>
    <w:p>
      <w:pPr>
        <w:widowControl/>
        <w:adjustRightInd w:val="0"/>
        <w:snapToGrid w:val="0"/>
        <w:spacing w:line="560" w:lineRule="exact"/>
        <w:ind w:firstLine="640" w:firstLineChars="200"/>
        <w:jc w:val="left"/>
        <w:rPr>
          <w:rFonts w:hint="default" w:ascii="仿宋_GB2312" w:hAnsi="仿宋" w:cs="仿宋"/>
          <w:kern w:val="0"/>
          <w:szCs w:val="32"/>
          <w:lang w:val="en-US" w:eastAsia="zh-CN"/>
        </w:rPr>
      </w:pPr>
      <w:r>
        <w:rPr>
          <w:rFonts w:hint="eastAsia" w:ascii="仿宋_GB2312" w:hAnsi="仿宋" w:cs="仿宋"/>
          <w:kern w:val="0"/>
          <w:szCs w:val="32"/>
          <w:lang w:val="en-US" w:eastAsia="zh-CN"/>
        </w:rPr>
        <w:t>第二、</w:t>
      </w:r>
      <w:r>
        <w:rPr>
          <w:rFonts w:hint="eastAsia" w:ascii="仿宋_GB2312" w:hAnsi="仿宋" w:cs="仿宋"/>
          <w:kern w:val="0"/>
          <w:szCs w:val="32"/>
        </w:rPr>
        <w:t>强化</w:t>
      </w:r>
      <w:r>
        <w:rPr>
          <w:rFonts w:hint="eastAsia" w:ascii="仿宋_GB2312" w:hAnsi="仿宋" w:cs="仿宋"/>
          <w:kern w:val="0"/>
          <w:szCs w:val="32"/>
          <w:lang w:val="en-US" w:eastAsia="zh-CN"/>
        </w:rPr>
        <w:t>工作落实，做好产品质量提升</w:t>
      </w:r>
    </w:p>
    <w:p>
      <w:pPr>
        <w:widowControl/>
        <w:adjustRightInd w:val="0"/>
        <w:snapToGrid w:val="0"/>
        <w:spacing w:line="560" w:lineRule="exact"/>
        <w:ind w:firstLine="640" w:firstLineChars="200"/>
        <w:jc w:val="left"/>
        <w:rPr>
          <w:rFonts w:hint="eastAsia" w:ascii="仿宋_GB2312" w:hAnsi="仿宋" w:cs="仿宋"/>
          <w:kern w:val="0"/>
          <w:szCs w:val="32"/>
          <w:lang w:val="en-US" w:eastAsia="zh-CN"/>
        </w:rPr>
      </w:pPr>
      <w:r>
        <w:rPr>
          <w:rFonts w:hint="eastAsia" w:ascii="仿宋_GB2312" w:hAnsi="仿宋" w:cs="仿宋"/>
          <w:kern w:val="0"/>
          <w:szCs w:val="32"/>
          <w:lang w:val="en-US" w:eastAsia="zh-CN"/>
        </w:rPr>
        <w:t>第三、完善基础工作</w:t>
      </w:r>
      <w:r>
        <w:rPr>
          <w:rFonts w:hint="eastAsia" w:ascii="仿宋_GB2312" w:hAnsi="仿宋" w:cs="仿宋"/>
          <w:kern w:val="0"/>
          <w:szCs w:val="32"/>
        </w:rPr>
        <w:t>，</w:t>
      </w:r>
      <w:r>
        <w:rPr>
          <w:rFonts w:hint="eastAsia" w:ascii="仿宋_GB2312" w:hAnsi="仿宋" w:cs="仿宋"/>
          <w:kern w:val="0"/>
          <w:szCs w:val="32"/>
          <w:lang w:val="en-US" w:eastAsia="zh-CN"/>
        </w:rPr>
        <w:t>做好质量基础建设</w:t>
      </w:r>
    </w:p>
    <w:p>
      <w:pPr>
        <w:widowControl/>
        <w:adjustRightInd w:val="0"/>
        <w:snapToGrid w:val="0"/>
        <w:spacing w:line="560" w:lineRule="exact"/>
        <w:ind w:firstLine="640" w:firstLineChars="200"/>
        <w:jc w:val="left"/>
        <w:rPr>
          <w:rFonts w:hint="default" w:ascii="仿宋_GB2312" w:hAnsi="仿宋" w:eastAsia="仿宋_GB2312" w:cs="仿宋"/>
          <w:kern w:val="0"/>
          <w:szCs w:val="32"/>
          <w:lang w:val="en-US" w:eastAsia="zh-CN"/>
        </w:rPr>
      </w:pPr>
      <w:r>
        <w:rPr>
          <w:rFonts w:hint="eastAsia" w:ascii="仿宋_GB2312" w:hAnsi="仿宋" w:cs="仿宋"/>
          <w:kern w:val="0"/>
          <w:szCs w:val="32"/>
          <w:lang w:val="en-US" w:eastAsia="zh-CN"/>
        </w:rPr>
        <w:t>第四、广泛开展动员，做好创建示范工作</w:t>
      </w:r>
    </w:p>
    <w:p>
      <w:pPr>
        <w:widowControl/>
        <w:adjustRightInd w:val="0"/>
        <w:snapToGrid w:val="0"/>
        <w:spacing w:line="560" w:lineRule="exact"/>
        <w:ind w:firstLine="640" w:firstLineChars="200"/>
        <w:jc w:val="left"/>
        <w:rPr>
          <w:rFonts w:hint="eastAsia" w:ascii="仿宋_GB2312" w:hAnsi="仿宋" w:cs="仿宋"/>
          <w:kern w:val="0"/>
          <w:szCs w:val="32"/>
          <w:lang w:val="en-US" w:eastAsia="zh-CN"/>
        </w:rPr>
      </w:pPr>
      <w:r>
        <w:rPr>
          <w:rFonts w:hint="eastAsia" w:ascii="仿宋_GB2312" w:hAnsi="仿宋" w:cs="仿宋"/>
          <w:kern w:val="0"/>
          <w:szCs w:val="32"/>
          <w:lang w:val="en-US" w:eastAsia="zh-CN"/>
        </w:rPr>
        <w:t>第五、结合工作实际，创新个性指标体系</w:t>
      </w:r>
    </w:p>
    <w:p>
      <w:pPr>
        <w:numPr>
          <w:ilvl w:val="0"/>
          <w:numId w:val="2"/>
        </w:numPr>
        <w:adjustRightInd w:val="0"/>
        <w:snapToGrid w:val="0"/>
        <w:spacing w:line="560" w:lineRule="exact"/>
        <w:ind w:firstLine="643" w:firstLineChars="200"/>
        <w:jc w:val="left"/>
        <w:rPr>
          <w:rFonts w:hint="eastAsia" w:ascii="楷体_GB2312" w:hAnsi="楷体" w:eastAsia="楷体_GB2312"/>
          <w:b/>
          <w:szCs w:val="32"/>
        </w:rPr>
      </w:pPr>
      <w:r>
        <w:rPr>
          <w:rFonts w:hint="eastAsia" w:ascii="楷体_GB2312" w:hAnsi="楷体" w:eastAsia="楷体_GB2312"/>
          <w:b/>
          <w:szCs w:val="32"/>
        </w:rPr>
        <w:t>存在的问题</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责任意识有待增强</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从业人员素质有待提高</w:t>
      </w:r>
    </w:p>
    <w:p>
      <w:pPr>
        <w:adjustRightInd w:val="0"/>
        <w:snapToGrid w:val="0"/>
        <w:spacing w:line="560" w:lineRule="exact"/>
        <w:ind w:firstLine="640" w:firstLineChars="200"/>
        <w:rPr>
          <w:rFonts w:hint="eastAsia" w:ascii="宋体" w:hAnsi="宋体"/>
          <w:szCs w:val="32"/>
        </w:rPr>
      </w:pPr>
      <w:r>
        <w:rPr>
          <w:rFonts w:hint="eastAsia" w:ascii="宋体" w:hAnsi="宋体"/>
          <w:szCs w:val="32"/>
          <w:lang w:val="en-US" w:eastAsia="zh-CN"/>
        </w:rPr>
        <w:t>质量提升</w:t>
      </w:r>
      <w:r>
        <w:rPr>
          <w:rFonts w:hint="eastAsia" w:ascii="宋体" w:hAnsi="宋体"/>
          <w:szCs w:val="32"/>
        </w:rPr>
        <w:t>任重道远</w:t>
      </w:r>
    </w:p>
    <w:p>
      <w:pPr>
        <w:adjustRightInd w:val="0"/>
        <w:snapToGrid w:val="0"/>
        <w:spacing w:line="560" w:lineRule="exact"/>
        <w:ind w:firstLine="640" w:firstLineChars="200"/>
        <w:jc w:val="left"/>
        <w:rPr>
          <w:rFonts w:ascii="楷体" w:hAnsi="楷体" w:eastAsia="楷体"/>
          <w:szCs w:val="32"/>
        </w:rPr>
      </w:pPr>
      <w:r>
        <w:rPr>
          <w:rFonts w:hint="eastAsia" w:ascii="楷体" w:hAnsi="楷体" w:eastAsia="楷体"/>
          <w:szCs w:val="32"/>
        </w:rPr>
        <w:t>3.改进措施及建议</w:t>
      </w:r>
    </w:p>
    <w:p>
      <w:pPr>
        <w:adjustRightInd w:val="0"/>
        <w:snapToGrid w:val="0"/>
        <w:spacing w:line="560" w:lineRule="exact"/>
        <w:ind w:firstLine="640" w:firstLineChars="200"/>
        <w:rPr>
          <w:rFonts w:hint="default"/>
          <w:lang w:val="en-US" w:eastAsia="zh-CN"/>
        </w:rPr>
      </w:pPr>
      <w:r>
        <w:rPr>
          <w:rFonts w:hint="eastAsia" w:ascii="宋体" w:hAnsi="宋体"/>
          <w:szCs w:val="32"/>
          <w:lang w:val="en-US" w:eastAsia="zh-CN"/>
        </w:rPr>
        <w:t>第一、加强相关监管工作，提高责任意识，业务素质</w:t>
      </w:r>
    </w:p>
    <w:p>
      <w:pPr>
        <w:adjustRightInd w:val="0"/>
        <w:snapToGrid w:val="0"/>
        <w:spacing w:line="560" w:lineRule="exact"/>
        <w:ind w:firstLine="640" w:firstLineChars="200"/>
        <w:rPr>
          <w:rFonts w:hint="eastAsia" w:ascii="宋体" w:hAnsi="宋体"/>
          <w:szCs w:val="32"/>
          <w:lang w:val="en-US" w:eastAsia="zh-CN"/>
        </w:rPr>
      </w:pPr>
      <w:r>
        <w:rPr>
          <w:rFonts w:hint="eastAsia" w:ascii="宋体" w:hAnsi="宋体"/>
          <w:szCs w:val="32"/>
          <w:lang w:val="en-US" w:eastAsia="zh-CN"/>
        </w:rPr>
        <w:t>第二、继续做好工作落实，完善质量基础建设，提升产品质量</w:t>
      </w:r>
    </w:p>
    <w:p>
      <w:pPr>
        <w:adjustRightInd w:val="0"/>
        <w:snapToGrid w:val="0"/>
        <w:spacing w:line="560" w:lineRule="exact"/>
        <w:ind w:firstLine="560" w:firstLineChars="200"/>
        <w:jc w:val="center"/>
        <w:rPr>
          <w:rFonts w:hint="eastAsia" w:ascii="黑体" w:hAnsi="黑体" w:eastAsia="黑体"/>
          <w:spacing w:val="-20"/>
          <w:szCs w:val="32"/>
          <w:lang w:val="en-US" w:eastAsia="zh-CN"/>
        </w:rPr>
      </w:pPr>
    </w:p>
    <w:p>
      <w:pPr>
        <w:adjustRightInd w:val="0"/>
        <w:snapToGrid w:val="0"/>
        <w:spacing w:line="560" w:lineRule="exact"/>
        <w:ind w:firstLine="560" w:firstLineChars="200"/>
        <w:jc w:val="center"/>
        <w:rPr>
          <w:rFonts w:ascii="黑体" w:hAnsi="黑体" w:eastAsia="黑体"/>
          <w:spacing w:val="-20"/>
          <w:sz w:val="36"/>
          <w:szCs w:val="36"/>
        </w:rPr>
      </w:pPr>
      <w:r>
        <w:rPr>
          <w:rFonts w:hint="eastAsia" w:ascii="黑体" w:hAnsi="黑体" w:eastAsia="黑体"/>
          <w:spacing w:val="-20"/>
          <w:szCs w:val="32"/>
          <w:lang w:val="en-US" w:eastAsia="zh-CN"/>
        </w:rPr>
        <w:t>质量强区</w:t>
      </w:r>
      <w:r>
        <w:rPr>
          <w:rFonts w:hint="eastAsia" w:ascii="黑体" w:hAnsi="黑体" w:eastAsia="黑体"/>
          <w:spacing w:val="-20"/>
          <w:szCs w:val="32"/>
        </w:rPr>
        <w:t>项目支出绩效评价报告</w:t>
      </w:r>
    </w:p>
    <w:p>
      <w:pPr>
        <w:topLinePunct/>
        <w:adjustRightInd w:val="0"/>
        <w:snapToGrid w:val="0"/>
        <w:spacing w:line="560" w:lineRule="exact"/>
        <w:ind w:firstLine="800" w:firstLineChars="250"/>
        <w:rPr>
          <w:rFonts w:ascii="黑体" w:eastAsia="黑体"/>
          <w:szCs w:val="32"/>
        </w:rPr>
      </w:pPr>
    </w:p>
    <w:p>
      <w:pPr>
        <w:topLinePunct/>
        <w:adjustRightInd w:val="0"/>
        <w:snapToGrid w:val="0"/>
        <w:spacing w:line="560" w:lineRule="exact"/>
        <w:ind w:firstLine="800" w:firstLineChars="250"/>
        <w:rPr>
          <w:rFonts w:ascii="黑体" w:eastAsia="黑体"/>
          <w:szCs w:val="32"/>
        </w:rPr>
      </w:pPr>
      <w:r>
        <w:rPr>
          <w:rFonts w:hint="eastAsia" w:ascii="黑体" w:eastAsia="黑体"/>
          <w:szCs w:val="32"/>
        </w:rPr>
        <w:t>一、项目基本情况</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（一）项目概况。</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1.立项背景及目的。</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宋体" w:hAnsi="宋体" w:eastAsia="仿宋_GB2312"/>
          <w:color w:val="000000"/>
          <w:sz w:val="32"/>
          <w:szCs w:val="32"/>
        </w:rPr>
        <w:t>东川区质量强区工作在市政府的坚强领导下，在“市强市办”的大力指导下，对照《</w:t>
      </w:r>
      <w:r>
        <w:rPr>
          <w:rFonts w:hint="eastAsia" w:ascii="宋体" w:hAnsi="宋体" w:eastAsia="仿宋_GB2312" w:cs="仿宋_GB2312"/>
          <w:color w:val="000000"/>
          <w:sz w:val="32"/>
        </w:rPr>
        <w:t>昆明市2019年质量强市专项工作目标考核细则</w:t>
      </w:r>
      <w:r>
        <w:rPr>
          <w:rFonts w:hint="eastAsia" w:ascii="宋体" w:hAnsi="宋体" w:eastAsia="仿宋_GB2312"/>
          <w:color w:val="000000"/>
          <w:sz w:val="32"/>
          <w:szCs w:val="32"/>
        </w:rPr>
        <w:t>》</w:t>
      </w:r>
      <w:r>
        <w:rPr>
          <w:rFonts w:hint="eastAsia" w:ascii="宋体" w:hAnsi="宋体"/>
          <w:color w:val="000000"/>
          <w:sz w:val="32"/>
          <w:szCs w:val="32"/>
          <w:lang w:eastAsia="zh-CN"/>
        </w:rPr>
        <w:t>，</w:t>
      </w:r>
      <w:r>
        <w:rPr>
          <w:rFonts w:hint="eastAsia" w:ascii="宋体" w:hAnsi="宋体" w:eastAsia="仿宋_GB2312"/>
          <w:color w:val="000000"/>
          <w:sz w:val="32"/>
          <w:szCs w:val="32"/>
        </w:rPr>
        <w:t>认真贯彻省、市质量强区相关会议精神，扎实开展质量强区工作</w:t>
      </w:r>
      <w:r>
        <w:rPr>
          <w:rFonts w:hint="eastAsia" w:ascii="仿宋_GB2312" w:eastAsia="仿宋_GB2312"/>
          <w:sz w:val="32"/>
          <w:szCs w:val="32"/>
        </w:rPr>
        <w:t>。</w:t>
      </w:r>
    </w:p>
    <w:p>
      <w:pPr>
        <w:topLinePunct/>
        <w:adjustRightInd w:val="0"/>
        <w:snapToGrid w:val="0"/>
        <w:spacing w:line="560" w:lineRule="exact"/>
        <w:ind w:firstLine="640" w:firstLineChars="200"/>
        <w:rPr>
          <w:rFonts w:ascii="仿宋_GB2312" w:hAnsi="楷体"/>
          <w:szCs w:val="32"/>
        </w:rPr>
      </w:pPr>
      <w:r>
        <w:rPr>
          <w:rFonts w:hint="eastAsia" w:ascii="仿宋_GB2312" w:hAnsi="楷体"/>
          <w:szCs w:val="32"/>
        </w:rPr>
        <w:t>2.项目实施情况。</w:t>
      </w:r>
    </w:p>
    <w:p>
      <w:pPr>
        <w:widowControl/>
        <w:adjustRightInd w:val="0"/>
        <w:snapToGrid w:val="0"/>
        <w:spacing w:line="560" w:lineRule="exact"/>
        <w:ind w:firstLine="640" w:firstLineChars="200"/>
        <w:jc w:val="left"/>
        <w:rPr>
          <w:rFonts w:hint="default" w:ascii="仿宋_GB2312" w:hAnsi="仿宋" w:eastAsia="仿宋_GB2312" w:cs="仿宋"/>
          <w:kern w:val="0"/>
          <w:szCs w:val="32"/>
          <w:lang w:val="en-US" w:eastAsia="zh-CN"/>
        </w:rPr>
      </w:pPr>
      <w:r>
        <w:rPr>
          <w:rFonts w:hint="eastAsia" w:ascii="仿宋_GB2312" w:hAnsi="仿宋" w:cs="仿宋"/>
          <w:kern w:val="0"/>
          <w:szCs w:val="32"/>
          <w:lang w:val="en-US" w:eastAsia="zh-CN"/>
        </w:rPr>
        <w:t>第一、加强组织保障</w:t>
      </w:r>
      <w:r>
        <w:rPr>
          <w:rFonts w:hint="eastAsia" w:ascii="仿宋_GB2312" w:hAnsi="仿宋" w:cs="仿宋"/>
          <w:kern w:val="0"/>
          <w:szCs w:val="32"/>
        </w:rPr>
        <w:t>，</w:t>
      </w:r>
      <w:r>
        <w:rPr>
          <w:rFonts w:hint="eastAsia" w:ascii="仿宋_GB2312" w:hAnsi="仿宋" w:cs="仿宋"/>
          <w:kern w:val="0"/>
          <w:szCs w:val="32"/>
          <w:lang w:val="en-US" w:eastAsia="zh-CN"/>
        </w:rPr>
        <w:t>做好宏观质量管理</w:t>
      </w:r>
    </w:p>
    <w:p>
      <w:pPr>
        <w:spacing w:line="560" w:lineRule="exact"/>
        <w:ind w:firstLine="640" w:firstLineChars="200"/>
        <w:rPr>
          <w:rFonts w:hint="eastAsia" w:ascii="仿宋_GB2312" w:hAnsi="仿宋" w:cs="仿宋"/>
          <w:kern w:val="0"/>
          <w:szCs w:val="32"/>
          <w:lang w:val="en-US" w:eastAsia="zh-CN"/>
        </w:rPr>
      </w:pPr>
      <w:r>
        <w:rPr>
          <w:rFonts w:hint="eastAsia" w:ascii="宋体" w:hAnsi="宋体" w:eastAsia="仿宋_GB2312"/>
          <w:color w:val="000000"/>
          <w:sz w:val="32"/>
          <w:szCs w:val="32"/>
        </w:rPr>
        <w:t>制定《东川区2019年开展质量提升行动实施方案》（东强区办〔2019〕1号）文件，并下发至各部门按要求认真贯彻落实。制定了《东川区2019年质量强市专项工作目标考核办法》(东政办发〔2019〕55号)文件，下发各乡镇（街道）、各成员单位按要求认真贯彻落实，并已组织开展半年及全年考核工作。2019年组织召开了2次质量工作部门联席会议，分管副区长出席并对质量强区工作做出安排布置。以重要工业产品、日用消费品、食品、农产品和农业投入品为重点，完善市场主体信用记录及企业质量信用档案；贯彻落实</w:t>
      </w:r>
      <w:r>
        <w:rPr>
          <w:rFonts w:ascii="宋体" w:hAnsi="宋体" w:eastAsia="仿宋_GB2312"/>
          <w:color w:val="000000"/>
          <w:sz w:val="32"/>
          <w:szCs w:val="32"/>
        </w:rPr>
        <w:t>“</w:t>
      </w:r>
      <w:r>
        <w:rPr>
          <w:rFonts w:hint="eastAsia" w:ascii="宋体" w:hAnsi="宋体" w:eastAsia="仿宋_GB2312"/>
          <w:color w:val="000000"/>
          <w:sz w:val="32"/>
          <w:szCs w:val="32"/>
        </w:rPr>
        <w:t>红黑名单</w:t>
      </w:r>
      <w:r>
        <w:rPr>
          <w:rFonts w:ascii="宋体" w:hAnsi="宋体" w:eastAsia="仿宋_GB2312"/>
          <w:color w:val="000000"/>
          <w:sz w:val="32"/>
          <w:szCs w:val="32"/>
        </w:rPr>
        <w:t>”</w:t>
      </w:r>
      <w:r>
        <w:rPr>
          <w:rFonts w:hint="eastAsia" w:ascii="宋体" w:hAnsi="宋体" w:eastAsia="仿宋_GB2312"/>
          <w:color w:val="000000"/>
          <w:sz w:val="32"/>
          <w:szCs w:val="32"/>
        </w:rPr>
        <w:t>制度。开展质量文化活动，重视质量舆论宣传，提高全民质量意识。</w:t>
      </w:r>
    </w:p>
    <w:p>
      <w:pPr>
        <w:widowControl/>
        <w:adjustRightInd w:val="0"/>
        <w:snapToGrid w:val="0"/>
        <w:spacing w:line="560" w:lineRule="exact"/>
        <w:ind w:firstLine="640" w:firstLineChars="200"/>
        <w:jc w:val="left"/>
        <w:rPr>
          <w:rFonts w:hint="default" w:ascii="仿宋_GB2312" w:hAnsi="仿宋" w:cs="仿宋"/>
          <w:color w:val="C00000"/>
          <w:kern w:val="0"/>
          <w:szCs w:val="32"/>
          <w:lang w:val="en-US" w:eastAsia="zh-CN"/>
        </w:rPr>
      </w:pPr>
      <w:r>
        <w:rPr>
          <w:rFonts w:hint="eastAsia" w:ascii="仿宋_GB2312" w:hAnsi="仿宋" w:cs="仿宋"/>
          <w:color w:val="C00000"/>
          <w:kern w:val="0"/>
          <w:szCs w:val="32"/>
          <w:lang w:val="en-US" w:eastAsia="zh-CN"/>
        </w:rPr>
        <w:t>第二、</w:t>
      </w:r>
      <w:r>
        <w:rPr>
          <w:rFonts w:hint="eastAsia" w:ascii="仿宋_GB2312" w:hAnsi="仿宋" w:cs="仿宋"/>
          <w:color w:val="C00000"/>
          <w:kern w:val="0"/>
          <w:szCs w:val="32"/>
        </w:rPr>
        <w:t>强化</w:t>
      </w:r>
      <w:r>
        <w:rPr>
          <w:rFonts w:hint="eastAsia" w:ascii="仿宋_GB2312" w:hAnsi="仿宋" w:cs="仿宋"/>
          <w:color w:val="C00000"/>
          <w:kern w:val="0"/>
          <w:szCs w:val="32"/>
          <w:lang w:val="en-US" w:eastAsia="zh-CN"/>
        </w:rPr>
        <w:t>工作落实，做好产品质量提升</w:t>
      </w:r>
    </w:p>
    <w:p>
      <w:pPr>
        <w:spacing w:line="560" w:lineRule="exact"/>
        <w:ind w:firstLine="640" w:firstLineChars="200"/>
        <w:rPr>
          <w:rFonts w:hint="eastAsia" w:ascii="宋体" w:hAnsi="宋体" w:eastAsia="仿宋_GB2312"/>
          <w:color w:val="000000"/>
          <w:sz w:val="32"/>
          <w:szCs w:val="32"/>
        </w:rPr>
      </w:pPr>
      <w:r>
        <w:rPr>
          <w:rFonts w:hint="eastAsia" w:ascii="宋体" w:hAnsi="宋体"/>
          <w:color w:val="000000"/>
          <w:sz w:val="32"/>
          <w:szCs w:val="32"/>
          <w:lang w:val="en-US" w:eastAsia="zh-CN"/>
        </w:rPr>
        <w:t>一是</w:t>
      </w:r>
      <w:r>
        <w:rPr>
          <w:rFonts w:ascii="宋体" w:hAnsi="宋体" w:eastAsia="仿宋_GB2312"/>
          <w:color w:val="000000"/>
          <w:sz w:val="32"/>
          <w:szCs w:val="32"/>
        </w:rPr>
        <w:t>主要农产品综合抽检合格率保持稳定</w:t>
      </w:r>
      <w:r>
        <w:rPr>
          <w:rFonts w:hint="eastAsia" w:ascii="宋体" w:hAnsi="宋体"/>
          <w:color w:val="000000"/>
          <w:sz w:val="32"/>
          <w:szCs w:val="32"/>
          <w:lang w:eastAsia="zh-CN"/>
        </w:rPr>
        <w:t>。</w:t>
      </w:r>
      <w:r>
        <w:rPr>
          <w:rFonts w:hint="eastAsia" w:ascii="宋体" w:hAnsi="宋体" w:eastAsia="仿宋_GB2312" w:cs="宋体"/>
          <w:color w:val="000000"/>
          <w:sz w:val="32"/>
          <w:szCs w:val="32"/>
        </w:rPr>
        <w:t>市级下达蔬菜农残检测任务为2500个，截止目前，已完成蔬菜样品共抽样2569个，合格率</w:t>
      </w:r>
      <w:r>
        <w:rPr>
          <w:rFonts w:ascii="宋体" w:hAnsi="宋体" w:eastAsia="仿宋_GB2312" w:cs="宋体"/>
          <w:color w:val="000000"/>
          <w:sz w:val="32"/>
          <w:szCs w:val="32"/>
        </w:rPr>
        <w:t>100%</w:t>
      </w:r>
      <w:r>
        <w:rPr>
          <w:rFonts w:hint="eastAsia" w:ascii="宋体" w:hAnsi="宋体" w:eastAsia="仿宋_GB2312" w:cs="宋体"/>
          <w:color w:val="000000"/>
          <w:sz w:val="32"/>
          <w:szCs w:val="32"/>
        </w:rPr>
        <w:t>；市级下达的畜产品瘦肉精检测任务是1360个，目前已全部完成，未发现“瘦肉精”阳性反应；水产品每个季度送检5批次，全年共完成送检20批次，未发现兽药超标，合格率100%。</w:t>
      </w:r>
      <w:r>
        <w:rPr>
          <w:rFonts w:hint="eastAsia" w:ascii="宋体" w:hAnsi="宋体" w:cs="宋体"/>
          <w:color w:val="000000"/>
          <w:sz w:val="32"/>
          <w:szCs w:val="32"/>
          <w:lang w:val="en-US" w:eastAsia="zh-CN"/>
        </w:rPr>
        <w:t>二是</w:t>
      </w:r>
      <w:r>
        <w:rPr>
          <w:rFonts w:hint="eastAsia" w:ascii="宋体" w:hAnsi="宋体" w:eastAsia="仿宋_GB2312"/>
          <w:color w:val="000000"/>
          <w:sz w:val="32"/>
          <w:szCs w:val="32"/>
        </w:rPr>
        <w:t>工程项目质量保持稳定</w:t>
      </w:r>
      <w:r>
        <w:rPr>
          <w:rFonts w:hint="eastAsia" w:ascii="宋体" w:hAnsi="宋体"/>
          <w:color w:val="000000"/>
          <w:sz w:val="32"/>
          <w:szCs w:val="32"/>
          <w:lang w:eastAsia="zh-CN"/>
        </w:rPr>
        <w:t>。</w:t>
      </w:r>
      <w:r>
        <w:rPr>
          <w:rFonts w:hint="eastAsia" w:ascii="宋体" w:hAnsi="宋体" w:eastAsia="仿宋_GB2312"/>
          <w:b/>
          <w:color w:val="000000"/>
          <w:sz w:val="32"/>
          <w:szCs w:val="32"/>
        </w:rPr>
        <w:t>建筑工程:</w:t>
      </w:r>
      <w:r>
        <w:rPr>
          <w:rFonts w:hint="eastAsia" w:ascii="宋体" w:hAnsi="宋体" w:eastAsia="仿宋_GB2312"/>
          <w:color w:val="000000"/>
          <w:sz w:val="32"/>
          <w:szCs w:val="32"/>
        </w:rPr>
        <w:t>截止至11月28日共有5个工程竣工验收：东川区再就业特区碧谷工业园区腾龙路一标段、碧龙路；昆明市东川区城市人居环境提升改造工程；东川区人民公园提升改造工程；东川区城市生态泄洪防灾工程；世纪铜城一期豪郡Ａ区；工程质量验收合格率达到100%。新开工报监督注册6个项目：昆明市公安消防支队东川区大队营房原址重建项目、云南省新闻出版广电局东川696台基础设施修缮改造项目、东川区妇幼保健计划生育服务中心建设项目、中国人民财产保险股份有限公司昆明市东川支公司新建营业用房项目、御山府、睿都小区一期三地块，新开工工程监督覆盖率达100%。</w:t>
      </w:r>
      <w:r>
        <w:rPr>
          <w:rFonts w:hint="eastAsia" w:ascii="宋体" w:hAnsi="宋体" w:eastAsia="仿宋_GB2312"/>
          <w:b/>
          <w:color w:val="000000"/>
          <w:sz w:val="32"/>
          <w:szCs w:val="32"/>
        </w:rPr>
        <w:t>交通工程：</w:t>
      </w:r>
      <w:r>
        <w:rPr>
          <w:rFonts w:hint="eastAsia" w:ascii="宋体" w:hAnsi="宋体" w:eastAsia="仿宋_GB2312"/>
          <w:color w:val="000000"/>
          <w:sz w:val="32"/>
          <w:szCs w:val="32"/>
        </w:rPr>
        <w:t>2019年新开工项目为2019年通村公路建设项目，该项目已完成施工招标，目前正在办理质量监督申请，质量监督通知书暂未下达，预计12月底下达； 2018年通村公路建设已基本完成，目前还未进行交工验收；大中型工程（如东倘二级公路，高速公路）竣工验收由昆明市交通工程质监局组织验收，区交运局不能提供相应竣工验收的报告、数据，且这两个工程暂未进行竣工验收。</w:t>
      </w:r>
      <w:r>
        <w:rPr>
          <w:rFonts w:hint="eastAsia" w:ascii="宋体" w:hAnsi="宋体" w:eastAsia="仿宋_GB2312"/>
          <w:b/>
          <w:color w:val="000000"/>
          <w:sz w:val="32"/>
          <w:szCs w:val="32"/>
        </w:rPr>
        <w:t>水利工程：</w:t>
      </w:r>
      <w:r>
        <w:rPr>
          <w:rFonts w:hint="eastAsia" w:ascii="宋体" w:hAnsi="宋体" w:eastAsia="仿宋_GB2312"/>
          <w:color w:val="000000"/>
          <w:sz w:val="32"/>
          <w:szCs w:val="32"/>
        </w:rPr>
        <w:t>截止2019年11月30日止，完成验收工作的项目有:集镇供水工程完成4件竣工，验收合格率均达100%，以上工程均属于2018年开工，2019年完工组织验收。</w:t>
      </w:r>
      <w:r>
        <w:rPr>
          <w:rFonts w:hint="eastAsia" w:ascii="宋体" w:hAnsi="宋体"/>
          <w:color w:val="000000"/>
          <w:sz w:val="32"/>
          <w:szCs w:val="32"/>
          <w:lang w:val="en-US" w:eastAsia="zh-CN"/>
        </w:rPr>
        <w:t>三是</w:t>
      </w:r>
      <w:r>
        <w:rPr>
          <w:rFonts w:hint="eastAsia" w:ascii="宋体" w:hAnsi="宋体" w:eastAsia="仿宋_GB2312"/>
          <w:color w:val="000000"/>
          <w:sz w:val="32"/>
          <w:szCs w:val="32"/>
        </w:rPr>
        <w:t>旅游市场秩序明显改善。积极组织旅游市场秩序整治成员单位，及时处置旅游投诉案件。截至目前，我区共接到</w:t>
      </w:r>
      <w:r>
        <w:rPr>
          <w:rFonts w:ascii="宋体" w:hAnsi="宋体" w:eastAsia="仿宋_GB2312"/>
          <w:color w:val="000000"/>
          <w:sz w:val="32"/>
          <w:szCs w:val="32"/>
        </w:rPr>
        <w:t>7</w:t>
      </w:r>
      <w:r>
        <w:rPr>
          <w:rFonts w:hint="eastAsia" w:ascii="宋体" w:hAnsi="宋体" w:eastAsia="仿宋_GB2312"/>
          <w:color w:val="000000"/>
          <w:sz w:val="32"/>
          <w:szCs w:val="32"/>
        </w:rPr>
        <w:t>起旅游投诉案件。红土地景区乱收费问题4起；天南铜都旅行社注销后还在继续营业；石将军景点有企业采矿，存在安全隐患；游客定错酒店退房费的问题；国庆期间格勒收费站堵车问题。区旅游市场监管综合调度指挥部指挥中心在接到投诉件后，第一时间联系相关部门，在办理期限内及时进行了处置，办结率达到100%。</w:t>
      </w:r>
      <w:r>
        <w:rPr>
          <w:rFonts w:hint="eastAsia" w:ascii="宋体" w:hAnsi="宋体"/>
          <w:color w:val="000000"/>
          <w:sz w:val="32"/>
          <w:szCs w:val="32"/>
          <w:lang w:val="en-US" w:eastAsia="zh-CN"/>
        </w:rPr>
        <w:t>四是</w:t>
      </w:r>
      <w:r>
        <w:rPr>
          <w:rFonts w:hint="eastAsia" w:ascii="宋体" w:hAnsi="宋体" w:eastAsia="仿宋_GB2312"/>
          <w:color w:val="000000"/>
          <w:sz w:val="32"/>
          <w:szCs w:val="32"/>
        </w:rPr>
        <w:t>组织实施“千家企业质量提升工程”</w:t>
      </w:r>
      <w:r>
        <w:rPr>
          <w:rFonts w:hint="eastAsia" w:ascii="宋体" w:hAnsi="宋体"/>
          <w:color w:val="000000"/>
          <w:sz w:val="32"/>
          <w:szCs w:val="32"/>
          <w:lang w:eastAsia="zh-CN"/>
        </w:rPr>
        <w:t>。</w:t>
      </w:r>
      <w:r>
        <w:rPr>
          <w:rFonts w:hint="eastAsia" w:ascii="宋体" w:hAnsi="宋体"/>
          <w:color w:val="000000"/>
          <w:sz w:val="32"/>
          <w:szCs w:val="32"/>
          <w:lang w:val="en-US" w:eastAsia="zh-CN"/>
        </w:rPr>
        <w:t>五是</w:t>
      </w:r>
      <w:r>
        <w:rPr>
          <w:rFonts w:hint="eastAsia" w:ascii="宋体" w:hAnsi="宋体" w:eastAsia="仿宋_GB2312"/>
          <w:color w:val="000000"/>
          <w:sz w:val="32"/>
          <w:szCs w:val="32"/>
        </w:rPr>
        <w:t>开展重点行业和重点产品质量提升行动</w:t>
      </w:r>
      <w:r>
        <w:rPr>
          <w:rFonts w:hint="eastAsia" w:ascii="宋体" w:hAnsi="宋体"/>
          <w:color w:val="000000"/>
          <w:sz w:val="32"/>
          <w:szCs w:val="32"/>
          <w:lang w:eastAsia="zh-CN"/>
        </w:rPr>
        <w:t>。</w:t>
      </w:r>
      <w:r>
        <w:rPr>
          <w:rFonts w:hint="eastAsia" w:ascii="宋体" w:hAnsi="宋体"/>
          <w:color w:val="000000"/>
          <w:sz w:val="32"/>
          <w:szCs w:val="32"/>
          <w:lang w:val="en-US" w:eastAsia="zh-CN"/>
        </w:rPr>
        <w:t>六是</w:t>
      </w:r>
      <w:r>
        <w:rPr>
          <w:rFonts w:hint="eastAsia" w:ascii="宋体" w:hAnsi="宋体" w:eastAsia="仿宋_GB2312"/>
          <w:color w:val="000000"/>
          <w:sz w:val="32"/>
          <w:szCs w:val="32"/>
        </w:rPr>
        <w:t>推进“三品一标”认证登记</w:t>
      </w:r>
      <w:r>
        <w:rPr>
          <w:rFonts w:hint="eastAsia" w:ascii="宋体" w:hAnsi="宋体"/>
          <w:color w:val="000000"/>
          <w:sz w:val="32"/>
          <w:szCs w:val="32"/>
          <w:lang w:eastAsia="zh-CN"/>
        </w:rPr>
        <w:t>。</w:t>
      </w:r>
      <w:r>
        <w:rPr>
          <w:rFonts w:hint="eastAsia" w:ascii="宋体" w:hAnsi="宋体"/>
          <w:color w:val="000000"/>
          <w:sz w:val="32"/>
          <w:szCs w:val="32"/>
          <w:lang w:val="en-US" w:eastAsia="zh-CN"/>
        </w:rPr>
        <w:t>七是</w:t>
      </w:r>
      <w:r>
        <w:rPr>
          <w:rFonts w:hint="eastAsia" w:ascii="宋体" w:hAnsi="宋体" w:eastAsia="仿宋_GB2312"/>
          <w:color w:val="000000"/>
          <w:sz w:val="32"/>
          <w:szCs w:val="32"/>
        </w:rPr>
        <w:t>强化农产品质量安全风险管理</w:t>
      </w:r>
      <w:r>
        <w:rPr>
          <w:rFonts w:hint="eastAsia" w:ascii="宋体" w:hAnsi="宋体"/>
          <w:color w:val="000000"/>
          <w:sz w:val="32"/>
          <w:szCs w:val="32"/>
          <w:lang w:eastAsia="zh-CN"/>
        </w:rPr>
        <w:t>。</w:t>
      </w:r>
      <w:r>
        <w:rPr>
          <w:rFonts w:hint="eastAsia" w:ascii="宋体" w:hAnsi="宋体"/>
          <w:color w:val="000000"/>
          <w:sz w:val="32"/>
          <w:szCs w:val="32"/>
          <w:lang w:val="en-US" w:eastAsia="zh-CN"/>
        </w:rPr>
        <w:t>八是</w:t>
      </w:r>
      <w:r>
        <w:rPr>
          <w:rFonts w:hint="eastAsia" w:ascii="宋体" w:hAnsi="宋体" w:eastAsia="仿宋_GB2312"/>
          <w:color w:val="000000"/>
          <w:sz w:val="32"/>
          <w:szCs w:val="32"/>
        </w:rPr>
        <w:t>建筑工程节能效率和工业化建造比重不断提高</w:t>
      </w:r>
      <w:r>
        <w:rPr>
          <w:rFonts w:hint="eastAsia" w:ascii="宋体" w:hAnsi="宋体"/>
          <w:color w:val="000000"/>
          <w:sz w:val="32"/>
          <w:szCs w:val="32"/>
          <w:lang w:eastAsia="zh-CN"/>
        </w:rPr>
        <w:t>。</w:t>
      </w:r>
      <w:r>
        <w:rPr>
          <w:rFonts w:hint="eastAsia" w:ascii="宋体" w:hAnsi="宋体"/>
          <w:color w:val="000000"/>
          <w:sz w:val="32"/>
          <w:szCs w:val="32"/>
          <w:lang w:val="en-US" w:eastAsia="zh-CN"/>
        </w:rPr>
        <w:t>九是</w:t>
      </w:r>
      <w:r>
        <w:rPr>
          <w:rFonts w:hint="eastAsia" w:ascii="宋体" w:hAnsi="宋体" w:eastAsia="仿宋_GB2312"/>
          <w:color w:val="000000"/>
          <w:sz w:val="32"/>
          <w:szCs w:val="32"/>
        </w:rPr>
        <w:t>建立健全工程质量责任体系</w:t>
      </w:r>
      <w:r>
        <w:rPr>
          <w:rFonts w:hint="eastAsia" w:ascii="宋体" w:hAnsi="宋体"/>
          <w:color w:val="000000"/>
          <w:sz w:val="32"/>
          <w:szCs w:val="32"/>
          <w:lang w:eastAsia="zh-CN"/>
        </w:rPr>
        <w:t>。</w:t>
      </w:r>
      <w:r>
        <w:rPr>
          <w:rFonts w:hint="eastAsia" w:ascii="宋体" w:hAnsi="宋体"/>
          <w:color w:val="000000"/>
          <w:sz w:val="32"/>
          <w:szCs w:val="32"/>
          <w:lang w:val="en-US" w:eastAsia="zh-CN"/>
        </w:rPr>
        <w:t>十是</w:t>
      </w:r>
      <w:r>
        <w:rPr>
          <w:rFonts w:hint="eastAsia" w:ascii="宋体" w:hAnsi="宋体" w:eastAsia="仿宋_GB2312"/>
          <w:color w:val="000000"/>
          <w:sz w:val="32"/>
          <w:szCs w:val="32"/>
        </w:rPr>
        <w:t>政府大力发展家政服务业，积极开展试点建立家政服务诚信体系</w:t>
      </w:r>
      <w:r>
        <w:rPr>
          <w:rFonts w:hint="eastAsia" w:ascii="宋体" w:hAnsi="宋体"/>
          <w:color w:val="000000"/>
          <w:sz w:val="32"/>
          <w:szCs w:val="32"/>
          <w:lang w:eastAsia="zh-CN"/>
        </w:rPr>
        <w:t>。</w:t>
      </w:r>
      <w:r>
        <w:rPr>
          <w:rFonts w:hint="eastAsia" w:ascii="宋体" w:hAnsi="宋体"/>
          <w:color w:val="000000"/>
          <w:sz w:val="32"/>
          <w:szCs w:val="32"/>
          <w:lang w:val="en-US" w:eastAsia="zh-CN"/>
        </w:rPr>
        <w:t>十一</w:t>
      </w:r>
      <w:r>
        <w:rPr>
          <w:rFonts w:hint="eastAsia" w:ascii="宋体" w:hAnsi="宋体" w:eastAsia="仿宋_GB2312"/>
          <w:color w:val="000000"/>
          <w:sz w:val="32"/>
          <w:szCs w:val="32"/>
        </w:rPr>
        <w:t>工业产品、消费品、农产品、工程质量、旅游市场等领域质量监管工作成效明显。</w:t>
      </w:r>
      <w:r>
        <w:rPr>
          <w:rFonts w:hint="eastAsia" w:ascii="宋体" w:hAnsi="宋体"/>
          <w:color w:val="000000"/>
          <w:sz w:val="32"/>
          <w:szCs w:val="32"/>
          <w:lang w:val="en-US" w:eastAsia="zh-CN"/>
        </w:rPr>
        <w:t>十二</w:t>
      </w:r>
      <w:r>
        <w:rPr>
          <w:rFonts w:hint="eastAsia" w:ascii="宋体" w:hAnsi="宋体" w:eastAsia="仿宋_GB2312"/>
          <w:color w:val="000000"/>
          <w:sz w:val="32"/>
          <w:szCs w:val="32"/>
        </w:rPr>
        <w:t>提升特种设备安全监管和隐患排查整治工作水平。</w:t>
      </w:r>
    </w:p>
    <w:p>
      <w:pPr>
        <w:widowControl/>
        <w:adjustRightInd w:val="0"/>
        <w:snapToGrid w:val="0"/>
        <w:spacing w:line="560" w:lineRule="exact"/>
        <w:ind w:firstLine="640" w:firstLineChars="200"/>
        <w:jc w:val="left"/>
        <w:rPr>
          <w:rFonts w:hint="eastAsia" w:ascii="仿宋_GB2312" w:hAnsi="仿宋" w:cs="仿宋"/>
          <w:kern w:val="0"/>
          <w:szCs w:val="32"/>
          <w:lang w:val="en-US" w:eastAsia="zh-CN"/>
        </w:rPr>
      </w:pPr>
      <w:r>
        <w:rPr>
          <w:rFonts w:hint="eastAsia" w:ascii="仿宋_GB2312" w:hAnsi="仿宋" w:cs="仿宋"/>
          <w:kern w:val="0"/>
          <w:szCs w:val="32"/>
          <w:lang w:val="en-US" w:eastAsia="zh-CN"/>
        </w:rPr>
        <w:t>第三、完善基础工作</w:t>
      </w:r>
      <w:r>
        <w:rPr>
          <w:rFonts w:hint="eastAsia" w:ascii="仿宋_GB2312" w:hAnsi="仿宋" w:cs="仿宋"/>
          <w:kern w:val="0"/>
          <w:szCs w:val="32"/>
        </w:rPr>
        <w:t>，</w:t>
      </w:r>
      <w:r>
        <w:rPr>
          <w:rFonts w:hint="eastAsia" w:ascii="仿宋_GB2312" w:hAnsi="仿宋" w:cs="仿宋"/>
          <w:kern w:val="0"/>
          <w:szCs w:val="32"/>
          <w:lang w:val="en-US" w:eastAsia="zh-CN"/>
        </w:rPr>
        <w:t>做好质量基础建设</w:t>
      </w:r>
    </w:p>
    <w:p>
      <w:pPr>
        <w:spacing w:line="560" w:lineRule="exact"/>
        <w:ind w:firstLine="640" w:firstLineChars="200"/>
        <w:rPr>
          <w:rFonts w:hint="eastAsia" w:ascii="宋体" w:hAnsi="宋体" w:eastAsia="仿宋_GB2312"/>
          <w:color w:val="000000"/>
          <w:sz w:val="32"/>
          <w:szCs w:val="32"/>
        </w:rPr>
      </w:pPr>
      <w:r>
        <w:rPr>
          <w:rFonts w:hint="eastAsia" w:ascii="宋体" w:hAnsi="宋体" w:eastAsia="仿宋_GB2312"/>
          <w:color w:val="000000"/>
          <w:sz w:val="32"/>
          <w:szCs w:val="32"/>
        </w:rPr>
        <w:t>建立标准化工作协调推进机制，成立了东川区推进和实施标准化战略领导小组（东政办发〔2016〕227号），拟定《昆明市东川区标准化发展战略成员单位职责》报区政府，制定了东川区2019年标准化工作的工作计划和工作要点，积极筹备联席会议的召开, 继续开展标准化监督检查，督促企业严格执行相关标准，在东川区域内基本消灭了无标生产，积极开展标准化宣传活动。</w:t>
      </w:r>
    </w:p>
    <w:p>
      <w:pPr>
        <w:ind w:firstLine="640" w:firstLineChars="200"/>
        <w:rPr>
          <w:rFonts w:hint="eastAsia" w:ascii="宋体" w:hAnsi="宋体" w:eastAsia="仿宋_GB2312"/>
          <w:color w:val="000000"/>
          <w:sz w:val="32"/>
          <w:szCs w:val="32"/>
        </w:rPr>
      </w:pPr>
      <w:r>
        <w:rPr>
          <w:rFonts w:hint="eastAsia" w:ascii="宋体" w:hAnsi="宋体" w:eastAsia="仿宋_GB2312"/>
          <w:color w:val="000000"/>
          <w:sz w:val="32"/>
          <w:szCs w:val="32"/>
        </w:rPr>
        <w:t>继续开展企业标准自我声明公开试点工作，督促14家企业64个产品标准进行公开；开展公开标准专项检查1次，对格式不符等情况告知企业整改落实。开展检验检测机构、各类生产企业等行业标准专项检查3次，加强对企业标准的日常监督检查，督促企业严格执行相关标准，所有企业均按照标准生产，基本消灭了无标生产。</w:t>
      </w:r>
    </w:p>
    <w:p>
      <w:pPr>
        <w:widowControl/>
        <w:adjustRightInd w:val="0"/>
        <w:snapToGrid w:val="0"/>
        <w:spacing w:line="560" w:lineRule="exact"/>
        <w:ind w:firstLine="640" w:firstLineChars="200"/>
        <w:jc w:val="left"/>
        <w:rPr>
          <w:rFonts w:hint="eastAsia" w:ascii="仿宋_GB2312" w:hAnsi="仿宋" w:cs="仿宋"/>
          <w:kern w:val="0"/>
          <w:szCs w:val="32"/>
          <w:lang w:val="en-US" w:eastAsia="zh-CN"/>
        </w:rPr>
      </w:pPr>
      <w:r>
        <w:rPr>
          <w:rFonts w:hint="eastAsia" w:ascii="宋体" w:hAnsi="宋体" w:eastAsia="仿宋_GB2312"/>
          <w:color w:val="000000"/>
          <w:sz w:val="32"/>
          <w:szCs w:val="32"/>
        </w:rPr>
        <w:t>指导帮助企业加强计量基础建设，推动中小企业开展计量检测保证体系合格确认工作，开展计量诚信体系建设，民生计量专项行动，分行业、分步骤开展强制检定工作，确保强检计量器具100%建立台账，受检率达100%。</w:t>
      </w:r>
    </w:p>
    <w:p>
      <w:pPr>
        <w:pStyle w:val="11"/>
        <w:widowControl/>
        <w:wordWrap w:val="0"/>
        <w:spacing w:line="580" w:lineRule="atLeast"/>
        <w:ind w:firstLine="640"/>
        <w:jc w:val="left"/>
        <w:rPr>
          <w:rFonts w:ascii="宋体" w:hAnsi="宋体" w:eastAsia="仿宋_GB2312"/>
          <w:color w:val="000000"/>
          <w:sz w:val="32"/>
          <w:szCs w:val="32"/>
        </w:rPr>
      </w:pPr>
      <w:r>
        <w:rPr>
          <w:rFonts w:ascii="宋体" w:hAnsi="宋体" w:eastAsia="仿宋_GB2312"/>
          <w:color w:val="000000"/>
          <w:sz w:val="32"/>
          <w:szCs w:val="32"/>
        </w:rPr>
        <w:t>加强质量认证体系建设，促进全面质量管理，落实检验检测服务业统计制度，督促7家检验检测机构开展统计调查和自检自查，上报统计数据、监督检查自查表和年度报告，统计数据填报率达100%。开展检验检测机构专项监督检查，检查覆盖率达100%，并督促机构进行体系更新。开展“认证乱象”专项整治行动，检查现场认证活动11次，并将监管信息录入认证认可业务综合平台。</w:t>
      </w:r>
    </w:p>
    <w:p>
      <w:pPr>
        <w:widowControl/>
        <w:adjustRightInd w:val="0"/>
        <w:snapToGrid w:val="0"/>
        <w:spacing w:line="560" w:lineRule="exact"/>
        <w:ind w:firstLine="640" w:firstLineChars="200"/>
        <w:jc w:val="left"/>
        <w:rPr>
          <w:rFonts w:hint="default" w:ascii="仿宋_GB2312" w:hAnsi="仿宋" w:eastAsia="仿宋_GB2312" w:cs="仿宋"/>
          <w:kern w:val="0"/>
          <w:szCs w:val="32"/>
          <w:lang w:val="en-US" w:eastAsia="zh-CN"/>
        </w:rPr>
      </w:pPr>
      <w:r>
        <w:rPr>
          <w:rFonts w:hint="eastAsia" w:ascii="仿宋_GB2312" w:hAnsi="仿宋" w:cs="仿宋"/>
          <w:kern w:val="0"/>
          <w:szCs w:val="32"/>
          <w:lang w:val="en-US" w:eastAsia="zh-CN"/>
        </w:rPr>
        <w:t>第四、广泛开展动员，做好创建示范工作</w:t>
      </w:r>
    </w:p>
    <w:p>
      <w:pPr>
        <w:spacing w:line="560" w:lineRule="exact"/>
        <w:ind w:firstLine="640" w:firstLineChars="200"/>
        <w:rPr>
          <w:rFonts w:hint="eastAsia" w:ascii="宋体" w:hAnsi="宋体" w:eastAsia="仿宋_GB2312"/>
          <w:color w:val="000000"/>
          <w:sz w:val="32"/>
          <w:szCs w:val="32"/>
        </w:rPr>
      </w:pPr>
      <w:r>
        <w:rPr>
          <w:rFonts w:hint="eastAsia" w:ascii="宋体" w:hAnsi="宋体" w:eastAsia="仿宋_GB2312"/>
          <w:color w:val="000000"/>
          <w:sz w:val="32"/>
          <w:szCs w:val="32"/>
        </w:rPr>
        <w:t xml:space="preserve">推荐东川三小创建科普教育示范学校，现已获评“2019年昆明市科普教育示范学校”。 </w:t>
      </w:r>
    </w:p>
    <w:p>
      <w:pPr>
        <w:spacing w:line="560" w:lineRule="exact"/>
        <w:ind w:firstLine="640" w:firstLineChars="200"/>
        <w:rPr>
          <w:rFonts w:hint="eastAsia" w:ascii="宋体" w:hAnsi="宋体" w:eastAsia="仿宋_GB2312"/>
          <w:color w:val="000000"/>
          <w:sz w:val="32"/>
          <w:szCs w:val="32"/>
        </w:rPr>
      </w:pPr>
      <w:r>
        <w:rPr>
          <w:rFonts w:hint="eastAsia" w:ascii="宋体" w:hAnsi="宋体" w:eastAsia="仿宋_GB2312"/>
          <w:color w:val="000000"/>
          <w:sz w:val="32"/>
          <w:szCs w:val="32"/>
        </w:rPr>
        <w:t>积极向上争取扶持，为阿旺镇争取到云南省第一批“科普小镇”项目。“科普小镇”计划是云南省财政厅、云南省科协深入贯彻落实党的十九大精神，助力实施乡村振兴战略，加快美丽特色小（城）镇建设，着力提升公民科学素质的一项重要创新举措。云南省2019年“科普小镇”实施数量为64个，每个实施点投入50万元。</w:t>
      </w:r>
    </w:p>
    <w:p>
      <w:pPr>
        <w:spacing w:line="560" w:lineRule="exact"/>
        <w:ind w:firstLine="640" w:firstLineChars="200"/>
        <w:rPr>
          <w:rFonts w:hint="eastAsia" w:ascii="宋体" w:hAnsi="宋体" w:eastAsia="仿宋_GB2312"/>
          <w:color w:val="000000"/>
          <w:sz w:val="32"/>
          <w:szCs w:val="32"/>
        </w:rPr>
      </w:pPr>
      <w:r>
        <w:rPr>
          <w:rFonts w:hint="eastAsia" w:ascii="宋体" w:hAnsi="宋体" w:eastAsia="仿宋_GB2312"/>
          <w:color w:val="000000"/>
          <w:sz w:val="32"/>
          <w:szCs w:val="32"/>
        </w:rPr>
        <w:t>新增国家级质量激励项目：2016年我区积极向省、市申报了全国电子商务进农村综合示范县的建设工作， 2017年8月获得商务部批准，2017年9月收到省、市下达的昆明市东川区2017年电子商务进农村示范县建设项目中央补助资金1400万元。该项目于2018年6月4日开标，由杭州闻远科技有限公司中标，2018年7月11日签订建设合同，合同期限为3年，截止2019年11月，公司已按商务部要求及标准完成了2018-2019年的建设任务，通过国家、省、市相关部门的验收，并得到省、市相关部门肯定。</w:t>
      </w:r>
    </w:p>
    <w:p>
      <w:pPr>
        <w:rPr>
          <w:rFonts w:hint="eastAsia" w:ascii="仿宋_GB2312" w:hAnsi="仿宋" w:cs="仿宋"/>
          <w:kern w:val="0"/>
          <w:szCs w:val="32"/>
          <w:lang w:val="en-US" w:eastAsia="zh-CN"/>
        </w:rPr>
      </w:pPr>
      <w:r>
        <w:rPr>
          <w:rFonts w:hint="eastAsia" w:ascii="宋体" w:hAnsi="宋体" w:eastAsia="仿宋_GB2312" w:cs="Calibri"/>
          <w:color w:val="000000"/>
          <w:sz w:val="32"/>
          <w:szCs w:val="32"/>
        </w:rPr>
        <w:t xml:space="preserve">    我区是一个以铜矿采选冶为一体的工业地区,充分有效利用现有矿产资源，加大资源保护力度加强环境整治是经济发展中必须加以解决的重要课题。工科信局参与了东川区工业资源综合利用基地项目建设的报告编制工作，已按要求和程序完成各项基础工作，项目已由云南省相关部门和昆明市审验通过，并按规定报请国家发改委和工信部最终审核批准。此项目的批准落地实施，将大幅度提高我区工业资源的综合利用率，开辟更为广阔的经济发展前景，同时，再造一个空气清新、景色优美的生产生活环境，提高广大人民群众获得感、幸福感、安全感和满意度。</w:t>
      </w:r>
    </w:p>
    <w:p>
      <w:pPr>
        <w:topLinePunct/>
        <w:adjustRightInd w:val="0"/>
        <w:snapToGrid w:val="0"/>
        <w:spacing w:line="560" w:lineRule="exact"/>
        <w:ind w:firstLine="640" w:firstLineChars="200"/>
        <w:rPr>
          <w:rFonts w:hint="eastAsia" w:ascii="仿宋_GB2312" w:hAnsi="仿宋" w:cs="仿宋"/>
          <w:kern w:val="0"/>
          <w:szCs w:val="32"/>
          <w:lang w:val="en-US" w:eastAsia="zh-CN"/>
        </w:rPr>
      </w:pPr>
      <w:r>
        <w:rPr>
          <w:rFonts w:hint="eastAsia" w:ascii="仿宋_GB2312" w:hAnsi="仿宋" w:cs="仿宋"/>
          <w:kern w:val="0"/>
          <w:szCs w:val="32"/>
          <w:lang w:val="en-US" w:eastAsia="zh-CN"/>
        </w:rPr>
        <w:t>第五、结合工作实际，创新个性指标体系</w:t>
      </w:r>
    </w:p>
    <w:p>
      <w:pPr>
        <w:spacing w:line="560" w:lineRule="exact"/>
        <w:ind w:firstLine="640" w:firstLineChars="200"/>
        <w:rPr>
          <w:rFonts w:hint="eastAsia" w:ascii="宋体" w:hAnsi="宋体" w:eastAsia="仿宋_GB2312"/>
          <w:color w:val="000000"/>
          <w:sz w:val="32"/>
          <w:szCs w:val="32"/>
        </w:rPr>
      </w:pPr>
      <w:r>
        <w:rPr>
          <w:rFonts w:hint="eastAsia" w:ascii="仿宋_GB2312" w:hAnsi="仿宋" w:cs="仿宋"/>
          <w:kern w:val="0"/>
          <w:szCs w:val="32"/>
          <w:lang w:val="en-US" w:eastAsia="zh-CN"/>
        </w:rPr>
        <w:t>通用机场建设：</w:t>
      </w:r>
      <w:r>
        <w:rPr>
          <w:rFonts w:ascii="宋体" w:hAnsi="宋体" w:eastAsia="仿宋_GB2312"/>
          <w:color w:val="000000"/>
          <w:sz w:val="32"/>
          <w:szCs w:val="32"/>
        </w:rPr>
        <w:t>2019</w:t>
      </w:r>
      <w:r>
        <w:rPr>
          <w:rFonts w:hint="eastAsia" w:ascii="宋体" w:hAnsi="宋体" w:eastAsia="仿宋_GB2312"/>
          <w:color w:val="000000"/>
          <w:sz w:val="32"/>
          <w:szCs w:val="32"/>
        </w:rPr>
        <w:t>已经完成项目：</w:t>
      </w:r>
      <w:r>
        <w:rPr>
          <w:rFonts w:ascii="宋体" w:hAnsi="宋体" w:eastAsia="仿宋_GB2312"/>
          <w:color w:val="000000"/>
          <w:sz w:val="32"/>
          <w:szCs w:val="32"/>
        </w:rPr>
        <w:t>1:500</w:t>
      </w:r>
      <w:r>
        <w:rPr>
          <w:rFonts w:hint="eastAsia" w:ascii="宋体" w:hAnsi="宋体" w:eastAsia="仿宋_GB2312"/>
          <w:color w:val="000000"/>
          <w:sz w:val="32"/>
          <w:szCs w:val="32"/>
        </w:rPr>
        <w:t>地形图、地质灾害影响评价报告、机场断层影响活动评价报告、机场建设林地征占报件报告、机场建设节地评价及用地预审报告、机场初勘东川区通用机场净临空保护区测量报告、机场净临空保护区测量报告及进场道路设计、地质初步勘查、矿产压覆、文物压覆、社会维稳、节能审查等招投标和报告编制和审批工作。现正在进行工作：空域核准已由云南省政府上报南部战区空军参谋部审批，预计2020年年中完成审批，待审批完成后才能进行机场选址审批和启动下一步的初步设计工作。</w:t>
      </w:r>
    </w:p>
    <w:p>
      <w:pPr>
        <w:spacing w:line="560" w:lineRule="exact"/>
        <w:ind w:firstLine="640" w:firstLineChars="200"/>
        <w:rPr>
          <w:rFonts w:hint="eastAsia" w:ascii="宋体" w:hAnsi="宋体" w:eastAsia="仿宋_GB2312"/>
          <w:color w:val="000000"/>
          <w:sz w:val="32"/>
          <w:szCs w:val="32"/>
        </w:rPr>
      </w:pPr>
      <w:r>
        <w:rPr>
          <w:rFonts w:hint="eastAsia" w:ascii="仿宋_GB2312" w:hAnsi="仿宋" w:cs="仿宋"/>
          <w:kern w:val="0"/>
          <w:szCs w:val="32"/>
          <w:lang w:val="en-US" w:eastAsia="zh-CN"/>
        </w:rPr>
        <w:t>工程质量指标全面达到国家强制性标准：</w:t>
      </w:r>
      <w:r>
        <w:rPr>
          <w:rFonts w:hint="eastAsia" w:ascii="宋体" w:hAnsi="宋体" w:eastAsia="仿宋_GB2312"/>
          <w:color w:val="000000"/>
          <w:sz w:val="32"/>
          <w:szCs w:val="32"/>
        </w:rPr>
        <w:t>已按计划要求对在建项目：2018年通村公路，已完成了1次综合督查，3次专项督查，在督查项目中未发现不合格项目，督查项目合格率为100%，质量状况良好。</w:t>
      </w:r>
    </w:p>
    <w:p>
      <w:pPr>
        <w:spacing w:line="560" w:lineRule="exact"/>
        <w:ind w:firstLine="640" w:firstLineChars="200"/>
        <w:rPr>
          <w:rFonts w:hint="eastAsia" w:ascii="仿宋_GB2312" w:hAnsi="仿宋" w:cs="仿宋"/>
          <w:kern w:val="0"/>
          <w:szCs w:val="32"/>
          <w:lang w:val="en-US" w:eastAsia="zh-CN"/>
        </w:rPr>
      </w:pPr>
      <w:r>
        <w:rPr>
          <w:rFonts w:hint="eastAsia" w:ascii="仿宋_GB2312" w:hAnsi="仿宋" w:cs="仿宋"/>
          <w:kern w:val="0"/>
          <w:szCs w:val="32"/>
          <w:lang w:val="en-US" w:eastAsia="zh-CN"/>
        </w:rPr>
        <w:t>特色经济林果提质增效：</w:t>
      </w:r>
      <w:r>
        <w:rPr>
          <w:rFonts w:hint="eastAsia" w:ascii="宋体" w:hAnsi="宋体" w:eastAsia="仿宋_GB2312"/>
          <w:color w:val="000000"/>
          <w:sz w:val="32"/>
          <w:szCs w:val="32"/>
        </w:rPr>
        <w:t>根据《昆明市东川区林业和草原局关于下达2019年林业生态建设项目计划任务的通知》（东林发〔2019〕117号）要求，于2019年4月圆满完成了2019年特色经理林果建设核桃提质增效12000亩任务，其中铜都街道1800亩、阿旺镇2014亩、乌龙镇5376亩、拖布卡镇1710亩、汤丹镇100亩、红土地镇1000亩。</w:t>
      </w:r>
    </w:p>
    <w:p>
      <w:pPr>
        <w:topLinePunct/>
        <w:adjustRightInd w:val="0"/>
        <w:snapToGrid w:val="0"/>
        <w:spacing w:line="560" w:lineRule="exact"/>
        <w:ind w:firstLine="640" w:firstLineChars="200"/>
        <w:rPr>
          <w:rFonts w:hint="eastAsia" w:ascii="仿宋_GB2312" w:hAnsi="仿宋" w:cs="仿宋"/>
          <w:kern w:val="0"/>
          <w:szCs w:val="32"/>
          <w:lang w:val="en-US" w:eastAsia="zh-CN"/>
        </w:rPr>
      </w:pPr>
      <w:r>
        <w:rPr>
          <w:rFonts w:hint="eastAsia" w:ascii="仿宋_GB2312" w:hAnsi="仿宋" w:cs="仿宋"/>
          <w:kern w:val="0"/>
          <w:szCs w:val="32"/>
          <w:lang w:val="en-US" w:eastAsia="zh-CN"/>
        </w:rPr>
        <w:t>着力提升就业创业质量：</w:t>
      </w:r>
      <w:r>
        <w:rPr>
          <w:rFonts w:hint="eastAsia" w:ascii="宋体" w:hAnsi="宋体" w:eastAsia="仿宋_GB2312" w:cs="楷体_GB2312"/>
          <w:color w:val="000000"/>
          <w:sz w:val="32"/>
          <w:szCs w:val="32"/>
        </w:rPr>
        <w:t>加强宣传引导，提高政策知晓度。搭建服务平台，多渠道促进就业。创业贷款扶持，发挥创业带动就业功效。实施就业援助，解决就业困难人员就业。加大创业扶持，促进高校毕业生就业创业。</w:t>
      </w:r>
    </w:p>
    <w:p>
      <w:pPr>
        <w:ind w:firstLine="640" w:firstLineChars="200"/>
        <w:jc w:val="left"/>
        <w:rPr>
          <w:rFonts w:hint="eastAsia" w:ascii="宋体" w:hAnsi="宋体" w:eastAsia="仿宋_GB2312"/>
          <w:color w:val="000000"/>
          <w:sz w:val="32"/>
          <w:szCs w:val="32"/>
        </w:rPr>
      </w:pPr>
      <w:r>
        <w:rPr>
          <w:rFonts w:hint="eastAsia" w:ascii="仿宋_GB2312" w:hAnsi="仿宋" w:cs="仿宋"/>
          <w:kern w:val="0"/>
          <w:szCs w:val="32"/>
          <w:lang w:val="en-US" w:eastAsia="zh-CN"/>
        </w:rPr>
        <w:t>脱贫攻坚紧缺医学类人才引进：</w:t>
      </w:r>
      <w:r>
        <w:rPr>
          <w:rFonts w:hint="eastAsia" w:ascii="宋体" w:hAnsi="宋体" w:eastAsia="仿宋_GB2312"/>
          <w:color w:val="000000"/>
          <w:sz w:val="32"/>
          <w:szCs w:val="32"/>
        </w:rPr>
        <w:t>制定了人才引进实施方案，计划引进4</w:t>
      </w:r>
      <w:r>
        <w:rPr>
          <w:rFonts w:ascii="宋体" w:hAnsi="宋体" w:eastAsia="仿宋_GB2312"/>
          <w:color w:val="000000"/>
          <w:sz w:val="32"/>
          <w:szCs w:val="32"/>
        </w:rPr>
        <w:t>1</w:t>
      </w:r>
      <w:r>
        <w:rPr>
          <w:rFonts w:hint="eastAsia" w:ascii="宋体" w:hAnsi="宋体" w:eastAsia="仿宋_GB2312"/>
          <w:color w:val="000000"/>
          <w:sz w:val="32"/>
          <w:szCs w:val="32"/>
        </w:rPr>
        <w:t>名医学相关专业全日制本科及以上学历应届毕业生、</w:t>
      </w:r>
      <w:r>
        <w:rPr>
          <w:rFonts w:ascii="宋体" w:hAnsi="宋体" w:eastAsia="仿宋_GB2312"/>
          <w:color w:val="000000"/>
          <w:sz w:val="32"/>
          <w:szCs w:val="32"/>
        </w:rPr>
        <w:t>10</w:t>
      </w:r>
      <w:r>
        <w:rPr>
          <w:rFonts w:hint="eastAsia" w:ascii="宋体" w:hAnsi="宋体" w:eastAsia="仿宋_GB2312"/>
          <w:color w:val="000000"/>
          <w:sz w:val="32"/>
          <w:szCs w:val="32"/>
        </w:rPr>
        <w:t>名全日制本科及以上学历并取得执业医师资格证的临床医生</w:t>
      </w:r>
      <w:r>
        <w:rPr>
          <w:rFonts w:hint="eastAsia" w:ascii="宋体" w:hAnsi="宋体"/>
          <w:color w:val="000000"/>
          <w:sz w:val="32"/>
          <w:szCs w:val="32"/>
          <w:lang w:eastAsia="zh-CN"/>
        </w:rPr>
        <w:t>。</w:t>
      </w:r>
      <w:r>
        <w:rPr>
          <w:rFonts w:hint="eastAsia" w:ascii="宋体" w:hAnsi="宋体" w:eastAsia="仿宋_GB2312"/>
          <w:color w:val="000000"/>
          <w:sz w:val="32"/>
          <w:szCs w:val="32"/>
        </w:rPr>
        <w:t>截止11月18日，最终确定20人进入试用程序，试用期满，签订用人合同。</w:t>
      </w:r>
    </w:p>
    <w:p>
      <w:pPr>
        <w:topLinePunct/>
        <w:adjustRightInd w:val="0"/>
        <w:snapToGrid w:val="0"/>
        <w:spacing w:line="560" w:lineRule="exact"/>
        <w:ind w:firstLine="640" w:firstLineChars="200"/>
        <w:rPr>
          <w:rFonts w:hint="eastAsia" w:ascii="仿宋_GB2312" w:hAnsi="仿宋" w:cs="仿宋"/>
          <w:kern w:val="0"/>
          <w:szCs w:val="32"/>
          <w:lang w:val="en-US" w:eastAsia="zh-CN"/>
        </w:rPr>
      </w:pPr>
      <w:r>
        <w:rPr>
          <w:rFonts w:hint="eastAsia" w:ascii="仿宋_GB2312" w:hAnsi="仿宋" w:eastAsia="仿宋_GB2312" w:cs="仿宋"/>
          <w:kern w:val="0"/>
          <w:szCs w:val="32"/>
          <w:lang w:val="en-US" w:eastAsia="zh-CN"/>
        </w:rPr>
        <w:t>乡村医生服务能力提升培训项目</w:t>
      </w:r>
      <w:r>
        <w:rPr>
          <w:rFonts w:hint="eastAsia" w:ascii="仿宋_GB2312" w:hAnsi="仿宋" w:cs="仿宋"/>
          <w:kern w:val="0"/>
          <w:szCs w:val="32"/>
          <w:lang w:val="en-US" w:eastAsia="zh-CN"/>
        </w:rPr>
        <w:t>：</w:t>
      </w:r>
      <w:r>
        <w:rPr>
          <w:rFonts w:hint="eastAsia" w:ascii="宋体" w:hAnsi="宋体" w:eastAsia="仿宋_GB2312" w:cs="仿宋_GB2312"/>
          <w:color w:val="000000"/>
          <w:sz w:val="32"/>
          <w:szCs w:val="32"/>
          <w:lang w:bidi="ar"/>
        </w:rPr>
        <w:t>2019年</w:t>
      </w:r>
      <w:r>
        <w:rPr>
          <w:rFonts w:hint="eastAsia" w:ascii="宋体" w:hAnsi="宋体" w:eastAsia="仿宋_GB2312" w:cs="仿宋_GB2312"/>
          <w:color w:val="000000"/>
          <w:sz w:val="32"/>
          <w:szCs w:val="32"/>
        </w:rPr>
        <w:t>3月18日至4月4日，</w:t>
      </w:r>
      <w:r>
        <w:rPr>
          <w:rFonts w:hint="eastAsia" w:ascii="宋体" w:hAnsi="宋体" w:eastAsia="仿宋_GB2312" w:cs="仿宋_GB2312"/>
          <w:color w:val="000000"/>
          <w:sz w:val="32"/>
          <w:szCs w:val="32"/>
          <w:lang w:bidi="ar"/>
        </w:rPr>
        <w:t>分三期对8个乡镇（街道）148个卫生室348名乡村医生开展基本医疗、基本公共卫生服务项目及中医药服务等培训，</w:t>
      </w:r>
      <w:r>
        <w:rPr>
          <w:rFonts w:hint="eastAsia" w:ascii="宋体" w:hAnsi="宋体" w:eastAsia="仿宋_GB2312" w:cs="仿宋_GB2312"/>
          <w:color w:val="000000"/>
          <w:sz w:val="32"/>
          <w:szCs w:val="32"/>
        </w:rPr>
        <w:t>培训采用集中讲座、实际操作、现场观摩学习等的方式进行，</w:t>
      </w:r>
      <w:r>
        <w:rPr>
          <w:rFonts w:hint="eastAsia" w:ascii="宋体" w:hAnsi="宋体" w:eastAsia="仿宋_GB2312" w:cs="仿宋_GB2312"/>
          <w:color w:val="000000"/>
          <w:sz w:val="32"/>
          <w:szCs w:val="32"/>
          <w:lang w:bidi="ar"/>
        </w:rPr>
        <w:t>实现乡村医生培训全覆盖。</w:t>
      </w:r>
    </w:p>
    <w:p>
      <w:pPr>
        <w:widowControl/>
        <w:numPr>
          <w:ilvl w:val="0"/>
          <w:numId w:val="2"/>
        </w:numPr>
        <w:spacing w:line="560" w:lineRule="exact"/>
        <w:ind w:left="0" w:leftChars="0" w:firstLine="640" w:firstLineChars="200"/>
        <w:jc w:val="left"/>
        <w:rPr>
          <w:rFonts w:ascii="楷体" w:hAnsi="楷体" w:eastAsia="楷体"/>
          <w:szCs w:val="32"/>
        </w:rPr>
      </w:pPr>
      <w:r>
        <w:rPr>
          <w:rFonts w:hint="eastAsia" w:ascii="仿宋_GB2312" w:hAnsi="楷体"/>
          <w:szCs w:val="32"/>
        </w:rPr>
        <w:t>组织及管理情况。</w:t>
      </w:r>
    </w:p>
    <w:p>
      <w:pPr>
        <w:widowControl/>
        <w:numPr>
          <w:ilvl w:val="0"/>
          <w:numId w:val="0"/>
        </w:numPr>
        <w:spacing w:line="560" w:lineRule="exact"/>
        <w:ind w:firstLine="640" w:firstLineChars="200"/>
        <w:jc w:val="left"/>
        <w:rPr>
          <w:rFonts w:ascii="楷体" w:hAnsi="楷体" w:eastAsia="楷体"/>
          <w:szCs w:val="32"/>
        </w:rPr>
      </w:pPr>
      <w:r>
        <w:rPr>
          <w:rFonts w:hint="eastAsia" w:ascii="仿宋_GB2312" w:hAnsi="楷体"/>
          <w:szCs w:val="32"/>
          <w:lang w:val="en-US" w:eastAsia="zh-CN"/>
        </w:rPr>
        <w:t>该项目资金主要用于质量强区各项日常支出，包括印刷费、办公费、差旅费、业务用车购置费等，资金支出严格按照东川区差旅费管理办法、政府采购相关规定及</w:t>
      </w:r>
      <w:r>
        <w:rPr>
          <w:rFonts w:hint="eastAsia" w:ascii="仿宋_GB2312" w:hAnsi="宋体" w:cs="宋体"/>
          <w:kern w:val="0"/>
          <w:szCs w:val="32"/>
        </w:rPr>
        <w:t>本单位《财务管理制度》、《办公用品管理制度》、《财务报销制度》</w:t>
      </w:r>
      <w:r>
        <w:rPr>
          <w:rFonts w:hint="eastAsia" w:ascii="仿宋_GB2312" w:hAnsi="宋体" w:cs="宋体"/>
          <w:kern w:val="0"/>
          <w:szCs w:val="32"/>
          <w:lang w:eastAsia="zh-CN"/>
        </w:rPr>
        <w:t>、《</w:t>
      </w:r>
      <w:r>
        <w:rPr>
          <w:rFonts w:hint="eastAsia" w:ascii="仿宋_GB2312" w:hAnsi="宋体" w:cs="宋体"/>
          <w:kern w:val="0"/>
          <w:szCs w:val="32"/>
          <w:lang w:val="en-US" w:eastAsia="zh-CN"/>
        </w:rPr>
        <w:t>差旅费管理规定》</w:t>
      </w:r>
      <w:r>
        <w:rPr>
          <w:rFonts w:hint="eastAsia" w:ascii="仿宋_GB2312" w:hAnsi="宋体" w:cs="宋体"/>
          <w:kern w:val="0"/>
          <w:szCs w:val="32"/>
        </w:rPr>
        <w:t>等</w:t>
      </w:r>
      <w:r>
        <w:rPr>
          <w:rFonts w:hint="eastAsia" w:ascii="仿宋_GB2312" w:hAnsi="宋体" w:cs="宋体"/>
          <w:kern w:val="0"/>
          <w:szCs w:val="32"/>
          <w:lang w:val="en-US" w:eastAsia="zh-CN"/>
        </w:rPr>
        <w:t>相关规定使用</w:t>
      </w:r>
      <w:r>
        <w:rPr>
          <w:rFonts w:hint="eastAsia" w:ascii="仿宋_GB2312" w:hAnsi="宋体" w:cs="宋体"/>
          <w:kern w:val="0"/>
          <w:szCs w:val="32"/>
        </w:rPr>
        <w:t>。</w:t>
      </w:r>
    </w:p>
    <w:p>
      <w:pPr>
        <w:topLinePunct/>
        <w:adjustRightInd w:val="0"/>
        <w:snapToGrid w:val="0"/>
        <w:spacing w:line="560" w:lineRule="exact"/>
        <w:ind w:firstLine="800" w:firstLineChars="250"/>
        <w:rPr>
          <w:rFonts w:ascii="仿宋_GB2312" w:hAnsi="楷体"/>
          <w:szCs w:val="32"/>
        </w:rPr>
      </w:pP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（二）绩效目标</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1.总目标。</w:t>
      </w:r>
    </w:p>
    <w:p>
      <w:pPr>
        <w:topLinePunct/>
        <w:adjustRightInd w:val="0"/>
        <w:snapToGrid w:val="0"/>
        <w:spacing w:line="560" w:lineRule="exact"/>
        <w:ind w:firstLine="800" w:firstLineChars="250"/>
        <w:rPr>
          <w:rFonts w:hint="eastAsia" w:ascii="仿宋_GB2312" w:hAnsi="楷体"/>
          <w:szCs w:val="32"/>
          <w:lang w:val="en-US" w:eastAsia="zh-CN"/>
        </w:rPr>
      </w:pPr>
      <w:r>
        <w:rPr>
          <w:rFonts w:hint="eastAsia" w:ascii="仿宋_GB2312" w:hAnsi="楷体"/>
          <w:szCs w:val="32"/>
          <w:lang w:val="en-US" w:eastAsia="zh-CN"/>
        </w:rPr>
        <w:t>加强对质量强区活动的组织领导，扎实有效地推进实施质量强区战略的深入开展，安排部署质量强区工作任务，督促检查涉及产品质量、工程质量、服务质量和环境质量有效提升。</w:t>
      </w:r>
    </w:p>
    <w:p>
      <w:pPr>
        <w:numPr>
          <w:ilvl w:val="0"/>
          <w:numId w:val="3"/>
        </w:num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年度目标。包括产出目标、效果目标。</w:t>
      </w:r>
    </w:p>
    <w:p>
      <w:pPr>
        <w:numPr>
          <w:ilvl w:val="0"/>
          <w:numId w:val="0"/>
        </w:numPr>
        <w:topLinePunct/>
        <w:adjustRightInd w:val="0"/>
        <w:snapToGrid w:val="0"/>
        <w:spacing w:line="560" w:lineRule="exact"/>
        <w:ind w:firstLine="640" w:firstLineChars="200"/>
        <w:rPr>
          <w:rFonts w:hint="default" w:ascii="仿宋_GB2312" w:hAnsi="宋体" w:eastAsia="仿宋_GB2312"/>
          <w:b w:val="0"/>
          <w:bCs/>
          <w:sz w:val="32"/>
          <w:szCs w:val="32"/>
          <w:highlight w:val="none"/>
          <w:lang w:val="en-US" w:eastAsia="zh-CN"/>
        </w:rPr>
      </w:pPr>
      <w:r>
        <w:rPr>
          <w:rFonts w:hint="eastAsia" w:ascii="仿宋_GB2312" w:hAnsi="宋体" w:eastAsia="仿宋_GB2312"/>
          <w:b w:val="0"/>
          <w:bCs/>
          <w:sz w:val="32"/>
          <w:szCs w:val="32"/>
          <w:highlight w:val="none"/>
        </w:rPr>
        <w:t>一是产品质量</w:t>
      </w:r>
      <w:r>
        <w:rPr>
          <w:rFonts w:hint="eastAsia" w:ascii="仿宋_GB2312" w:hAnsi="宋体"/>
          <w:b w:val="0"/>
          <w:bCs/>
          <w:sz w:val="32"/>
          <w:szCs w:val="32"/>
          <w:highlight w:val="none"/>
          <w:lang w:val="en-US" w:eastAsia="zh-CN"/>
        </w:rPr>
        <w:t>稳步</w:t>
      </w:r>
      <w:r>
        <w:rPr>
          <w:rFonts w:hint="eastAsia" w:ascii="仿宋_GB2312" w:hAnsi="宋体" w:eastAsia="仿宋_GB2312"/>
          <w:b w:val="0"/>
          <w:bCs/>
          <w:sz w:val="32"/>
          <w:szCs w:val="32"/>
          <w:highlight w:val="none"/>
        </w:rPr>
        <w:t>提升</w:t>
      </w:r>
      <w:r>
        <w:rPr>
          <w:rFonts w:hint="eastAsia" w:ascii="仿宋_GB2312" w:hAnsi="宋体"/>
          <w:b w:val="0"/>
          <w:bCs/>
          <w:sz w:val="32"/>
          <w:szCs w:val="32"/>
          <w:highlight w:val="none"/>
          <w:lang w:eastAsia="zh-CN"/>
        </w:rPr>
        <w:t>。</w:t>
      </w:r>
      <w:r>
        <w:rPr>
          <w:rFonts w:hint="eastAsia" w:ascii="仿宋_GB2312" w:hAnsi="宋体" w:eastAsia="仿宋_GB2312"/>
          <w:b w:val="0"/>
          <w:bCs/>
          <w:sz w:val="32"/>
          <w:szCs w:val="32"/>
          <w:highlight w:val="none"/>
        </w:rPr>
        <w:t>农产品综合抽检合格率保持稳定</w:t>
      </w:r>
      <w:r>
        <w:rPr>
          <w:rFonts w:hint="eastAsia" w:ascii="仿宋_GB2312" w:hAnsi="宋体"/>
          <w:b w:val="0"/>
          <w:bCs/>
          <w:sz w:val="32"/>
          <w:szCs w:val="32"/>
          <w:highlight w:val="none"/>
          <w:lang w:val="en-US" w:eastAsia="zh-CN"/>
        </w:rPr>
        <w:t>,各项检测合格率100%；工程项目质量保持稳定。建筑工程:工程质量验收合格率达到100%，新开工工程监督覆盖率达100%。交通工程:大中型工程（如东倘二级公路，高速公路）竣工验收由昆明市交通工程质监局组织验收，且这两个工程暂未进行竣工验收。水利工程：验收合格率均达100%，三是旅游市场秩序明显改善。积极组织旅游市场秩序整治成员单位，及时处置旅游投诉案件。四是组织实施“千家企业质量提升工程”。五是开展重点行业和重点产品质量提升行动。六是推进“三品一标”认证登记。七是强化农产品质量安全风险管理。八是建筑工程节能效率和工业化建造比重不断提高。九是建立健全工程质量责任体系。十是政府大力发展家政服务业，积极开展试点建立家政服务诚信体系。十一工业产品、消费品、农产品、工程质量、旅游市场等领域质量监管工作成效明显。十二提升特种设备安全监管和隐患排查整治工作水平。</w:t>
      </w:r>
    </w:p>
    <w:p>
      <w:pPr>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highlight w:val="none"/>
          <w:lang w:val="en-US" w:eastAsia="zh-CN"/>
        </w:rPr>
        <w:t>二是创建示范工作成效显著。</w:t>
      </w:r>
      <w:r>
        <w:rPr>
          <w:rFonts w:hint="eastAsia" w:ascii="仿宋_GB2312" w:hAnsi="宋体"/>
          <w:sz w:val="32"/>
          <w:szCs w:val="32"/>
          <w:lang w:val="en-US" w:eastAsia="zh-CN"/>
        </w:rPr>
        <w:t xml:space="preserve">推荐东川三小创建科普教育示范学校，现已获评“2019年昆明市科普教育示范学校”。 </w:t>
      </w:r>
    </w:p>
    <w:p>
      <w:pPr>
        <w:spacing w:line="560" w:lineRule="exact"/>
        <w:rPr>
          <w:rFonts w:hint="default" w:ascii="仿宋_GB2312" w:hAnsi="宋体"/>
          <w:sz w:val="32"/>
          <w:szCs w:val="32"/>
          <w:lang w:val="en-US" w:eastAsia="zh-CN"/>
        </w:rPr>
      </w:pPr>
      <w:r>
        <w:rPr>
          <w:rFonts w:hint="eastAsia" w:ascii="仿宋_GB2312" w:hAnsi="宋体"/>
          <w:sz w:val="32"/>
          <w:szCs w:val="32"/>
          <w:lang w:val="en-US" w:eastAsia="zh-CN"/>
        </w:rPr>
        <w:t>积极向上争取扶持，为阿旺镇争取到云南省第一批“科普小镇”项目。“科普小镇”计划是云南省财政厅、云南省科协深入贯彻落实党的十九大精神，助力实施乡村振兴战略，加快美丽特色小（城）镇建设，着力提升公民科学素质的一项重要创新举措。云南省2019年“科普小镇”实施数量为64个，每个实施点投入50万元。新增国家级质量激励项目：2016年我区积极向省、市申报了全国电子商务进农村综合示范县的建设工作， 2017年8月获得商务部批准，2017年9月收到省、市下达的昆明市东川区2017年电子商务进农村示范县建设项目中央补助资金1400万元。该项目于2018年6月4日开标，由杭州闻远科技有限公司中标，2018年7月11日签订建设合同，合同期限为3年，截止2019年11月，公司已按商务部要求及标准完成了2018-2019年的建设任务，通过国家、省、市相关部门的验收，并得到省、市相关部门肯定。</w:t>
      </w:r>
    </w:p>
    <w:p>
      <w:pPr>
        <w:numPr>
          <w:ilvl w:val="0"/>
          <w:numId w:val="0"/>
        </w:numPr>
        <w:topLinePunct/>
        <w:adjustRightInd w:val="0"/>
        <w:snapToGrid w:val="0"/>
        <w:spacing w:line="560" w:lineRule="exact"/>
        <w:ind w:firstLine="640" w:firstLineChars="200"/>
        <w:rPr>
          <w:rFonts w:hint="default" w:ascii="仿宋_GB2312" w:hAnsi="宋体"/>
          <w:sz w:val="32"/>
          <w:szCs w:val="32"/>
          <w:lang w:val="en-US" w:eastAsia="zh-CN"/>
        </w:rPr>
      </w:pPr>
      <w:r>
        <w:rPr>
          <w:rFonts w:hint="eastAsia" w:ascii="仿宋_GB2312" w:hAnsi="宋体"/>
          <w:sz w:val="32"/>
          <w:szCs w:val="32"/>
          <w:lang w:val="en-US" w:eastAsia="zh-CN"/>
        </w:rPr>
        <w:t>三是特色项目稳步推进。</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通用机场建设：2019已经完成项目：1:500地形图、地质灾害影响评价报告、机场断层影响活动评价报告、机场建设林地征占报件报告、机场建设节地评价及用地预审报告、机场初勘东川区通用机场净临空保护区测量报告、机场净临空保护区测量报告及进场道路设计、地质初步勘查、矿产压覆、文物压覆、社会维稳、节能审查等招投标和报告编制和审批工作。现正在进行工作：空域核准已由云南省政府上报南部战区空军参谋部审批，预计2020年年中完成审批，待审批完成后才能进行机场选址审批和启动下一步的初步设计工作。</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工程质量指标全面达到国家强制性标准：已按计划要求对在建项目：2018年通村公路，已完成了1次综合督查，3次专项督查，在督查项目中未发现不合格项目，督查项目合格率为100%，质量状况良好。</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特色经济林果提质增效：根据《昆明市东川区林业和草原局关于下达2019年林业生态建设项目计划任务的通知》（东林发〔2019〕117号）要求，于2019年4月圆满完成了2019年特色经理林果建设核桃提质增效12000亩任务，其中铜都街道1800亩、阿旺镇2014亩、乌龙镇5376亩、拖布卡镇1710亩、汤丹镇100亩、红土地镇1000亩。</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着力提升就业创业质量：加强宣传引导，提高政策知晓度。搭建服务平台，多渠道促进就业。创业贷款扶持，发挥创业带动就业功效。实施就业援助，解决就业困难人员就业。加大创业扶持，促进高校毕业生就业创业。</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脱贫攻坚紧缺医学类人才引进：制定了人才引进实施方案，计划引进41名医学相关专业全日制本科及以上学历应届毕业生、10名全日制本科及以上学历并取得执业医师资格证的临床医生。截止11月18日，最终确定20人进入试用程序，试用期满，签订用人合同。</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乡村医生服务能力提升培训项目：2019年3月18日至4月4日，分三期对8个乡镇（街道）148个卫生室348名乡村医生开展基本医疗、基本公共卫生服务项目及中医药服务等培训，培训采用集中讲座、实际操作、现场观摩学习等的方式进行，实现乡村医生培训全覆盖。</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通过以上工作的开展，质量强区工作稳步提升，质量体系建设得到完善规范，从而保障人民群众质量需求。</w:t>
      </w: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二、绩效评价工作情况</w:t>
      </w:r>
    </w:p>
    <w:p>
      <w:pPr>
        <w:topLinePunct/>
        <w:adjustRightInd w:val="0"/>
        <w:snapToGrid w:val="0"/>
        <w:spacing w:line="560" w:lineRule="exact"/>
        <w:ind w:firstLine="800" w:firstLineChars="250"/>
        <w:rPr>
          <w:rFonts w:ascii="仿宋_GB2312" w:hAnsi="楷体"/>
          <w:szCs w:val="32"/>
        </w:rPr>
      </w:pPr>
      <w:r>
        <w:rPr>
          <w:rFonts w:hint="eastAsia" w:ascii="楷体" w:hAnsi="楷体" w:eastAsia="楷体"/>
          <w:szCs w:val="32"/>
        </w:rPr>
        <w:t>（一）绩效评价目的。</w:t>
      </w:r>
      <w:r>
        <w:rPr>
          <w:rFonts w:hint="eastAsia" w:ascii="仿宋_GB2312" w:hAnsi="楷体"/>
          <w:szCs w:val="32"/>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（二）绩效评价工作方案制定过程。</w:t>
      </w:r>
    </w:p>
    <w:p>
      <w:pPr>
        <w:topLinePunct/>
        <w:adjustRightInd w:val="0"/>
        <w:snapToGrid w:val="0"/>
        <w:spacing w:line="560" w:lineRule="exact"/>
        <w:ind w:firstLine="800" w:firstLineChars="250"/>
        <w:rPr>
          <w:rFonts w:hint="default" w:ascii="仿宋_GB2312" w:hAnsi="楷体" w:eastAsia="仿宋_GB2312"/>
          <w:szCs w:val="32"/>
          <w:lang w:val="en-US" w:eastAsia="zh-CN"/>
        </w:rPr>
      </w:pPr>
      <w:r>
        <w:rPr>
          <w:rFonts w:hint="eastAsia" w:ascii="仿宋_GB2312" w:hAnsi="楷体"/>
          <w:szCs w:val="32"/>
        </w:rPr>
        <w:t>1.前期调研。</w:t>
      </w:r>
    </w:p>
    <w:p>
      <w:pPr>
        <w:topLinePunct/>
        <w:adjustRightInd w:val="0"/>
        <w:snapToGrid w:val="0"/>
        <w:spacing w:line="560" w:lineRule="exact"/>
        <w:ind w:firstLine="800" w:firstLineChars="250"/>
        <w:rPr>
          <w:rFonts w:hint="default" w:ascii="仿宋_GB2312" w:hAnsi="楷体"/>
          <w:szCs w:val="32"/>
          <w:lang w:val="en-US" w:eastAsia="zh-CN"/>
        </w:rPr>
      </w:pPr>
      <w:r>
        <w:rPr>
          <w:rFonts w:hint="eastAsia" w:ascii="仿宋_GB2312" w:hAnsi="楷体"/>
          <w:szCs w:val="32"/>
          <w:lang w:val="en-US" w:eastAsia="zh-CN"/>
        </w:rPr>
        <w:t>从宏观上来说，当今世界的经济竞争，很大程度上取决于一个国家的产品和服务重量。质量水平的高低可以说是一个国家经济、科技、教育和管理水平的综合反映。同时，加强质量管理也是维护人们的生活以及身心健康的必要措施，开展食品安全、质量提升工作是一项事关民生、事关一个地区发展的重要基础。</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2.研究文件。</w:t>
      </w:r>
    </w:p>
    <w:p>
      <w:pPr>
        <w:topLinePunct/>
        <w:adjustRightInd w:val="0"/>
        <w:snapToGrid w:val="0"/>
        <w:spacing w:line="560" w:lineRule="exact"/>
        <w:ind w:firstLine="800" w:firstLineChars="250"/>
        <w:rPr>
          <w:rFonts w:hint="default" w:ascii="仿宋_GB2312" w:hAnsi="楷体" w:eastAsia="仿宋_GB2312"/>
          <w:szCs w:val="32"/>
          <w:lang w:val="en-US" w:eastAsia="zh-CN"/>
        </w:rPr>
      </w:pPr>
      <w:r>
        <w:rPr>
          <w:rFonts w:hint="eastAsia" w:ascii="仿宋_GB2312"/>
          <w:sz w:val="32"/>
          <w:szCs w:val="32"/>
          <w:lang w:val="en-US" w:eastAsia="zh-CN"/>
        </w:rPr>
        <w:t>根据《昆明市2019年“质量强市”专项目标考核办法》，制定</w:t>
      </w:r>
      <w:r>
        <w:rPr>
          <w:rFonts w:hint="eastAsia" w:ascii="宋体" w:hAnsi="宋体" w:eastAsia="仿宋_GB2312"/>
          <w:color w:val="000000"/>
          <w:sz w:val="32"/>
          <w:szCs w:val="32"/>
        </w:rPr>
        <w:t>《东川区2019年开展质量提升行动实施方案》</w:t>
      </w:r>
      <w:r>
        <w:rPr>
          <w:rFonts w:hint="eastAsia" w:ascii="宋体" w:hAnsi="宋体"/>
          <w:color w:val="000000"/>
          <w:sz w:val="32"/>
          <w:szCs w:val="32"/>
          <w:lang w:eastAsia="zh-CN"/>
        </w:rPr>
        <w:t>、《东川区2019年质量强市专项工作目标考核办法》</w:t>
      </w:r>
      <w:r>
        <w:rPr>
          <w:rFonts w:hint="eastAsia" w:ascii="仿宋_GB2312"/>
          <w:sz w:val="32"/>
          <w:szCs w:val="32"/>
          <w:lang w:val="en-US" w:eastAsia="zh-CN"/>
        </w:rPr>
        <w:t>，梳理相关工作任务组织实施。</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3.绩效评价指标体系及工作方案的设计。</w:t>
      </w:r>
    </w:p>
    <w:p>
      <w:pPr>
        <w:topLinePunct/>
        <w:adjustRightInd w:val="0"/>
        <w:snapToGrid w:val="0"/>
        <w:spacing w:line="560" w:lineRule="exact"/>
        <w:ind w:firstLine="800" w:firstLineChars="250"/>
        <w:rPr>
          <w:rFonts w:hint="eastAsia" w:ascii="仿宋_GB2312"/>
          <w:sz w:val="32"/>
          <w:szCs w:val="32"/>
          <w:lang w:val="en-US" w:eastAsia="zh-CN"/>
        </w:rPr>
      </w:pPr>
      <w:r>
        <w:rPr>
          <w:rFonts w:hint="eastAsia" w:ascii="仿宋_GB2312" w:eastAsia="仿宋_GB2312"/>
          <w:sz w:val="32"/>
          <w:szCs w:val="32"/>
        </w:rPr>
        <w:t>严格按照《东川区2019年质量强市专项工作目标考核办法》</w:t>
      </w:r>
      <w:r>
        <w:rPr>
          <w:rFonts w:hint="eastAsia" w:ascii="仿宋_GB2312"/>
          <w:sz w:val="32"/>
          <w:szCs w:val="32"/>
          <w:lang w:val="en-US" w:eastAsia="zh-CN"/>
        </w:rPr>
        <w:t>相关要求，梳理工作任务，确定绩效评价指标体系，制定工作方案。</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（三）绩效评价原则、评价方法</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1.绩效评价原则。包括科学规范、公开公正、绩效相关等原则。</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2.绩效评价方法。包括指标评价、数据采集和社会调查中所采用的方法。</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（四）绩效评价实施过程</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1.数据填报和采集。项目评价小组收集项目实施过程中相关数据和佐证材料，根据材料填报项目绩效自评表。</w:t>
      </w:r>
    </w:p>
    <w:p>
      <w:pPr>
        <w:keepNext w:val="0"/>
        <w:keepLines w:val="0"/>
        <w:pageBreakBefore w:val="0"/>
        <w:kinsoku/>
        <w:wordWrap/>
        <w:overflowPunct/>
        <w:topLinePunct/>
        <w:autoSpaceDE/>
        <w:autoSpaceDN/>
        <w:bidi w:val="0"/>
        <w:spacing w:line="560" w:lineRule="exact"/>
        <w:ind w:firstLine="800" w:firstLineChars="250"/>
        <w:textAlignment w:val="auto"/>
        <w:rPr>
          <w:rFonts w:hint="eastAsia" w:ascii="仿宋_GB2312" w:hAnsi="楷体" w:eastAsia="仿宋_GB2312"/>
          <w:szCs w:val="32"/>
          <w:lang w:eastAsia="zh-CN"/>
        </w:rPr>
      </w:pPr>
      <w:r>
        <w:rPr>
          <w:rFonts w:hint="eastAsia" w:ascii="仿宋_GB2312" w:hAnsi="楷体"/>
          <w:szCs w:val="32"/>
        </w:rPr>
        <w:t>2.社会调查。</w:t>
      </w:r>
      <w:r>
        <w:rPr>
          <w:rFonts w:hint="eastAsia" w:ascii="仿宋_GB2312" w:hAnsi="仿宋_GB2312" w:eastAsia="仿宋_GB2312" w:cs="仿宋_GB2312"/>
          <w:color w:val="auto"/>
          <w:sz w:val="32"/>
          <w:szCs w:val="32"/>
          <w:lang w:eastAsia="zh-CN"/>
        </w:rPr>
        <w:t>项目评价小组发放社会问卷调查表</w:t>
      </w:r>
      <w:r>
        <w:rPr>
          <w:rFonts w:hint="eastAsia" w:ascii="仿宋_GB2312" w:hAnsi="仿宋_GB2312" w:eastAsia="仿宋_GB2312" w:cs="仿宋_GB2312"/>
          <w:color w:val="auto"/>
          <w:sz w:val="32"/>
          <w:szCs w:val="32"/>
          <w:lang w:val="en-US" w:eastAsia="zh-CN"/>
        </w:rPr>
        <w:t>20份</w:t>
      </w:r>
      <w:r>
        <w:rPr>
          <w:rFonts w:hint="eastAsia" w:ascii="仿宋_GB2312" w:hAnsi="仿宋_GB2312" w:eastAsia="仿宋_GB2312" w:cs="仿宋_GB2312"/>
          <w:color w:val="auto"/>
          <w:sz w:val="32"/>
          <w:szCs w:val="32"/>
          <w:lang w:eastAsia="zh-CN"/>
        </w:rPr>
        <w:t>，随机抽取项目受益人作访谈。</w:t>
      </w:r>
    </w:p>
    <w:p>
      <w:pPr>
        <w:keepNext w:val="0"/>
        <w:keepLines w:val="0"/>
        <w:pageBreakBefore w:val="0"/>
        <w:kinsoku/>
        <w:wordWrap/>
        <w:overflowPunct/>
        <w:topLinePunct/>
        <w:autoSpaceDE/>
        <w:autoSpaceDN/>
        <w:bidi w:val="0"/>
        <w:spacing w:line="560" w:lineRule="exact"/>
        <w:ind w:firstLine="800" w:firstLineChars="250"/>
        <w:textAlignment w:val="auto"/>
        <w:rPr>
          <w:rFonts w:ascii="仿宋_GB2312" w:hAnsi="楷体"/>
          <w:szCs w:val="32"/>
        </w:rPr>
      </w:pPr>
      <w:r>
        <w:rPr>
          <w:rFonts w:hint="eastAsia" w:ascii="仿宋_GB2312" w:hAnsi="楷体"/>
          <w:szCs w:val="32"/>
        </w:rPr>
        <w:t>3.数据分析和撰写报告。</w:t>
      </w:r>
      <w:r>
        <w:rPr>
          <w:rFonts w:hint="eastAsia" w:ascii="仿宋_GB2312" w:hAnsi="仿宋_GB2312" w:eastAsia="仿宋_GB2312" w:cs="仿宋_GB2312"/>
          <w:color w:val="auto"/>
          <w:sz w:val="32"/>
          <w:szCs w:val="32"/>
          <w:lang w:eastAsia="zh-CN"/>
        </w:rPr>
        <w:t>根据问卷调查结果和访谈做出调查分析报告，访谈报告。</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（五）本次绩效评价的局限性。</w:t>
      </w: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三、评价结论和绩效分析</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（一）评价结论。</w:t>
      </w:r>
    </w:p>
    <w:p>
      <w:pPr>
        <w:topLinePunct/>
        <w:adjustRightInd w:val="0"/>
        <w:snapToGrid w:val="0"/>
        <w:spacing w:line="560" w:lineRule="exact"/>
        <w:ind w:firstLine="800" w:firstLineChars="250"/>
        <w:rPr>
          <w:rFonts w:hint="eastAsia" w:ascii="仿宋_GB2312" w:hAnsi="仿宋"/>
          <w:szCs w:val="32"/>
        </w:rPr>
      </w:pPr>
      <w:r>
        <w:rPr>
          <w:rFonts w:hint="eastAsia" w:ascii="仿宋" w:hAnsi="仿宋" w:eastAsia="仿宋"/>
          <w:szCs w:val="32"/>
        </w:rPr>
        <w:t>1.评价结果。自评小组对照2019年项目支出绩效自评指标体系逐项分析、评价并打分。自评分为9</w:t>
      </w:r>
      <w:r>
        <w:rPr>
          <w:rFonts w:hint="eastAsia" w:ascii="仿宋" w:hAnsi="仿宋" w:eastAsia="仿宋"/>
          <w:szCs w:val="32"/>
          <w:lang w:val="en-US" w:eastAsia="zh-CN"/>
        </w:rPr>
        <w:t>9</w:t>
      </w:r>
      <w:r>
        <w:rPr>
          <w:rFonts w:hint="eastAsia" w:ascii="仿宋" w:hAnsi="仿宋" w:eastAsia="仿宋"/>
          <w:szCs w:val="32"/>
        </w:rPr>
        <w:t>分。</w:t>
      </w:r>
    </w:p>
    <w:p>
      <w:pPr>
        <w:topLinePunct/>
        <w:adjustRightInd w:val="0"/>
        <w:snapToGrid w:val="0"/>
        <w:spacing w:line="560" w:lineRule="exact"/>
        <w:ind w:firstLine="800" w:firstLineChars="250"/>
        <w:rPr>
          <w:rFonts w:ascii="仿宋_GB2312" w:hAnsi="仿宋"/>
          <w:szCs w:val="32"/>
        </w:rPr>
      </w:pPr>
      <w:r>
        <w:rPr>
          <w:rFonts w:hint="eastAsia" w:ascii="仿宋_GB2312" w:hAnsi="仿宋"/>
          <w:szCs w:val="32"/>
        </w:rPr>
        <w:t>2.主要绩效。</w:t>
      </w:r>
    </w:p>
    <w:p>
      <w:pPr>
        <w:numPr>
          <w:ilvl w:val="0"/>
          <w:numId w:val="0"/>
        </w:numPr>
        <w:topLinePunct/>
        <w:adjustRightInd w:val="0"/>
        <w:snapToGrid w:val="0"/>
        <w:spacing w:line="560" w:lineRule="exact"/>
        <w:ind w:firstLine="640" w:firstLineChars="200"/>
        <w:rPr>
          <w:rFonts w:hint="default" w:ascii="仿宋_GB2312" w:hAnsi="宋体" w:eastAsia="仿宋_GB2312"/>
          <w:b w:val="0"/>
          <w:bCs/>
          <w:sz w:val="32"/>
          <w:szCs w:val="32"/>
          <w:highlight w:val="none"/>
          <w:lang w:val="en-US" w:eastAsia="zh-CN"/>
        </w:rPr>
      </w:pPr>
      <w:r>
        <w:rPr>
          <w:rFonts w:hint="eastAsia" w:ascii="仿宋_GB2312" w:hAnsi="宋体" w:eastAsia="仿宋_GB2312"/>
          <w:b w:val="0"/>
          <w:bCs/>
          <w:sz w:val="32"/>
          <w:szCs w:val="32"/>
          <w:highlight w:val="none"/>
        </w:rPr>
        <w:t>一是产品质量</w:t>
      </w:r>
      <w:r>
        <w:rPr>
          <w:rFonts w:hint="eastAsia" w:ascii="仿宋_GB2312" w:hAnsi="宋体"/>
          <w:b w:val="0"/>
          <w:bCs/>
          <w:sz w:val="32"/>
          <w:szCs w:val="32"/>
          <w:highlight w:val="none"/>
          <w:lang w:val="en-US" w:eastAsia="zh-CN"/>
        </w:rPr>
        <w:t>稳步</w:t>
      </w:r>
      <w:r>
        <w:rPr>
          <w:rFonts w:hint="eastAsia" w:ascii="仿宋_GB2312" w:hAnsi="宋体" w:eastAsia="仿宋_GB2312"/>
          <w:b w:val="0"/>
          <w:bCs/>
          <w:sz w:val="32"/>
          <w:szCs w:val="32"/>
          <w:highlight w:val="none"/>
        </w:rPr>
        <w:t>提升</w:t>
      </w:r>
      <w:r>
        <w:rPr>
          <w:rFonts w:hint="eastAsia" w:ascii="仿宋_GB2312" w:hAnsi="宋体"/>
          <w:b w:val="0"/>
          <w:bCs/>
          <w:sz w:val="32"/>
          <w:szCs w:val="32"/>
          <w:highlight w:val="none"/>
          <w:lang w:eastAsia="zh-CN"/>
        </w:rPr>
        <w:t>。</w:t>
      </w:r>
      <w:r>
        <w:rPr>
          <w:rFonts w:hint="eastAsia" w:ascii="仿宋_GB2312" w:hAnsi="宋体" w:eastAsia="仿宋_GB2312"/>
          <w:b w:val="0"/>
          <w:bCs/>
          <w:sz w:val="32"/>
          <w:szCs w:val="32"/>
          <w:highlight w:val="none"/>
        </w:rPr>
        <w:t>农产品综合抽检合格率保持稳定</w:t>
      </w:r>
      <w:r>
        <w:rPr>
          <w:rFonts w:hint="eastAsia" w:ascii="仿宋_GB2312" w:hAnsi="宋体"/>
          <w:b w:val="0"/>
          <w:bCs/>
          <w:sz w:val="32"/>
          <w:szCs w:val="32"/>
          <w:highlight w:val="none"/>
          <w:lang w:val="en-US" w:eastAsia="zh-CN"/>
        </w:rPr>
        <w:t>,各项检测合格率100%；工程项目质量保持稳定。建筑工程:工程质量验收合格率达到100%，新开工工程监督覆盖率达100%。交通工程:大中型工程（如东倘二级公路，高速公</w:t>
      </w:r>
      <w:bookmarkStart w:id="0" w:name="_GoBack"/>
      <w:bookmarkEnd w:id="0"/>
      <w:r>
        <w:rPr>
          <w:rFonts w:hint="eastAsia" w:ascii="仿宋_GB2312" w:hAnsi="宋体"/>
          <w:b w:val="0"/>
          <w:bCs/>
          <w:sz w:val="32"/>
          <w:szCs w:val="32"/>
          <w:highlight w:val="none"/>
          <w:lang w:val="en-US" w:eastAsia="zh-CN"/>
        </w:rPr>
        <w:t>路）竣工验收由昆明市交通工程质监局组织验收，且这两个工程暂未进行竣工验收。水利工程：验收合格率均达100%，三是旅游市场秩序明显改善。积极组织旅游市场秩序整治成员单位，及时处置旅游投诉案件。四是组织实施“千家企业质量提升工程”。五是开展重点行业和重点产品质量提升行动。六是推进“三品一标”认证登记。七是强化农产品质量安全风险管理。八是建筑工程节能效率和工业化建造比重不断提高。九是建立健全工程质量责任体系。十是政府大力发展家政服务业，积极开展试点建立家政服务诚信体系。十一工业产品、消费品、农产品、工程质量、旅游市场等领域质量监管工作成效明显。十二提升特种设备安全监管和隐患排查整治工作水平。</w:t>
      </w:r>
    </w:p>
    <w:p>
      <w:pPr>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highlight w:val="none"/>
          <w:lang w:val="en-US" w:eastAsia="zh-CN"/>
        </w:rPr>
        <w:t>二是创建示范工作成效显著。</w:t>
      </w:r>
      <w:r>
        <w:rPr>
          <w:rFonts w:hint="eastAsia" w:ascii="仿宋_GB2312" w:hAnsi="宋体"/>
          <w:sz w:val="32"/>
          <w:szCs w:val="32"/>
          <w:lang w:val="en-US" w:eastAsia="zh-CN"/>
        </w:rPr>
        <w:t xml:space="preserve">推荐东川三小创建科普教育示范学校，现已获评“2019年昆明市科普教育示范学校”。 </w:t>
      </w:r>
    </w:p>
    <w:p>
      <w:pPr>
        <w:spacing w:line="560" w:lineRule="exact"/>
        <w:rPr>
          <w:rFonts w:hint="default" w:ascii="仿宋_GB2312" w:hAnsi="宋体"/>
          <w:sz w:val="32"/>
          <w:szCs w:val="32"/>
          <w:lang w:val="en-US" w:eastAsia="zh-CN"/>
        </w:rPr>
      </w:pPr>
      <w:r>
        <w:rPr>
          <w:rFonts w:hint="eastAsia" w:ascii="仿宋_GB2312" w:hAnsi="宋体"/>
          <w:sz w:val="32"/>
          <w:szCs w:val="32"/>
          <w:lang w:val="en-US" w:eastAsia="zh-CN"/>
        </w:rPr>
        <w:t>积极向上争取扶持，为阿旺镇争取到云南省第一批“科普小镇”项目。“科普小镇”计划是云南省财政厅、云南省科协深入贯彻落实党的十九大精神，助力实施乡村振兴战略，加快美丽特色小（城）镇建设，着力提升公民科学素质的一项重要创新举措。云南省2019年“科普小镇”实施数量为64个，每个实施点投入50万元。新增国家级质量激励项目：2016年我区积极向省、市申报了全国电子商务进农村综合示范县的建设工作， 2017年8月获得商务部批准，2017年9月收到省、市下达的昆明市东川区2017年电子商务进农村示范县建设项目中央补助资金1400万元。该项目于2018年6月4日开标，由杭州闻远科技有限公司中标，2018年7月11日签订建设合同，合同期限为3年，截止2019年11月，公司已按商务部要求及标准完成了2018-2019年的建设任务，通过国家、省、市相关部门的验收，并得到省、市相关部门肯定。</w:t>
      </w:r>
    </w:p>
    <w:p>
      <w:pPr>
        <w:numPr>
          <w:ilvl w:val="0"/>
          <w:numId w:val="0"/>
        </w:numPr>
        <w:topLinePunct/>
        <w:adjustRightInd w:val="0"/>
        <w:snapToGrid w:val="0"/>
        <w:spacing w:line="560" w:lineRule="exact"/>
        <w:ind w:firstLine="640" w:firstLineChars="200"/>
        <w:rPr>
          <w:rFonts w:hint="default" w:ascii="仿宋_GB2312" w:hAnsi="宋体"/>
          <w:sz w:val="32"/>
          <w:szCs w:val="32"/>
          <w:lang w:val="en-US" w:eastAsia="zh-CN"/>
        </w:rPr>
      </w:pPr>
      <w:r>
        <w:rPr>
          <w:rFonts w:hint="eastAsia" w:ascii="仿宋_GB2312" w:hAnsi="宋体"/>
          <w:sz w:val="32"/>
          <w:szCs w:val="32"/>
          <w:lang w:val="en-US" w:eastAsia="zh-CN"/>
        </w:rPr>
        <w:t>三是特色项目稳步推进。</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通用机场建设：2019已经完成项目：1:500地形图、地质灾害影响评价报告、机场断层影响活动评价报告、机场建设林地征占报件报告、机场建设节地评价及用地预审报告、机场初勘东川区通用机场净临空保护区测量报告、机场净临空保护区测量报告及进场道路设计、地质初步勘查、矿产压覆、文物压覆、社会维稳、节能审查等招投标和报告编制和审批工作。现正在进行工作：空域核准已由云南省政府上报南部战区空军参谋部审批，预计2020年年中完成审批，待审批完成后才能进行机场选址审批和启动下一步的初步设计工作。</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工程质量指标全面达到国家强制性标准：已按计划要求对在建项目：2018年通村公路，已完成了1次综合督查，3次专项督查，在督查项目中未发现不合格项目，督查项目合格率为100%，质量状况良好。</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特色经济林果提质增效：根据《昆明市东川区林业和草原局关于下达2019年林业生态建设项目计划任务的通知》（东林发〔2019〕117号）要求，于2019年4月圆满完成了2019年特色经理林果建设核桃提质增效12000亩任务，其中铜都街道1800亩、阿旺镇2014亩、乌龙镇5376亩、拖布卡镇1710亩、汤丹镇100亩、红土地镇1000亩。</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着力提升就业创业质量：加强宣传引导，提高政策知晓度。搭建服务平台，多渠道促进就业。创业贷款扶持，发挥创业带动就业功效。实施就业援助，解决就业困难人员就业。加大创业扶持，促进高校毕业生就业创业。</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脱贫攻坚紧缺医学类人才引进：制定了人才引进实施方案，计划引进41名医学相关专业全日制本科及以上学历应届毕业生、10名全日制本科及以上学历并取得执业医师资格证的临床医生。截止11月18日，最终确定20人进入试用程序，试用期满，签订用人合同。</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乡村医生服务能力提升培训项目：2019年3月18日至4月4日，分三期对8个乡镇（街道）148个卫生室348名乡村医生开展基本医疗、基本公共卫生服务项目及中医药服务等培训，培训采用集中讲座、实际操作、现场观摩学习等的方式进行，实现乡村医生培训全覆盖。</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通过以上工作的开展，质量强区工作稳步提升，质量体系建设得到完善规范，从而保障人民群众质量需求。</w:t>
      </w:r>
    </w:p>
    <w:p>
      <w:pPr>
        <w:topLinePunct/>
        <w:adjustRightInd w:val="0"/>
        <w:snapToGrid w:val="0"/>
        <w:spacing w:line="560" w:lineRule="exact"/>
        <w:ind w:firstLine="800" w:firstLineChars="250"/>
        <w:rPr>
          <w:rFonts w:ascii="仿宋" w:hAnsi="仿宋" w:eastAsia="仿宋"/>
          <w:szCs w:val="32"/>
        </w:rPr>
      </w:pPr>
      <w:r>
        <w:rPr>
          <w:rFonts w:hint="eastAsia" w:ascii="楷体" w:hAnsi="楷体" w:eastAsia="楷体"/>
          <w:szCs w:val="32"/>
        </w:rPr>
        <w:t>（二）具体绩效分析。</w:t>
      </w:r>
      <w:r>
        <w:rPr>
          <w:rFonts w:hint="eastAsia" w:ascii="仿宋" w:hAnsi="仿宋" w:eastAsia="仿宋"/>
          <w:szCs w:val="32"/>
        </w:rPr>
        <w:t>对照绩效评价指标体系逐项进行分析、评价并打分</w:t>
      </w:r>
      <w:r>
        <w:rPr>
          <w:rFonts w:hint="eastAsia" w:ascii="楷体" w:hAnsi="楷体" w:eastAsia="楷体"/>
          <w:szCs w:val="32"/>
        </w:rPr>
        <w:t>(详见《项目支出绩效自评表》）。</w:t>
      </w:r>
    </w:p>
    <w:p>
      <w:pPr>
        <w:topLinePunct/>
        <w:adjustRightInd w:val="0"/>
        <w:snapToGrid w:val="0"/>
        <w:spacing w:line="560" w:lineRule="exact"/>
        <w:ind w:firstLine="800" w:firstLineChars="250"/>
        <w:rPr>
          <w:rFonts w:hint="eastAsia" w:ascii="仿宋_GB2312" w:hAnsi="仿宋"/>
        </w:rPr>
      </w:pPr>
      <w:r>
        <w:rPr>
          <w:rFonts w:hint="eastAsia" w:ascii="黑体" w:hAnsi="黑体" w:eastAsia="黑体"/>
          <w:szCs w:val="32"/>
        </w:rPr>
        <w:t>四、成本效益分析。</w:t>
      </w:r>
    </w:p>
    <w:p>
      <w:pPr>
        <w:widowControl/>
        <w:numPr>
          <w:ilvl w:val="0"/>
          <w:numId w:val="0"/>
        </w:numPr>
        <w:spacing w:line="560" w:lineRule="exact"/>
        <w:ind w:firstLine="640" w:firstLineChars="200"/>
        <w:jc w:val="left"/>
        <w:rPr>
          <w:rFonts w:hint="default" w:eastAsia="仿宋_GB2312"/>
          <w:lang w:val="en-US" w:eastAsia="zh-CN"/>
        </w:rPr>
      </w:pPr>
      <w:r>
        <w:rPr>
          <w:rFonts w:hint="eastAsia" w:ascii="仿宋_GB2312" w:hAnsi="仿宋"/>
          <w:lang w:val="en-US" w:eastAsia="zh-CN"/>
        </w:rPr>
        <w:t>根据东政复</w:t>
      </w:r>
      <w:r>
        <w:rPr>
          <w:rFonts w:hint="eastAsia" w:ascii="仿宋_GB2312"/>
          <w:kern w:val="0"/>
          <w:szCs w:val="32"/>
        </w:rPr>
        <w:t>〔2019〕</w:t>
      </w:r>
      <w:r>
        <w:rPr>
          <w:rFonts w:hint="eastAsia" w:ascii="仿宋_GB2312"/>
          <w:kern w:val="0"/>
          <w:szCs w:val="32"/>
          <w:lang w:val="en-US" w:eastAsia="zh-CN"/>
        </w:rPr>
        <w:t>333</w:t>
      </w:r>
      <w:r>
        <w:rPr>
          <w:rFonts w:hint="eastAsia" w:ascii="仿宋_GB2312" w:hAnsi="楷体"/>
          <w:szCs w:val="32"/>
          <w:lang w:val="en-US" w:eastAsia="zh-CN"/>
        </w:rPr>
        <w:t>号文件</w:t>
      </w:r>
      <w:r>
        <w:rPr>
          <w:rFonts w:hint="eastAsia" w:ascii="仿宋_GB2312" w:hAnsi="仿宋"/>
          <w:lang w:val="en-US" w:eastAsia="zh-CN"/>
        </w:rPr>
        <w:t>下达“质量强区”工作经费5万元、食品药品安全工作经费20万元，该资金专项用于开展质量强区、食品安全、药品安全工作，</w:t>
      </w:r>
      <w:r>
        <w:rPr>
          <w:rFonts w:hint="eastAsia" w:ascii="仿宋_GB2312" w:hAnsi="楷体"/>
          <w:szCs w:val="32"/>
          <w:lang w:val="en-US" w:eastAsia="zh-CN"/>
        </w:rPr>
        <w:t>主要用于与工作开展相关的宣传费、印刷费、办公费、差旅费等，其中拨款给东川区新闻中心4万元，用于开展“市场卫士</w:t>
      </w:r>
      <w:r>
        <w:rPr>
          <w:rFonts w:hint="default" w:ascii="仿宋_GB2312" w:hAnsi="楷体"/>
          <w:szCs w:val="32"/>
          <w:lang w:val="en-US" w:eastAsia="zh-CN"/>
        </w:rPr>
        <w:t>”</w:t>
      </w:r>
      <w:r>
        <w:rPr>
          <w:rFonts w:hint="eastAsia" w:ascii="仿宋_GB2312" w:hAnsi="楷体"/>
          <w:szCs w:val="32"/>
          <w:lang w:val="en-US" w:eastAsia="zh-CN"/>
        </w:rPr>
        <w:t>宣传。我单位资金支出严格按照东川区差旅费管理办法、政府采购相关规定及</w:t>
      </w:r>
      <w:r>
        <w:rPr>
          <w:rFonts w:hint="eastAsia" w:ascii="仿宋_GB2312" w:hAnsi="宋体" w:cs="宋体"/>
          <w:kern w:val="0"/>
          <w:szCs w:val="32"/>
        </w:rPr>
        <w:t>本单位《财务管理制度》、《办公用品管理制度》、《财务报销制度》</w:t>
      </w:r>
      <w:r>
        <w:rPr>
          <w:rFonts w:hint="eastAsia" w:ascii="仿宋_GB2312" w:hAnsi="宋体" w:cs="宋体"/>
          <w:kern w:val="0"/>
          <w:szCs w:val="32"/>
          <w:lang w:eastAsia="zh-CN"/>
        </w:rPr>
        <w:t>、《</w:t>
      </w:r>
      <w:r>
        <w:rPr>
          <w:rFonts w:hint="eastAsia" w:ascii="仿宋_GB2312" w:hAnsi="宋体" w:cs="宋体"/>
          <w:kern w:val="0"/>
          <w:szCs w:val="32"/>
          <w:lang w:val="en-US" w:eastAsia="zh-CN"/>
        </w:rPr>
        <w:t>差旅费管理规定》、</w:t>
      </w:r>
      <w:r>
        <w:rPr>
          <w:rFonts w:hint="eastAsia" w:ascii="仿宋_GB2312" w:hAnsi="仿宋"/>
          <w:lang w:val="en-US" w:eastAsia="zh-CN"/>
        </w:rPr>
        <w:t>《东川区市场监督管理局机关财务管理制度》、《东川区市场监督管理局“三重一大”事项集体决策制度(试行)》</w:t>
      </w:r>
      <w:r>
        <w:rPr>
          <w:rFonts w:hint="eastAsia" w:ascii="仿宋_GB2312" w:hAnsi="宋体" w:cs="宋体"/>
          <w:kern w:val="0"/>
          <w:szCs w:val="32"/>
        </w:rPr>
        <w:t>等</w:t>
      </w:r>
      <w:r>
        <w:rPr>
          <w:rFonts w:hint="eastAsia" w:ascii="仿宋_GB2312" w:hAnsi="宋体" w:cs="宋体"/>
          <w:kern w:val="0"/>
          <w:szCs w:val="32"/>
          <w:lang w:val="en-US" w:eastAsia="zh-CN"/>
        </w:rPr>
        <w:t>相关规定使用</w:t>
      </w:r>
      <w:r>
        <w:rPr>
          <w:rFonts w:hint="eastAsia" w:ascii="仿宋_GB2312" w:hAnsi="宋体" w:cs="宋体"/>
          <w:kern w:val="0"/>
          <w:szCs w:val="32"/>
        </w:rPr>
        <w:t>。</w:t>
      </w:r>
      <w:r>
        <w:rPr>
          <w:rFonts w:hint="eastAsia" w:ascii="仿宋_GB2312" w:hAnsi="宋体" w:cs="宋体"/>
          <w:kern w:val="0"/>
          <w:szCs w:val="32"/>
          <w:lang w:val="en-US" w:eastAsia="zh-CN"/>
        </w:rPr>
        <w:t>通过项目实施，完成市政府“质量强市”目标考核工作。</w:t>
      </w: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五、主要经验及做法、存在的问题和建议</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（一）主要经验及做法；</w:t>
      </w:r>
    </w:p>
    <w:p>
      <w:pPr>
        <w:widowControl/>
        <w:adjustRightInd w:val="0"/>
        <w:snapToGrid w:val="0"/>
        <w:spacing w:line="560" w:lineRule="exact"/>
        <w:ind w:firstLine="643" w:firstLineChars="200"/>
        <w:jc w:val="left"/>
        <w:rPr>
          <w:rFonts w:hint="default" w:ascii="仿宋_GB2312" w:hAnsi="仿宋" w:eastAsia="仿宋_GB2312" w:cs="仿宋"/>
          <w:kern w:val="0"/>
          <w:szCs w:val="32"/>
          <w:lang w:val="en-US" w:eastAsia="zh-CN"/>
        </w:rPr>
      </w:pPr>
      <w:r>
        <w:rPr>
          <w:rFonts w:hint="eastAsia" w:ascii="仿宋_GB2312" w:hAnsi="宋体" w:eastAsia="仿宋_GB2312"/>
          <w:b/>
          <w:sz w:val="32"/>
          <w:szCs w:val="32"/>
        </w:rPr>
        <w:t>一是</w:t>
      </w:r>
      <w:r>
        <w:rPr>
          <w:rFonts w:hint="eastAsia" w:ascii="仿宋_GB2312" w:hAnsi="仿宋" w:cs="仿宋"/>
          <w:kern w:val="0"/>
          <w:szCs w:val="32"/>
          <w:lang w:val="en-US" w:eastAsia="zh-CN"/>
        </w:rPr>
        <w:t>加强组织保障</w:t>
      </w:r>
      <w:r>
        <w:rPr>
          <w:rFonts w:hint="eastAsia" w:ascii="仿宋_GB2312" w:hAnsi="仿宋" w:cs="仿宋"/>
          <w:kern w:val="0"/>
          <w:szCs w:val="32"/>
        </w:rPr>
        <w:t>，</w:t>
      </w:r>
      <w:r>
        <w:rPr>
          <w:rFonts w:hint="eastAsia" w:ascii="仿宋_GB2312" w:hAnsi="仿宋" w:cs="仿宋"/>
          <w:kern w:val="0"/>
          <w:szCs w:val="32"/>
          <w:lang w:val="en-US" w:eastAsia="zh-CN"/>
        </w:rPr>
        <w:t>做好宏观质量管理</w:t>
      </w:r>
    </w:p>
    <w:p>
      <w:pPr>
        <w:spacing w:line="560" w:lineRule="exact"/>
        <w:ind w:firstLine="640" w:firstLineChars="200"/>
        <w:rPr>
          <w:rFonts w:hint="eastAsia" w:ascii="仿宋_GB2312" w:hAnsi="仿宋" w:cs="仿宋"/>
          <w:kern w:val="0"/>
          <w:szCs w:val="32"/>
          <w:lang w:val="en-US" w:eastAsia="zh-CN"/>
        </w:rPr>
      </w:pPr>
      <w:r>
        <w:rPr>
          <w:rFonts w:hint="eastAsia" w:ascii="宋体" w:hAnsi="宋体" w:eastAsia="仿宋_GB2312"/>
          <w:color w:val="000000"/>
          <w:sz w:val="32"/>
          <w:szCs w:val="32"/>
        </w:rPr>
        <w:t>制定《东川区2019年开展质量提升行动实施方案》（东强区办〔2019〕1号）文件，并下发至各部门按要求认真贯彻落实。制定了《东川区2019年质量强市专项工作目标考核办法》(东政办发〔2019〕55号)文件，下发各乡镇（街道）、各成员单位按要求认真贯彻落实，并已组织开展半年及全年考核工作。2019年组织召开了2次质量工作部门联席会议，分管副区长出席并对质量强区工作做出安排布置。以重要工业产品、日用消费品、食品、农产品和农业投入品为重点，完善市场主体信用记录及企业质量信用档案；贯彻落实</w:t>
      </w:r>
      <w:r>
        <w:rPr>
          <w:rFonts w:ascii="宋体" w:hAnsi="宋体" w:eastAsia="仿宋_GB2312"/>
          <w:color w:val="000000"/>
          <w:sz w:val="32"/>
          <w:szCs w:val="32"/>
        </w:rPr>
        <w:t>“</w:t>
      </w:r>
      <w:r>
        <w:rPr>
          <w:rFonts w:hint="eastAsia" w:ascii="宋体" w:hAnsi="宋体" w:eastAsia="仿宋_GB2312"/>
          <w:color w:val="000000"/>
          <w:sz w:val="32"/>
          <w:szCs w:val="32"/>
        </w:rPr>
        <w:t>红黑名单</w:t>
      </w:r>
      <w:r>
        <w:rPr>
          <w:rFonts w:ascii="宋体" w:hAnsi="宋体" w:eastAsia="仿宋_GB2312"/>
          <w:color w:val="000000"/>
          <w:sz w:val="32"/>
          <w:szCs w:val="32"/>
        </w:rPr>
        <w:t>”</w:t>
      </w:r>
      <w:r>
        <w:rPr>
          <w:rFonts w:hint="eastAsia" w:ascii="宋体" w:hAnsi="宋体" w:eastAsia="仿宋_GB2312"/>
          <w:color w:val="000000"/>
          <w:sz w:val="32"/>
          <w:szCs w:val="32"/>
        </w:rPr>
        <w:t>制度。开展质量文化活动，重视质量舆论宣传，提高全民质量意识。</w:t>
      </w:r>
    </w:p>
    <w:p>
      <w:pPr>
        <w:numPr>
          <w:ilvl w:val="0"/>
          <w:numId w:val="0"/>
        </w:numPr>
        <w:topLinePunct/>
        <w:adjustRightInd w:val="0"/>
        <w:snapToGrid w:val="0"/>
        <w:spacing w:line="560" w:lineRule="exact"/>
        <w:ind w:firstLine="640" w:firstLineChars="200"/>
        <w:rPr>
          <w:rFonts w:hint="default" w:ascii="仿宋_GB2312" w:hAnsi="宋体" w:eastAsia="仿宋_GB2312"/>
          <w:b w:val="0"/>
          <w:bCs/>
          <w:sz w:val="32"/>
          <w:szCs w:val="32"/>
          <w:highlight w:val="none"/>
          <w:lang w:val="en-US" w:eastAsia="zh-CN"/>
        </w:rPr>
      </w:pPr>
      <w:r>
        <w:rPr>
          <w:rFonts w:hint="eastAsia" w:ascii="仿宋_GB2312" w:hAnsi="宋体"/>
          <w:sz w:val="32"/>
          <w:szCs w:val="32"/>
          <w:lang w:val="en-US" w:eastAsia="zh-CN"/>
        </w:rPr>
        <w:t>二是扎实推进</w:t>
      </w:r>
      <w:r>
        <w:rPr>
          <w:rFonts w:hint="eastAsia" w:ascii="仿宋_GB2312" w:hAnsi="宋体" w:eastAsia="仿宋_GB2312"/>
          <w:b w:val="0"/>
          <w:bCs/>
          <w:sz w:val="32"/>
          <w:szCs w:val="32"/>
          <w:highlight w:val="none"/>
        </w:rPr>
        <w:t>产品质量</w:t>
      </w:r>
      <w:r>
        <w:rPr>
          <w:rFonts w:hint="eastAsia" w:ascii="仿宋_GB2312" w:hAnsi="宋体"/>
          <w:b w:val="0"/>
          <w:bCs/>
          <w:sz w:val="32"/>
          <w:szCs w:val="32"/>
          <w:highlight w:val="none"/>
          <w:lang w:val="en-US" w:eastAsia="zh-CN"/>
        </w:rPr>
        <w:t>稳步</w:t>
      </w:r>
      <w:r>
        <w:rPr>
          <w:rFonts w:hint="eastAsia" w:ascii="仿宋_GB2312" w:hAnsi="宋体" w:eastAsia="仿宋_GB2312"/>
          <w:b w:val="0"/>
          <w:bCs/>
          <w:sz w:val="32"/>
          <w:szCs w:val="32"/>
          <w:highlight w:val="none"/>
        </w:rPr>
        <w:t>提升</w:t>
      </w:r>
      <w:r>
        <w:rPr>
          <w:rFonts w:hint="eastAsia" w:ascii="仿宋_GB2312" w:hAnsi="宋体"/>
          <w:b w:val="0"/>
          <w:bCs/>
          <w:sz w:val="32"/>
          <w:szCs w:val="32"/>
          <w:highlight w:val="none"/>
          <w:lang w:eastAsia="zh-CN"/>
        </w:rPr>
        <w:t>。</w:t>
      </w:r>
      <w:r>
        <w:rPr>
          <w:rFonts w:hint="eastAsia" w:ascii="仿宋_GB2312" w:hAnsi="宋体" w:eastAsia="仿宋_GB2312"/>
          <w:b w:val="0"/>
          <w:bCs/>
          <w:sz w:val="32"/>
          <w:szCs w:val="32"/>
          <w:highlight w:val="none"/>
        </w:rPr>
        <w:t>农产品综合抽检合格率保持稳定</w:t>
      </w:r>
      <w:r>
        <w:rPr>
          <w:rFonts w:hint="eastAsia" w:ascii="仿宋_GB2312" w:hAnsi="宋体"/>
          <w:b w:val="0"/>
          <w:bCs/>
          <w:sz w:val="32"/>
          <w:szCs w:val="32"/>
          <w:highlight w:val="none"/>
          <w:lang w:val="en-US" w:eastAsia="zh-CN"/>
        </w:rPr>
        <w:t>,各项检测合格率100%；工程项目质量保持稳定。建筑工程:工程质量验收合格率达到100%，新开工工程监督覆盖率达100%。交通工程:大中型工程（如东倘二级公路，高速公路）竣工验收由昆明市交通工程质监局组织验收，且这两个工程暂未进行竣工验收。水利工程：验收合格率均达100%，三是旅游市场秩序明显改善。积极组织旅游市场秩序整治成员单位，及时处置旅游投诉案件。四是组织实施“千家企业质量提升工程”。五是开展重点行业和重点产品质量提升行动。六是推进“三品一标”认证登记。七是强化农产品质量安全风险管理。八是建筑工程节能效率和工业化建造比重不断提高。九是建立健全工程质量责任体系。十是政府大力发展家政服务业，积极开展试点建立家政服务诚信体系。十一工业产品、消费品、农产品、工程质量、旅游市场等领域质量监管工作成效明显。十二提升特种设备安全监管和隐患排查整治工作水平。</w:t>
      </w:r>
    </w:p>
    <w:p>
      <w:pPr>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三是</w:t>
      </w:r>
      <w:r>
        <w:rPr>
          <w:rFonts w:hint="eastAsia" w:ascii="仿宋_GB2312" w:hAnsi="宋体"/>
          <w:sz w:val="32"/>
          <w:szCs w:val="32"/>
          <w:highlight w:val="none"/>
          <w:lang w:val="en-US" w:eastAsia="zh-CN"/>
        </w:rPr>
        <w:t>创建示范工作成效显著。</w:t>
      </w:r>
      <w:r>
        <w:rPr>
          <w:rFonts w:hint="eastAsia" w:ascii="仿宋_GB2312" w:hAnsi="宋体"/>
          <w:sz w:val="32"/>
          <w:szCs w:val="32"/>
          <w:lang w:val="en-US" w:eastAsia="zh-CN"/>
        </w:rPr>
        <w:t xml:space="preserve">推荐东川三小创建科普教育示范学校，现已获评“2019年昆明市科普教育示范学校”。 </w:t>
      </w:r>
    </w:p>
    <w:p>
      <w:pPr>
        <w:spacing w:line="560" w:lineRule="exact"/>
        <w:rPr>
          <w:rFonts w:hint="default" w:ascii="仿宋_GB2312" w:hAnsi="宋体"/>
          <w:sz w:val="32"/>
          <w:szCs w:val="32"/>
          <w:lang w:val="en-US" w:eastAsia="zh-CN"/>
        </w:rPr>
      </w:pPr>
      <w:r>
        <w:rPr>
          <w:rFonts w:hint="eastAsia" w:ascii="仿宋_GB2312" w:hAnsi="宋体"/>
          <w:sz w:val="32"/>
          <w:szCs w:val="32"/>
          <w:lang w:val="en-US" w:eastAsia="zh-CN"/>
        </w:rPr>
        <w:t>积极向上争取扶持，为阿旺镇争取到云南省第一批“科普小镇”项目。“科普小镇”计划是云南省财政厅、云南省科协深入贯彻落实党的十九大精神，助力实施乡村振兴战略，加快美丽特色小（城）镇建设，着力提升公民科学素质的一项重要创新举措。云南省2019年“科普小镇”实施数量为64个，每个实施点投入50万元。新增国家级质量激励项目：2016年我区积极向省、市申报了全国电子商务进农村综合示范县的建设工作， 2017年8月获得商务部批准，2017年9月收到省、市下达的昆明市东川区2017年电子商务进农村示范县建设项目中央补助资金1400万元。该项目于2018年6月4日开标，由杭州闻远科技有限公司中标，2018年7月11日签订建设合同，合同期限为3年，截止2019年11月，公司已按商务部要求及标准完成了2018-2019年的建设任务，通过国家、省、市相关部门的验收，并得到省、市相关部门肯定。</w:t>
      </w:r>
    </w:p>
    <w:p>
      <w:pPr>
        <w:numPr>
          <w:ilvl w:val="0"/>
          <w:numId w:val="0"/>
        </w:numPr>
        <w:topLinePunct/>
        <w:adjustRightInd w:val="0"/>
        <w:snapToGrid w:val="0"/>
        <w:spacing w:line="560" w:lineRule="exact"/>
        <w:ind w:firstLine="640" w:firstLineChars="200"/>
        <w:rPr>
          <w:rFonts w:hint="eastAsia" w:ascii="楷体" w:hAnsi="楷体" w:eastAsia="楷体"/>
          <w:szCs w:val="32"/>
        </w:rPr>
      </w:pPr>
      <w:r>
        <w:rPr>
          <w:rFonts w:hint="eastAsia" w:ascii="仿宋_GB2312" w:hAnsi="宋体"/>
          <w:sz w:val="32"/>
          <w:szCs w:val="32"/>
          <w:lang w:val="en-US" w:eastAsia="zh-CN"/>
        </w:rPr>
        <w:t>通过以上工作的开展，制定绩效目标完成。</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（二）存在的问题；</w:t>
      </w:r>
    </w:p>
    <w:p>
      <w:pPr>
        <w:spacing w:line="560" w:lineRule="exact"/>
        <w:ind w:firstLine="645"/>
        <w:rPr>
          <w:rFonts w:ascii="宋体" w:hAnsi="宋体" w:eastAsia="仿宋_GB2312"/>
          <w:sz w:val="32"/>
          <w:szCs w:val="32"/>
        </w:rPr>
      </w:pPr>
      <w:r>
        <w:rPr>
          <w:rFonts w:hint="eastAsia" w:ascii="宋体" w:hAnsi="宋体" w:eastAsia="楷体_GB2312" w:cs="楷体_GB2312"/>
          <w:sz w:val="32"/>
          <w:szCs w:val="32"/>
          <w:lang w:val="en-US" w:eastAsia="zh-CN"/>
        </w:rPr>
        <w:t>1.</w:t>
      </w:r>
      <w:r>
        <w:rPr>
          <w:rFonts w:hint="eastAsia" w:ascii="宋体" w:hAnsi="宋体" w:eastAsia="楷体_GB2312" w:cs="楷体_GB2312"/>
          <w:sz w:val="32"/>
          <w:szCs w:val="32"/>
        </w:rPr>
        <w:t>责任意识有待增强。</w:t>
      </w:r>
      <w:r>
        <w:rPr>
          <w:rFonts w:hint="eastAsia" w:ascii="宋体" w:hAnsi="宋体" w:eastAsia="仿宋_GB2312" w:cs="仿宋_GB2312"/>
          <w:sz w:val="32"/>
          <w:szCs w:val="32"/>
        </w:rPr>
        <w:t>少数乡镇（街道）对《地方党政领导干部食品安全责任制规定》学习认知不够，错误的认为食品安全是市场监管部门一家的事，区级食品安全相关会议结束后，往往把工作任务丢给市场监管所了事，没有进行统筹调度、安排布置，导致很多工作得不到落实。</w:t>
      </w:r>
    </w:p>
    <w:p>
      <w:pPr>
        <w:spacing w:line="560" w:lineRule="exact"/>
        <w:ind w:firstLine="645"/>
        <w:rPr>
          <w:rFonts w:ascii="宋体" w:hAnsi="宋体" w:eastAsia="仿宋_GB2312"/>
          <w:sz w:val="32"/>
          <w:szCs w:val="32"/>
        </w:rPr>
      </w:pPr>
      <w:r>
        <w:rPr>
          <w:rFonts w:hint="eastAsia" w:ascii="宋体" w:hAnsi="宋体" w:eastAsia="楷体_GB2312" w:cs="楷体_GB2312"/>
          <w:sz w:val="32"/>
          <w:szCs w:val="32"/>
          <w:lang w:val="en-US" w:eastAsia="zh-CN"/>
        </w:rPr>
        <w:t>2.</w:t>
      </w:r>
      <w:r>
        <w:rPr>
          <w:rFonts w:hint="eastAsia" w:ascii="宋体" w:hAnsi="宋体" w:eastAsia="楷体_GB2312" w:cs="楷体_GB2312"/>
          <w:sz w:val="32"/>
          <w:szCs w:val="32"/>
        </w:rPr>
        <w:t>从业人员素质有待提高。</w:t>
      </w:r>
      <w:r>
        <w:rPr>
          <w:rFonts w:hint="eastAsia" w:ascii="宋体" w:hAnsi="宋体" w:eastAsia="仿宋_GB2312" w:cs="仿宋_GB2312"/>
          <w:sz w:val="32"/>
          <w:szCs w:val="32"/>
        </w:rPr>
        <w:t>大部分食品生产经营者从业人员文化素质较低，法律意识淡薄，安全意识较差，道德诚信欠缺，给监管工作带来不小的阻力和影响。</w:t>
      </w:r>
    </w:p>
    <w:p>
      <w:pPr>
        <w:spacing w:line="560" w:lineRule="exact"/>
        <w:ind w:firstLine="640" w:firstLineChars="200"/>
        <w:jc w:val="left"/>
        <w:rPr>
          <w:rFonts w:ascii="宋体" w:hAnsi="宋体" w:eastAsia="仿宋_GB2312"/>
          <w:sz w:val="32"/>
          <w:szCs w:val="32"/>
        </w:rPr>
      </w:pPr>
      <w:r>
        <w:rPr>
          <w:rFonts w:hint="eastAsia" w:ascii="宋体" w:hAnsi="宋体" w:eastAsia="楷体_GB2312" w:cs="楷体_GB2312"/>
          <w:sz w:val="32"/>
          <w:szCs w:val="32"/>
          <w:lang w:val="en-US" w:eastAsia="zh-CN"/>
        </w:rPr>
        <w:t>3.</w:t>
      </w:r>
      <w:r>
        <w:rPr>
          <w:rFonts w:hint="eastAsia" w:ascii="宋体" w:hAnsi="宋体" w:eastAsia="楷体_GB2312" w:cs="楷体_GB2312"/>
          <w:sz w:val="32"/>
          <w:szCs w:val="32"/>
        </w:rPr>
        <w:t>质量提升任重道远。</w:t>
      </w:r>
      <w:r>
        <w:rPr>
          <w:rFonts w:hint="eastAsia" w:ascii="仿宋_GB2312" w:hAnsi="宋体" w:eastAsia="仿宋_GB2312" w:cs="仿宋_GB2312"/>
          <w:sz w:val="32"/>
          <w:szCs w:val="32"/>
        </w:rPr>
        <w:t>东川境内山高谷深，地势陡陡，食品监管成本高；农村食品生产经营者普遍存在文化素质低</w:t>
      </w:r>
      <w:r>
        <w:rPr>
          <w:rFonts w:hint="eastAsia" w:ascii="仿宋_GB2312" w:hAnsi="宋体" w:eastAsia="仿宋_GB2312" w:cs="宋体"/>
          <w:sz w:val="32"/>
          <w:szCs w:val="32"/>
        </w:rPr>
        <w:t>,</w:t>
      </w:r>
      <w:r>
        <w:rPr>
          <w:rFonts w:hint="eastAsia" w:ascii="仿宋_GB2312" w:hAnsi="宋体" w:eastAsia="仿宋_GB2312" w:cs="仿宋_GB2312"/>
          <w:sz w:val="32"/>
          <w:szCs w:val="32"/>
        </w:rPr>
        <w:t>守法经营意识差；城乡农贸市场食品经营条件差、市场准入制度不健全、进货渠道混乱的现象比较突出，食品安全监管形势严峻。</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（三）建议和改进措施。</w:t>
      </w:r>
    </w:p>
    <w:p>
      <w:pPr>
        <w:spacing w:line="560" w:lineRule="exact"/>
        <w:ind w:firstLine="640" w:firstLineChars="200"/>
        <w:rPr>
          <w:rFonts w:hint="eastAsia" w:ascii="楷体_GB2312" w:hAnsi="宋体" w:eastAsia="楷体_GB2312"/>
          <w:sz w:val="32"/>
          <w:szCs w:val="32"/>
          <w:lang w:val="en-US" w:eastAsia="zh-CN"/>
        </w:rPr>
      </w:pPr>
      <w:r>
        <w:rPr>
          <w:rFonts w:hint="eastAsia" w:ascii="楷体_GB2312" w:hAnsi="宋体" w:eastAsia="楷体_GB2312"/>
          <w:sz w:val="32"/>
          <w:szCs w:val="32"/>
          <w:lang w:val="en-US" w:eastAsia="zh-CN"/>
        </w:rPr>
        <w:t>1.</w:t>
      </w:r>
      <w:r>
        <w:rPr>
          <w:rFonts w:hint="eastAsia" w:ascii="楷体_GB2312" w:hAnsi="宋体" w:eastAsia="楷体_GB2312"/>
          <w:sz w:val="32"/>
          <w:szCs w:val="32"/>
        </w:rPr>
        <w:t>实施</w:t>
      </w:r>
      <w:r>
        <w:rPr>
          <w:rFonts w:hint="eastAsia" w:ascii="楷体_GB2312" w:hAnsi="宋体" w:eastAsia="楷体_GB2312"/>
          <w:sz w:val="32"/>
          <w:szCs w:val="32"/>
          <w:lang w:val="en-US" w:eastAsia="zh-CN"/>
        </w:rPr>
        <w:t>质量体系建设</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强化食品安全的源头治理。强化日常监管，规范行政审批，严格市场准入。强化产品质量监测体系建设，切实加强对企业生产经营过程的监管。</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lang w:val="en-US" w:eastAsia="zh-CN"/>
        </w:rPr>
        <w:t>2.</w:t>
      </w:r>
      <w:r>
        <w:rPr>
          <w:rFonts w:hint="eastAsia" w:ascii="楷体_GB2312" w:hAnsi="宋体" w:eastAsia="楷体_GB2312"/>
          <w:sz w:val="32"/>
          <w:szCs w:val="32"/>
        </w:rPr>
        <w:t>食品专项整治实现新突破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继续开展食品专项整治行动。重点抓好肉、蔬菜、奶制品、豆制品、水产品、饮料、酒、儿童食品、保健食品等重点品种和城乡集贸市场，机关学校食堂，医院周边学校周边和旅游景点周边等公共场所的食品摊点等重点部位，严厉打击制售假冒伪劣和有毒有害商品的不法行为。</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lang w:val="en-US" w:eastAsia="zh-CN"/>
        </w:rPr>
        <w:t>3.</w:t>
      </w:r>
      <w:r>
        <w:rPr>
          <w:rFonts w:hint="eastAsia" w:ascii="楷体_GB2312" w:hAnsi="宋体" w:eastAsia="楷体_GB2312"/>
          <w:sz w:val="32"/>
          <w:szCs w:val="32"/>
        </w:rPr>
        <w:t>农村食品监管实现新突破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理顺农村食品安全监管体制，进一步健全和完善食品监管网络和信息网络，从根本上解决监管空白问题。把工作的重心放在加强培训、巩固机制、发挥作用上来。</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lang w:val="en-US" w:eastAsia="zh-CN"/>
        </w:rPr>
        <w:t>4.</w:t>
      </w:r>
      <w:r>
        <w:rPr>
          <w:rFonts w:hint="eastAsia" w:ascii="楷体_GB2312" w:hAnsi="宋体" w:eastAsia="楷体_GB2312"/>
          <w:sz w:val="32"/>
          <w:szCs w:val="32"/>
        </w:rPr>
        <w:t>突发事件应急处置能力实现新突破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完善食品安全事故应急体系，切实提高对突发食品安全事件的应急处置能力，适时组织开展食品安全应急处置业务培训和演练，同时要指导相关企业建立食品安全事故应急预案和开展演练活动，做到发生事故时不慌不乱，冷静处置，将危害降到最低。</w:t>
      </w:r>
    </w:p>
    <w:p>
      <w:pPr>
        <w:adjustRightInd w:val="0"/>
        <w:snapToGrid w:val="0"/>
        <w:spacing w:line="560" w:lineRule="exact"/>
        <w:rPr>
          <w:rFonts w:eastAsia="黑体"/>
        </w:rPr>
      </w:pPr>
    </w:p>
    <w:p>
      <w:pPr>
        <w:adjustRightInd w:val="0"/>
        <w:snapToGrid w:val="0"/>
        <w:spacing w:line="560" w:lineRule="exact"/>
        <w:jc w:val="center"/>
        <w:rPr>
          <w:rFonts w:ascii="方正小标宋_GBK" w:eastAsia="方正小标宋_GBK"/>
        </w:rPr>
      </w:pPr>
      <w:r>
        <w:rPr>
          <w:rFonts w:hint="eastAsia" w:ascii="方正小标宋_GBK" w:eastAsia="方正小标宋_GBK"/>
        </w:rPr>
        <w:t>绩效评价报告正文后需附以下佐证材料</w:t>
      </w:r>
    </w:p>
    <w:p>
      <w:pPr>
        <w:adjustRightInd w:val="0"/>
        <w:snapToGrid w:val="0"/>
        <w:spacing w:line="560" w:lineRule="exact"/>
        <w:ind w:left="-10" w:firstLine="650"/>
        <w:jc w:val="left"/>
        <w:rPr>
          <w:rFonts w:ascii="仿宋_GB2312" w:hAnsi="仿宋"/>
        </w:rPr>
      </w:pPr>
      <w:r>
        <w:rPr>
          <w:rFonts w:hint="eastAsia" w:ascii="仿宋_GB2312" w:hAnsi="仿宋"/>
        </w:rPr>
        <w:t>1.绩效评价指标体系；</w:t>
      </w:r>
    </w:p>
    <w:p>
      <w:pPr>
        <w:adjustRightInd w:val="0"/>
        <w:snapToGrid w:val="0"/>
        <w:spacing w:line="560" w:lineRule="exact"/>
        <w:ind w:left="-10" w:firstLine="650"/>
        <w:jc w:val="left"/>
        <w:rPr>
          <w:rFonts w:ascii="仿宋_GB2312" w:hAnsi="仿宋"/>
        </w:rPr>
      </w:pPr>
      <w:r>
        <w:rPr>
          <w:rFonts w:hint="eastAsia" w:ascii="仿宋_GB2312" w:hAnsi="仿宋"/>
        </w:rPr>
        <w:t>2.基础数据表（进行成本效益分析需采集的数据）；</w:t>
      </w:r>
    </w:p>
    <w:p>
      <w:pPr>
        <w:adjustRightInd w:val="0"/>
        <w:snapToGrid w:val="0"/>
        <w:spacing w:line="560" w:lineRule="exact"/>
        <w:ind w:left="-10" w:firstLine="650"/>
        <w:jc w:val="left"/>
        <w:rPr>
          <w:rFonts w:ascii="仿宋_GB2312" w:hAnsi="仿宋"/>
        </w:rPr>
      </w:pPr>
      <w:r>
        <w:rPr>
          <w:rFonts w:hint="eastAsia" w:ascii="仿宋_GB2312" w:hAnsi="仿宋"/>
        </w:rPr>
        <w:t>3.访谈分析报告；</w:t>
      </w:r>
    </w:p>
    <w:p>
      <w:pPr>
        <w:adjustRightInd w:val="0"/>
        <w:snapToGrid w:val="0"/>
        <w:spacing w:line="560" w:lineRule="exact"/>
        <w:ind w:left="-10" w:firstLine="650"/>
        <w:jc w:val="left"/>
        <w:rPr>
          <w:rFonts w:ascii="仿宋_GB2312" w:hAnsi="仿宋"/>
        </w:rPr>
      </w:pPr>
      <w:r>
        <w:rPr>
          <w:rFonts w:hint="eastAsia" w:ascii="仿宋_GB2312" w:hAnsi="仿宋"/>
        </w:rPr>
        <w:t>4.社会调查问卷分析报告；</w:t>
      </w:r>
    </w:p>
    <w:p>
      <w:pPr>
        <w:adjustRightInd w:val="0"/>
        <w:snapToGrid w:val="0"/>
        <w:spacing w:line="560" w:lineRule="exact"/>
        <w:ind w:left="-10" w:firstLine="650"/>
        <w:rPr>
          <w:rFonts w:ascii="仿宋_GB2312" w:hAnsi="仿宋"/>
        </w:rPr>
      </w:pPr>
      <w:r>
        <w:rPr>
          <w:rFonts w:hint="eastAsia" w:ascii="仿宋_GB2312" w:hAnsi="仿宋"/>
        </w:rPr>
        <w:t>5.①区政府相关规划、决策、批复；②立项申请、批复文件；③绩效目标申报表；</w:t>
      </w:r>
      <w:r>
        <w:rPr>
          <w:rFonts w:hint="eastAsia" w:ascii="仿宋_GB2312" w:hAnsi="仿宋_GB2312" w:cs="仿宋_GB2312"/>
        </w:rPr>
        <w:t>④</w:t>
      </w:r>
      <w:r>
        <w:rPr>
          <w:rFonts w:hint="eastAsia" w:ascii="仿宋_GB2312" w:hAnsi="仿宋"/>
        </w:rPr>
        <w:t>项目竣工验收报告、审计报告等。</w:t>
      </w:r>
    </w:p>
    <w:p>
      <w:pPr>
        <w:adjustRightInd w:val="0"/>
        <w:snapToGrid w:val="0"/>
        <w:spacing w:line="560" w:lineRule="exact"/>
        <w:ind w:left="-10" w:firstLine="650"/>
        <w:rPr>
          <w:rFonts w:ascii="仿宋_GB2312" w:hAnsi="仿宋"/>
        </w:rPr>
      </w:pPr>
    </w:p>
    <w:p>
      <w:pPr>
        <w:adjustRightInd w:val="0"/>
        <w:snapToGrid w:val="0"/>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FCEB8E"/>
    <w:multiLevelType w:val="singleLevel"/>
    <w:tmpl w:val="C8FCEB8E"/>
    <w:lvl w:ilvl="0" w:tentative="0">
      <w:start w:val="1"/>
      <w:numFmt w:val="chineseCounting"/>
      <w:suff w:val="nothing"/>
      <w:lvlText w:val="%1、"/>
      <w:lvlJc w:val="left"/>
      <w:rPr>
        <w:rFonts w:hint="eastAsia"/>
      </w:rPr>
    </w:lvl>
  </w:abstractNum>
  <w:abstractNum w:abstractNumId="1">
    <w:nsid w:val="00EC9924"/>
    <w:multiLevelType w:val="singleLevel"/>
    <w:tmpl w:val="00EC9924"/>
    <w:lvl w:ilvl="0" w:tentative="0">
      <w:start w:val="2"/>
      <w:numFmt w:val="decimal"/>
      <w:lvlText w:val="%1."/>
      <w:lvlJc w:val="left"/>
      <w:pPr>
        <w:tabs>
          <w:tab w:val="left" w:pos="312"/>
        </w:tabs>
      </w:pPr>
    </w:lvl>
  </w:abstractNum>
  <w:abstractNum w:abstractNumId="2">
    <w:nsid w:val="153200BA"/>
    <w:multiLevelType w:val="singleLevel"/>
    <w:tmpl w:val="153200BA"/>
    <w:lvl w:ilvl="0" w:tentative="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D80"/>
    <w:rsid w:val="002855A9"/>
    <w:rsid w:val="00335D80"/>
    <w:rsid w:val="004760B0"/>
    <w:rsid w:val="00547508"/>
    <w:rsid w:val="008D3112"/>
    <w:rsid w:val="00CC1842"/>
    <w:rsid w:val="00F05084"/>
    <w:rsid w:val="00F2241E"/>
    <w:rsid w:val="00FD45E9"/>
    <w:rsid w:val="07A65702"/>
    <w:rsid w:val="07E61DC9"/>
    <w:rsid w:val="09421C38"/>
    <w:rsid w:val="1B1F438B"/>
    <w:rsid w:val="21BC6A3B"/>
    <w:rsid w:val="24F540B3"/>
    <w:rsid w:val="25901C04"/>
    <w:rsid w:val="260A6B72"/>
    <w:rsid w:val="2D8C091C"/>
    <w:rsid w:val="2F4C5FC1"/>
    <w:rsid w:val="309E3570"/>
    <w:rsid w:val="34E70B63"/>
    <w:rsid w:val="36175578"/>
    <w:rsid w:val="38055C93"/>
    <w:rsid w:val="52A10430"/>
    <w:rsid w:val="55417C25"/>
    <w:rsid w:val="60E971D9"/>
    <w:rsid w:val="63EE10F1"/>
    <w:rsid w:val="6436354B"/>
    <w:rsid w:val="66961A7C"/>
    <w:rsid w:val="68605C60"/>
    <w:rsid w:val="7DE72F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无间隔1"/>
    <w:unhideWhenUsed/>
    <w:qFormat/>
    <w:uiPriority w:val="0"/>
    <w:pPr>
      <w:widowControl w:val="0"/>
      <w:jc w:val="both"/>
    </w:pPr>
    <w:rPr>
      <w:rFonts w:ascii="Calibri" w:hAnsi="Calibri" w:eastAsia="宋体" w:cs="Times New Roman"/>
      <w:kern w:val="2"/>
      <w:sz w:val="21"/>
      <w:szCs w:val="22"/>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eastAsia="仿宋_GB2312"/>
      <w:kern w:val="2"/>
      <w:sz w:val="18"/>
      <w:szCs w:val="18"/>
    </w:rPr>
  </w:style>
  <w:style w:type="character" w:customStyle="1" w:styleId="8">
    <w:name w:val="页脚 Char"/>
    <w:basedOn w:val="6"/>
    <w:link w:val="3"/>
    <w:semiHidden/>
    <w:qFormat/>
    <w:uiPriority w:val="99"/>
    <w:rPr>
      <w:rFonts w:eastAsia="仿宋_GB2312"/>
      <w:kern w:val="2"/>
      <w:sz w:val="18"/>
      <w:szCs w:val="18"/>
    </w:rPr>
  </w:style>
  <w:style w:type="paragraph" w:styleId="9">
    <w:name w:val="List Paragraph"/>
    <w:basedOn w:val="1"/>
    <w:unhideWhenUsed/>
    <w:qFormat/>
    <w:uiPriority w:val="99"/>
    <w:pPr>
      <w:ind w:firstLine="420" w:firstLineChars="200"/>
    </w:pPr>
  </w:style>
  <w:style w:type="paragraph" w:customStyle="1" w:styleId="10">
    <w:name w:val="实施方案正文"/>
    <w:basedOn w:val="1"/>
    <w:qFormat/>
    <w:uiPriority w:val="99"/>
    <w:pPr>
      <w:ind w:firstLine="566" w:firstLineChars="202"/>
    </w:pPr>
    <w:rPr>
      <w:szCs w:val="21"/>
    </w:rPr>
  </w:style>
  <w:style w:type="paragraph" w:customStyle="1" w:styleId="11">
    <w:name w:val="正文_0"/>
    <w:qFormat/>
    <w:uiPriority w:val="0"/>
    <w:pPr>
      <w:widowControl w:val="0"/>
      <w:jc w:val="both"/>
    </w:pPr>
    <w:rPr>
      <w:rFonts w:hint="eastAsia"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287</Words>
  <Characters>1641</Characters>
  <Lines>13</Lines>
  <Paragraphs>3</Paragraphs>
  <TotalTime>82</TotalTime>
  <ScaleCrop>false</ScaleCrop>
  <LinksUpToDate>false</LinksUpToDate>
  <CharactersWithSpaces>1925</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2020-05-21T02:29:00Z</dcterms:created>
  <dc:creator>NTKO</dc:creator>
  <cp:lastModifiedBy>Dell</cp:lastModifiedBy>
  <dcterms:modified xsi:type="dcterms:W3CDTF">2020-07-09T09:15:29Z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