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项目支出绩效评价报告</w:t>
      </w:r>
    </w:p>
    <w:p>
      <w:pPr>
        <w:numPr>
          <w:ilvl w:val="0"/>
          <w:numId w:val="1"/>
        </w:numPr>
        <w:adjustRightInd w:val="0"/>
        <w:snapToGrid w:val="0"/>
        <w:spacing w:line="560" w:lineRule="exact"/>
        <w:ind w:firstLine="640" w:firstLineChars="200"/>
        <w:jc w:val="left"/>
        <w:rPr>
          <w:rFonts w:ascii="黑体" w:hAnsi="黑体" w:eastAsia="黑体"/>
          <w:szCs w:val="32"/>
        </w:rPr>
      </w:pPr>
      <w:r>
        <w:rPr>
          <w:rFonts w:hint="eastAsia" w:ascii="黑体" w:hAnsi="黑体" w:eastAsia="黑体"/>
          <w:szCs w:val="32"/>
        </w:rPr>
        <w:t>项目概况</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eastAsia="仿宋_GB2312"/>
          <w:sz w:val="32"/>
          <w:szCs w:val="32"/>
        </w:rPr>
        <w:t>按照《昆明市2019年食品安全暨创建国家食品安全示范城市工作目标责任书》要求，认真落实食品安全党政同责要求，积极履行监管职能，紧紧围绕昆明市2019年食品安全工作要点，</w:t>
      </w:r>
      <w:r>
        <w:rPr>
          <w:rFonts w:hint="eastAsia" w:ascii="仿宋_GB2312"/>
          <w:sz w:val="32"/>
          <w:szCs w:val="32"/>
          <w:lang w:val="en-US" w:eastAsia="zh-CN"/>
        </w:rPr>
        <w:t>维护</w:t>
      </w:r>
      <w:r>
        <w:rPr>
          <w:rFonts w:hint="eastAsia" w:ascii="仿宋_GB2312" w:eastAsia="仿宋_GB2312"/>
          <w:sz w:val="32"/>
          <w:szCs w:val="32"/>
        </w:rPr>
        <w:t>2019年食品安全形势总体稳定。</w:t>
      </w:r>
    </w:p>
    <w:p>
      <w:pPr>
        <w:numPr>
          <w:ilvl w:val="0"/>
          <w:numId w:val="1"/>
        </w:numPr>
        <w:adjustRightInd w:val="0"/>
        <w:snapToGrid w:val="0"/>
        <w:spacing w:line="560" w:lineRule="exact"/>
        <w:ind w:firstLine="640" w:firstLineChars="200"/>
        <w:jc w:val="left"/>
        <w:rPr>
          <w:rFonts w:ascii="黑体" w:hAnsi="黑体" w:eastAsia="黑体"/>
          <w:szCs w:val="32"/>
        </w:rPr>
      </w:pPr>
      <w:r>
        <w:rPr>
          <w:rFonts w:hint="eastAsia" w:ascii="黑体" w:hAnsi="黑体" w:eastAsia="黑体"/>
          <w:szCs w:val="32"/>
        </w:rPr>
        <w:t>评价结论</w:t>
      </w:r>
    </w:p>
    <w:p>
      <w:pPr>
        <w:adjustRightInd w:val="0"/>
        <w:snapToGrid w:val="0"/>
        <w:spacing w:line="560" w:lineRule="exact"/>
        <w:ind w:left="640" w:leftChars="200"/>
        <w:jc w:val="left"/>
        <w:rPr>
          <w:rFonts w:hint="eastAsia" w:ascii="仿宋_GB2312" w:hAnsi="仿宋" w:cs="仿宋"/>
          <w:szCs w:val="32"/>
        </w:rPr>
      </w:pPr>
      <w:r>
        <w:rPr>
          <w:rFonts w:hint="eastAsia" w:ascii="仿宋_GB2312" w:hAnsi="仿宋" w:cs="仿宋"/>
          <w:szCs w:val="32"/>
        </w:rPr>
        <w:t>评价结果为良。</w:t>
      </w:r>
    </w:p>
    <w:p>
      <w:pPr>
        <w:adjustRightInd w:val="0"/>
        <w:snapToGrid w:val="0"/>
        <w:spacing w:line="560" w:lineRule="exact"/>
        <w:ind w:firstLine="640" w:firstLineChars="200"/>
        <w:jc w:val="left"/>
        <w:rPr>
          <w:rFonts w:ascii="黑体" w:hAnsi="黑体" w:eastAsia="黑体"/>
          <w:szCs w:val="32"/>
        </w:rPr>
      </w:pPr>
      <w:r>
        <w:rPr>
          <w:rFonts w:hint="eastAsia" w:ascii="黑体" w:hAnsi="黑体" w:eastAsia="黑体"/>
          <w:szCs w:val="32"/>
        </w:rPr>
        <w:t>三、经验、问题和建议</w:t>
      </w:r>
    </w:p>
    <w:p>
      <w:pPr>
        <w:adjustRightInd w:val="0"/>
        <w:snapToGrid w:val="0"/>
        <w:spacing w:line="560" w:lineRule="exact"/>
        <w:ind w:firstLine="643" w:firstLineChars="200"/>
        <w:jc w:val="left"/>
        <w:rPr>
          <w:rFonts w:hint="eastAsia" w:ascii="楷体_GB2312" w:hAnsi="楷体" w:eastAsia="楷体_GB2312"/>
          <w:b/>
          <w:szCs w:val="32"/>
        </w:rPr>
      </w:pPr>
      <w:r>
        <w:rPr>
          <w:rFonts w:hint="eastAsia" w:ascii="楷体_GB2312" w:hAnsi="楷体" w:eastAsia="楷体_GB2312"/>
          <w:b/>
          <w:szCs w:val="32"/>
        </w:rPr>
        <w:t>1.主要经验及做法</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hAnsi="仿宋" w:cs="仿宋"/>
          <w:kern w:val="0"/>
          <w:szCs w:val="32"/>
          <w:lang w:val="en-US" w:eastAsia="zh-CN"/>
        </w:rPr>
        <w:t>第一、</w:t>
      </w:r>
      <w:r>
        <w:rPr>
          <w:rFonts w:hint="eastAsia" w:ascii="仿宋_GB2312" w:hAnsi="仿宋" w:cs="仿宋"/>
          <w:kern w:val="0"/>
          <w:szCs w:val="32"/>
        </w:rPr>
        <w:t>落实党政同责，完善食品安全治理体系</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hAnsi="仿宋" w:cs="仿宋"/>
          <w:kern w:val="0"/>
          <w:szCs w:val="32"/>
          <w:lang w:val="en-US" w:eastAsia="zh-CN"/>
        </w:rPr>
        <w:t>第二、</w:t>
      </w:r>
      <w:r>
        <w:rPr>
          <w:rFonts w:hint="eastAsia" w:ascii="仿宋_GB2312" w:hAnsi="仿宋" w:cs="仿宋"/>
          <w:kern w:val="0"/>
          <w:szCs w:val="32"/>
        </w:rPr>
        <w:t>强化食品安全宣传，营造良好的社会共治氛围</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hAnsi="仿宋" w:cs="仿宋"/>
          <w:kern w:val="0"/>
          <w:szCs w:val="32"/>
          <w:lang w:val="en-US" w:eastAsia="zh-CN"/>
        </w:rPr>
        <w:t>第三、</w:t>
      </w:r>
      <w:r>
        <w:rPr>
          <w:rFonts w:hint="eastAsia" w:ascii="仿宋_GB2312" w:hAnsi="仿宋" w:cs="仿宋"/>
          <w:kern w:val="0"/>
          <w:szCs w:val="32"/>
        </w:rPr>
        <w:t>建立联动机制，组织开展联合行动</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hAnsi="仿宋" w:cs="仿宋"/>
          <w:kern w:val="0"/>
          <w:szCs w:val="32"/>
          <w:lang w:val="en-US" w:eastAsia="zh-CN"/>
        </w:rPr>
        <w:t>第四、</w:t>
      </w:r>
      <w:r>
        <w:rPr>
          <w:rFonts w:hint="eastAsia" w:ascii="仿宋_GB2312" w:hAnsi="仿宋" w:cs="仿宋"/>
          <w:kern w:val="0"/>
          <w:szCs w:val="32"/>
        </w:rPr>
        <w:t>加强全程监管，扎实开展食品放心工程</w:t>
      </w:r>
    </w:p>
    <w:p>
      <w:pPr>
        <w:numPr>
          <w:ilvl w:val="0"/>
          <w:numId w:val="2"/>
        </w:numPr>
        <w:adjustRightInd w:val="0"/>
        <w:snapToGrid w:val="0"/>
        <w:spacing w:line="560" w:lineRule="exact"/>
        <w:ind w:firstLine="643" w:firstLineChars="200"/>
        <w:jc w:val="left"/>
        <w:rPr>
          <w:rFonts w:hint="eastAsia" w:ascii="楷体_GB2312" w:hAnsi="楷体" w:eastAsia="楷体_GB2312"/>
          <w:b/>
          <w:szCs w:val="32"/>
        </w:rPr>
      </w:pPr>
      <w:r>
        <w:rPr>
          <w:rFonts w:hint="eastAsia" w:ascii="楷体_GB2312" w:hAnsi="楷体" w:eastAsia="楷体_GB2312"/>
          <w:b/>
          <w:szCs w:val="32"/>
        </w:rPr>
        <w:t>存在的问题</w:t>
      </w:r>
    </w:p>
    <w:p>
      <w:pPr>
        <w:adjustRightInd w:val="0"/>
        <w:snapToGrid w:val="0"/>
        <w:spacing w:line="560" w:lineRule="exact"/>
        <w:ind w:firstLine="640" w:firstLineChars="200"/>
        <w:rPr>
          <w:rFonts w:hint="eastAsia" w:ascii="宋体" w:hAnsi="宋体"/>
          <w:szCs w:val="32"/>
        </w:rPr>
      </w:pPr>
      <w:r>
        <w:rPr>
          <w:rFonts w:hint="eastAsia" w:ascii="宋体" w:hAnsi="宋体"/>
          <w:szCs w:val="32"/>
        </w:rPr>
        <w:t>责任意识有待增强</w:t>
      </w:r>
    </w:p>
    <w:p>
      <w:pPr>
        <w:adjustRightInd w:val="0"/>
        <w:snapToGrid w:val="0"/>
        <w:spacing w:line="560" w:lineRule="exact"/>
        <w:ind w:firstLine="640" w:firstLineChars="200"/>
        <w:rPr>
          <w:rFonts w:hint="eastAsia" w:ascii="宋体" w:hAnsi="宋体"/>
          <w:szCs w:val="32"/>
        </w:rPr>
      </w:pPr>
      <w:r>
        <w:rPr>
          <w:rFonts w:hint="eastAsia" w:ascii="宋体" w:hAnsi="宋体"/>
          <w:szCs w:val="32"/>
        </w:rPr>
        <w:t>食品从业人员素质有待提高。</w:t>
      </w:r>
    </w:p>
    <w:p>
      <w:pPr>
        <w:adjustRightInd w:val="0"/>
        <w:snapToGrid w:val="0"/>
        <w:spacing w:line="560" w:lineRule="exact"/>
        <w:ind w:firstLine="640" w:firstLineChars="200"/>
        <w:rPr>
          <w:rFonts w:hint="eastAsia" w:ascii="宋体" w:hAnsi="宋体"/>
          <w:szCs w:val="32"/>
        </w:rPr>
      </w:pPr>
      <w:r>
        <w:rPr>
          <w:rFonts w:hint="eastAsia" w:ascii="宋体" w:hAnsi="宋体"/>
          <w:szCs w:val="32"/>
        </w:rPr>
        <w:t>食品安全监管任重道远。</w:t>
      </w:r>
    </w:p>
    <w:p>
      <w:pPr>
        <w:adjustRightInd w:val="0"/>
        <w:snapToGrid w:val="0"/>
        <w:spacing w:line="560" w:lineRule="exact"/>
        <w:ind w:firstLine="640" w:firstLineChars="200"/>
        <w:rPr>
          <w:rFonts w:hint="eastAsia" w:ascii="宋体" w:hAnsi="宋体"/>
          <w:szCs w:val="32"/>
        </w:rPr>
      </w:pPr>
      <w:r>
        <w:rPr>
          <w:rFonts w:hint="eastAsia" w:ascii="宋体" w:hAnsi="宋体"/>
          <w:szCs w:val="32"/>
        </w:rPr>
        <w:t>食品安全监管专业人员匮乏</w:t>
      </w:r>
    </w:p>
    <w:p>
      <w:pPr>
        <w:adjustRightInd w:val="0"/>
        <w:snapToGrid w:val="0"/>
        <w:spacing w:line="560" w:lineRule="exact"/>
        <w:ind w:firstLine="640" w:firstLineChars="200"/>
        <w:jc w:val="left"/>
        <w:rPr>
          <w:rFonts w:ascii="楷体" w:hAnsi="楷体" w:eastAsia="楷体"/>
          <w:szCs w:val="32"/>
        </w:rPr>
      </w:pPr>
      <w:r>
        <w:rPr>
          <w:rFonts w:hint="eastAsia" w:ascii="楷体" w:hAnsi="楷体" w:eastAsia="楷体"/>
          <w:szCs w:val="32"/>
        </w:rPr>
        <w:t>3.改进措施及建议</w:t>
      </w:r>
    </w:p>
    <w:p>
      <w:pPr>
        <w:adjustRightInd w:val="0"/>
        <w:snapToGrid w:val="0"/>
        <w:spacing w:line="560" w:lineRule="exact"/>
        <w:ind w:firstLine="640" w:firstLineChars="200"/>
        <w:rPr>
          <w:rFonts w:hint="eastAsia" w:ascii="宋体" w:hAnsi="宋体"/>
          <w:szCs w:val="32"/>
        </w:rPr>
      </w:pPr>
      <w:r>
        <w:rPr>
          <w:rFonts w:hint="eastAsia" w:ascii="宋体" w:hAnsi="宋体"/>
          <w:szCs w:val="32"/>
        </w:rPr>
        <w:t>实施食品安全联合整治行动实现新突破</w:t>
      </w:r>
    </w:p>
    <w:p>
      <w:pPr>
        <w:adjustRightInd w:val="0"/>
        <w:snapToGrid w:val="0"/>
        <w:spacing w:line="560" w:lineRule="exact"/>
        <w:ind w:firstLine="640" w:firstLineChars="200"/>
        <w:rPr>
          <w:rFonts w:hint="eastAsia" w:ascii="宋体" w:hAnsi="宋体"/>
          <w:szCs w:val="32"/>
        </w:rPr>
      </w:pPr>
      <w:r>
        <w:rPr>
          <w:rFonts w:hint="eastAsia" w:ascii="宋体" w:hAnsi="宋体"/>
          <w:szCs w:val="32"/>
        </w:rPr>
        <w:t>食品专项整治实现新突破</w:t>
      </w:r>
    </w:p>
    <w:p>
      <w:pPr>
        <w:adjustRightInd w:val="0"/>
        <w:snapToGrid w:val="0"/>
        <w:spacing w:line="560" w:lineRule="exact"/>
        <w:ind w:firstLine="640" w:firstLineChars="200"/>
        <w:rPr>
          <w:rFonts w:hint="eastAsia" w:ascii="宋体" w:hAnsi="宋体"/>
          <w:szCs w:val="32"/>
        </w:rPr>
      </w:pPr>
      <w:r>
        <w:rPr>
          <w:rFonts w:hint="eastAsia" w:ascii="宋体" w:hAnsi="宋体"/>
          <w:szCs w:val="32"/>
        </w:rPr>
        <w:t>农村食品监管实现新突破</w:t>
      </w:r>
    </w:p>
    <w:p>
      <w:pPr>
        <w:adjustRightInd w:val="0"/>
        <w:snapToGrid w:val="0"/>
        <w:spacing w:line="560" w:lineRule="exact"/>
        <w:ind w:firstLine="640" w:firstLineChars="200"/>
        <w:rPr>
          <w:rFonts w:hint="eastAsia" w:ascii="宋体" w:hAnsi="宋体"/>
          <w:szCs w:val="32"/>
        </w:rPr>
      </w:pPr>
      <w:r>
        <w:rPr>
          <w:rFonts w:hint="eastAsia" w:ascii="宋体" w:hAnsi="宋体"/>
          <w:szCs w:val="32"/>
        </w:rPr>
        <w:t>突发事件应急处置能力实现新突破</w:t>
      </w:r>
    </w:p>
    <w:p>
      <w:pPr>
        <w:adjustRightInd w:val="0"/>
        <w:snapToGrid w:val="0"/>
        <w:spacing w:line="560" w:lineRule="exact"/>
        <w:ind w:firstLine="560" w:firstLineChars="200"/>
        <w:jc w:val="center"/>
        <w:rPr>
          <w:rFonts w:ascii="黑体" w:hAnsi="黑体" w:eastAsia="黑体"/>
          <w:spacing w:val="-20"/>
          <w:sz w:val="36"/>
          <w:szCs w:val="36"/>
        </w:rPr>
      </w:pPr>
      <w:r>
        <w:rPr>
          <w:rFonts w:hint="eastAsia" w:ascii="黑体" w:hAnsi="黑体" w:eastAsia="黑体"/>
          <w:spacing w:val="-20"/>
          <w:szCs w:val="32"/>
          <w:lang w:val="en-US" w:eastAsia="zh-CN"/>
        </w:rPr>
        <w:t>创建国家食品安全示范城市</w:t>
      </w:r>
      <w:r>
        <w:rPr>
          <w:rFonts w:hint="eastAsia" w:ascii="黑体" w:hAnsi="黑体" w:eastAsia="黑体"/>
          <w:spacing w:val="-20"/>
          <w:szCs w:val="32"/>
        </w:rPr>
        <w:t>项目支出绩效评价报告</w:t>
      </w:r>
    </w:p>
    <w:p>
      <w:pPr>
        <w:topLinePunct/>
        <w:adjustRightInd w:val="0"/>
        <w:snapToGrid w:val="0"/>
        <w:spacing w:line="560" w:lineRule="exact"/>
        <w:ind w:firstLine="800" w:firstLineChars="250"/>
        <w:rPr>
          <w:rFonts w:ascii="黑体" w:eastAsia="黑体"/>
          <w:szCs w:val="32"/>
        </w:rPr>
      </w:pPr>
    </w:p>
    <w:p>
      <w:pPr>
        <w:topLinePunct/>
        <w:adjustRightInd w:val="0"/>
        <w:snapToGrid w:val="0"/>
        <w:spacing w:line="560" w:lineRule="exact"/>
        <w:ind w:firstLine="800" w:firstLineChars="250"/>
        <w:rPr>
          <w:rFonts w:ascii="黑体" w:eastAsia="黑体"/>
          <w:szCs w:val="32"/>
        </w:rPr>
      </w:pPr>
      <w:r>
        <w:rPr>
          <w:rFonts w:hint="eastAsia" w:ascii="黑体" w:eastAsia="黑体"/>
          <w:szCs w:val="32"/>
        </w:rPr>
        <w:t>一、项目基本情况</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（一）项目概况。</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1.立项背景及目的。</w:t>
      </w:r>
    </w:p>
    <w:p>
      <w:pPr>
        <w:widowControl/>
        <w:adjustRightInd w:val="0"/>
        <w:snapToGrid w:val="0"/>
        <w:spacing w:line="560" w:lineRule="exact"/>
        <w:ind w:firstLine="640" w:firstLineChars="200"/>
        <w:jc w:val="left"/>
        <w:rPr>
          <w:rFonts w:hint="eastAsia" w:ascii="仿宋_GB2312" w:hAnsi="仿宋" w:cs="仿宋"/>
          <w:kern w:val="0"/>
          <w:szCs w:val="32"/>
        </w:rPr>
      </w:pPr>
      <w:r>
        <w:rPr>
          <w:rFonts w:hint="eastAsia" w:ascii="仿宋_GB2312" w:eastAsia="仿宋_GB2312"/>
          <w:sz w:val="32"/>
          <w:szCs w:val="32"/>
        </w:rPr>
        <w:t>按照《昆明市2019年食品安全暨创建国家食品安全示范城市工作目标责任书》要求，认真落实食品安全党政同责要求，积极履行监管职能，紧紧围绕昆明市2019年食品安全工作要点，</w:t>
      </w:r>
      <w:r>
        <w:rPr>
          <w:rFonts w:hint="eastAsia" w:ascii="仿宋_GB2312"/>
          <w:sz w:val="32"/>
          <w:szCs w:val="32"/>
          <w:lang w:val="en-US" w:eastAsia="zh-CN"/>
        </w:rPr>
        <w:t>维护</w:t>
      </w:r>
      <w:r>
        <w:rPr>
          <w:rFonts w:hint="eastAsia" w:ascii="仿宋_GB2312" w:eastAsia="仿宋_GB2312"/>
          <w:sz w:val="32"/>
          <w:szCs w:val="32"/>
        </w:rPr>
        <w:t>2019年食品安全形势总体稳定。</w:t>
      </w:r>
    </w:p>
    <w:p>
      <w:pPr>
        <w:spacing w:line="560" w:lineRule="exact"/>
        <w:ind w:firstLine="640" w:firstLineChars="200"/>
        <w:rPr>
          <w:rFonts w:hint="eastAsia" w:ascii="仿宋_GB2312" w:eastAsia="仿宋_GB2312"/>
          <w:sz w:val="32"/>
          <w:szCs w:val="32"/>
        </w:rPr>
      </w:pPr>
      <w:r>
        <w:rPr>
          <w:rFonts w:hint="eastAsia" w:ascii="仿宋_GB2312" w:hAnsi="宋体" w:eastAsia="仿宋_GB2312"/>
          <w:sz w:val="32"/>
          <w:szCs w:val="32"/>
        </w:rPr>
        <w:t>全区共有食品生产企业28户，食品流通经营户 1780（其中超市102户，商店1678户），餐饮服务单位1700户（其中大型16户，中型290户，小型491户，小吃店692户，饮品店99户，学校食堂95户，职工食堂17户）,小作坊生产企业131户（其中白酒94户，糕点18户，炸油店2户，面条6户，米线11户）,食品摊贩316户（其中餐饮服务136户，食品销售180户）,</w:t>
      </w:r>
      <w:r>
        <w:rPr>
          <w:rFonts w:hint="eastAsia" w:ascii="仿宋_GB2312" w:eastAsia="仿宋_GB2312"/>
          <w:sz w:val="32"/>
          <w:szCs w:val="32"/>
        </w:rPr>
        <w:t xml:space="preserve"> 生猪定点屠宰企业1户，规模动物养殖企业115户，无公害农产品25个，餐饮具集中消毒服务单位3户。</w:t>
      </w:r>
    </w:p>
    <w:p>
      <w:pPr>
        <w:topLinePunct/>
        <w:adjustRightInd w:val="0"/>
        <w:snapToGrid w:val="0"/>
        <w:spacing w:line="560" w:lineRule="exact"/>
        <w:ind w:firstLine="640" w:firstLineChars="200"/>
        <w:rPr>
          <w:rFonts w:ascii="仿宋_GB2312" w:hAnsi="楷体"/>
          <w:szCs w:val="32"/>
        </w:rPr>
      </w:pPr>
      <w:r>
        <w:rPr>
          <w:rFonts w:hint="eastAsia" w:ascii="仿宋_GB2312" w:hAnsi="楷体"/>
          <w:szCs w:val="32"/>
        </w:rPr>
        <w:t>2.项目实施情况。</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w:t>
      </w:r>
      <w:r>
        <w:rPr>
          <w:rFonts w:hint="eastAsia" w:ascii="仿宋_GB2312" w:hAnsi="楷体"/>
          <w:szCs w:val="32"/>
          <w:lang w:val="en-US" w:eastAsia="zh-CN"/>
        </w:rPr>
        <w:t>1.</w:t>
      </w:r>
      <w:r>
        <w:rPr>
          <w:rFonts w:hint="eastAsia" w:ascii="仿宋_GB2312" w:hAnsi="楷体"/>
          <w:szCs w:val="32"/>
        </w:rPr>
        <w:t>）落实党政同责，完善食品安全治理体系</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东川区委、区政府始终把实施“食品安全”作为整顿和规范市场经济秩序的重中之重来抓。一是根据机构改革及时调整区政府食安委及创建国家食品安全示范城市工作领导小组组成单位和人员，制定了《东川区食品安全委员会工作规则》《东川区政府食品安全委员会食品安全专项协助小组议事规则》《东川区政府食品安全办公室工作细则》等文件，进一步完善相关制度，发挥食安委及办公室的统筹规划、协调联动的作用。二是在东川区2019年食品安全暨创建食品安全示范城市工作会议上，区委常委、区政府常务副区长、区食安委主任赵国明，区委常委、区政府副区长季赟，区政府副区长、区食安委副主任翁磊三位区级领导同时出席会议，赵副区长对2019年食品安全工作进行了安排部署，提出了明确要求，并与成员单位签订了目标责任书。三是在全区建立纵向到底、横向到边、覆盖全域的四级食品安全监管网络，并组织召开全区食品安全监管培训大会，培训对象覆盖各级食品安全监管员，培训内容涉及《中共中央办公厅 国务院办公厅印发地方党政领导干部食品安全责任制规定》《食品安全法》《云南省农村集体聚餐食品安全管理规范（试行）》等，进一步强化和落实各乡镇（街道）食品监督管理责任，强化基层食品监管工作。</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w:t>
      </w:r>
      <w:r>
        <w:rPr>
          <w:rFonts w:hint="eastAsia" w:ascii="仿宋_GB2312" w:hAnsi="楷体"/>
          <w:szCs w:val="32"/>
          <w:lang w:val="en-US" w:eastAsia="zh-CN"/>
        </w:rPr>
        <w:t>2.</w:t>
      </w:r>
      <w:r>
        <w:rPr>
          <w:rFonts w:hint="eastAsia" w:ascii="仿宋_GB2312" w:hAnsi="楷体"/>
          <w:szCs w:val="32"/>
        </w:rPr>
        <w:t>）强化食品安全宣传，营造良好的社会共治氛围</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一是结合“3.15国际消费者权益日”宣传咨询服务活动。通过悬挂布标、发放宣传资料向消费者宣传法律法规，现场展示过期食品、假冒伪劣药品、“三无”食品等38个样品，并通过现场接受群众咨询、投诉，为消费者答疑释惑；现场共发放宣传资料15000份（册），悬挂布标12条，接受咨询32人次，销毁假冒伪劣过期食品共2.1吨76个品种。二是6月18日,东川区围绕“尚德守法 食品安全让生活更美好”宣传主题，与全市同步开展了形式多样、内容丰富的食品安全周活动，通过“六个一”和食品安全系列主题日活动，共举办现场咨询活动8次，开展食品安全知识讲座2期，食品安全公开课1次，悬挂布标40条，制作宣传展板25块，免费测量血压600余人，发放宣传材料13000多份，宣传咨询服务群众近8000人。6月22日，云南省卫生健康委、昆明市卫生健康委、东川区政府联合在东川区举办主题为“尚德守法 食品安全让生活更美好”的2019年食品安全宣传周主题日活动。省、市、区卫生健康相关部门，区铜都街道办事处共15家单位120余人参加了本次活动。三是与东川区委宣传部合作，在东川电视台开设《市场卫士》专栏，专栏内容包括“民生关注”“聚焦市场”“市场讲堂”三个版面，定于每周五播出1期，周末重播1次，现已播出6期。通过东川电视台曝光整治工作中发现的典型案例开展警示教育，达到曝光一批，震慑一批的作用。四是充分利用新媒体新渠道扩大宣传面。通过东川电视台和“东川食安”、“东川发布”等宣传媒介，定期发布政府食品安全工作举措及食品安全知识，截至目前共发布食品安全预警信息7次，食品抽检信息、食品安全小知识17期。</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w:t>
      </w:r>
      <w:r>
        <w:rPr>
          <w:rFonts w:hint="eastAsia" w:ascii="仿宋_GB2312" w:hAnsi="楷体"/>
          <w:szCs w:val="32"/>
          <w:lang w:val="en-US" w:eastAsia="zh-CN"/>
        </w:rPr>
        <w:t>3.</w:t>
      </w:r>
      <w:r>
        <w:rPr>
          <w:rFonts w:hint="eastAsia" w:ascii="仿宋_GB2312" w:hAnsi="楷体"/>
          <w:szCs w:val="32"/>
        </w:rPr>
        <w:t>）建立联动机制，组织开展联合行动</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 xml:space="preserve">区食安办牵头组织开展了联合行动，一是开展春节前猪肉市场联合检查和农村假冒伪劣食品联合检查，以农村地区食品、小摊贩、小吃店、小餐馆、小商店、小作坊、校园周边等为重点场所，共出动26人次，9辆车次，共检查餐饮服务单位136户，商店51户，猪肉摊点101户次，小作坊83户，现场销毁无中文标识、无检疫合格证等冰冻鸡脚10公斤，超保质期食品80公斤，发放宣传材料200余份，立案查处涉嫌销售假冒伪劣白酒1户，罚没款121998元,抽检问题白酒5批。二是开展校园食品安全守护专项行动，重点对各学校落实校园食品安全责任进行指导和督促，要求学校加强食品安全教育和日常监管，降低食品安全风险，及时消除食品安全隐患，检查校园及周边食品经营户279户，限期整改35户，现场销毁过期食品151.5公斤和外包装标识标签不符合食品30.5公斤。食品安全约谈食品批发经营户5户，对校园周边各食品经营单位下发“告校园周边食品销售者责任”告知书150份。开展“食品安全进校园”宣传活动4次，共有学校师生4000余人参加，发放食品安全宣传材料1800份。三是在“不忘初心 牢记使命”主题教育中开展整治食品安全问题联合行动，共出动执法人员1035人次，车辆185辆次，检查豆芽、豆腐生产场所4户、农贸市场677次、猪肉销售摊1190户、餐饮服务单位449户、超市126户次，限期整改110户，已完成整改89户，发放“告知书”583份，下发整改意见17份，对销售猪肉无两证两票经营户进行立案查处，罚金1.5万元。 </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w:t>
      </w:r>
      <w:r>
        <w:rPr>
          <w:rFonts w:hint="eastAsia" w:ascii="仿宋_GB2312" w:hAnsi="楷体"/>
          <w:szCs w:val="32"/>
          <w:lang w:val="en-US" w:eastAsia="zh-CN"/>
        </w:rPr>
        <w:t>4.</w:t>
      </w:r>
      <w:r>
        <w:rPr>
          <w:rFonts w:hint="eastAsia" w:ascii="仿宋_GB2312" w:hAnsi="楷体"/>
          <w:szCs w:val="32"/>
        </w:rPr>
        <w:t>）加强全程监管，扎实开展食品放心工程</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lang w:val="en-US" w:eastAsia="zh-CN"/>
        </w:rPr>
        <w:t>第一、</w:t>
      </w:r>
      <w:r>
        <w:rPr>
          <w:rFonts w:hint="eastAsia" w:ascii="仿宋_GB2312" w:hAnsi="楷体"/>
          <w:szCs w:val="32"/>
        </w:rPr>
        <w:t>加强源头综合治理，严防不合格产品进入市场</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一是抓好农畜产品的检测、检疫工作，保证农产品质量安全。完成蔬菜抽样2569个，合格2569个，合格率100%；屠宰环节检疫生猪30183头，收讫《动物检疫合格证明》2345份，宰后检疫30428头，合格30325头，检出种（母）猪739头，高温处理3头，销毁100头，出具动物产品B证12825份；完成产地环节检疫生猪39706头，牛2496头，羊755只，禽类97697羽，马属动物265匹，开具动物B证1950份；开展养殖环节和屠宰环节“瘦肉精”检测工作，共出动执法人员109人，执法车辆34次，检查存栏肥猪21920头，羊存栏1300只、牛存栏259头、屠宰生猪34920头，没有发现“瘦肉精”阳性反应。二是稳步发展“三品一标”，推进品牌建设工作，投入60万元对新申报的“三品一标”的种养殖各类新型经营主体实施品牌建设以奖代补。积极组织7家企业申请无公害农产品认证，2家企业申报绿色食品认证，1家事业单位申报农产品地理标志。截止目前，东川区已获证三品一标的企业共有15家29个产品（13家无公害25个产品，2家绿色4个产品）。三是开展水产养殖专项整治，共出动执法人员68人次，检查了养殖企业、养殖专业组织或个体养殖户100家，查处无证生产和使用禁药行为。四是加强农资市场监管。共出动执法人员480人次，检查农资经销店191家次，农药店114店次，检查蔬菜生产基地5家次，兽药经营企业26家次，化肥经营店7家次，宠物店7家次，农药标签抽查100个样品，对个别台账记录不全的经营户提出整改意见并督促整改，对查出过期饲料已责令下架，停止销售。五是锁定基地，抓好农产品可追溯体系建设。累计投入18.419万元为6家企业、红土地镇和阿旺镇农产品质量安全检测站配备农残检测设备和办公设备，目前已有14家企业纳入追溯平台。</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lang w:val="en-US" w:eastAsia="zh-CN"/>
        </w:rPr>
        <w:t>第二、</w:t>
      </w:r>
      <w:r>
        <w:rPr>
          <w:rFonts w:hint="eastAsia" w:ascii="仿宋_GB2312" w:hAnsi="楷体"/>
          <w:szCs w:val="32"/>
        </w:rPr>
        <w:t>加强生产、流通和餐饮服务环节监管</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一是组织开展 “两节”、“两会”和“国庆”期间食品安全专项检查，春、秋节学校食堂专项检查，冷冻食品专项检查，厨房废弃物饲喂生猪专项检查，过桥米线放心消费专项检查，区级河长巡查深沟发现问题整改专项检查，网络餐饮服务订餐食品安全专项检查，扫黑除恶专项斗争市场领域乱象乱点整治“利剑”行动食品市场整治，粉丝、粉条面制品专项检查共10次，共检查餐饮服务单位1421户次，白酒小作坊生产84户，月饼小作坊6户，豆芽生产加工场所4户，粉丝、粉条生产单位46户，下发监督意见书210份，警告8户，食品安全约谈23户,发告知书375份，指导建立台账126户，建立食品添加剂使用公示栏9户。现场销毁不合格食品81个品种455袋599.9公斤。二是检查餐饮服务单位1700户，监督覆盖率达100%，同时开展餐饮服务食品安全量化分级790户，量化评分率98.1%（应量化805户，实际量化790户）。优秀127户，良好542户，一般121户。加大餐饮服务单位“明厨亮灶，阳光厨房”建设力度，全区“明厨亮灶，阳光厨房”建设率实现大型餐饮服务单位和学校幼儿园食堂视频阳光厨房建设率达100%。三是开展食品生产企业进行风险分级等级检查，对一些存在问题的食品生产企业从生产环境条件，生产过程控制，设施设备完善，添加剂管控等方面进行提升整改，累计投入7.7万元资金。四是指导4户过桥米线餐饮服务单位升级改造,实现“经营主体合规，原料合格可塑，加工过程规范，消费安全放心”的目标，累计投资10.6万元，提升改造后的经营场所为消费者提供了干净明亮的米线消费场所。五是开展“保健”市场乱象百日行动，对发现有不规范经营行为的经营户进行了食品安全约谈。共检查药店39户，超市57户，保健食品专卖店9户，会所3户，推拿店1户，共109户。食品安全约谈8户，发送《整治“保健”市场乱象百日行动告知书》109份。督促各药店及保健食品专卖店在保健食品专卖区贴红色标识“保健食品不能代替药品”68户，围绕“科学认知保健食品，明白理性放心消费”开展保健食品宣传进社区等“六进”宣传七次，解答咨询问题21人次，发放宣传材料1200份，宣传培训3000余人次。六是为全区重要会议、重大活动开展食品安全保障8起，更换菜品34种，审核菜单72份，封存样品72份，保障人数13493人次。</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lang w:val="en-US" w:eastAsia="zh-CN"/>
        </w:rPr>
        <w:t>第三、</w:t>
      </w:r>
      <w:r>
        <w:rPr>
          <w:rFonts w:hint="eastAsia" w:ascii="仿宋_GB2312" w:hAnsi="楷体"/>
          <w:szCs w:val="32"/>
        </w:rPr>
        <w:t>多举措开展非洲猪瘟防控工作</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区农业农村局一是派驻官方兽医6人，公益性岗位2人，开展生猪定点屠宰场屠宰检疫工作。二是开设临时卡点安排专人值守检查，各乡镇共设立14个临时卡点。共检查畜禽运输车辆243辆，查验生猪0头，牛1335头、羊4569只、禽类62只、马属4匹。同时，在主要交通要道口开展移动巡查 20个次，出动执法人员40人次，查堵非法运输，截止目前共检查到6辆车，其中拉羊车辆4辆共125只，拉驴车辆1辆共2匹、拉马车辆1辆共2匹，未查到生猪运输车辆。在主要交通口显眼位置张贴东川区人民政府通告8张。三是出动45人次，11车次现场监督指导生猪异常死亡无害化处理工作20多起，丢弃病死猪无害化处理工作7起，所有病死猪已全部深埋处理，对运输无证50头生猪进行无害化处理。</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东川区市场监督管理局将任务细化到各乡镇监管所和城区各网格片区，进行拉网排查，严格落实各项防控措施。出动1278人次，车辆188辆次，检查自发形成生猪交易市场33个点次，劝退欲进行生猪交易211头，检查农贸市场697个次。猪肉销售摊1695户次，销售猪肉1632头次，检查餐饮服务（包括学校、幼儿园食堂）1805户次；检查超市135户，冷冻食品经营户7户次，下发“严控非洲猪瘟疫情全区餐饮服务单位有关事项告知书”1565份。指导建立“餐厨废弃物处理登记记录”78户，建立健全“食品采购登记记录”43户，食品安全约谈私宰家养猪肉销售1户，对不认真落实食品采购索证索票及台账登记制度经营户警告4户（已落实整改），食品安全抽样检验（腌制火腿）3批，移交动监所做无害化处理冰冻猪肉37.6公斤，现场销毁外包装无标识的冰冻鸡脚、冰冻鱼等36袋36公斤。</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lang w:val="en-US" w:eastAsia="zh-CN"/>
        </w:rPr>
        <w:t>第四、</w:t>
      </w:r>
      <w:r>
        <w:rPr>
          <w:rFonts w:hint="eastAsia" w:ascii="仿宋_GB2312" w:hAnsi="楷体"/>
          <w:szCs w:val="32"/>
        </w:rPr>
        <w:t xml:space="preserve"> 加强粮油食品安全管理</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一是认真落实粮食“危仓老库”修复及改造，现已完成所有改造任务；加快流通产业扶持力度，提升智能化粮库升级改造项目，完成230万元智慧粮库升级改造任务；积极落实国有粮食仓储物流设施保护制度，按规定完成全区粮油仓储设施保护登记工作。二是地方粮食储备按照《粮食储藏技术规范》要求做到“一符、三专、四落实”，达到“一符四无”标准， “一符”率达到100%，“四无”率达95%，科学储粮率达100%。三是开展学生粮供应企业、粮食加工企业、粮食储存企业及粮油批发市场的粮油产品质量进行专项检查，全年开展检查17次，出动人员43人次，检查企业31个次，“放心粮店”4个次。四是开展全国政策性粮食库存数量和质量大清查。制定了《东川区人民政府关于2019年全国政策性粮食库存数量和质量大清查工作实施方案》，成立了东川区政策性粮食库存数量和质量大清查实施工作领导小组，顺利完成了大检查工作任务。</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lang w:val="en-US" w:eastAsia="zh-CN"/>
        </w:rPr>
        <w:t>第五、</w:t>
      </w:r>
      <w:r>
        <w:rPr>
          <w:rFonts w:hint="eastAsia" w:ascii="仿宋_GB2312" w:hAnsi="楷体"/>
          <w:szCs w:val="32"/>
        </w:rPr>
        <w:t>加强清真食品的监管</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一是组织区清真食品义务监督员对城区清真食品经营户开展国庆中秋“两节”清真食品安全检查, 严格按照“五查”要求，进行严格检查，检查是否存在清真概念“泛化”，是否存在网络舆情炒作;二是深入严格把控清真食品安全关和舆情关,检查清真食品准营证换证工作是否全面完成,检查清真月饼生产经营户、农（集）贸市场、商场超市、摊点售卖清真月饼、清真肉类及肉制品是否为清真食品。共检查清真食品生产企业2家，清真食品经营户100余家、超市2个，没有发现清真泛化和网络舆情炒作的问题；三是全区办理了清真食品准营证的经营户135家已全部完成换证工作。</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lang w:val="en-US" w:eastAsia="zh-CN"/>
        </w:rPr>
        <w:t>第六、</w:t>
      </w:r>
      <w:r>
        <w:rPr>
          <w:rFonts w:hint="eastAsia" w:ascii="仿宋_GB2312" w:hAnsi="楷体"/>
          <w:szCs w:val="32"/>
        </w:rPr>
        <w:t>加强学校食堂管理</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一是大宗食品实现招投标定点采购。根据国家营养办的文件要求，区教育体育局按照招投标的正规程序，于2018年7月初启动了第二轮学校食堂食品招标工作，使各学校所需食材、蛋奶等全部实现了定点采购，各企业配送食品时必须提供相关的证件和凭证，在保证质量的同时，还能有源头可追溯。二是东川区已开办食堂的85所学校、幼儿园已整体地推进食堂“6T”务实管理模式。三是推动建设食品安全责任保险制度。2019年共有44所学校（园）为学生购买食品安全责任险，其中公办学校（园）20所，民办幼儿园24所，从2017年要求学校（园）为学生购买食品安全责任险以来，购买学校（园）数逐年递增。四是积极开展“学生营养改善行动”。东川区教育体育局施行农村中小学营养改善计划全覆盖，城区学校按照建档立卡贫困户和易地搬迁学生享受营养改善计划的原则实施。2019年共下拨营养改善计划资金2483.8万元，让23460名学生受益。</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lang w:val="en-US" w:eastAsia="zh-CN"/>
        </w:rPr>
        <w:t>第七、</w:t>
      </w:r>
      <w:r>
        <w:rPr>
          <w:rFonts w:hint="eastAsia" w:ascii="仿宋_GB2312" w:hAnsi="楷体"/>
          <w:szCs w:val="32"/>
        </w:rPr>
        <w:t>加强食品安全风险监测</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一是对全区7家集中式供水单位、21家二次供水单位和3家餐饮具集中消毒服务单位开展了卫生监督专项检查工作。针对发现问题，卫生监督员现场给予指导、培训，提高经营企业的法律意识和责任意识。二是区各医疗机构落实食源性疾病监测上报责任。东川区人民医院制定了食源性疾病监测工作奖励措施，每报告一例奖励20元，截止目前，全区医疗机构通过“食源性疾病监测报告系统”审核上报食源性疾病332例。三是为食品药品相关从业人员健康体检6381人，办证6380人。</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lang w:val="en-US" w:eastAsia="zh-CN"/>
        </w:rPr>
        <w:t>第八、</w:t>
      </w:r>
      <w:r>
        <w:rPr>
          <w:rFonts w:hint="eastAsia" w:ascii="仿宋_GB2312" w:hAnsi="楷体"/>
          <w:szCs w:val="32"/>
        </w:rPr>
        <w:t>加强案件查处，严厉打击违法犯罪行为</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区市场监管局共办理食品案件30件，结案20件，罚没款16.70万元。2018年共办理食品案件57件，罚没款12.78万元。与2018年相比罚没款增长了30.67%。农业农村局办理案件20件，结案20件,罚款金额4.631万元。</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lang w:val="en-US" w:eastAsia="zh-CN"/>
        </w:rPr>
        <w:t>第九、认真</w:t>
      </w:r>
      <w:r>
        <w:rPr>
          <w:rFonts w:hint="eastAsia" w:ascii="仿宋_GB2312" w:hAnsi="楷体"/>
          <w:szCs w:val="32"/>
        </w:rPr>
        <w:t>组织开展食品安全培训</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召开米线生产质量及过桥米线放心消费培训会，农村集体聚餐食品安全管理培训，学校幼儿园第一责任人食品安全培训，铜都街道学校幼儿园食堂负责人及从业人员培训，科学认知保健食品明白理性放心消费培训，发酵面制品风险排查会，散装白酒生产加工小作坊食品安全风险排查会，“利剑”行动食品行业整治动员大会，食品安全进一小、三小、四小、尼拉姑小学宣传等培训，共计13次，培训6272人次。</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lang w:val="en-US" w:eastAsia="zh-CN"/>
        </w:rPr>
        <w:t>第十、</w:t>
      </w:r>
      <w:r>
        <w:rPr>
          <w:rFonts w:hint="eastAsia" w:ascii="仿宋_GB2312" w:hAnsi="楷体"/>
          <w:szCs w:val="32"/>
        </w:rPr>
        <w:t>加大食品抽检力度</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2019年食品抽检工作以食用农产品、粮食加工品、食用油、调味品、谷物粉类制品、桶装饮用水、白酒、熟肉制品、儿童食品、月饼、粽子等为重点，确保抽样反映我区食品安全整体状况,圆满完成监督抽检任务，共完成抽检1259批次（市场监管局完成国抽13批，省抽94批，市抽627批，区抽65批；农业局完成食用农产品116批，卫健局完成餐饮具56批、饮用水167批、食品40批，发改局完成粮油81批）其中主要针对农药兽药残留的食品检验726批次，达到2 份/千人检测量。同时，督促散装白酒小作坊送检白酒93批，鲜粮制品小作坊经营户送检12批。3.资金来源及使用情况。</w:t>
      </w:r>
    </w:p>
    <w:p>
      <w:pPr>
        <w:widowControl/>
        <w:numPr>
          <w:ilvl w:val="0"/>
          <w:numId w:val="2"/>
        </w:numPr>
        <w:spacing w:line="560" w:lineRule="exact"/>
        <w:ind w:left="0" w:leftChars="0" w:firstLine="640" w:firstLineChars="200"/>
        <w:jc w:val="left"/>
        <w:rPr>
          <w:rFonts w:ascii="楷体" w:hAnsi="楷体" w:eastAsia="楷体"/>
          <w:szCs w:val="32"/>
        </w:rPr>
      </w:pPr>
      <w:r>
        <w:rPr>
          <w:rFonts w:hint="eastAsia" w:ascii="仿宋_GB2312" w:hAnsi="楷体"/>
          <w:szCs w:val="32"/>
        </w:rPr>
        <w:t>组织及管理情况。</w:t>
      </w:r>
    </w:p>
    <w:p>
      <w:pPr>
        <w:widowControl/>
        <w:numPr>
          <w:ilvl w:val="0"/>
          <w:numId w:val="0"/>
        </w:numPr>
        <w:spacing w:line="560" w:lineRule="exact"/>
        <w:ind w:firstLine="640" w:firstLineChars="200"/>
        <w:jc w:val="left"/>
        <w:rPr>
          <w:rFonts w:ascii="仿宋_GB2312" w:hAnsi="楷体"/>
          <w:szCs w:val="32"/>
        </w:rPr>
      </w:pPr>
      <w:r>
        <w:rPr>
          <w:rFonts w:hint="eastAsia" w:ascii="仿宋_GB2312" w:hAnsi="楷体"/>
          <w:szCs w:val="32"/>
          <w:lang w:val="en-US" w:eastAsia="zh-CN"/>
        </w:rPr>
        <w:t>该项目资金主要用于创建国家食品安全示范城市的各项日常支出，包括印刷费、办公费、差旅费、业务用车购置费等，资金支出严格按照东川区差旅费管理办法、政府采购相关规定及</w:t>
      </w:r>
      <w:r>
        <w:rPr>
          <w:rFonts w:hint="eastAsia" w:ascii="仿宋_GB2312" w:hAnsi="宋体" w:cs="宋体"/>
          <w:kern w:val="0"/>
          <w:szCs w:val="32"/>
        </w:rPr>
        <w:t>本单位《财务管理制度》、《办公用品管理制度》、《财务报销制度》</w:t>
      </w:r>
      <w:r>
        <w:rPr>
          <w:rFonts w:hint="eastAsia" w:ascii="仿宋_GB2312" w:hAnsi="宋体" w:cs="宋体"/>
          <w:kern w:val="0"/>
          <w:szCs w:val="32"/>
          <w:lang w:eastAsia="zh-CN"/>
        </w:rPr>
        <w:t>、《</w:t>
      </w:r>
      <w:r>
        <w:rPr>
          <w:rFonts w:hint="eastAsia" w:ascii="仿宋_GB2312" w:hAnsi="宋体" w:cs="宋体"/>
          <w:kern w:val="0"/>
          <w:szCs w:val="32"/>
          <w:lang w:val="en-US" w:eastAsia="zh-CN"/>
        </w:rPr>
        <w:t>差旅费管理规定》</w:t>
      </w:r>
      <w:r>
        <w:rPr>
          <w:rFonts w:hint="eastAsia" w:ascii="仿宋_GB2312" w:hAnsi="宋体" w:cs="宋体"/>
          <w:kern w:val="0"/>
          <w:szCs w:val="32"/>
        </w:rPr>
        <w:t>等</w:t>
      </w:r>
      <w:r>
        <w:rPr>
          <w:rFonts w:hint="eastAsia" w:ascii="仿宋_GB2312" w:hAnsi="宋体" w:cs="宋体"/>
          <w:kern w:val="0"/>
          <w:szCs w:val="32"/>
          <w:lang w:val="en-US" w:eastAsia="zh-CN"/>
        </w:rPr>
        <w:t>相关规定使用</w:t>
      </w:r>
      <w:r>
        <w:rPr>
          <w:rFonts w:hint="eastAsia" w:ascii="仿宋_GB2312" w:hAnsi="宋体" w:cs="宋体"/>
          <w:kern w:val="0"/>
          <w:szCs w:val="32"/>
        </w:rPr>
        <w:t>。</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（二）绩效目标。</w:t>
      </w:r>
    </w:p>
    <w:p>
      <w:p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1.总目标。</w:t>
      </w:r>
    </w:p>
    <w:p>
      <w:pPr>
        <w:topLinePunct/>
        <w:adjustRightInd w:val="0"/>
        <w:snapToGrid w:val="0"/>
        <w:spacing w:line="560" w:lineRule="exact"/>
        <w:ind w:firstLine="800" w:firstLineChars="250"/>
        <w:rPr>
          <w:rFonts w:hint="default" w:ascii="仿宋_GB2312" w:hAnsi="楷体" w:eastAsia="仿宋_GB2312"/>
          <w:szCs w:val="32"/>
          <w:lang w:val="en-US" w:eastAsia="zh-CN"/>
        </w:rPr>
      </w:pPr>
      <w:r>
        <w:rPr>
          <w:rFonts w:hint="eastAsia" w:ascii="仿宋_GB2312" w:hAnsi="楷体"/>
          <w:szCs w:val="32"/>
          <w:lang w:val="en-US" w:eastAsia="zh-CN"/>
        </w:rPr>
        <w:t>进一步规范食品市场秩序，保障人民群众饮食安全，达到国家食品安全示范城市评价标准，维护食品市场经济秩序。</w:t>
      </w:r>
    </w:p>
    <w:p>
      <w:pPr>
        <w:numPr>
          <w:ilvl w:val="0"/>
          <w:numId w:val="3"/>
        </w:numPr>
        <w:topLinePunct/>
        <w:adjustRightInd w:val="0"/>
        <w:snapToGrid w:val="0"/>
        <w:spacing w:line="560" w:lineRule="exact"/>
        <w:ind w:firstLine="800" w:firstLineChars="250"/>
        <w:rPr>
          <w:rFonts w:hint="eastAsia" w:ascii="仿宋_GB2312" w:hAnsi="楷体"/>
          <w:szCs w:val="32"/>
        </w:rPr>
      </w:pPr>
      <w:r>
        <w:rPr>
          <w:rFonts w:hint="eastAsia" w:ascii="仿宋_GB2312" w:hAnsi="楷体"/>
          <w:szCs w:val="32"/>
        </w:rPr>
        <w:t>年度目标。包括产出目标、效果目标。</w:t>
      </w:r>
    </w:p>
    <w:p>
      <w:pPr>
        <w:numPr>
          <w:ilvl w:val="0"/>
          <w:numId w:val="0"/>
        </w:numPr>
        <w:topLinePunct/>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b w:val="0"/>
          <w:bCs/>
          <w:sz w:val="32"/>
          <w:szCs w:val="32"/>
        </w:rPr>
        <w:t>一是</w:t>
      </w:r>
      <w:r>
        <w:rPr>
          <w:rFonts w:hint="eastAsia" w:ascii="仿宋_GB2312" w:hAnsi="宋体" w:eastAsia="仿宋_GB2312"/>
          <w:sz w:val="32"/>
          <w:szCs w:val="32"/>
        </w:rPr>
        <w:t>制定《东川区食品安全委员会工作规则》《东川区政府食品安全委员会食品安全专项协助小组议事规则》《东川区政府食品安全办公室工作细则》等文件，进一步完善相关制度，发挥食安委及办公室的统筹规划、协调联动的作用。</w:t>
      </w:r>
    </w:p>
    <w:p>
      <w:p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sz w:val="32"/>
          <w:szCs w:val="32"/>
          <w:lang w:val="en-US" w:eastAsia="zh-CN"/>
        </w:rPr>
        <w:t>二是</w:t>
      </w:r>
      <w:r>
        <w:rPr>
          <w:rFonts w:hint="eastAsia" w:ascii="仿宋_GB2312" w:hAnsi="宋体" w:eastAsia="仿宋_GB2312"/>
          <w:sz w:val="32"/>
          <w:szCs w:val="32"/>
        </w:rPr>
        <w:t>开展了形式多样、内容丰富的食品安全</w:t>
      </w:r>
      <w:r>
        <w:rPr>
          <w:rFonts w:hint="eastAsia" w:ascii="仿宋_GB2312" w:hAnsi="宋体"/>
          <w:sz w:val="32"/>
          <w:szCs w:val="32"/>
          <w:lang w:val="en-US" w:eastAsia="zh-CN"/>
        </w:rPr>
        <w:t>宣传咨询服务</w:t>
      </w:r>
      <w:r>
        <w:rPr>
          <w:rFonts w:hint="eastAsia" w:ascii="仿宋_GB2312" w:hAnsi="宋体" w:eastAsia="仿宋_GB2312"/>
          <w:sz w:val="32"/>
          <w:szCs w:val="32"/>
        </w:rPr>
        <w:t>活动</w:t>
      </w:r>
      <w:r>
        <w:rPr>
          <w:rFonts w:hint="eastAsia" w:ascii="仿宋_GB2312" w:hAnsi="宋体"/>
          <w:sz w:val="32"/>
          <w:szCs w:val="32"/>
          <w:lang w:eastAsia="zh-CN"/>
        </w:rPr>
        <w:t>。</w:t>
      </w:r>
      <w:r>
        <w:rPr>
          <w:rFonts w:hint="eastAsia" w:ascii="仿宋_GB2312" w:hAnsi="宋体" w:eastAsia="仿宋_GB2312"/>
          <w:sz w:val="32"/>
          <w:szCs w:val="32"/>
        </w:rPr>
        <w:t>举办现场咨询活动8次</w:t>
      </w:r>
      <w:r>
        <w:rPr>
          <w:rFonts w:hint="eastAsia" w:ascii="仿宋_GB2312" w:hAnsi="宋体"/>
          <w:sz w:val="32"/>
          <w:szCs w:val="32"/>
          <w:lang w:eastAsia="zh-CN"/>
        </w:rPr>
        <w:t>，</w:t>
      </w:r>
      <w:r>
        <w:rPr>
          <w:rFonts w:hint="eastAsia" w:ascii="仿宋_GB2312" w:hAnsi="宋体" w:eastAsia="仿宋_GB2312" w:cs="仿宋_GB2312"/>
          <w:sz w:val="32"/>
          <w:szCs w:val="32"/>
        </w:rPr>
        <w:t>开展食品安全知识讲座2期，</w:t>
      </w:r>
      <w:r>
        <w:rPr>
          <w:rFonts w:hint="eastAsia" w:ascii="仿宋_GB2312" w:hAnsi="宋体" w:eastAsia="仿宋_GB2312"/>
          <w:sz w:val="32"/>
          <w:szCs w:val="32"/>
        </w:rPr>
        <w:t>食品安全公开课1次，</w:t>
      </w:r>
      <w:r>
        <w:rPr>
          <w:rFonts w:hint="eastAsia" w:ascii="仿宋_GB2312" w:hAnsi="宋体"/>
          <w:sz w:val="32"/>
          <w:szCs w:val="32"/>
          <w:lang w:val="en-US" w:eastAsia="zh-CN"/>
        </w:rPr>
        <w:t>悬挂宣传布标52条，</w:t>
      </w:r>
      <w:r>
        <w:rPr>
          <w:rFonts w:hint="eastAsia" w:ascii="仿宋_GB2312" w:hAnsi="宋体" w:eastAsia="仿宋_GB2312"/>
          <w:sz w:val="32"/>
          <w:szCs w:val="32"/>
        </w:rPr>
        <w:t>制作宣传展板25块，</w:t>
      </w:r>
      <w:r>
        <w:rPr>
          <w:rFonts w:hint="eastAsia" w:ascii="仿宋_GB2312" w:hAnsi="宋体"/>
          <w:sz w:val="32"/>
          <w:szCs w:val="32"/>
          <w:lang w:val="en-US" w:eastAsia="zh-CN"/>
        </w:rPr>
        <w:t>发放宣传资料30000份，接受群众咨询32次。</w:t>
      </w:r>
      <w:r>
        <w:rPr>
          <w:rFonts w:hint="eastAsia" w:ascii="仿宋_GB2312" w:hAnsi="宋体" w:eastAsia="仿宋_GB2312" w:cs="仿宋_GB2312"/>
          <w:color w:val="000000"/>
          <w:sz w:val="32"/>
          <w:szCs w:val="32"/>
        </w:rPr>
        <w:t>在东川电视台开设《市场卫士》专栏，专栏内容包括“民生关注”“聚焦市场”“市场讲堂”</w:t>
      </w:r>
      <w:r>
        <w:rPr>
          <w:rFonts w:hint="eastAsia" w:ascii="仿宋_GB2312" w:hAnsi="宋体" w:cs="仿宋_GB2312"/>
          <w:color w:val="000000"/>
          <w:sz w:val="32"/>
          <w:szCs w:val="32"/>
          <w:lang w:val="en-US" w:eastAsia="zh-CN"/>
        </w:rPr>
        <w:t>等。</w:t>
      </w:r>
      <w:r>
        <w:rPr>
          <w:rFonts w:hint="eastAsia" w:ascii="仿宋_GB2312" w:hAnsi="宋体" w:eastAsia="仿宋_GB2312"/>
          <w:sz w:val="32"/>
          <w:szCs w:val="32"/>
        </w:rPr>
        <w:t>充分利用新媒体新渠道“东川食安”、“东川发布”</w:t>
      </w:r>
      <w:r>
        <w:rPr>
          <w:rFonts w:hint="eastAsia" w:ascii="仿宋_GB2312" w:hAnsi="宋体"/>
          <w:sz w:val="32"/>
          <w:szCs w:val="32"/>
          <w:lang w:val="en-US" w:eastAsia="zh-CN"/>
        </w:rPr>
        <w:t>微信公众号</w:t>
      </w:r>
      <w:r>
        <w:rPr>
          <w:rFonts w:hint="eastAsia" w:ascii="仿宋_GB2312" w:hAnsi="宋体" w:eastAsia="仿宋_GB2312"/>
          <w:sz w:val="32"/>
          <w:szCs w:val="32"/>
        </w:rPr>
        <w:t>扩大宣传面，定期发布政府食品安全工作举措及食品安全知识，截至目前共发布食品安全预警信息7次，食品抽检信息、食品安全小知识17期。</w:t>
      </w:r>
    </w:p>
    <w:p>
      <w:pPr>
        <w:numPr>
          <w:ilvl w:val="0"/>
          <w:numId w:val="0"/>
        </w:numPr>
        <w:topLinePunct/>
        <w:adjustRightInd w:val="0"/>
        <w:snapToGrid w:val="0"/>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sz w:val="32"/>
          <w:szCs w:val="32"/>
          <w:lang w:val="en-US" w:eastAsia="zh-CN"/>
        </w:rPr>
        <w:t>三是区食安办牵头组织开展节日食品安全联合行动、校园食品安全守护专项行动。</w:t>
      </w:r>
      <w:r>
        <w:rPr>
          <w:rFonts w:hint="eastAsia" w:ascii="仿宋_GB2312" w:hAnsi="宋体" w:eastAsia="仿宋_GB2312" w:cs="仿宋_GB2312"/>
          <w:sz w:val="32"/>
          <w:szCs w:val="32"/>
        </w:rPr>
        <w:t>开展春节前猪肉市场联合检查和农村假冒伪劣食品联合检查</w:t>
      </w:r>
      <w:r>
        <w:rPr>
          <w:rFonts w:hint="eastAsia" w:ascii="仿宋_GB2312" w:hAnsi="宋体" w:cs="仿宋_GB2312"/>
          <w:sz w:val="32"/>
          <w:szCs w:val="32"/>
          <w:lang w:eastAsia="zh-CN"/>
        </w:rPr>
        <w:t>；</w:t>
      </w:r>
      <w:r>
        <w:rPr>
          <w:rFonts w:hint="eastAsia" w:ascii="仿宋_GB2312" w:hAnsi="宋体" w:eastAsia="仿宋_GB2312" w:cs="仿宋_GB2312"/>
          <w:sz w:val="32"/>
          <w:szCs w:val="32"/>
        </w:rPr>
        <w:t>检查校园及周边食品经营户279户，限期整改35户，下发“告校园周边食品销售者责任”告知书150份。开展“食品安全进校园”宣传活动4次，共有学校师生4000余人参加，发放食品安全宣传材料1800份。</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四是加强源头综合治理，严防不合格产品进入市场。抓好农畜产品的检测、检疫工作，保证农产品质量安全。稳步发展“三品一标”，推进品牌建设工作，开展水产养殖专项整治。</w:t>
      </w:r>
    </w:p>
    <w:p>
      <w:pPr>
        <w:numPr>
          <w:ilvl w:val="0"/>
          <w:numId w:val="0"/>
        </w:numPr>
        <w:topLinePunct/>
        <w:adjustRightInd w:val="0"/>
        <w:snapToGrid w:val="0"/>
        <w:spacing w:line="560" w:lineRule="exact"/>
        <w:ind w:firstLine="640" w:firstLineChars="200"/>
        <w:rPr>
          <w:rFonts w:hint="eastAsia" w:ascii="黑体" w:hAnsi="黑体" w:eastAsia="黑体"/>
          <w:szCs w:val="32"/>
          <w:lang w:val="en-US" w:eastAsia="zh-CN"/>
        </w:rPr>
      </w:pPr>
      <w:r>
        <w:rPr>
          <w:rFonts w:hint="eastAsia" w:ascii="仿宋_GB2312" w:hAnsi="宋体"/>
          <w:sz w:val="32"/>
          <w:szCs w:val="32"/>
          <w:lang w:val="en-US" w:eastAsia="zh-CN"/>
        </w:rPr>
        <w:t>五是加强农资市场监管；</w:t>
      </w:r>
      <w:r>
        <w:rPr>
          <w:rFonts w:hint="eastAsia" w:ascii="仿宋_GB2312" w:hAnsi="黑体" w:eastAsia="仿宋_GB2312"/>
          <w:sz w:val="32"/>
          <w:szCs w:val="32"/>
        </w:rPr>
        <w:t>抓好农产品可追溯体系建设</w:t>
      </w:r>
      <w:r>
        <w:rPr>
          <w:rFonts w:hint="eastAsia" w:ascii="仿宋_GB2312" w:hAnsi="黑体"/>
          <w:sz w:val="32"/>
          <w:szCs w:val="32"/>
          <w:lang w:eastAsia="zh-CN"/>
        </w:rPr>
        <w:t>；</w:t>
      </w:r>
      <w:r>
        <w:rPr>
          <w:rFonts w:hint="eastAsia" w:ascii="仿宋_GB2312" w:hAnsi="黑体" w:eastAsia="仿宋_GB2312"/>
          <w:sz w:val="32"/>
          <w:szCs w:val="32"/>
        </w:rPr>
        <w:t>加强生产、流通和餐饮服务环节监管</w:t>
      </w:r>
      <w:r>
        <w:rPr>
          <w:rFonts w:hint="eastAsia" w:ascii="仿宋_GB2312" w:hAnsi="黑体"/>
          <w:sz w:val="32"/>
          <w:szCs w:val="32"/>
          <w:lang w:eastAsia="zh-CN"/>
        </w:rPr>
        <w:t>；多举措开展非洲猪瘟防控工作；加强粮油食品安全管理；加强清真食品的监管；加强学校食堂管理；认真组织开展食品安全培训；加大食品抽检力度。</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通过以上工作的开展，提高人民群众对食品安全相关知识的知晓率；促进食品生产经营主体规范生产；从而保障人民群众身体健康和生命安全。</w:t>
      </w:r>
    </w:p>
    <w:p>
      <w:pPr>
        <w:topLinePunct/>
        <w:adjustRightInd w:val="0"/>
        <w:snapToGrid w:val="0"/>
        <w:spacing w:line="560" w:lineRule="exact"/>
        <w:ind w:firstLine="800" w:firstLineChars="250"/>
        <w:rPr>
          <w:rFonts w:ascii="黑体" w:hAnsi="黑体" w:eastAsia="黑体"/>
          <w:szCs w:val="32"/>
        </w:rPr>
      </w:pPr>
      <w:r>
        <w:rPr>
          <w:rFonts w:hint="eastAsia" w:ascii="黑体" w:hAnsi="黑体" w:eastAsia="黑体"/>
          <w:szCs w:val="32"/>
        </w:rPr>
        <w:t>二、绩效评价工作情况</w:t>
      </w:r>
    </w:p>
    <w:p>
      <w:pPr>
        <w:topLinePunct/>
        <w:adjustRightInd w:val="0"/>
        <w:snapToGrid w:val="0"/>
        <w:spacing w:line="560" w:lineRule="exact"/>
        <w:ind w:firstLine="800" w:firstLineChars="250"/>
        <w:rPr>
          <w:rFonts w:ascii="仿宋_GB2312" w:hAnsi="楷体"/>
          <w:szCs w:val="32"/>
        </w:rPr>
      </w:pPr>
      <w:r>
        <w:rPr>
          <w:rFonts w:hint="eastAsia" w:ascii="楷体" w:hAnsi="楷体" w:eastAsia="楷体"/>
          <w:szCs w:val="32"/>
        </w:rPr>
        <w:t>（一）绩效评价目的。</w:t>
      </w:r>
      <w:r>
        <w:rPr>
          <w:rFonts w:hint="eastAsia" w:ascii="仿宋_GB2312" w:hAnsi="楷体"/>
          <w:szCs w:val="32"/>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（二）绩效评价工作方案制定过程。</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1.前期调研。</w:t>
      </w:r>
    </w:p>
    <w:p>
      <w:pPr>
        <w:spacing w:line="560" w:lineRule="exact"/>
        <w:ind w:firstLine="640" w:firstLineChars="200"/>
        <w:rPr>
          <w:rFonts w:hint="eastAsia" w:ascii="仿宋_GB2312" w:eastAsia="仿宋_GB2312"/>
          <w:sz w:val="32"/>
          <w:szCs w:val="32"/>
          <w:lang w:val="en-US" w:eastAsia="zh-CN"/>
        </w:rPr>
      </w:pPr>
      <w:r>
        <w:rPr>
          <w:rFonts w:hint="eastAsia" w:ascii="仿宋_GB2312" w:hAnsi="宋体"/>
          <w:sz w:val="32"/>
          <w:szCs w:val="32"/>
          <w:lang w:val="en-US" w:eastAsia="zh-CN"/>
        </w:rPr>
        <w:t>食品安全是事关民生及人民生命安全的大事，</w:t>
      </w:r>
      <w:r>
        <w:rPr>
          <w:rFonts w:hint="eastAsia" w:ascii="仿宋_GB2312" w:hAnsi="宋体" w:eastAsia="仿宋_GB2312"/>
          <w:sz w:val="32"/>
          <w:szCs w:val="32"/>
        </w:rPr>
        <w:t>全区共有食品生产企业28户，食品流通经营户 1780，餐饮服务单位1700户,小作坊生产企业131户,食品摊贩316户,</w:t>
      </w:r>
      <w:r>
        <w:rPr>
          <w:rFonts w:hint="eastAsia" w:ascii="仿宋_GB2312" w:eastAsia="仿宋_GB2312"/>
          <w:sz w:val="32"/>
          <w:szCs w:val="32"/>
        </w:rPr>
        <w:t xml:space="preserve"> 生猪定点屠宰企业1户，规模动物养殖企业115户，无公害农产品25个，餐饮具集中消毒服务单位3户。</w:t>
      </w:r>
      <w:r>
        <w:rPr>
          <w:rFonts w:hint="eastAsia" w:ascii="仿宋_GB2312" w:hAnsi="宋体" w:eastAsia="仿宋_GB2312" w:cs="仿宋_GB2312"/>
          <w:sz w:val="32"/>
          <w:szCs w:val="32"/>
        </w:rPr>
        <w:t>农村食品生产经营者普遍存在文化素质低</w:t>
      </w:r>
      <w:r>
        <w:rPr>
          <w:rFonts w:hint="eastAsia" w:ascii="仿宋_GB2312" w:hAnsi="宋体" w:eastAsia="仿宋_GB2312" w:cs="宋体"/>
          <w:sz w:val="32"/>
          <w:szCs w:val="32"/>
        </w:rPr>
        <w:t>,</w:t>
      </w:r>
      <w:r>
        <w:rPr>
          <w:rFonts w:hint="eastAsia" w:ascii="仿宋_GB2312" w:hAnsi="宋体" w:eastAsia="仿宋_GB2312" w:cs="仿宋_GB2312"/>
          <w:sz w:val="32"/>
          <w:szCs w:val="32"/>
        </w:rPr>
        <w:t>守法经营意识差；城乡农贸市场食品经营条件差、市场准入制度不健全、进货渠道混乱的现象比较突出，食品安全监管</w:t>
      </w:r>
      <w:r>
        <w:rPr>
          <w:rFonts w:hint="eastAsia" w:ascii="仿宋_GB2312" w:hAnsi="宋体" w:cs="仿宋_GB2312"/>
          <w:sz w:val="32"/>
          <w:szCs w:val="32"/>
          <w:lang w:val="en-US" w:eastAsia="zh-CN"/>
        </w:rPr>
        <w:t>成本高，</w:t>
      </w:r>
      <w:r>
        <w:rPr>
          <w:rFonts w:hint="eastAsia" w:ascii="仿宋_GB2312" w:hAnsi="宋体" w:eastAsia="仿宋_GB2312" w:cs="仿宋_GB2312"/>
          <w:sz w:val="32"/>
          <w:szCs w:val="32"/>
        </w:rPr>
        <w:t>形势严峻</w:t>
      </w:r>
      <w:r>
        <w:rPr>
          <w:rFonts w:hint="eastAsia" w:ascii="仿宋_GB2312" w:hAnsi="宋体" w:cs="仿宋_GB2312"/>
          <w:sz w:val="32"/>
          <w:szCs w:val="32"/>
          <w:lang w:eastAsia="zh-CN"/>
        </w:rPr>
        <w:t>。</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2.研究文件。</w:t>
      </w:r>
    </w:p>
    <w:p>
      <w:pPr>
        <w:topLinePunct/>
        <w:adjustRightInd w:val="0"/>
        <w:snapToGrid w:val="0"/>
        <w:spacing w:line="560" w:lineRule="exact"/>
        <w:ind w:firstLine="800" w:firstLineChars="250"/>
        <w:rPr>
          <w:rFonts w:hint="default" w:ascii="仿宋_GB2312" w:hAnsi="楷体" w:eastAsia="仿宋_GB2312"/>
          <w:szCs w:val="32"/>
          <w:lang w:val="en-US" w:eastAsia="zh-CN"/>
        </w:rPr>
      </w:pPr>
      <w:r>
        <w:rPr>
          <w:rFonts w:hint="eastAsia" w:ascii="仿宋_GB2312"/>
          <w:sz w:val="32"/>
          <w:szCs w:val="32"/>
          <w:lang w:val="en-US" w:eastAsia="zh-CN"/>
        </w:rPr>
        <w:t>认真学习</w:t>
      </w:r>
      <w:r>
        <w:rPr>
          <w:rFonts w:hint="eastAsia" w:ascii="仿宋_GB2312" w:eastAsia="仿宋_GB2312"/>
          <w:sz w:val="32"/>
          <w:szCs w:val="32"/>
        </w:rPr>
        <w:t>《昆明市2019年食品安全暨创建国家食品安全示范城市工作目标责任书》</w:t>
      </w:r>
      <w:r>
        <w:rPr>
          <w:rFonts w:hint="eastAsia" w:ascii="仿宋_GB2312"/>
          <w:sz w:val="32"/>
          <w:szCs w:val="32"/>
          <w:lang w:val="en-US" w:eastAsia="zh-CN"/>
        </w:rPr>
        <w:t>文件精神，梳理相关工作任务。</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3.绩效评价指标体系及工作方案的设计。</w:t>
      </w:r>
    </w:p>
    <w:p>
      <w:pPr>
        <w:topLinePunct/>
        <w:adjustRightInd w:val="0"/>
        <w:snapToGrid w:val="0"/>
        <w:spacing w:line="560" w:lineRule="exact"/>
        <w:ind w:firstLine="800" w:firstLineChars="250"/>
        <w:rPr>
          <w:rFonts w:hint="default" w:ascii="楷体" w:hAnsi="楷体" w:eastAsia="仿宋_GB2312"/>
          <w:szCs w:val="32"/>
          <w:lang w:val="en-US" w:eastAsia="zh-CN"/>
        </w:rPr>
      </w:pPr>
      <w:r>
        <w:rPr>
          <w:rFonts w:hint="eastAsia" w:ascii="仿宋_GB2312" w:eastAsia="仿宋_GB2312"/>
          <w:sz w:val="32"/>
          <w:szCs w:val="32"/>
        </w:rPr>
        <w:t>严格按照《昆明市2019年食品安全暨创建国家食品安全示范城市工作目标责任书》</w:t>
      </w:r>
      <w:r>
        <w:rPr>
          <w:rFonts w:hint="eastAsia" w:ascii="仿宋_GB2312"/>
          <w:sz w:val="32"/>
          <w:szCs w:val="32"/>
          <w:lang w:val="en-US" w:eastAsia="zh-CN"/>
        </w:rPr>
        <w:t>相关要求，梳理工作任务，确定绩效评价指标体系，制定工作方案。一是组织领导有力，二是强化食品安全宣传，三是组织开展联合行动，四是加强源头监管，五是加强流通过程监管。</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（三）绩效评价原则、评价方法</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1.绩效评价原则。包括科学规范、公开公正、绩效相关等原则。</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2.绩效评价方法。包括指标评价、数据采集和社会调查中所采用的方法。</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（四）绩效评价实施过程</w:t>
      </w:r>
    </w:p>
    <w:p>
      <w:pPr>
        <w:topLinePunct/>
        <w:adjustRightInd w:val="0"/>
        <w:snapToGrid w:val="0"/>
        <w:spacing w:line="560" w:lineRule="exact"/>
        <w:ind w:firstLine="800" w:firstLineChars="250"/>
        <w:rPr>
          <w:rFonts w:ascii="仿宋_GB2312" w:hAnsi="楷体"/>
          <w:szCs w:val="32"/>
        </w:rPr>
      </w:pPr>
      <w:r>
        <w:rPr>
          <w:rFonts w:hint="eastAsia" w:ascii="仿宋_GB2312" w:hAnsi="楷体"/>
          <w:szCs w:val="32"/>
        </w:rPr>
        <w:t>1.数据填报和采集。项目评价小组收集项目实施过程中相关数据和佐证材料，根据材料填报项目绩效自评表。</w:t>
      </w:r>
    </w:p>
    <w:p>
      <w:pPr>
        <w:keepNext w:val="0"/>
        <w:keepLines w:val="0"/>
        <w:pageBreakBefore w:val="0"/>
        <w:kinsoku/>
        <w:wordWrap/>
        <w:overflowPunct/>
        <w:topLinePunct/>
        <w:autoSpaceDE/>
        <w:autoSpaceDN/>
        <w:bidi w:val="0"/>
        <w:spacing w:line="560" w:lineRule="exact"/>
        <w:ind w:firstLine="800" w:firstLineChars="250"/>
        <w:textAlignment w:val="auto"/>
        <w:rPr>
          <w:rFonts w:hint="eastAsia" w:ascii="仿宋_GB2312" w:hAnsi="楷体" w:eastAsia="仿宋_GB2312"/>
          <w:szCs w:val="32"/>
          <w:lang w:eastAsia="zh-CN"/>
        </w:rPr>
      </w:pPr>
      <w:r>
        <w:rPr>
          <w:rFonts w:hint="eastAsia" w:ascii="仿宋_GB2312" w:hAnsi="楷体"/>
          <w:szCs w:val="32"/>
        </w:rPr>
        <w:t>2.社</w:t>
      </w:r>
      <w:bookmarkStart w:id="0" w:name="_GoBack"/>
      <w:r>
        <w:rPr>
          <w:rFonts w:hint="eastAsia" w:ascii="仿宋_GB2312" w:hAnsi="楷体"/>
          <w:szCs w:val="32"/>
        </w:rPr>
        <w:t>会调查。</w:t>
      </w:r>
      <w:r>
        <w:rPr>
          <w:rFonts w:hint="eastAsia" w:ascii="仿宋_GB2312" w:hAnsi="仿宋_GB2312" w:eastAsia="仿宋_GB2312" w:cs="仿宋_GB2312"/>
          <w:color w:val="auto"/>
          <w:sz w:val="32"/>
          <w:szCs w:val="32"/>
          <w:lang w:eastAsia="zh-CN"/>
        </w:rPr>
        <w:t>项目评价小组发放社会问卷调查表</w:t>
      </w:r>
      <w:r>
        <w:rPr>
          <w:rFonts w:hint="eastAsia" w:ascii="仿宋_GB2312" w:hAnsi="仿宋_GB2312" w:eastAsia="仿宋_GB2312" w:cs="仿宋_GB2312"/>
          <w:color w:val="auto"/>
          <w:sz w:val="32"/>
          <w:szCs w:val="32"/>
          <w:lang w:val="en-US" w:eastAsia="zh-CN"/>
        </w:rPr>
        <w:t>20份</w:t>
      </w:r>
      <w:r>
        <w:rPr>
          <w:rFonts w:hint="eastAsia" w:ascii="仿宋_GB2312" w:hAnsi="仿宋_GB2312" w:eastAsia="仿宋_GB2312" w:cs="仿宋_GB2312"/>
          <w:color w:val="auto"/>
          <w:sz w:val="32"/>
          <w:szCs w:val="32"/>
          <w:lang w:eastAsia="zh-CN"/>
        </w:rPr>
        <w:t>，随机抽取项目</w:t>
      </w:r>
      <w:bookmarkEnd w:id="0"/>
      <w:r>
        <w:rPr>
          <w:rFonts w:hint="eastAsia" w:ascii="仿宋_GB2312" w:hAnsi="仿宋_GB2312" w:eastAsia="仿宋_GB2312" w:cs="仿宋_GB2312"/>
          <w:color w:val="auto"/>
          <w:sz w:val="32"/>
          <w:szCs w:val="32"/>
          <w:lang w:eastAsia="zh-CN"/>
        </w:rPr>
        <w:t>受益人作访谈。</w:t>
      </w:r>
    </w:p>
    <w:p>
      <w:pPr>
        <w:keepNext w:val="0"/>
        <w:keepLines w:val="0"/>
        <w:pageBreakBefore w:val="0"/>
        <w:kinsoku/>
        <w:wordWrap/>
        <w:overflowPunct/>
        <w:topLinePunct/>
        <w:autoSpaceDE/>
        <w:autoSpaceDN/>
        <w:bidi w:val="0"/>
        <w:spacing w:line="560" w:lineRule="exact"/>
        <w:ind w:firstLine="800" w:firstLineChars="250"/>
        <w:textAlignment w:val="auto"/>
        <w:rPr>
          <w:rFonts w:ascii="仿宋_GB2312" w:hAnsi="楷体"/>
          <w:szCs w:val="32"/>
        </w:rPr>
      </w:pPr>
      <w:r>
        <w:rPr>
          <w:rFonts w:hint="eastAsia" w:ascii="仿宋_GB2312" w:hAnsi="楷体"/>
          <w:szCs w:val="32"/>
        </w:rPr>
        <w:t>3.数据分析和撰写报告。</w:t>
      </w:r>
      <w:r>
        <w:rPr>
          <w:rFonts w:hint="eastAsia" w:ascii="仿宋_GB2312" w:hAnsi="仿宋_GB2312" w:eastAsia="仿宋_GB2312" w:cs="仿宋_GB2312"/>
          <w:color w:val="auto"/>
          <w:sz w:val="32"/>
          <w:szCs w:val="32"/>
          <w:lang w:eastAsia="zh-CN"/>
        </w:rPr>
        <w:t>根据问卷调查结果和访谈做出调查分析报告，访谈报告。</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（五）本次绩效评价的局限性。</w:t>
      </w:r>
    </w:p>
    <w:p>
      <w:pPr>
        <w:topLinePunct/>
        <w:adjustRightInd w:val="0"/>
        <w:snapToGrid w:val="0"/>
        <w:spacing w:line="560" w:lineRule="exact"/>
        <w:ind w:firstLine="800" w:firstLineChars="250"/>
        <w:rPr>
          <w:rFonts w:ascii="黑体" w:hAnsi="黑体" w:eastAsia="黑体"/>
          <w:szCs w:val="32"/>
        </w:rPr>
      </w:pPr>
      <w:r>
        <w:rPr>
          <w:rFonts w:hint="eastAsia" w:ascii="黑体" w:hAnsi="黑体" w:eastAsia="黑体"/>
          <w:szCs w:val="32"/>
        </w:rPr>
        <w:t>三、评价结论和绩效分析</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（一）评价结论。</w:t>
      </w:r>
    </w:p>
    <w:p>
      <w:pPr>
        <w:topLinePunct/>
        <w:adjustRightInd w:val="0"/>
        <w:snapToGrid w:val="0"/>
        <w:spacing w:line="560" w:lineRule="exact"/>
        <w:ind w:firstLine="800" w:firstLineChars="250"/>
        <w:rPr>
          <w:rFonts w:hint="eastAsia" w:ascii="仿宋_GB2312" w:hAnsi="仿宋"/>
          <w:szCs w:val="32"/>
        </w:rPr>
      </w:pPr>
      <w:r>
        <w:rPr>
          <w:rFonts w:hint="eastAsia" w:ascii="仿宋" w:hAnsi="仿宋" w:eastAsia="仿宋"/>
          <w:szCs w:val="32"/>
        </w:rPr>
        <w:t>1.评价结果。自评小组对照2019年项目支出绩效自评指标体系逐项分析、评价并打分。自评分为9</w:t>
      </w:r>
      <w:r>
        <w:rPr>
          <w:rFonts w:hint="eastAsia" w:ascii="仿宋" w:hAnsi="仿宋" w:eastAsia="仿宋"/>
          <w:szCs w:val="32"/>
          <w:lang w:val="en-US" w:eastAsia="zh-CN"/>
        </w:rPr>
        <w:t>9</w:t>
      </w:r>
      <w:r>
        <w:rPr>
          <w:rFonts w:hint="eastAsia" w:ascii="仿宋" w:hAnsi="仿宋" w:eastAsia="仿宋"/>
          <w:szCs w:val="32"/>
        </w:rPr>
        <w:t>分。</w:t>
      </w:r>
    </w:p>
    <w:p>
      <w:pPr>
        <w:topLinePunct/>
        <w:adjustRightInd w:val="0"/>
        <w:snapToGrid w:val="0"/>
        <w:spacing w:line="560" w:lineRule="exact"/>
        <w:ind w:firstLine="800" w:firstLineChars="250"/>
        <w:rPr>
          <w:rFonts w:ascii="仿宋_GB2312" w:hAnsi="仿宋"/>
          <w:szCs w:val="32"/>
        </w:rPr>
      </w:pPr>
      <w:r>
        <w:rPr>
          <w:rFonts w:hint="eastAsia" w:ascii="仿宋_GB2312" w:hAnsi="仿宋"/>
          <w:szCs w:val="32"/>
        </w:rPr>
        <w:t>2.主要绩效。</w:t>
      </w:r>
    </w:p>
    <w:p>
      <w:pPr>
        <w:numPr>
          <w:ilvl w:val="0"/>
          <w:numId w:val="0"/>
        </w:numPr>
        <w:topLinePunct/>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b w:val="0"/>
          <w:bCs/>
          <w:sz w:val="32"/>
          <w:szCs w:val="32"/>
        </w:rPr>
        <w:t>一是制</w:t>
      </w:r>
      <w:r>
        <w:rPr>
          <w:rFonts w:hint="eastAsia" w:ascii="仿宋_GB2312" w:hAnsi="宋体" w:eastAsia="仿宋_GB2312"/>
          <w:sz w:val="32"/>
          <w:szCs w:val="32"/>
        </w:rPr>
        <w:t>定《东川区食品安全委员会工作规则》</w:t>
      </w:r>
      <w:r>
        <w:rPr>
          <w:rFonts w:hint="eastAsia" w:ascii="仿宋_GB2312" w:hAnsi="宋体"/>
          <w:sz w:val="32"/>
          <w:szCs w:val="32"/>
          <w:lang w:eastAsia="zh-CN"/>
        </w:rPr>
        <w:t>、</w:t>
      </w:r>
      <w:r>
        <w:rPr>
          <w:rFonts w:hint="eastAsia" w:ascii="仿宋_GB2312" w:hAnsi="宋体" w:eastAsia="仿宋_GB2312"/>
          <w:sz w:val="32"/>
          <w:szCs w:val="32"/>
        </w:rPr>
        <w:t>《东川区政府食品安全委员会食品安全专项协助小组议事规则》</w:t>
      </w:r>
      <w:r>
        <w:rPr>
          <w:rFonts w:hint="eastAsia" w:ascii="仿宋_GB2312" w:hAnsi="宋体"/>
          <w:sz w:val="32"/>
          <w:szCs w:val="32"/>
          <w:lang w:eastAsia="zh-CN"/>
        </w:rPr>
        <w:t>、</w:t>
      </w:r>
      <w:r>
        <w:rPr>
          <w:rFonts w:hint="eastAsia" w:ascii="仿宋_GB2312" w:hAnsi="宋体" w:eastAsia="仿宋_GB2312"/>
          <w:sz w:val="32"/>
          <w:szCs w:val="32"/>
        </w:rPr>
        <w:t>《东川区政府食品安全办公室工作细则》等文件，进一步完善相关制度，发挥食安委及办公室的统筹规划、协调联动的作用。</w:t>
      </w:r>
    </w:p>
    <w:p>
      <w:p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sz w:val="32"/>
          <w:szCs w:val="32"/>
          <w:lang w:val="en-US" w:eastAsia="zh-CN"/>
        </w:rPr>
        <w:t>二是</w:t>
      </w:r>
      <w:r>
        <w:rPr>
          <w:rFonts w:hint="eastAsia" w:ascii="仿宋_GB2312" w:hAnsi="宋体" w:eastAsia="仿宋_GB2312"/>
          <w:sz w:val="32"/>
          <w:szCs w:val="32"/>
        </w:rPr>
        <w:t>开展了形式多样、内容丰富的食品安全</w:t>
      </w:r>
      <w:r>
        <w:rPr>
          <w:rFonts w:hint="eastAsia" w:ascii="仿宋_GB2312" w:hAnsi="宋体"/>
          <w:sz w:val="32"/>
          <w:szCs w:val="32"/>
          <w:lang w:val="en-US" w:eastAsia="zh-CN"/>
        </w:rPr>
        <w:t>宣传咨询服务</w:t>
      </w:r>
      <w:r>
        <w:rPr>
          <w:rFonts w:hint="eastAsia" w:ascii="仿宋_GB2312" w:hAnsi="宋体" w:eastAsia="仿宋_GB2312"/>
          <w:sz w:val="32"/>
          <w:szCs w:val="32"/>
        </w:rPr>
        <w:t>活动</w:t>
      </w:r>
      <w:r>
        <w:rPr>
          <w:rFonts w:hint="eastAsia" w:ascii="仿宋_GB2312" w:hAnsi="宋体"/>
          <w:sz w:val="32"/>
          <w:szCs w:val="32"/>
          <w:lang w:eastAsia="zh-CN"/>
        </w:rPr>
        <w:t>。</w:t>
      </w:r>
      <w:r>
        <w:rPr>
          <w:rFonts w:hint="eastAsia" w:ascii="仿宋_GB2312" w:hAnsi="宋体" w:eastAsia="仿宋_GB2312"/>
          <w:sz w:val="32"/>
          <w:szCs w:val="32"/>
        </w:rPr>
        <w:t>举办现场咨询活动8次</w:t>
      </w:r>
      <w:r>
        <w:rPr>
          <w:rFonts w:hint="eastAsia" w:ascii="仿宋_GB2312" w:hAnsi="宋体"/>
          <w:sz w:val="32"/>
          <w:szCs w:val="32"/>
          <w:lang w:eastAsia="zh-CN"/>
        </w:rPr>
        <w:t>，</w:t>
      </w:r>
      <w:r>
        <w:rPr>
          <w:rFonts w:hint="eastAsia" w:ascii="仿宋_GB2312" w:hAnsi="宋体" w:eastAsia="仿宋_GB2312" w:cs="仿宋_GB2312"/>
          <w:sz w:val="32"/>
          <w:szCs w:val="32"/>
        </w:rPr>
        <w:t>开展食品安全知识讲座2期，</w:t>
      </w:r>
      <w:r>
        <w:rPr>
          <w:rFonts w:hint="eastAsia" w:ascii="仿宋_GB2312" w:hAnsi="宋体" w:eastAsia="仿宋_GB2312"/>
          <w:sz w:val="32"/>
          <w:szCs w:val="32"/>
        </w:rPr>
        <w:t>食品安全公开课1次，</w:t>
      </w:r>
      <w:r>
        <w:rPr>
          <w:rFonts w:hint="eastAsia" w:ascii="仿宋_GB2312" w:hAnsi="宋体"/>
          <w:sz w:val="32"/>
          <w:szCs w:val="32"/>
          <w:lang w:val="en-US" w:eastAsia="zh-CN"/>
        </w:rPr>
        <w:t>悬挂宣传布标52条，</w:t>
      </w:r>
      <w:r>
        <w:rPr>
          <w:rFonts w:hint="eastAsia" w:ascii="仿宋_GB2312" w:hAnsi="宋体" w:eastAsia="仿宋_GB2312"/>
          <w:sz w:val="32"/>
          <w:szCs w:val="32"/>
        </w:rPr>
        <w:t>制作宣传展板25块，</w:t>
      </w:r>
      <w:r>
        <w:rPr>
          <w:rFonts w:hint="eastAsia" w:ascii="仿宋_GB2312" w:hAnsi="宋体"/>
          <w:sz w:val="32"/>
          <w:szCs w:val="32"/>
          <w:lang w:val="en-US" w:eastAsia="zh-CN"/>
        </w:rPr>
        <w:t>发放宣传资料30000份，接受群众咨询32次。</w:t>
      </w:r>
      <w:r>
        <w:rPr>
          <w:rFonts w:hint="eastAsia" w:ascii="仿宋_GB2312" w:hAnsi="宋体" w:eastAsia="仿宋_GB2312" w:cs="仿宋_GB2312"/>
          <w:color w:val="000000"/>
          <w:sz w:val="32"/>
          <w:szCs w:val="32"/>
        </w:rPr>
        <w:t>在东川电视台开设《市场卫士》专栏，专栏内容包括“民生关注”“聚焦市场”“市场讲堂”</w:t>
      </w:r>
      <w:r>
        <w:rPr>
          <w:rFonts w:hint="eastAsia" w:ascii="仿宋_GB2312" w:hAnsi="宋体" w:cs="仿宋_GB2312"/>
          <w:color w:val="000000"/>
          <w:sz w:val="32"/>
          <w:szCs w:val="32"/>
          <w:lang w:val="en-US" w:eastAsia="zh-CN"/>
        </w:rPr>
        <w:t>等。</w:t>
      </w:r>
      <w:r>
        <w:rPr>
          <w:rFonts w:hint="eastAsia" w:ascii="仿宋_GB2312" w:hAnsi="宋体" w:eastAsia="仿宋_GB2312"/>
          <w:sz w:val="32"/>
          <w:szCs w:val="32"/>
        </w:rPr>
        <w:t>充分利用新媒体新渠道“东川食安”、“东川发布”</w:t>
      </w:r>
      <w:r>
        <w:rPr>
          <w:rFonts w:hint="eastAsia" w:ascii="仿宋_GB2312" w:hAnsi="宋体"/>
          <w:sz w:val="32"/>
          <w:szCs w:val="32"/>
          <w:lang w:val="en-US" w:eastAsia="zh-CN"/>
        </w:rPr>
        <w:t>微信公众号</w:t>
      </w:r>
      <w:r>
        <w:rPr>
          <w:rFonts w:hint="eastAsia" w:ascii="仿宋_GB2312" w:hAnsi="宋体" w:eastAsia="仿宋_GB2312"/>
          <w:sz w:val="32"/>
          <w:szCs w:val="32"/>
        </w:rPr>
        <w:t>扩大宣传面，定期发布政府食品安全工作举措及食品安全知识，截至目前共发布食品安全预警信息7次，食品抽检信息、食品安全小知识17期。</w:t>
      </w:r>
    </w:p>
    <w:p>
      <w:pPr>
        <w:numPr>
          <w:ilvl w:val="0"/>
          <w:numId w:val="0"/>
        </w:numPr>
        <w:topLinePunct/>
        <w:adjustRightInd w:val="0"/>
        <w:snapToGrid w:val="0"/>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sz w:val="32"/>
          <w:szCs w:val="32"/>
          <w:lang w:val="en-US" w:eastAsia="zh-CN"/>
        </w:rPr>
        <w:t>三是区食安办牵头组织开展节日食品安全联合行动、校园食品安全守护专项行动。</w:t>
      </w:r>
      <w:r>
        <w:rPr>
          <w:rFonts w:hint="eastAsia" w:ascii="仿宋_GB2312" w:hAnsi="宋体" w:eastAsia="仿宋_GB2312" w:cs="仿宋_GB2312"/>
          <w:sz w:val="32"/>
          <w:szCs w:val="32"/>
        </w:rPr>
        <w:t>开展春节前猪肉市场联合检查和农村假冒伪劣食品联合检查</w:t>
      </w:r>
      <w:r>
        <w:rPr>
          <w:rFonts w:hint="eastAsia" w:ascii="仿宋_GB2312" w:hAnsi="宋体" w:cs="仿宋_GB2312"/>
          <w:sz w:val="32"/>
          <w:szCs w:val="32"/>
          <w:lang w:eastAsia="zh-CN"/>
        </w:rPr>
        <w:t>；</w:t>
      </w:r>
      <w:r>
        <w:rPr>
          <w:rFonts w:hint="eastAsia" w:ascii="仿宋_GB2312" w:hAnsi="宋体" w:eastAsia="仿宋_GB2312" w:cs="仿宋_GB2312"/>
          <w:sz w:val="32"/>
          <w:szCs w:val="32"/>
        </w:rPr>
        <w:t>检查校园及周边食品经营户279户，限期整改35户，下发“告校园周边食品销售者责任”告知书150份。开展“食品安全进校园”宣传活动4次，共有学校师生4000余人参加，发放食品安全宣传材料1800份。</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四是加强源头综合治理，严防不合格产品进入市场。抓好农畜产品的检测、检疫工作，保证农产品质量安全。稳步发展“三品一标”，推进品牌建设工作，开展水产养殖专项整治。</w:t>
      </w:r>
    </w:p>
    <w:p>
      <w:pPr>
        <w:numPr>
          <w:ilvl w:val="0"/>
          <w:numId w:val="0"/>
        </w:numPr>
        <w:topLinePunct/>
        <w:adjustRightInd w:val="0"/>
        <w:snapToGrid w:val="0"/>
        <w:spacing w:line="560" w:lineRule="exact"/>
        <w:ind w:firstLine="640" w:firstLineChars="200"/>
        <w:rPr>
          <w:rFonts w:hint="eastAsia" w:ascii="黑体" w:hAnsi="黑体" w:eastAsia="黑体"/>
          <w:szCs w:val="32"/>
          <w:lang w:val="en-US" w:eastAsia="zh-CN"/>
        </w:rPr>
      </w:pPr>
      <w:r>
        <w:rPr>
          <w:rFonts w:hint="eastAsia" w:ascii="仿宋_GB2312" w:hAnsi="宋体"/>
          <w:sz w:val="32"/>
          <w:szCs w:val="32"/>
          <w:lang w:val="en-US" w:eastAsia="zh-CN"/>
        </w:rPr>
        <w:t>五是加强农资市场监管；</w:t>
      </w:r>
      <w:r>
        <w:rPr>
          <w:rFonts w:hint="eastAsia" w:ascii="仿宋_GB2312" w:hAnsi="黑体" w:eastAsia="仿宋_GB2312"/>
          <w:sz w:val="32"/>
          <w:szCs w:val="32"/>
        </w:rPr>
        <w:t>抓好农产品可追溯体系建设</w:t>
      </w:r>
      <w:r>
        <w:rPr>
          <w:rFonts w:hint="eastAsia" w:ascii="仿宋_GB2312" w:hAnsi="黑体"/>
          <w:sz w:val="32"/>
          <w:szCs w:val="32"/>
          <w:lang w:eastAsia="zh-CN"/>
        </w:rPr>
        <w:t>；</w:t>
      </w:r>
      <w:r>
        <w:rPr>
          <w:rFonts w:hint="eastAsia" w:ascii="仿宋_GB2312" w:hAnsi="黑体" w:eastAsia="仿宋_GB2312"/>
          <w:sz w:val="32"/>
          <w:szCs w:val="32"/>
        </w:rPr>
        <w:t>加强生产、流通和餐饮服务环节监管</w:t>
      </w:r>
      <w:r>
        <w:rPr>
          <w:rFonts w:hint="eastAsia" w:ascii="仿宋_GB2312" w:hAnsi="黑体"/>
          <w:sz w:val="32"/>
          <w:szCs w:val="32"/>
          <w:lang w:eastAsia="zh-CN"/>
        </w:rPr>
        <w:t>；多举措开展非洲猪瘟防控工作；加强粮油食品安全管理；加强清真食品的监管；加强学校食堂管理；认真组织开展食品安全培训；加大食品抽检力度。</w:t>
      </w:r>
    </w:p>
    <w:p>
      <w:pPr>
        <w:numPr>
          <w:ilvl w:val="0"/>
          <w:numId w:val="0"/>
        </w:numPr>
        <w:topLinePunct/>
        <w:adjustRightInd w:val="0"/>
        <w:snapToGrid w:val="0"/>
        <w:spacing w:line="560" w:lineRule="exact"/>
        <w:ind w:firstLine="640" w:firstLineChars="200"/>
        <w:rPr>
          <w:rFonts w:hint="eastAsia" w:ascii="楷体" w:hAnsi="楷体" w:eastAsia="楷体"/>
          <w:szCs w:val="32"/>
        </w:rPr>
      </w:pPr>
      <w:r>
        <w:rPr>
          <w:rFonts w:hint="eastAsia" w:ascii="仿宋_GB2312" w:hAnsi="宋体"/>
          <w:sz w:val="32"/>
          <w:szCs w:val="32"/>
          <w:lang w:val="en-US" w:eastAsia="zh-CN"/>
        </w:rPr>
        <w:t>通过以上工作的开展，提高人民群众对食品安全相关知识的知晓率；促进食品生产经营主体规范生产；从而保障人民群众身体健康和生命安全。</w:t>
      </w:r>
    </w:p>
    <w:p>
      <w:pPr>
        <w:topLinePunct/>
        <w:adjustRightInd w:val="0"/>
        <w:snapToGrid w:val="0"/>
        <w:spacing w:line="560" w:lineRule="exact"/>
        <w:ind w:firstLine="800" w:firstLineChars="250"/>
        <w:rPr>
          <w:rFonts w:ascii="仿宋" w:hAnsi="仿宋" w:eastAsia="仿宋"/>
          <w:szCs w:val="32"/>
        </w:rPr>
      </w:pPr>
      <w:r>
        <w:rPr>
          <w:rFonts w:hint="eastAsia" w:ascii="楷体" w:hAnsi="楷体" w:eastAsia="楷体"/>
          <w:szCs w:val="32"/>
        </w:rPr>
        <w:t>（二）具体绩效分析。</w:t>
      </w:r>
      <w:r>
        <w:rPr>
          <w:rFonts w:hint="eastAsia" w:ascii="仿宋" w:hAnsi="仿宋" w:eastAsia="仿宋"/>
          <w:szCs w:val="32"/>
        </w:rPr>
        <w:t>对照绩效评价指标体系逐项进行分析、评价并打分</w:t>
      </w:r>
      <w:r>
        <w:rPr>
          <w:rFonts w:hint="eastAsia" w:ascii="楷体" w:hAnsi="楷体" w:eastAsia="楷体"/>
          <w:szCs w:val="32"/>
        </w:rPr>
        <w:t>(详见《项目支出绩效自评表》）。</w:t>
      </w:r>
    </w:p>
    <w:p>
      <w:pPr>
        <w:topLinePunct/>
        <w:adjustRightInd w:val="0"/>
        <w:snapToGrid w:val="0"/>
        <w:spacing w:line="560" w:lineRule="exact"/>
        <w:ind w:firstLine="800" w:firstLineChars="250"/>
        <w:rPr>
          <w:rFonts w:hint="eastAsia" w:ascii="仿宋_GB2312" w:hAnsi="仿宋"/>
        </w:rPr>
      </w:pPr>
      <w:r>
        <w:rPr>
          <w:rFonts w:hint="eastAsia" w:ascii="黑体" w:hAnsi="黑体" w:eastAsia="黑体"/>
          <w:szCs w:val="32"/>
        </w:rPr>
        <w:t>四、成本效益分析。</w:t>
      </w:r>
    </w:p>
    <w:p>
      <w:pPr>
        <w:widowControl/>
        <w:numPr>
          <w:ilvl w:val="0"/>
          <w:numId w:val="0"/>
        </w:numPr>
        <w:spacing w:line="560" w:lineRule="exact"/>
        <w:ind w:firstLine="640" w:firstLineChars="200"/>
        <w:jc w:val="left"/>
        <w:rPr>
          <w:rFonts w:ascii="楷体" w:hAnsi="楷体" w:eastAsia="楷体"/>
          <w:szCs w:val="32"/>
        </w:rPr>
      </w:pPr>
      <w:r>
        <w:rPr>
          <w:rFonts w:hint="eastAsia" w:ascii="仿宋_GB2312" w:hAnsi="仿宋"/>
          <w:lang w:val="en-US" w:eastAsia="zh-CN"/>
        </w:rPr>
        <w:t>根据</w:t>
      </w:r>
      <w:r>
        <w:rPr>
          <w:rFonts w:hint="eastAsia" w:ascii="仿宋_GB2312" w:hAnsi="楷体"/>
          <w:szCs w:val="32"/>
          <w:lang w:val="en-US" w:eastAsia="zh-CN"/>
        </w:rPr>
        <w:t>昆财行</w:t>
      </w:r>
      <w:r>
        <w:rPr>
          <w:rFonts w:hint="eastAsia" w:ascii="仿宋_GB2312"/>
          <w:kern w:val="0"/>
          <w:szCs w:val="32"/>
        </w:rPr>
        <w:t>〔2019〕</w:t>
      </w:r>
      <w:r>
        <w:rPr>
          <w:rFonts w:hint="eastAsia" w:ascii="仿宋_GB2312"/>
          <w:kern w:val="0"/>
          <w:szCs w:val="32"/>
          <w:lang w:val="en-US" w:eastAsia="zh-CN"/>
        </w:rPr>
        <w:t>169</w:t>
      </w:r>
      <w:r>
        <w:rPr>
          <w:rFonts w:hint="eastAsia" w:ascii="仿宋_GB2312" w:hAnsi="楷体"/>
          <w:szCs w:val="32"/>
          <w:lang w:val="en-US" w:eastAsia="zh-CN"/>
        </w:rPr>
        <w:t>号文件，</w:t>
      </w:r>
      <w:r>
        <w:rPr>
          <w:rFonts w:hint="eastAsia" w:ascii="仿宋_GB2312" w:hAnsi="仿宋"/>
          <w:lang w:val="en-US" w:eastAsia="zh-CN"/>
        </w:rPr>
        <w:t>下达国家食品安全示范城市创建经费50万元，该资金专项用于开展国家级食品安全创建工作，</w:t>
      </w:r>
      <w:r>
        <w:rPr>
          <w:rFonts w:hint="eastAsia" w:ascii="仿宋_GB2312" w:hAnsi="楷体"/>
          <w:szCs w:val="32"/>
          <w:lang w:val="en-US" w:eastAsia="zh-CN"/>
        </w:rPr>
        <w:t>主要用于创建国家食品安全示范城市的各项日常支出:拨给卫计局开展相关工作支出10万元，我单位自行使用40万元，我单位资金支出主要用于支付印刷费、办公费、差旅费、业务用车购置费等，资金支出严格按照东川区差旅费管理办法、政府采购相关规定及</w:t>
      </w:r>
      <w:r>
        <w:rPr>
          <w:rFonts w:hint="eastAsia" w:ascii="仿宋_GB2312" w:hAnsi="宋体" w:cs="宋体"/>
          <w:kern w:val="0"/>
          <w:szCs w:val="32"/>
        </w:rPr>
        <w:t>本单位《财务管理制度》、《办公用品管理制度》、《财务报销制度》</w:t>
      </w:r>
      <w:r>
        <w:rPr>
          <w:rFonts w:hint="eastAsia" w:ascii="仿宋_GB2312" w:hAnsi="宋体" w:cs="宋体"/>
          <w:kern w:val="0"/>
          <w:szCs w:val="32"/>
          <w:lang w:eastAsia="zh-CN"/>
        </w:rPr>
        <w:t>、《</w:t>
      </w:r>
      <w:r>
        <w:rPr>
          <w:rFonts w:hint="eastAsia" w:ascii="仿宋_GB2312" w:hAnsi="宋体" w:cs="宋体"/>
          <w:kern w:val="0"/>
          <w:szCs w:val="32"/>
          <w:lang w:val="en-US" w:eastAsia="zh-CN"/>
        </w:rPr>
        <w:t>差旅费管理规定》、</w:t>
      </w:r>
      <w:r>
        <w:rPr>
          <w:rFonts w:hint="eastAsia" w:ascii="仿宋_GB2312" w:hAnsi="仿宋"/>
          <w:lang w:val="en-US" w:eastAsia="zh-CN"/>
        </w:rPr>
        <w:t>《东川区市场监督管理局机关财务管理制度》、《东川区市场监督管理局“三重一大”事项集体决策制度(试行)》</w:t>
      </w:r>
      <w:r>
        <w:rPr>
          <w:rFonts w:hint="eastAsia" w:ascii="仿宋_GB2312" w:hAnsi="宋体" w:cs="宋体"/>
          <w:kern w:val="0"/>
          <w:szCs w:val="32"/>
        </w:rPr>
        <w:t>等</w:t>
      </w:r>
      <w:r>
        <w:rPr>
          <w:rFonts w:hint="eastAsia" w:ascii="仿宋_GB2312" w:hAnsi="宋体" w:cs="宋体"/>
          <w:kern w:val="0"/>
          <w:szCs w:val="32"/>
          <w:lang w:val="en-US" w:eastAsia="zh-CN"/>
        </w:rPr>
        <w:t>相关规定使用</w:t>
      </w:r>
      <w:r>
        <w:rPr>
          <w:rFonts w:hint="eastAsia" w:ascii="仿宋_GB2312" w:hAnsi="宋体" w:cs="宋体"/>
          <w:kern w:val="0"/>
          <w:szCs w:val="32"/>
        </w:rPr>
        <w:t>。</w:t>
      </w:r>
    </w:p>
    <w:p>
      <w:pPr>
        <w:topLinePunct/>
        <w:adjustRightInd w:val="0"/>
        <w:snapToGrid w:val="0"/>
        <w:spacing w:line="560" w:lineRule="exact"/>
        <w:ind w:firstLine="800" w:firstLineChars="250"/>
        <w:rPr>
          <w:rFonts w:ascii="黑体" w:hAnsi="黑体" w:eastAsia="黑体"/>
          <w:szCs w:val="32"/>
        </w:rPr>
      </w:pPr>
      <w:r>
        <w:rPr>
          <w:rFonts w:hint="eastAsia" w:ascii="黑体" w:hAnsi="黑体" w:eastAsia="黑体"/>
          <w:szCs w:val="32"/>
        </w:rPr>
        <w:t>五、主要经验及做法、存在的问题和建议</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（一）主要经验及做法；</w:t>
      </w:r>
    </w:p>
    <w:p>
      <w:pPr>
        <w:numPr>
          <w:ilvl w:val="0"/>
          <w:numId w:val="0"/>
        </w:numPr>
        <w:topLinePunct/>
        <w:adjustRightInd w:val="0"/>
        <w:snapToGrid w:val="0"/>
        <w:spacing w:line="560" w:lineRule="exact"/>
        <w:ind w:firstLine="643" w:firstLineChars="200"/>
        <w:rPr>
          <w:rFonts w:hint="eastAsia" w:ascii="仿宋_GB2312" w:hAnsi="宋体" w:eastAsia="仿宋_GB2312"/>
          <w:sz w:val="32"/>
          <w:szCs w:val="32"/>
        </w:rPr>
      </w:pPr>
      <w:r>
        <w:rPr>
          <w:rFonts w:hint="eastAsia" w:ascii="仿宋_GB2312" w:hAnsi="宋体" w:eastAsia="仿宋_GB2312"/>
          <w:b/>
          <w:sz w:val="32"/>
          <w:szCs w:val="32"/>
        </w:rPr>
        <w:t>一是</w:t>
      </w:r>
      <w:r>
        <w:rPr>
          <w:rFonts w:hint="eastAsia" w:ascii="仿宋_GB2312" w:hAnsi="宋体" w:eastAsia="仿宋_GB2312"/>
          <w:sz w:val="32"/>
          <w:szCs w:val="32"/>
        </w:rPr>
        <w:t>制定《东川区食品安全委员会工作规则》</w:t>
      </w:r>
      <w:r>
        <w:rPr>
          <w:rFonts w:hint="eastAsia" w:ascii="仿宋_GB2312" w:hAnsi="宋体"/>
          <w:sz w:val="32"/>
          <w:szCs w:val="32"/>
          <w:lang w:eastAsia="zh-CN"/>
        </w:rPr>
        <w:t>、</w:t>
      </w:r>
      <w:r>
        <w:rPr>
          <w:rFonts w:hint="eastAsia" w:ascii="仿宋_GB2312" w:hAnsi="宋体" w:eastAsia="仿宋_GB2312"/>
          <w:sz w:val="32"/>
          <w:szCs w:val="32"/>
        </w:rPr>
        <w:t>《东川区政府食品安全委员会食品安全专项协助小组议事规则》</w:t>
      </w:r>
      <w:r>
        <w:rPr>
          <w:rFonts w:hint="eastAsia" w:ascii="仿宋_GB2312" w:hAnsi="宋体"/>
          <w:sz w:val="32"/>
          <w:szCs w:val="32"/>
          <w:lang w:eastAsia="zh-CN"/>
        </w:rPr>
        <w:t>、</w:t>
      </w:r>
      <w:r>
        <w:rPr>
          <w:rFonts w:hint="eastAsia" w:ascii="仿宋_GB2312" w:hAnsi="宋体" w:eastAsia="仿宋_GB2312"/>
          <w:sz w:val="32"/>
          <w:szCs w:val="32"/>
        </w:rPr>
        <w:t>《东川区政府食品安全办公室工作细则》等文件，进一步完善相关制度，发挥食安委及办公室的统筹规划、协调联动的作用。</w:t>
      </w:r>
    </w:p>
    <w:p>
      <w:p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sz w:val="32"/>
          <w:szCs w:val="32"/>
          <w:lang w:val="en-US" w:eastAsia="zh-CN"/>
        </w:rPr>
        <w:t>二是</w:t>
      </w:r>
      <w:r>
        <w:rPr>
          <w:rFonts w:hint="eastAsia" w:ascii="仿宋_GB2312" w:hAnsi="宋体" w:eastAsia="仿宋_GB2312"/>
          <w:sz w:val="32"/>
          <w:szCs w:val="32"/>
        </w:rPr>
        <w:t>开展了形式多样、内容丰富的食品安全</w:t>
      </w:r>
      <w:r>
        <w:rPr>
          <w:rFonts w:hint="eastAsia" w:ascii="仿宋_GB2312" w:hAnsi="宋体"/>
          <w:sz w:val="32"/>
          <w:szCs w:val="32"/>
          <w:lang w:val="en-US" w:eastAsia="zh-CN"/>
        </w:rPr>
        <w:t>宣传咨询服务</w:t>
      </w:r>
      <w:r>
        <w:rPr>
          <w:rFonts w:hint="eastAsia" w:ascii="仿宋_GB2312" w:hAnsi="宋体" w:eastAsia="仿宋_GB2312"/>
          <w:sz w:val="32"/>
          <w:szCs w:val="32"/>
        </w:rPr>
        <w:t>活动</w:t>
      </w:r>
      <w:r>
        <w:rPr>
          <w:rFonts w:hint="eastAsia" w:ascii="仿宋_GB2312" w:hAnsi="宋体"/>
          <w:sz w:val="32"/>
          <w:szCs w:val="32"/>
          <w:lang w:eastAsia="zh-CN"/>
        </w:rPr>
        <w:t>。</w:t>
      </w:r>
      <w:r>
        <w:rPr>
          <w:rFonts w:hint="eastAsia" w:ascii="仿宋_GB2312" w:hAnsi="宋体" w:eastAsia="仿宋_GB2312"/>
          <w:sz w:val="32"/>
          <w:szCs w:val="32"/>
        </w:rPr>
        <w:t>举办现场咨询活动8次</w:t>
      </w:r>
      <w:r>
        <w:rPr>
          <w:rFonts w:hint="eastAsia" w:ascii="仿宋_GB2312" w:hAnsi="宋体"/>
          <w:sz w:val="32"/>
          <w:szCs w:val="32"/>
          <w:lang w:eastAsia="zh-CN"/>
        </w:rPr>
        <w:t>，</w:t>
      </w:r>
      <w:r>
        <w:rPr>
          <w:rFonts w:hint="eastAsia" w:ascii="仿宋_GB2312" w:hAnsi="宋体" w:eastAsia="仿宋_GB2312" w:cs="仿宋_GB2312"/>
          <w:sz w:val="32"/>
          <w:szCs w:val="32"/>
        </w:rPr>
        <w:t>开展食品安全知识讲座2期，</w:t>
      </w:r>
      <w:r>
        <w:rPr>
          <w:rFonts w:hint="eastAsia" w:ascii="仿宋_GB2312" w:hAnsi="宋体" w:eastAsia="仿宋_GB2312"/>
          <w:sz w:val="32"/>
          <w:szCs w:val="32"/>
        </w:rPr>
        <w:t>食品安全公开课1次，</w:t>
      </w:r>
      <w:r>
        <w:rPr>
          <w:rFonts w:hint="eastAsia" w:ascii="仿宋_GB2312" w:hAnsi="宋体"/>
          <w:sz w:val="32"/>
          <w:szCs w:val="32"/>
          <w:lang w:val="en-US" w:eastAsia="zh-CN"/>
        </w:rPr>
        <w:t>悬挂宣传布标52条，</w:t>
      </w:r>
      <w:r>
        <w:rPr>
          <w:rFonts w:hint="eastAsia" w:ascii="仿宋_GB2312" w:hAnsi="宋体" w:eastAsia="仿宋_GB2312"/>
          <w:sz w:val="32"/>
          <w:szCs w:val="32"/>
        </w:rPr>
        <w:t>制作宣传展板25块，</w:t>
      </w:r>
      <w:r>
        <w:rPr>
          <w:rFonts w:hint="eastAsia" w:ascii="仿宋_GB2312" w:hAnsi="宋体"/>
          <w:sz w:val="32"/>
          <w:szCs w:val="32"/>
          <w:lang w:val="en-US" w:eastAsia="zh-CN"/>
        </w:rPr>
        <w:t>发放宣传资料30000份，接受群众咨询32次。</w:t>
      </w:r>
      <w:r>
        <w:rPr>
          <w:rFonts w:hint="eastAsia" w:ascii="仿宋_GB2312" w:hAnsi="宋体" w:eastAsia="仿宋_GB2312" w:cs="仿宋_GB2312"/>
          <w:color w:val="000000"/>
          <w:sz w:val="32"/>
          <w:szCs w:val="32"/>
        </w:rPr>
        <w:t>在东川电视台开设《市场卫士》专栏，专栏内容包括“民生关注”“聚焦市场”“市场讲堂”</w:t>
      </w:r>
      <w:r>
        <w:rPr>
          <w:rFonts w:hint="eastAsia" w:ascii="仿宋_GB2312" w:hAnsi="宋体" w:cs="仿宋_GB2312"/>
          <w:color w:val="000000"/>
          <w:sz w:val="32"/>
          <w:szCs w:val="32"/>
          <w:lang w:val="en-US" w:eastAsia="zh-CN"/>
        </w:rPr>
        <w:t>等。</w:t>
      </w:r>
      <w:r>
        <w:rPr>
          <w:rFonts w:hint="eastAsia" w:ascii="仿宋_GB2312" w:hAnsi="宋体" w:eastAsia="仿宋_GB2312"/>
          <w:sz w:val="32"/>
          <w:szCs w:val="32"/>
        </w:rPr>
        <w:t>充分利用新媒体新渠道“东川食安”、“东川发布”</w:t>
      </w:r>
      <w:r>
        <w:rPr>
          <w:rFonts w:hint="eastAsia" w:ascii="仿宋_GB2312" w:hAnsi="宋体"/>
          <w:sz w:val="32"/>
          <w:szCs w:val="32"/>
          <w:lang w:val="en-US" w:eastAsia="zh-CN"/>
        </w:rPr>
        <w:t>微信公众号</w:t>
      </w:r>
      <w:r>
        <w:rPr>
          <w:rFonts w:hint="eastAsia" w:ascii="仿宋_GB2312" w:hAnsi="宋体" w:eastAsia="仿宋_GB2312"/>
          <w:sz w:val="32"/>
          <w:szCs w:val="32"/>
        </w:rPr>
        <w:t>扩大宣传面，定期发布政府食品安全工作举措及食品安全知识，截至目前共发布食品安全预警信息7次，食品抽检信息、食品安全小知识17期。</w:t>
      </w:r>
    </w:p>
    <w:p>
      <w:pPr>
        <w:numPr>
          <w:ilvl w:val="0"/>
          <w:numId w:val="0"/>
        </w:numPr>
        <w:topLinePunct/>
        <w:adjustRightInd w:val="0"/>
        <w:snapToGrid w:val="0"/>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sz w:val="32"/>
          <w:szCs w:val="32"/>
          <w:lang w:val="en-US" w:eastAsia="zh-CN"/>
        </w:rPr>
        <w:t>三是区食安办牵头组织开展节日食品安全联合行动、校园食品安全守护专项行动。</w:t>
      </w:r>
      <w:r>
        <w:rPr>
          <w:rFonts w:hint="eastAsia" w:ascii="仿宋_GB2312" w:hAnsi="宋体" w:eastAsia="仿宋_GB2312" w:cs="仿宋_GB2312"/>
          <w:sz w:val="32"/>
          <w:szCs w:val="32"/>
        </w:rPr>
        <w:t>开展春节前猪肉市场联合检查和农村假冒伪劣食品联合检查</w:t>
      </w:r>
      <w:r>
        <w:rPr>
          <w:rFonts w:hint="eastAsia" w:ascii="仿宋_GB2312" w:hAnsi="宋体" w:cs="仿宋_GB2312"/>
          <w:sz w:val="32"/>
          <w:szCs w:val="32"/>
          <w:lang w:eastAsia="zh-CN"/>
        </w:rPr>
        <w:t>；</w:t>
      </w:r>
      <w:r>
        <w:rPr>
          <w:rFonts w:hint="eastAsia" w:ascii="仿宋_GB2312" w:hAnsi="宋体" w:eastAsia="仿宋_GB2312" w:cs="仿宋_GB2312"/>
          <w:sz w:val="32"/>
          <w:szCs w:val="32"/>
        </w:rPr>
        <w:t>检查校园及周边食品经营户279户，限期整改35户，下发“告校园周边食品销售者责任”告知书150份。开展“食品安全进校园”宣传活动4次，共有学校师生4000余人参加，发放食品安全宣传材料1800份。</w:t>
      </w:r>
    </w:p>
    <w:p>
      <w:pPr>
        <w:numPr>
          <w:ilvl w:val="0"/>
          <w:numId w:val="0"/>
        </w:numPr>
        <w:topLinePunct/>
        <w:adjustRightInd w:val="0"/>
        <w:snapToGrid w:val="0"/>
        <w:spacing w:line="560" w:lineRule="exact"/>
        <w:ind w:firstLine="640" w:firstLineChars="200"/>
        <w:rPr>
          <w:rFonts w:hint="eastAsia" w:ascii="仿宋_GB2312" w:hAnsi="宋体"/>
          <w:sz w:val="32"/>
          <w:szCs w:val="32"/>
          <w:lang w:val="en-US" w:eastAsia="zh-CN"/>
        </w:rPr>
      </w:pPr>
      <w:r>
        <w:rPr>
          <w:rFonts w:hint="eastAsia" w:ascii="仿宋_GB2312" w:hAnsi="宋体"/>
          <w:sz w:val="32"/>
          <w:szCs w:val="32"/>
          <w:lang w:val="en-US" w:eastAsia="zh-CN"/>
        </w:rPr>
        <w:t>四是加强源头综合治理，严防不合格产品进入市场。抓好农畜产品的检测、检疫工作，保证农产品质量安全。稳步发展“三品一标”，推进品牌建设工作，开展水产养殖专项整治。</w:t>
      </w:r>
    </w:p>
    <w:p>
      <w:pPr>
        <w:numPr>
          <w:ilvl w:val="0"/>
          <w:numId w:val="0"/>
        </w:numPr>
        <w:topLinePunct/>
        <w:adjustRightInd w:val="0"/>
        <w:snapToGrid w:val="0"/>
        <w:spacing w:line="560" w:lineRule="exact"/>
        <w:ind w:firstLine="640" w:firstLineChars="200"/>
        <w:rPr>
          <w:rFonts w:hint="eastAsia" w:ascii="黑体" w:hAnsi="黑体" w:eastAsia="黑体"/>
          <w:szCs w:val="32"/>
          <w:lang w:val="en-US" w:eastAsia="zh-CN"/>
        </w:rPr>
      </w:pPr>
      <w:r>
        <w:rPr>
          <w:rFonts w:hint="eastAsia" w:ascii="仿宋_GB2312" w:hAnsi="宋体"/>
          <w:sz w:val="32"/>
          <w:szCs w:val="32"/>
          <w:lang w:val="en-US" w:eastAsia="zh-CN"/>
        </w:rPr>
        <w:t>五是加强农资市场监管；</w:t>
      </w:r>
      <w:r>
        <w:rPr>
          <w:rFonts w:hint="eastAsia" w:ascii="仿宋_GB2312" w:hAnsi="黑体" w:eastAsia="仿宋_GB2312"/>
          <w:sz w:val="32"/>
          <w:szCs w:val="32"/>
        </w:rPr>
        <w:t>抓好农产品可追溯体系建设</w:t>
      </w:r>
      <w:r>
        <w:rPr>
          <w:rFonts w:hint="eastAsia" w:ascii="仿宋_GB2312" w:hAnsi="黑体"/>
          <w:sz w:val="32"/>
          <w:szCs w:val="32"/>
          <w:lang w:eastAsia="zh-CN"/>
        </w:rPr>
        <w:t>；</w:t>
      </w:r>
      <w:r>
        <w:rPr>
          <w:rFonts w:hint="eastAsia" w:ascii="仿宋_GB2312" w:hAnsi="黑体" w:eastAsia="仿宋_GB2312"/>
          <w:sz w:val="32"/>
          <w:szCs w:val="32"/>
        </w:rPr>
        <w:t>加强生产、流通和餐饮服务环节监管</w:t>
      </w:r>
      <w:r>
        <w:rPr>
          <w:rFonts w:hint="eastAsia" w:ascii="仿宋_GB2312" w:hAnsi="黑体"/>
          <w:sz w:val="32"/>
          <w:szCs w:val="32"/>
          <w:lang w:eastAsia="zh-CN"/>
        </w:rPr>
        <w:t>；多举措开展非洲猪瘟防控工作；加强粮油食品安全管理；加强清真食品的监管；加强学校食堂管理；认真组织开展食品安全培训；加大食品抽检力度。</w:t>
      </w:r>
    </w:p>
    <w:p>
      <w:pPr>
        <w:numPr>
          <w:ilvl w:val="0"/>
          <w:numId w:val="0"/>
        </w:numPr>
        <w:topLinePunct/>
        <w:adjustRightInd w:val="0"/>
        <w:snapToGrid w:val="0"/>
        <w:spacing w:line="560" w:lineRule="exact"/>
        <w:ind w:firstLine="640" w:firstLineChars="200"/>
        <w:rPr>
          <w:rFonts w:hint="eastAsia" w:ascii="楷体" w:hAnsi="楷体" w:eastAsia="楷体"/>
          <w:szCs w:val="32"/>
        </w:rPr>
      </w:pPr>
      <w:r>
        <w:rPr>
          <w:rFonts w:hint="eastAsia" w:ascii="仿宋_GB2312" w:hAnsi="宋体"/>
          <w:sz w:val="32"/>
          <w:szCs w:val="32"/>
          <w:lang w:val="en-US" w:eastAsia="zh-CN"/>
        </w:rPr>
        <w:t>通过以上工作的开展，提高人民群众对食品安全相关知识的知晓率；促进食品生产经营主体规范生产；从而保障人民群众身体健康和生命安全。</w:t>
      </w:r>
    </w:p>
    <w:p>
      <w:pPr>
        <w:topLinePunct/>
        <w:adjustRightInd w:val="0"/>
        <w:snapToGrid w:val="0"/>
        <w:spacing w:line="560" w:lineRule="exact"/>
        <w:ind w:firstLine="800" w:firstLineChars="250"/>
        <w:rPr>
          <w:rFonts w:hint="eastAsia" w:ascii="楷体" w:hAnsi="楷体" w:eastAsia="楷体"/>
          <w:szCs w:val="32"/>
        </w:rPr>
      </w:pP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（二）存在的问题；</w:t>
      </w:r>
    </w:p>
    <w:p>
      <w:pPr>
        <w:spacing w:line="560" w:lineRule="exact"/>
        <w:ind w:firstLine="645"/>
        <w:rPr>
          <w:rFonts w:ascii="宋体" w:hAnsi="宋体" w:eastAsia="仿宋_GB2312"/>
          <w:sz w:val="32"/>
          <w:szCs w:val="32"/>
        </w:rPr>
      </w:pPr>
      <w:r>
        <w:rPr>
          <w:rFonts w:hint="eastAsia" w:ascii="宋体" w:hAnsi="宋体" w:eastAsia="楷体_GB2312" w:cs="楷体_GB2312"/>
          <w:sz w:val="32"/>
          <w:szCs w:val="32"/>
          <w:lang w:val="en-US" w:eastAsia="zh-CN"/>
        </w:rPr>
        <w:t>1.</w:t>
      </w:r>
      <w:r>
        <w:rPr>
          <w:rFonts w:hint="eastAsia" w:ascii="宋体" w:hAnsi="宋体" w:eastAsia="楷体_GB2312" w:cs="楷体_GB2312"/>
          <w:sz w:val="32"/>
          <w:szCs w:val="32"/>
        </w:rPr>
        <w:t>责任意识有待增强。</w:t>
      </w:r>
      <w:r>
        <w:rPr>
          <w:rFonts w:hint="eastAsia" w:ascii="宋体" w:hAnsi="宋体" w:eastAsia="仿宋_GB2312" w:cs="仿宋_GB2312"/>
          <w:sz w:val="32"/>
          <w:szCs w:val="32"/>
        </w:rPr>
        <w:t>少数乡镇（街道）对《地方党政领导干部食品安全责任制规定》学习认知不够，错误的认为食品安全是市场监管部门一家的事，区级食品安全相关会议结束后，往往把工作任务丢给市场监管所了事，没有进行统筹调度、安排布置，导致很多工作得不到落实。</w:t>
      </w:r>
    </w:p>
    <w:p>
      <w:pPr>
        <w:spacing w:line="560" w:lineRule="exact"/>
        <w:ind w:firstLine="645"/>
        <w:rPr>
          <w:rFonts w:ascii="宋体" w:hAnsi="宋体" w:eastAsia="仿宋_GB2312"/>
          <w:sz w:val="32"/>
          <w:szCs w:val="32"/>
        </w:rPr>
      </w:pPr>
      <w:r>
        <w:rPr>
          <w:rFonts w:hint="eastAsia" w:ascii="宋体" w:hAnsi="宋体" w:eastAsia="楷体_GB2312" w:cs="楷体_GB2312"/>
          <w:sz w:val="32"/>
          <w:szCs w:val="32"/>
          <w:lang w:val="en-US" w:eastAsia="zh-CN"/>
        </w:rPr>
        <w:t>2.</w:t>
      </w:r>
      <w:r>
        <w:rPr>
          <w:rFonts w:hint="eastAsia" w:ascii="宋体" w:hAnsi="宋体" w:eastAsia="楷体_GB2312" w:cs="楷体_GB2312"/>
          <w:sz w:val="32"/>
          <w:szCs w:val="32"/>
        </w:rPr>
        <w:t>食品从业人员素质有待提高。</w:t>
      </w:r>
      <w:r>
        <w:rPr>
          <w:rFonts w:hint="eastAsia" w:ascii="宋体" w:hAnsi="宋体" w:eastAsia="仿宋_GB2312" w:cs="仿宋_GB2312"/>
          <w:sz w:val="32"/>
          <w:szCs w:val="32"/>
        </w:rPr>
        <w:t>大部分食品生产经营者从业人员文化素质较低，法律意识淡薄，安全意识较差，道德诚信欠缺，给监管工作带来不小的阻力和影响。</w:t>
      </w:r>
    </w:p>
    <w:p>
      <w:pPr>
        <w:spacing w:line="560" w:lineRule="exact"/>
        <w:ind w:firstLine="640" w:firstLineChars="200"/>
        <w:jc w:val="left"/>
        <w:rPr>
          <w:rFonts w:ascii="宋体" w:hAnsi="宋体" w:eastAsia="仿宋_GB2312"/>
          <w:sz w:val="32"/>
          <w:szCs w:val="32"/>
        </w:rPr>
      </w:pPr>
      <w:r>
        <w:rPr>
          <w:rFonts w:hint="eastAsia" w:ascii="宋体" w:hAnsi="宋体" w:eastAsia="楷体_GB2312" w:cs="楷体_GB2312"/>
          <w:sz w:val="32"/>
          <w:szCs w:val="32"/>
          <w:lang w:val="en-US" w:eastAsia="zh-CN"/>
        </w:rPr>
        <w:t>3.</w:t>
      </w:r>
      <w:r>
        <w:rPr>
          <w:rFonts w:hint="eastAsia" w:ascii="宋体" w:hAnsi="宋体" w:eastAsia="楷体_GB2312" w:cs="楷体_GB2312"/>
          <w:sz w:val="32"/>
          <w:szCs w:val="32"/>
        </w:rPr>
        <w:t>食品安全监管任重道远。</w:t>
      </w:r>
      <w:r>
        <w:rPr>
          <w:rFonts w:hint="eastAsia" w:ascii="仿宋_GB2312" w:hAnsi="宋体" w:eastAsia="仿宋_GB2312" w:cs="仿宋_GB2312"/>
          <w:sz w:val="32"/>
          <w:szCs w:val="32"/>
        </w:rPr>
        <w:t>东川境内山高谷深，地势陡陡，食品监管成本高；农村食品生产经营者普遍存在文化素质低</w:t>
      </w:r>
      <w:r>
        <w:rPr>
          <w:rFonts w:hint="eastAsia" w:ascii="仿宋_GB2312" w:hAnsi="宋体" w:eastAsia="仿宋_GB2312" w:cs="宋体"/>
          <w:sz w:val="32"/>
          <w:szCs w:val="32"/>
        </w:rPr>
        <w:t>,</w:t>
      </w:r>
      <w:r>
        <w:rPr>
          <w:rFonts w:hint="eastAsia" w:ascii="仿宋_GB2312" w:hAnsi="宋体" w:eastAsia="仿宋_GB2312" w:cs="仿宋_GB2312"/>
          <w:sz w:val="32"/>
          <w:szCs w:val="32"/>
        </w:rPr>
        <w:t>守法经营意识差；城乡农贸市场食品经营条件差、市场准入制度不健全、进货渠道混乱的现象比较突出，食品安全监管形势严峻。</w:t>
      </w:r>
    </w:p>
    <w:p>
      <w:pPr>
        <w:spacing w:line="560" w:lineRule="exact"/>
        <w:ind w:firstLine="640" w:firstLineChars="200"/>
        <w:rPr>
          <w:rFonts w:hint="eastAsia" w:ascii="楷体" w:hAnsi="楷体" w:eastAsia="楷体"/>
          <w:szCs w:val="32"/>
        </w:rPr>
      </w:pPr>
      <w:r>
        <w:rPr>
          <w:rFonts w:hint="eastAsia" w:ascii="宋体" w:hAnsi="宋体" w:eastAsia="楷体_GB2312" w:cs="楷体_GB2312"/>
          <w:sz w:val="32"/>
          <w:szCs w:val="32"/>
          <w:lang w:val="en-US" w:eastAsia="zh-CN"/>
        </w:rPr>
        <w:t>4.</w:t>
      </w:r>
      <w:r>
        <w:rPr>
          <w:rFonts w:hint="eastAsia" w:ascii="宋体" w:hAnsi="宋体" w:eastAsia="楷体_GB2312" w:cs="楷体_GB2312"/>
          <w:sz w:val="32"/>
          <w:szCs w:val="32"/>
        </w:rPr>
        <w:t>食品安全监管专业人员匮乏。</w:t>
      </w:r>
      <w:r>
        <w:rPr>
          <w:rFonts w:hint="eastAsia" w:ascii="仿宋_GB2312" w:hAnsi="宋体" w:eastAsia="仿宋_GB2312" w:cs="宋体"/>
          <w:sz w:val="32"/>
          <w:szCs w:val="32"/>
        </w:rPr>
        <w:t>2015</w:t>
      </w:r>
      <w:r>
        <w:rPr>
          <w:rFonts w:hint="eastAsia" w:ascii="仿宋_GB2312" w:hAnsi="宋体" w:eastAsia="仿宋_GB2312" w:cs="仿宋_GB2312"/>
          <w:sz w:val="32"/>
          <w:szCs w:val="32"/>
        </w:rPr>
        <w:t>年机构改革时，新成立的市场局行政编制被大幅压缩，目前，东川区市场监管局满编全额共有干部职工</w:t>
      </w:r>
      <w:r>
        <w:rPr>
          <w:rFonts w:hint="eastAsia" w:ascii="仿宋_GB2312" w:hAnsi="宋体" w:eastAsia="仿宋_GB2312" w:cs="宋体"/>
          <w:sz w:val="32"/>
          <w:szCs w:val="32"/>
        </w:rPr>
        <w:t>97</w:t>
      </w:r>
      <w:r>
        <w:rPr>
          <w:rFonts w:hint="eastAsia" w:ascii="仿宋_GB2312" w:hAnsi="宋体" w:eastAsia="仿宋_GB2312" w:cs="仿宋_GB2312"/>
          <w:sz w:val="32"/>
          <w:szCs w:val="32"/>
        </w:rPr>
        <w:t>名，与其他县区相比存在较大差距；加之，现有还在</w:t>
      </w:r>
      <w:r>
        <w:rPr>
          <w:rFonts w:hint="eastAsia" w:ascii="仿宋_GB2312" w:hAnsi="宋体" w:eastAsia="仿宋_GB2312" w:cs="宋体"/>
          <w:sz w:val="32"/>
          <w:szCs w:val="32"/>
        </w:rPr>
        <w:t>13</w:t>
      </w:r>
      <w:r>
        <w:rPr>
          <w:rFonts w:hint="eastAsia" w:ascii="仿宋_GB2312" w:hAnsi="宋体" w:eastAsia="仿宋_GB2312" w:cs="仿宋_GB2312"/>
          <w:sz w:val="32"/>
          <w:szCs w:val="32"/>
        </w:rPr>
        <w:t>名干部脱岗外出招商、驻村扶贫，使本就捉襟见肘的人员更加雪上加霜。特别是食品检验专业人员目前更是匮乏，虽然配置先进的检测车已经到位，但是没有专业人员操作使用，导致车辆使用效率没有完全发挥作用。</w:t>
      </w:r>
    </w:p>
    <w:p>
      <w:pPr>
        <w:topLinePunct/>
        <w:adjustRightInd w:val="0"/>
        <w:snapToGrid w:val="0"/>
        <w:spacing w:line="560" w:lineRule="exact"/>
        <w:ind w:firstLine="800" w:firstLineChars="250"/>
        <w:rPr>
          <w:rFonts w:ascii="楷体" w:hAnsi="楷体" w:eastAsia="楷体"/>
          <w:szCs w:val="32"/>
        </w:rPr>
      </w:pPr>
      <w:r>
        <w:rPr>
          <w:rFonts w:hint="eastAsia" w:ascii="楷体" w:hAnsi="楷体" w:eastAsia="楷体"/>
          <w:szCs w:val="32"/>
        </w:rPr>
        <w:t>（三）建议和改进措施。</w:t>
      </w:r>
    </w:p>
    <w:p>
      <w:pPr>
        <w:spacing w:line="56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lang w:val="en-US" w:eastAsia="zh-CN"/>
        </w:rPr>
        <w:t>1.</w:t>
      </w:r>
      <w:r>
        <w:rPr>
          <w:rFonts w:hint="eastAsia" w:ascii="楷体_GB2312" w:hAnsi="宋体" w:eastAsia="楷体_GB2312"/>
          <w:sz w:val="32"/>
          <w:szCs w:val="32"/>
        </w:rPr>
        <w:t>实施食品安全联合整治行动实现新突破</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强化食品安全的源头治理。强化日常监管，规范行政审批，严格市场准入。强化产品质量监测体系建设，切实加强对企业生产经营过程的监管。认真落实《地方党政领导干部食品安全责任制规定》，在基层打基础，压实各乡镇（街道）主体责任。</w:t>
      </w:r>
    </w:p>
    <w:p>
      <w:pPr>
        <w:spacing w:line="56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lang w:val="en-US" w:eastAsia="zh-CN"/>
        </w:rPr>
        <w:t>2.</w:t>
      </w:r>
      <w:r>
        <w:rPr>
          <w:rFonts w:hint="eastAsia" w:ascii="楷体_GB2312" w:hAnsi="宋体" w:eastAsia="楷体_GB2312"/>
          <w:sz w:val="32"/>
          <w:szCs w:val="32"/>
        </w:rPr>
        <w:t>食品专项整治实现新突破</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继续开展食品专项整治行动。重点抓好肉、蔬菜、奶制品、豆制品、水产品、饮料、酒、儿童食品、保健食品等重点品种和城乡集贸市场，机关学校食堂，医院周边学校周边和旅游景点周边等公共场所的食品摊点等重点部位，严厉打击制售假冒伪劣和有毒有害商品的不法行为。</w:t>
      </w:r>
    </w:p>
    <w:p>
      <w:pPr>
        <w:spacing w:line="56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lang w:val="en-US" w:eastAsia="zh-CN"/>
        </w:rPr>
        <w:t>3.</w:t>
      </w:r>
      <w:r>
        <w:rPr>
          <w:rFonts w:hint="eastAsia" w:ascii="楷体_GB2312" w:hAnsi="宋体" w:eastAsia="楷体_GB2312"/>
          <w:sz w:val="32"/>
          <w:szCs w:val="32"/>
        </w:rPr>
        <w:t>农村食品监管实现新突破</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理顺农村食品安全监管体制，进一步健全和完善食品监管网络和信息网络，从根本上解决监管空白问题。把工作的重心放在加强培训、巩固机制、发挥作用上来。</w:t>
      </w:r>
    </w:p>
    <w:p>
      <w:pPr>
        <w:spacing w:line="56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lang w:val="en-US" w:eastAsia="zh-CN"/>
        </w:rPr>
        <w:t>4.</w:t>
      </w:r>
      <w:r>
        <w:rPr>
          <w:rFonts w:hint="eastAsia" w:ascii="楷体_GB2312" w:hAnsi="宋体" w:eastAsia="楷体_GB2312"/>
          <w:sz w:val="32"/>
          <w:szCs w:val="32"/>
        </w:rPr>
        <w:t>突发事件应急处置能力实现新突破</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完善食品安全事故应急体系，切实提高对突发食品安全事件的应急处置能力，适时组织开展食品安全应急处置业务培训和演练，同时要指导相关企业建立食品安全事故应急预案和开展演练活动，做到发生事故时不慌不乱，冷静处置，将危害降到最低。</w:t>
      </w:r>
    </w:p>
    <w:p>
      <w:pPr>
        <w:adjustRightInd w:val="0"/>
        <w:snapToGrid w:val="0"/>
        <w:spacing w:line="560" w:lineRule="exact"/>
        <w:rPr>
          <w:rFonts w:eastAsia="黑体"/>
        </w:rPr>
      </w:pPr>
    </w:p>
    <w:p>
      <w:pPr>
        <w:adjustRightInd w:val="0"/>
        <w:snapToGrid w:val="0"/>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FCEB8E"/>
    <w:multiLevelType w:val="singleLevel"/>
    <w:tmpl w:val="C8FCEB8E"/>
    <w:lvl w:ilvl="0" w:tentative="0">
      <w:start w:val="1"/>
      <w:numFmt w:val="chineseCounting"/>
      <w:suff w:val="nothing"/>
      <w:lvlText w:val="%1、"/>
      <w:lvlJc w:val="left"/>
      <w:rPr>
        <w:rFonts w:hint="eastAsia"/>
      </w:rPr>
    </w:lvl>
  </w:abstractNum>
  <w:abstractNum w:abstractNumId="1">
    <w:nsid w:val="00EC9924"/>
    <w:multiLevelType w:val="singleLevel"/>
    <w:tmpl w:val="00EC9924"/>
    <w:lvl w:ilvl="0" w:tentative="0">
      <w:start w:val="2"/>
      <w:numFmt w:val="decimal"/>
      <w:lvlText w:val="%1."/>
      <w:lvlJc w:val="left"/>
      <w:pPr>
        <w:tabs>
          <w:tab w:val="left" w:pos="312"/>
        </w:tabs>
      </w:pPr>
    </w:lvl>
  </w:abstractNum>
  <w:abstractNum w:abstractNumId="2">
    <w:nsid w:val="153200BA"/>
    <w:multiLevelType w:val="singleLevel"/>
    <w:tmpl w:val="153200BA"/>
    <w:lvl w:ilvl="0" w:tentative="0">
      <w:start w:val="2"/>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D80"/>
    <w:rsid w:val="002855A9"/>
    <w:rsid w:val="00335D80"/>
    <w:rsid w:val="004760B0"/>
    <w:rsid w:val="00547508"/>
    <w:rsid w:val="008D3112"/>
    <w:rsid w:val="00CC1842"/>
    <w:rsid w:val="00F05084"/>
    <w:rsid w:val="00F2241E"/>
    <w:rsid w:val="00FD45E9"/>
    <w:rsid w:val="11A81C3E"/>
    <w:rsid w:val="11CF3BB5"/>
    <w:rsid w:val="1B1F438B"/>
    <w:rsid w:val="21BC6A3B"/>
    <w:rsid w:val="24F540B3"/>
    <w:rsid w:val="2EB27275"/>
    <w:rsid w:val="2F4C5FC1"/>
    <w:rsid w:val="2FD35498"/>
    <w:rsid w:val="309E3570"/>
    <w:rsid w:val="36175578"/>
    <w:rsid w:val="38055C93"/>
    <w:rsid w:val="55417C25"/>
    <w:rsid w:val="60E971D9"/>
    <w:rsid w:val="63EE10F1"/>
    <w:rsid w:val="66961A7C"/>
    <w:rsid w:val="7DE72F3E"/>
    <w:rsid w:val="7EDB73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无间隔1"/>
    <w:unhideWhenUsed/>
    <w:qFormat/>
    <w:uiPriority w:val="0"/>
    <w:pPr>
      <w:widowControl w:val="0"/>
      <w:jc w:val="both"/>
    </w:pPr>
    <w:rPr>
      <w:rFonts w:ascii="Calibri" w:hAnsi="Calibri" w:eastAsia="宋体" w:cs="Times New Roman"/>
      <w:kern w:val="2"/>
      <w:sz w:val="21"/>
      <w:szCs w:val="22"/>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eastAsia="仿宋_GB2312"/>
      <w:kern w:val="2"/>
      <w:sz w:val="18"/>
      <w:szCs w:val="18"/>
    </w:rPr>
  </w:style>
  <w:style w:type="character" w:customStyle="1" w:styleId="8">
    <w:name w:val="页脚 Char"/>
    <w:basedOn w:val="6"/>
    <w:link w:val="3"/>
    <w:semiHidden/>
    <w:qFormat/>
    <w:uiPriority w:val="99"/>
    <w:rPr>
      <w:rFonts w:eastAsia="仿宋_GB2312"/>
      <w:kern w:val="2"/>
      <w:sz w:val="18"/>
      <w:szCs w:val="18"/>
    </w:rPr>
  </w:style>
  <w:style w:type="paragraph" w:styleId="9">
    <w:name w:val="List Paragraph"/>
    <w:basedOn w:val="1"/>
    <w:unhideWhenUsed/>
    <w:qFormat/>
    <w:uiPriority w:val="99"/>
    <w:pPr>
      <w:ind w:firstLine="420" w:firstLineChars="200"/>
    </w:pPr>
  </w:style>
  <w:style w:type="paragraph" w:customStyle="1" w:styleId="10">
    <w:name w:val="实施方案正文"/>
    <w:basedOn w:val="1"/>
    <w:qFormat/>
    <w:uiPriority w:val="99"/>
    <w:pPr>
      <w:ind w:firstLine="566" w:firstLineChars="202"/>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287</Words>
  <Characters>1641</Characters>
  <Lines>13</Lines>
  <Paragraphs>3</Paragraphs>
  <TotalTime>27</TotalTime>
  <ScaleCrop>false</ScaleCrop>
  <LinksUpToDate>false</LinksUpToDate>
  <CharactersWithSpaces>1925</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2020-05-21T02:29:00Z</dcterms:created>
  <dc:creator>NTKO</dc:creator>
  <cp:lastModifiedBy>Dell</cp:lastModifiedBy>
  <dcterms:modified xsi:type="dcterms:W3CDTF">2020-07-09T09:15:04Z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