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6A" w:rsidRPr="004813B9" w:rsidRDefault="00541754" w:rsidP="004813B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41754">
        <w:rPr>
          <w:rFonts w:ascii="方正小标宋简体" w:eastAsia="方正小标宋简体" w:hint="eastAsia"/>
          <w:sz w:val="44"/>
          <w:szCs w:val="44"/>
        </w:rPr>
        <w:t>东川区扶持培育新型农业经营主体助推精准脱贫以奖代补项目</w:t>
      </w:r>
      <w:r w:rsidR="0057613D" w:rsidRPr="004813B9">
        <w:rPr>
          <w:rFonts w:ascii="方正小标宋简体" w:eastAsia="方正小标宋简体" w:hint="eastAsia"/>
          <w:sz w:val="44"/>
          <w:szCs w:val="44"/>
        </w:rPr>
        <w:t>自评报告</w:t>
      </w:r>
    </w:p>
    <w:p w:rsidR="004813B9" w:rsidRDefault="004813B9" w:rsidP="004813B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62898" w:rsidRPr="009728E5" w:rsidRDefault="004813B9" w:rsidP="00662898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728E5">
        <w:rPr>
          <w:rFonts w:ascii="黑体" w:eastAsia="黑体" w:hAnsi="黑体" w:hint="eastAsia"/>
          <w:sz w:val="32"/>
          <w:szCs w:val="32"/>
        </w:rPr>
        <w:t>一、项目概况</w:t>
      </w:r>
    </w:p>
    <w:p w:rsidR="00C9433A" w:rsidRDefault="00662898" w:rsidP="0066289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9433A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C9433A">
        <w:rPr>
          <w:rFonts w:ascii="仿宋_GB2312" w:eastAsia="仿宋_GB2312" w:hint="eastAsia"/>
          <w:sz w:val="32"/>
          <w:szCs w:val="32"/>
        </w:rPr>
        <w:t>《东川区扶持培育新型农业经营主体助推脱贫攻坚实施方案（2018年-2020年》（东政发〔2018〕17号）文件要求，</w:t>
      </w:r>
      <w:r w:rsidR="00C9433A" w:rsidRPr="00C9433A">
        <w:rPr>
          <w:rFonts w:ascii="仿宋_GB2312" w:eastAsia="仿宋_GB2312" w:hAnsi="Times New Roman" w:cs="Times New Roman" w:hint="eastAsia"/>
          <w:sz w:val="32"/>
          <w:szCs w:val="32"/>
        </w:rPr>
        <w:t>东川区农业农村局在全区8个乡镇（街道）范围内组织</w:t>
      </w:r>
      <w:r w:rsidRPr="00C9433A">
        <w:rPr>
          <w:rFonts w:ascii="仿宋_GB2312" w:eastAsia="仿宋_GB2312" w:hint="eastAsia"/>
          <w:sz w:val="32"/>
          <w:szCs w:val="32"/>
        </w:rPr>
        <w:t>实施东川区扶持培育新型农业经营主体助推脱贫项目，对</w:t>
      </w:r>
      <w:r w:rsidR="00DB5B52" w:rsidRPr="00C9433A">
        <w:rPr>
          <w:rFonts w:ascii="仿宋_GB2312" w:eastAsia="仿宋_GB2312" w:hint="eastAsia"/>
          <w:sz w:val="32"/>
          <w:szCs w:val="32"/>
        </w:rPr>
        <w:t>带动</w:t>
      </w:r>
      <w:r w:rsidR="00C9433A" w:rsidRPr="00C9433A">
        <w:rPr>
          <w:rFonts w:ascii="仿宋_GB2312" w:eastAsia="仿宋_GB2312" w:hint="eastAsia"/>
          <w:sz w:val="32"/>
          <w:szCs w:val="32"/>
        </w:rPr>
        <w:t>联结</w:t>
      </w:r>
      <w:r w:rsidRPr="00C9433A">
        <w:rPr>
          <w:rFonts w:ascii="仿宋_GB2312" w:eastAsia="仿宋_GB2312" w:hint="eastAsia"/>
          <w:sz w:val="32"/>
          <w:szCs w:val="32"/>
        </w:rPr>
        <w:t>建档立卡户</w:t>
      </w:r>
      <w:r w:rsidR="00C9433A" w:rsidRPr="00C9433A">
        <w:rPr>
          <w:rFonts w:ascii="仿宋_GB2312" w:eastAsia="仿宋_GB2312" w:hint="eastAsia"/>
          <w:sz w:val="32"/>
          <w:szCs w:val="32"/>
        </w:rPr>
        <w:t>50户以上，签订3</w:t>
      </w:r>
      <w:r w:rsidR="00DB5B52">
        <w:rPr>
          <w:rFonts w:ascii="仿宋_GB2312" w:eastAsia="仿宋_GB2312" w:hint="eastAsia"/>
          <w:sz w:val="32"/>
          <w:szCs w:val="32"/>
        </w:rPr>
        <w:t>年合同，</w:t>
      </w:r>
      <w:r w:rsidR="00C9433A" w:rsidRPr="00C9433A">
        <w:rPr>
          <w:rFonts w:ascii="仿宋_GB2312" w:eastAsia="仿宋_GB2312" w:hint="eastAsia"/>
          <w:sz w:val="32"/>
          <w:szCs w:val="32"/>
        </w:rPr>
        <w:t>并每年给予10%分红的</w:t>
      </w:r>
      <w:r w:rsidRPr="00C9433A">
        <w:rPr>
          <w:rFonts w:ascii="仿宋_GB2312" w:eastAsia="仿宋_GB2312" w:hint="eastAsia"/>
          <w:sz w:val="32"/>
          <w:szCs w:val="32"/>
        </w:rPr>
        <w:t>新型农业经营主体</w:t>
      </w:r>
      <w:r w:rsidR="00C9433A" w:rsidRPr="00C9433A">
        <w:rPr>
          <w:rFonts w:ascii="仿宋_GB2312" w:eastAsia="仿宋_GB2312" w:hint="eastAsia"/>
          <w:sz w:val="32"/>
          <w:szCs w:val="32"/>
        </w:rPr>
        <w:t>，区财政按每带动1户3年合计给予500元的以奖代补</w:t>
      </w:r>
      <w:r w:rsidR="00C9433A" w:rsidRPr="00C9433A">
        <w:rPr>
          <w:rFonts w:ascii="仿宋_GB2312" w:eastAsia="仿宋_GB2312" w:hint="eastAsia"/>
          <w:color w:val="000000"/>
          <w:sz w:val="32"/>
          <w:szCs w:val="32"/>
        </w:rPr>
        <w:t>，2018年—2020年三年间按3：3：4的比例进行补助，2019年支付补助资金364.75万元。</w:t>
      </w:r>
    </w:p>
    <w:p w:rsidR="0064646A" w:rsidRPr="00C9433A" w:rsidRDefault="00C9433A" w:rsidP="0066289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9433A">
        <w:rPr>
          <w:rFonts w:ascii="黑体" w:eastAsia="黑体" w:hAnsi="黑体" w:hint="eastAsia"/>
          <w:color w:val="000000"/>
          <w:sz w:val="32"/>
          <w:szCs w:val="32"/>
        </w:rPr>
        <w:t>二</w:t>
      </w:r>
      <w:r w:rsidR="004813B9" w:rsidRPr="00C9433A">
        <w:rPr>
          <w:rFonts w:ascii="黑体" w:eastAsia="黑体" w:hAnsi="黑体" w:hint="eastAsia"/>
          <w:sz w:val="32"/>
          <w:szCs w:val="32"/>
        </w:rPr>
        <w:t>、资金支出情况</w:t>
      </w:r>
    </w:p>
    <w:p w:rsidR="00662898" w:rsidRDefault="00662898" w:rsidP="00C9433A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东川区扶持培育新型农业经营主体助推精准脱贫以奖代补项目，</w:t>
      </w:r>
      <w:r w:rsidR="00C9433A">
        <w:rPr>
          <w:rFonts w:ascii="仿宋_GB2312" w:eastAsia="仿宋_GB2312" w:hAnsi="仿宋_GB2312" w:cs="仿宋_GB2312" w:hint="eastAsia"/>
          <w:sz w:val="32"/>
          <w:szCs w:val="32"/>
        </w:rPr>
        <w:t>2019年</w:t>
      </w:r>
      <w:r w:rsidR="00C9433A" w:rsidRPr="009A60B0">
        <w:rPr>
          <w:rFonts w:ascii="Times New Roman" w:eastAsia="仿宋_GB2312" w:hAnsi="Times New Roman" w:cs="Times New Roman"/>
          <w:sz w:val="32"/>
          <w:szCs w:val="32"/>
        </w:rPr>
        <w:t>安排区级整合资金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365万元，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使用资金万</w:t>
      </w:r>
      <w:proofErr w:type="gramStart"/>
      <w:r>
        <w:rPr>
          <w:rFonts w:ascii="仿宋_GB2312" w:eastAsia="仿宋_GB2312" w:hAnsi="仿宋_GB2312" w:hint="eastAsia"/>
          <w:color w:val="000000"/>
          <w:sz w:val="32"/>
          <w:szCs w:val="32"/>
        </w:rPr>
        <w:t>364</w:t>
      </w:r>
      <w:proofErr w:type="gramEnd"/>
      <w:r>
        <w:rPr>
          <w:rFonts w:ascii="仿宋_GB2312" w:eastAsia="仿宋_GB2312" w:hAnsi="仿宋_GB2312" w:hint="eastAsia"/>
          <w:color w:val="000000"/>
          <w:sz w:val="32"/>
          <w:szCs w:val="32"/>
        </w:rPr>
        <w:t>.75元，结余资金0.25万元。</w:t>
      </w:r>
    </w:p>
    <w:p w:rsidR="0064646A" w:rsidRPr="00647594" w:rsidRDefault="004813B9" w:rsidP="0066289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47594">
        <w:rPr>
          <w:rFonts w:ascii="黑体" w:eastAsia="黑体" w:hAnsi="黑体" w:hint="eastAsia"/>
          <w:sz w:val="32"/>
          <w:szCs w:val="32"/>
        </w:rPr>
        <w:t>三、绩效指标完成情况</w:t>
      </w:r>
    </w:p>
    <w:p w:rsidR="00DB5B52" w:rsidRDefault="00662898" w:rsidP="00662898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7729AC">
        <w:rPr>
          <w:rFonts w:ascii="仿宋_GB2312" w:eastAsia="仿宋_GB2312" w:hAnsi="仿宋_GB2312" w:cs="仿宋_GB2312" w:hint="eastAsia"/>
          <w:sz w:val="32"/>
          <w:szCs w:val="32"/>
        </w:rPr>
        <w:t>东川区扶持培育新型农业经营主体助推精准脱贫以奖代补项目，</w:t>
      </w:r>
      <w:r w:rsidR="00DB5B52">
        <w:rPr>
          <w:rFonts w:ascii="仿宋_GB2312" w:eastAsia="仿宋_GB2312" w:hAnsi="仿宋_GB2312" w:cs="仿宋_GB2312" w:hint="eastAsia"/>
          <w:sz w:val="32"/>
          <w:szCs w:val="32"/>
        </w:rPr>
        <w:t>一是2019年</w:t>
      </w:r>
      <w:r w:rsidR="00DB5B52" w:rsidRPr="009A60B0">
        <w:rPr>
          <w:rFonts w:ascii="Times New Roman" w:eastAsia="仿宋_GB2312" w:hAnsi="Times New Roman" w:cs="Times New Roman"/>
          <w:sz w:val="32"/>
          <w:szCs w:val="32"/>
        </w:rPr>
        <w:t>安排区级整合资金</w:t>
      </w:r>
      <w:r w:rsidR="00DB5B52">
        <w:rPr>
          <w:rFonts w:ascii="仿宋_GB2312" w:eastAsia="仿宋_GB2312" w:hAnsi="仿宋_GB2312" w:cs="仿宋_GB2312" w:hint="eastAsia"/>
          <w:sz w:val="32"/>
          <w:szCs w:val="32"/>
        </w:rPr>
        <w:t>365万元，</w:t>
      </w:r>
      <w:r w:rsidR="00DB5B52">
        <w:rPr>
          <w:rFonts w:ascii="仿宋_GB2312" w:eastAsia="仿宋_GB2312" w:hAnsi="仿宋_GB2312" w:hint="eastAsia"/>
          <w:color w:val="000000"/>
          <w:sz w:val="32"/>
          <w:szCs w:val="32"/>
        </w:rPr>
        <w:t>使用资金万</w:t>
      </w:r>
      <w:proofErr w:type="gramStart"/>
      <w:r w:rsidR="00DB5B52">
        <w:rPr>
          <w:rFonts w:ascii="仿宋_GB2312" w:eastAsia="仿宋_GB2312" w:hAnsi="仿宋_GB2312" w:hint="eastAsia"/>
          <w:color w:val="000000"/>
          <w:sz w:val="32"/>
          <w:szCs w:val="32"/>
        </w:rPr>
        <w:t>364</w:t>
      </w:r>
      <w:proofErr w:type="gramEnd"/>
      <w:r w:rsidR="00DB5B52">
        <w:rPr>
          <w:rFonts w:ascii="仿宋_GB2312" w:eastAsia="仿宋_GB2312" w:hAnsi="仿宋_GB2312" w:hint="eastAsia"/>
          <w:color w:val="000000"/>
          <w:sz w:val="32"/>
          <w:szCs w:val="32"/>
        </w:rPr>
        <w:t>.75元，</w:t>
      </w:r>
      <w:r w:rsidR="00DB5B52">
        <w:rPr>
          <w:rFonts w:ascii="仿宋_GB2312" w:eastAsia="仿宋_GB2312" w:hAnsi="仿宋_GB2312" w:cs="仿宋_GB2312" w:hint="eastAsia"/>
          <w:sz w:val="32"/>
          <w:szCs w:val="32"/>
        </w:rPr>
        <w:t>完成联结建档立卡户补助</w:t>
      </w:r>
      <w:r w:rsidR="00DB5B52">
        <w:rPr>
          <w:rFonts w:eastAsia="仿宋_GB2312" w:hint="eastAsia"/>
          <w:sz w:val="32"/>
          <w:szCs w:val="32"/>
        </w:rPr>
        <w:t>24317</w:t>
      </w:r>
      <w:r w:rsidR="00DB5B52" w:rsidRPr="00A87626">
        <w:rPr>
          <w:rFonts w:eastAsia="仿宋_GB2312"/>
          <w:sz w:val="32"/>
          <w:szCs w:val="32"/>
        </w:rPr>
        <w:t>户（贫困户</w:t>
      </w:r>
      <w:r w:rsidR="00DB5B52" w:rsidRPr="00A87626">
        <w:rPr>
          <w:rFonts w:eastAsia="仿宋_GB2312"/>
          <w:sz w:val="32"/>
          <w:szCs w:val="32"/>
        </w:rPr>
        <w:t>3000</w:t>
      </w:r>
      <w:r w:rsidR="00DB5B52" w:rsidRPr="00A87626">
        <w:rPr>
          <w:rFonts w:eastAsia="仿宋_GB2312"/>
          <w:sz w:val="32"/>
          <w:szCs w:val="32"/>
        </w:rPr>
        <w:t>元产业资金）</w:t>
      </w:r>
      <w:r w:rsidR="00DB5B52">
        <w:rPr>
          <w:rFonts w:eastAsia="仿宋_GB2312" w:hint="eastAsia"/>
          <w:sz w:val="32"/>
          <w:szCs w:val="32"/>
        </w:rPr>
        <w:t>，</w:t>
      </w:r>
      <w:r w:rsidR="00DB5B52">
        <w:rPr>
          <w:rFonts w:ascii="仿宋_GB2312" w:eastAsia="仿宋_GB2312" w:hAnsi="仿宋_GB2312" w:cs="仿宋_GB2312" w:hint="eastAsia"/>
          <w:sz w:val="32"/>
          <w:szCs w:val="32"/>
        </w:rPr>
        <w:t>补助</w:t>
      </w:r>
      <w:r w:rsidR="00DB5B52" w:rsidRPr="00A87626">
        <w:rPr>
          <w:rFonts w:eastAsia="仿宋_GB2312"/>
          <w:sz w:val="32"/>
          <w:szCs w:val="32"/>
        </w:rPr>
        <w:t>新型经营主体</w:t>
      </w:r>
      <w:r w:rsidR="00DA341C">
        <w:rPr>
          <w:rFonts w:eastAsia="仿宋_GB2312" w:hint="eastAsia"/>
          <w:sz w:val="32"/>
          <w:szCs w:val="32"/>
        </w:rPr>
        <w:t>118</w:t>
      </w:r>
      <w:r w:rsidR="00647594" w:rsidRPr="00A87626">
        <w:rPr>
          <w:rFonts w:eastAsia="仿宋_GB2312"/>
          <w:sz w:val="32"/>
          <w:szCs w:val="32"/>
        </w:rPr>
        <w:t>个</w:t>
      </w:r>
      <w:r w:rsidR="00DB5B52">
        <w:rPr>
          <w:rFonts w:eastAsia="仿宋_GB2312" w:hint="eastAsia"/>
          <w:sz w:val="32"/>
          <w:szCs w:val="32"/>
        </w:rPr>
        <w:t>；二是补助</w:t>
      </w:r>
      <w:r w:rsidR="00DB5B52">
        <w:rPr>
          <w:rFonts w:eastAsia="仿宋_GB2312" w:hint="eastAsia"/>
          <w:sz w:val="32"/>
          <w:szCs w:val="32"/>
        </w:rPr>
        <w:t xml:space="preserve"> </w:t>
      </w:r>
      <w:r w:rsidR="00DB5B52">
        <w:rPr>
          <w:rFonts w:eastAsia="仿宋_GB2312" w:hint="eastAsia"/>
          <w:sz w:val="32"/>
          <w:szCs w:val="32"/>
        </w:rPr>
        <w:t>资金及时兑付率为</w:t>
      </w:r>
      <w:r w:rsidR="00DB5B52">
        <w:rPr>
          <w:rFonts w:eastAsia="仿宋_GB2312" w:hint="eastAsia"/>
          <w:sz w:val="32"/>
          <w:szCs w:val="32"/>
        </w:rPr>
        <w:t>100%</w:t>
      </w:r>
      <w:r w:rsidR="00DB5B52">
        <w:rPr>
          <w:rFonts w:eastAsia="仿宋_GB2312" w:hint="eastAsia"/>
          <w:sz w:val="32"/>
          <w:szCs w:val="32"/>
        </w:rPr>
        <w:t>；三是</w:t>
      </w:r>
      <w:r w:rsidR="00DA341C">
        <w:rPr>
          <w:rFonts w:eastAsia="仿宋_GB2312" w:hint="eastAsia"/>
          <w:sz w:val="32"/>
          <w:szCs w:val="32"/>
        </w:rPr>
        <w:t>按每带动一户补助</w:t>
      </w:r>
      <w:r w:rsidR="00DA341C">
        <w:rPr>
          <w:rFonts w:eastAsia="仿宋_GB2312" w:hint="eastAsia"/>
          <w:sz w:val="32"/>
          <w:szCs w:val="32"/>
        </w:rPr>
        <w:t>150</w:t>
      </w:r>
      <w:r w:rsidR="00DA341C">
        <w:rPr>
          <w:rFonts w:eastAsia="仿宋_GB2312" w:hint="eastAsia"/>
          <w:sz w:val="32"/>
          <w:szCs w:val="32"/>
        </w:rPr>
        <w:t>元的标准扶持新型经营主体</w:t>
      </w:r>
      <w:r w:rsidR="00D10BA5">
        <w:rPr>
          <w:rFonts w:eastAsia="仿宋_GB2312" w:hint="eastAsia"/>
          <w:color w:val="000000"/>
          <w:sz w:val="32"/>
          <w:szCs w:val="32"/>
        </w:rPr>
        <w:t>；四是受益新型经营主体满意度达</w:t>
      </w:r>
      <w:r w:rsidR="00D10BA5">
        <w:rPr>
          <w:rFonts w:eastAsia="仿宋_GB2312" w:hint="eastAsia"/>
          <w:color w:val="000000"/>
          <w:sz w:val="32"/>
          <w:szCs w:val="32"/>
        </w:rPr>
        <w:t>90%</w:t>
      </w:r>
      <w:r w:rsidR="00D10BA5">
        <w:rPr>
          <w:rFonts w:eastAsia="仿宋_GB2312" w:hint="eastAsia"/>
          <w:color w:val="000000"/>
          <w:sz w:val="32"/>
          <w:szCs w:val="32"/>
        </w:rPr>
        <w:t>以上。</w:t>
      </w:r>
    </w:p>
    <w:p w:rsidR="00DA341C" w:rsidRPr="00DA341C" w:rsidRDefault="004813B9" w:rsidP="0066289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341C">
        <w:rPr>
          <w:rFonts w:ascii="黑体" w:eastAsia="黑体" w:hAnsi="黑体" w:hint="eastAsia"/>
          <w:sz w:val="32"/>
          <w:szCs w:val="32"/>
        </w:rPr>
        <w:lastRenderedPageBreak/>
        <w:t>四、未完成原因分析</w:t>
      </w:r>
    </w:p>
    <w:p w:rsidR="00D10BA5" w:rsidRDefault="00D10BA5" w:rsidP="0066289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729AC">
        <w:rPr>
          <w:rFonts w:ascii="仿宋_GB2312" w:eastAsia="仿宋_GB2312" w:hAnsi="仿宋_GB2312" w:cs="仿宋_GB2312" w:hint="eastAsia"/>
          <w:sz w:val="32"/>
          <w:szCs w:val="32"/>
        </w:rPr>
        <w:t>扶持培育新型农业经营主体</w:t>
      </w:r>
      <w:r>
        <w:rPr>
          <w:rFonts w:ascii="仿宋_GB2312" w:eastAsia="仿宋_GB2312" w:hAnsi="仿宋_GB2312" w:cs="仿宋_GB2312" w:hint="eastAsia"/>
          <w:sz w:val="32"/>
          <w:szCs w:val="32"/>
        </w:rPr>
        <w:t>补助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资金根据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每年建档立卡户的动态变化和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新型经营主体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带动分红情况进行补助，因部门建档立卡户死亡等因素，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无法精准</w:t>
      </w:r>
      <w:r w:rsidR="00B201D6">
        <w:rPr>
          <w:rFonts w:ascii="Times New Roman" w:eastAsia="仿宋_GB2312" w:hAnsi="Times New Roman" w:cs="Times New Roman" w:hint="eastAsia"/>
          <w:sz w:val="32"/>
          <w:szCs w:val="32"/>
        </w:rPr>
        <w:t>预测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补助资金</w:t>
      </w:r>
      <w:bookmarkStart w:id="0" w:name="_GoBack"/>
      <w:bookmarkEnd w:id="0"/>
      <w:r w:rsidRPr="009A60B0">
        <w:rPr>
          <w:rFonts w:ascii="Times New Roman" w:eastAsia="仿宋_GB2312" w:hAnsi="Times New Roman" w:cs="Times New Roman"/>
          <w:sz w:val="32"/>
          <w:szCs w:val="32"/>
        </w:rPr>
        <w:t>数额。</w:t>
      </w:r>
    </w:p>
    <w:p w:rsidR="0064646A" w:rsidRPr="00DA341C" w:rsidRDefault="004813B9" w:rsidP="0066289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341C">
        <w:rPr>
          <w:rFonts w:ascii="黑体" w:eastAsia="黑体" w:hAnsi="黑体" w:hint="eastAsia"/>
          <w:sz w:val="32"/>
          <w:szCs w:val="32"/>
        </w:rPr>
        <w:t>五、采取的措施</w:t>
      </w:r>
    </w:p>
    <w:p w:rsidR="00662898" w:rsidRDefault="00DA341C" w:rsidP="00DA341C">
      <w:pPr>
        <w:ind w:firstLineChars="196" w:firstLine="627"/>
        <w:rPr>
          <w:rFonts w:eastAsia="仿宋_GB2312"/>
          <w:color w:val="000000"/>
          <w:sz w:val="32"/>
        </w:rPr>
      </w:pPr>
      <w:r w:rsidRPr="00DA341C">
        <w:rPr>
          <w:rFonts w:eastAsia="仿宋_GB2312" w:hint="eastAsia"/>
          <w:sz w:val="32"/>
          <w:szCs w:val="32"/>
        </w:rPr>
        <w:t>一是大力宣传</w:t>
      </w:r>
      <w:r w:rsidR="00662898" w:rsidRPr="00DA341C">
        <w:rPr>
          <w:rFonts w:eastAsia="仿宋_GB2312"/>
          <w:color w:val="000000"/>
          <w:sz w:val="32"/>
          <w:szCs w:val="32"/>
        </w:rPr>
        <w:t>《</w:t>
      </w:r>
      <w:r w:rsidR="00662898" w:rsidRPr="00A55445">
        <w:rPr>
          <w:rFonts w:eastAsia="仿宋_GB2312"/>
          <w:color w:val="000000"/>
          <w:sz w:val="32"/>
          <w:szCs w:val="32"/>
        </w:rPr>
        <w:t>东川区引导农村土地有序流转发展适度规模经营实施意见》（东政发〔</w:t>
      </w:r>
      <w:r w:rsidR="00662898" w:rsidRPr="00A55445">
        <w:rPr>
          <w:color w:val="000000"/>
          <w:sz w:val="32"/>
          <w:szCs w:val="32"/>
        </w:rPr>
        <w:t>2018</w:t>
      </w:r>
      <w:r w:rsidR="00662898" w:rsidRPr="00A55445">
        <w:rPr>
          <w:rFonts w:eastAsia="仿宋_GB2312"/>
          <w:color w:val="000000"/>
          <w:sz w:val="32"/>
          <w:szCs w:val="32"/>
        </w:rPr>
        <w:t>〕</w:t>
      </w:r>
      <w:r w:rsidR="00662898" w:rsidRPr="00A55445">
        <w:rPr>
          <w:color w:val="000000"/>
          <w:sz w:val="32"/>
          <w:szCs w:val="32"/>
        </w:rPr>
        <w:t>19</w:t>
      </w:r>
      <w:r w:rsidR="00662898" w:rsidRPr="00A55445">
        <w:rPr>
          <w:rFonts w:eastAsia="仿宋_GB2312"/>
          <w:color w:val="000000"/>
          <w:sz w:val="32"/>
          <w:szCs w:val="32"/>
        </w:rPr>
        <w:t>号）</w:t>
      </w:r>
      <w:r>
        <w:rPr>
          <w:rFonts w:eastAsia="仿宋_GB2312" w:hint="eastAsia"/>
          <w:color w:val="000000"/>
          <w:sz w:val="32"/>
          <w:szCs w:val="32"/>
        </w:rPr>
        <w:t>政策，使扶持政策家喻户晓；二是深入</w:t>
      </w:r>
      <w:r w:rsidR="00662898" w:rsidRPr="00A55445">
        <w:rPr>
          <w:rFonts w:eastAsia="仿宋_GB2312"/>
          <w:color w:val="000000"/>
          <w:sz w:val="32"/>
          <w:szCs w:val="32"/>
        </w:rPr>
        <w:t>全区</w:t>
      </w:r>
      <w:r w:rsidR="00662898" w:rsidRPr="00A55445">
        <w:rPr>
          <w:color w:val="000000"/>
          <w:sz w:val="32"/>
          <w:szCs w:val="32"/>
        </w:rPr>
        <w:t>8</w:t>
      </w:r>
      <w:r w:rsidR="00662898" w:rsidRPr="00A55445">
        <w:rPr>
          <w:rFonts w:eastAsia="仿宋_GB2312"/>
          <w:color w:val="000000"/>
          <w:sz w:val="32"/>
          <w:szCs w:val="32"/>
        </w:rPr>
        <w:t>个乡镇（街道）</w:t>
      </w:r>
      <w:r>
        <w:rPr>
          <w:rFonts w:eastAsia="仿宋_GB2312" w:hint="eastAsia"/>
          <w:color w:val="000000"/>
          <w:sz w:val="32"/>
          <w:szCs w:val="32"/>
        </w:rPr>
        <w:t>及</w:t>
      </w:r>
      <w:r w:rsidR="00662898" w:rsidRPr="00A55445">
        <w:rPr>
          <w:rFonts w:eastAsia="仿宋_GB2312"/>
          <w:color w:val="000000"/>
          <w:sz w:val="32"/>
        </w:rPr>
        <w:t>家新型经营主体</w:t>
      </w:r>
      <w:r>
        <w:rPr>
          <w:rFonts w:eastAsia="仿宋_GB2312" w:hint="eastAsia"/>
          <w:color w:val="000000"/>
          <w:sz w:val="32"/>
        </w:rPr>
        <w:t>指导补助审报流程、表格填报等工作；三是安排专人负责此项工作，要求对各乡镇（街道）上报的数据和申请的补助资金认真审核，</w:t>
      </w:r>
      <w:r w:rsidR="00141D31">
        <w:rPr>
          <w:rFonts w:eastAsia="仿宋_GB2312" w:hint="eastAsia"/>
          <w:color w:val="000000"/>
          <w:sz w:val="32"/>
        </w:rPr>
        <w:t>确保资金使用安排。</w:t>
      </w:r>
    </w:p>
    <w:p w:rsidR="00FA704B" w:rsidRPr="00141D31" w:rsidRDefault="004813B9" w:rsidP="00662898">
      <w:pPr>
        <w:spacing w:line="560" w:lineRule="exact"/>
        <w:ind w:firstLineChars="200" w:firstLine="640"/>
        <w:rPr>
          <w:rFonts w:ascii="黑体" w:eastAsia="黑体" w:hAnsi="黑体"/>
        </w:rPr>
      </w:pPr>
      <w:r w:rsidRPr="00141D31">
        <w:rPr>
          <w:rFonts w:ascii="黑体" w:eastAsia="黑体" w:hAnsi="黑体" w:hint="eastAsia"/>
          <w:sz w:val="32"/>
          <w:szCs w:val="32"/>
        </w:rPr>
        <w:t>六、项目带贫情况</w:t>
      </w:r>
    </w:p>
    <w:p w:rsidR="004813B9" w:rsidRDefault="0076410B" w:rsidP="0076410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729AC">
        <w:rPr>
          <w:rFonts w:ascii="仿宋_GB2312" w:eastAsia="仿宋_GB2312" w:hAnsi="仿宋_GB2312" w:cs="仿宋_GB2312" w:hint="eastAsia"/>
          <w:sz w:val="32"/>
          <w:szCs w:val="32"/>
        </w:rPr>
        <w:t>东川区扶持培育新型农业经营主体助推精准脱贫以奖代补项目</w:t>
      </w:r>
      <w:r w:rsidR="005D0305">
        <w:rPr>
          <w:rFonts w:ascii="仿宋_GB2312" w:eastAsia="仿宋_GB2312" w:hAnsi="仿宋_GB2312" w:cs="仿宋_GB2312" w:hint="eastAsia"/>
          <w:sz w:val="32"/>
          <w:szCs w:val="32"/>
        </w:rPr>
        <w:t>直接带动</w:t>
      </w:r>
      <w:r w:rsidRPr="00A87626">
        <w:rPr>
          <w:rFonts w:eastAsia="仿宋_GB2312"/>
          <w:sz w:val="32"/>
          <w:szCs w:val="32"/>
        </w:rPr>
        <w:t>全区</w:t>
      </w:r>
      <w:r w:rsidR="005D0305">
        <w:rPr>
          <w:rFonts w:eastAsia="仿宋_GB2312" w:hint="eastAsia"/>
          <w:sz w:val="32"/>
          <w:szCs w:val="32"/>
        </w:rPr>
        <w:t>建档立卡户</w:t>
      </w:r>
      <w:r>
        <w:rPr>
          <w:rFonts w:eastAsia="仿宋_GB2312" w:hint="eastAsia"/>
          <w:sz w:val="32"/>
          <w:szCs w:val="32"/>
        </w:rPr>
        <w:t>24317</w:t>
      </w:r>
      <w:r w:rsidRPr="00A87626">
        <w:rPr>
          <w:rFonts w:eastAsia="仿宋_GB2312"/>
          <w:sz w:val="32"/>
          <w:szCs w:val="32"/>
        </w:rPr>
        <w:t>户</w:t>
      </w:r>
      <w:r w:rsidR="005D0305">
        <w:rPr>
          <w:rFonts w:eastAsia="仿宋_GB2312" w:hint="eastAsia"/>
          <w:sz w:val="32"/>
          <w:szCs w:val="32"/>
        </w:rPr>
        <w:t>，带动效益显著。</w:t>
      </w:r>
    </w:p>
    <w:p w:rsidR="00C64E20" w:rsidRDefault="00C64E20" w:rsidP="00C64E20">
      <w:pPr>
        <w:ind w:firstLineChars="1545" w:firstLine="4944"/>
        <w:rPr>
          <w:rFonts w:ascii="Times New Roman" w:eastAsia="仿宋_GB2312" w:hAnsi="Times New Roman" w:cs="Times New Roman"/>
          <w:color w:val="000000"/>
          <w:sz w:val="32"/>
        </w:rPr>
      </w:pPr>
    </w:p>
    <w:p w:rsidR="00C64E20" w:rsidRDefault="00C64E20" w:rsidP="00C64E20">
      <w:pPr>
        <w:ind w:firstLineChars="1545" w:firstLine="4944"/>
        <w:rPr>
          <w:rFonts w:ascii="Times New Roman" w:eastAsia="仿宋_GB2312" w:hAnsi="Times New Roman" w:cs="Times New Roman"/>
          <w:color w:val="000000"/>
          <w:sz w:val="32"/>
        </w:rPr>
      </w:pPr>
    </w:p>
    <w:p w:rsidR="00C64E20" w:rsidRDefault="00C64E20" w:rsidP="00C64E20">
      <w:pPr>
        <w:ind w:firstLineChars="1545" w:firstLine="4944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</w:rPr>
        <w:t>东川区农业农村局</w:t>
      </w:r>
    </w:p>
    <w:p w:rsidR="00C64E20" w:rsidRDefault="00C64E20" w:rsidP="00C64E20">
      <w:pPr>
        <w:ind w:firstLineChars="1595" w:firstLine="5104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/>
          <w:color w:val="000000"/>
          <w:sz w:val="32"/>
        </w:rPr>
        <w:t>2019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</w:rPr>
        <w:t>17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日</w:t>
      </w:r>
    </w:p>
    <w:p w:rsidR="00C64E20" w:rsidRPr="00C64E20" w:rsidRDefault="00C64E20" w:rsidP="00C64E20">
      <w:pPr>
        <w:spacing w:line="560" w:lineRule="exact"/>
        <w:ind w:firstLineChars="200" w:firstLine="420"/>
      </w:pPr>
    </w:p>
    <w:sectPr w:rsidR="00C64E20" w:rsidRPr="00C64E20" w:rsidSect="00C64E20">
      <w:footerReference w:type="even" r:id="rId7"/>
      <w:footerReference w:type="default" r:id="rId8"/>
      <w:pgSz w:w="11906" w:h="16838"/>
      <w:pgMar w:top="1440" w:right="1800" w:bottom="1440" w:left="1800" w:header="850" w:footer="85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F9" w:rsidRDefault="00BE1EF9" w:rsidP="0064646A">
      <w:r>
        <w:separator/>
      </w:r>
    </w:p>
  </w:endnote>
  <w:endnote w:type="continuationSeparator" w:id="0">
    <w:p w:rsidR="00BE1EF9" w:rsidRDefault="00BE1EF9" w:rsidP="0064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20" w:rsidRDefault="00C64E20">
    <w:pPr>
      <w:pStyle w:val="a4"/>
    </w:pPr>
    <w:r w:rsidRPr="00C64E20">
      <w:rPr>
        <w:sz w:val="24"/>
        <w:szCs w:val="24"/>
      </w:rPr>
      <w:fldChar w:fldCharType="begin"/>
    </w:r>
    <w:r w:rsidRPr="00C64E20">
      <w:rPr>
        <w:sz w:val="24"/>
        <w:szCs w:val="24"/>
      </w:rPr>
      <w:instrText>PAGE   \* MERGEFORMAT</w:instrText>
    </w:r>
    <w:r w:rsidRPr="00C64E20">
      <w:rPr>
        <w:sz w:val="24"/>
        <w:szCs w:val="24"/>
      </w:rPr>
      <w:fldChar w:fldCharType="separate"/>
    </w:r>
    <w:r w:rsidR="00B201D6" w:rsidRPr="00B201D6">
      <w:rPr>
        <w:noProof/>
        <w:sz w:val="24"/>
        <w:szCs w:val="24"/>
        <w:lang w:val="zh-CN"/>
      </w:rPr>
      <w:t>-</w:t>
    </w:r>
    <w:r w:rsidR="00B201D6">
      <w:rPr>
        <w:noProof/>
        <w:sz w:val="24"/>
        <w:szCs w:val="24"/>
      </w:rPr>
      <w:t xml:space="preserve"> 2 -</w:t>
    </w:r>
    <w:r w:rsidRPr="00C64E2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103428"/>
      <w:docPartObj>
        <w:docPartGallery w:val="Page Numbers (Bottom of Page)"/>
        <w:docPartUnique/>
      </w:docPartObj>
    </w:sdtPr>
    <w:sdtEndPr/>
    <w:sdtContent>
      <w:p w:rsidR="00C64E20" w:rsidRDefault="00C64E20" w:rsidP="00C64E20">
        <w:pPr>
          <w:pStyle w:val="a4"/>
          <w:ind w:right="360" w:firstLineChars="4200" w:firstLine="7560"/>
        </w:pPr>
        <w:r w:rsidRPr="00C64E20">
          <w:rPr>
            <w:sz w:val="24"/>
            <w:szCs w:val="24"/>
          </w:rPr>
          <w:fldChar w:fldCharType="begin"/>
        </w:r>
        <w:r w:rsidRPr="00C64E20">
          <w:rPr>
            <w:sz w:val="24"/>
            <w:szCs w:val="24"/>
          </w:rPr>
          <w:instrText>PAGE   \* MERGEFORMAT</w:instrText>
        </w:r>
        <w:r w:rsidRPr="00C64E20">
          <w:rPr>
            <w:sz w:val="24"/>
            <w:szCs w:val="24"/>
          </w:rPr>
          <w:fldChar w:fldCharType="separate"/>
        </w:r>
        <w:r w:rsidR="00FF2244" w:rsidRPr="00FF2244">
          <w:rPr>
            <w:noProof/>
            <w:sz w:val="24"/>
            <w:szCs w:val="24"/>
            <w:lang w:val="zh-CN"/>
          </w:rPr>
          <w:t>-</w:t>
        </w:r>
        <w:r w:rsidR="00FF2244">
          <w:rPr>
            <w:noProof/>
            <w:sz w:val="24"/>
            <w:szCs w:val="24"/>
          </w:rPr>
          <w:t xml:space="preserve"> 1 -</w:t>
        </w:r>
        <w:r w:rsidRPr="00C64E20">
          <w:rPr>
            <w:sz w:val="24"/>
            <w:szCs w:val="24"/>
          </w:rPr>
          <w:fldChar w:fldCharType="end"/>
        </w:r>
        <w:r w:rsidRPr="00C64E20">
          <w:rPr>
            <w:rFonts w:hint="eastAsia"/>
            <w:sz w:val="24"/>
            <w:szCs w:val="24"/>
          </w:rPr>
          <w:t xml:space="preserve">   </w:t>
        </w:r>
        <w:r>
          <w:rPr>
            <w:rFonts w:hint="eastAsia"/>
          </w:rPr>
          <w:t xml:space="preserve">  </w:t>
        </w:r>
      </w:p>
      <w:p w:rsidR="00C64E20" w:rsidRDefault="00C64E20" w:rsidP="00C64E20">
        <w:pPr>
          <w:pStyle w:val="a4"/>
          <w:ind w:right="360" w:firstLineChars="4250" w:firstLine="7650"/>
        </w:pPr>
        <w:r>
          <w:rPr>
            <w:rFonts w:hint="eastAsia"/>
          </w:rPr>
          <w:t xml:space="preserve"> </w:t>
        </w:r>
      </w:p>
    </w:sdtContent>
  </w:sdt>
  <w:p w:rsidR="00C64E20" w:rsidRDefault="00C64E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F9" w:rsidRDefault="00BE1EF9" w:rsidP="0064646A">
      <w:r>
        <w:separator/>
      </w:r>
    </w:p>
  </w:footnote>
  <w:footnote w:type="continuationSeparator" w:id="0">
    <w:p w:rsidR="00BE1EF9" w:rsidRDefault="00BE1EF9" w:rsidP="0064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D"/>
    <w:rsid w:val="00141D31"/>
    <w:rsid w:val="0019229E"/>
    <w:rsid w:val="001D0E14"/>
    <w:rsid w:val="003F0A7D"/>
    <w:rsid w:val="004813B9"/>
    <w:rsid w:val="00541754"/>
    <w:rsid w:val="0057613D"/>
    <w:rsid w:val="005B1618"/>
    <w:rsid w:val="005D0305"/>
    <w:rsid w:val="0064646A"/>
    <w:rsid w:val="00647594"/>
    <w:rsid w:val="00662898"/>
    <w:rsid w:val="006A37BC"/>
    <w:rsid w:val="0076410B"/>
    <w:rsid w:val="009728E5"/>
    <w:rsid w:val="00996AB6"/>
    <w:rsid w:val="00B201D6"/>
    <w:rsid w:val="00BE1EF9"/>
    <w:rsid w:val="00C64E20"/>
    <w:rsid w:val="00C9433A"/>
    <w:rsid w:val="00CF0B63"/>
    <w:rsid w:val="00D10BA5"/>
    <w:rsid w:val="00DA341C"/>
    <w:rsid w:val="00DB5B52"/>
    <w:rsid w:val="00E175F6"/>
    <w:rsid w:val="00FA704B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46A"/>
    <w:rPr>
      <w:sz w:val="18"/>
      <w:szCs w:val="18"/>
    </w:rPr>
  </w:style>
  <w:style w:type="paragraph" w:styleId="a5">
    <w:name w:val="List Paragraph"/>
    <w:basedOn w:val="a"/>
    <w:uiPriority w:val="34"/>
    <w:qFormat/>
    <w:rsid w:val="006628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46A"/>
    <w:rPr>
      <w:sz w:val="18"/>
      <w:szCs w:val="18"/>
    </w:rPr>
  </w:style>
  <w:style w:type="paragraph" w:styleId="a5">
    <w:name w:val="List Paragraph"/>
    <w:basedOn w:val="a"/>
    <w:uiPriority w:val="34"/>
    <w:qFormat/>
    <w:rsid w:val="006628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2020-02-11T09:14:00Z</dcterms:created>
  <dcterms:modified xsi:type="dcterms:W3CDTF">2020-02-18T07:04:00Z</dcterms:modified>
</cp:coreProperties>
</file>