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jc w:val="center"/>
        <w:rPr>
          <w:rFonts w:hint="eastAsia" w:ascii="方正小标宋_GBK" w:eastAsia="方正小标宋_GBK"/>
          <w:b/>
          <w:bCs w:val="0"/>
          <w:sz w:val="36"/>
          <w:szCs w:val="36"/>
          <w:lang w:val="en-US" w:eastAsia="zh-CN"/>
        </w:rPr>
      </w:pPr>
      <w:r>
        <w:rPr>
          <w:rFonts w:hint="eastAsia" w:ascii="方正小标宋_GBK" w:eastAsia="方正小标宋_GBK"/>
          <w:b/>
          <w:bCs w:val="0"/>
          <w:sz w:val="36"/>
          <w:szCs w:val="36"/>
          <w:lang w:val="en-US" w:eastAsia="zh-CN"/>
        </w:rPr>
        <w:t>中央重金属污染综合防治专项资金</w:t>
      </w:r>
    </w:p>
    <w:p>
      <w:pPr>
        <w:spacing w:line="600" w:lineRule="exact"/>
        <w:ind w:firstLine="880"/>
        <w:jc w:val="center"/>
        <w:rPr>
          <w:rFonts w:hint="eastAsia" w:ascii="方正小标宋_GBK" w:eastAsia="方正小标宋_GBK"/>
          <w:b/>
          <w:bCs w:val="0"/>
          <w:sz w:val="36"/>
          <w:szCs w:val="36"/>
          <w:lang w:val="en-US" w:eastAsia="zh-CN"/>
        </w:rPr>
      </w:pPr>
      <w:r>
        <w:rPr>
          <w:rFonts w:hint="eastAsia" w:ascii="方正小标宋_GBK" w:eastAsia="方正小标宋_GBK"/>
          <w:b/>
          <w:bCs w:val="0"/>
          <w:sz w:val="36"/>
          <w:szCs w:val="36"/>
          <w:lang w:val="en-US" w:eastAsia="zh-CN"/>
        </w:rPr>
        <w:t>项目支出绩效自评报告</w:t>
      </w:r>
    </w:p>
    <w:p>
      <w:pPr>
        <w:spacing w:line="600" w:lineRule="exact"/>
        <w:ind w:firstLine="880"/>
        <w:jc w:val="center"/>
        <w:rPr>
          <w:rFonts w:hint="eastAsia" w:ascii="方正小标宋_GBK" w:eastAsia="方正小标宋_GBK"/>
          <w:b/>
          <w:bCs w:val="0"/>
          <w:sz w:val="36"/>
          <w:szCs w:val="36"/>
          <w:lang w:val="en-US" w:eastAsia="zh-CN"/>
        </w:rPr>
      </w:pPr>
      <w:r>
        <w:rPr>
          <w:rFonts w:hint="eastAsia" w:ascii="方正小标宋_GBK" w:eastAsia="方正小标宋_GBK"/>
          <w:b/>
          <w:bCs w:val="0"/>
          <w:sz w:val="36"/>
          <w:szCs w:val="36"/>
          <w:lang w:val="en-US" w:eastAsia="zh-CN"/>
        </w:rPr>
        <w:t>(2019年度）</w:t>
      </w: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adjustRightInd w:val="0"/>
        <w:snapToGrid w:val="0"/>
        <w:spacing w:line="360" w:lineRule="auto"/>
        <w:ind w:firstLine="1104" w:firstLineChars="400"/>
        <w:jc w:val="left"/>
        <w:rPr>
          <w:rFonts w:hint="eastAsia" w:ascii="Times New Roman" w:hAnsi="Times New Roman" w:eastAsia="黑体" w:cs="黑体"/>
          <w:b/>
          <w:bCs/>
          <w:sz w:val="28"/>
          <w:szCs w:val="28"/>
          <w:lang w:eastAsia="zh-CN"/>
        </w:rPr>
      </w:pPr>
      <w:r>
        <w:rPr>
          <w:rFonts w:ascii="Times New Roman" w:hAnsi="Times New Roman" w:eastAsia="黑体" w:cs="黑体"/>
          <w:b/>
          <w:bCs/>
          <w:sz w:val="28"/>
          <w:szCs w:val="28"/>
        </w:rPr>
        <mc:AlternateContent>
          <mc:Choice Requires="wps">
            <w:drawing>
              <wp:anchor distT="0" distB="0" distL="114300" distR="114300" simplePos="0" relativeHeight="251658240" behindDoc="0" locked="0" layoutInCell="1" allowOverlap="1">
                <wp:simplePos x="0" y="0"/>
                <wp:positionH relativeFrom="column">
                  <wp:posOffset>2371725</wp:posOffset>
                </wp:positionH>
                <wp:positionV relativeFrom="paragraph">
                  <wp:posOffset>196215</wp:posOffset>
                </wp:positionV>
                <wp:extent cx="249555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495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6.75pt;margin-top:15.45pt;height:0pt;width:196.5pt;z-index:251658240;mso-width-relative:page;mso-height-relative:page;" filled="f" stroked="t" coordsize="21600,21600" o:gfxdata="UEsDBAoAAAAAAIdO4kAAAAAAAAAAAAAAAAAEAAAAZHJzL1BLAwQUAAAACACHTuJApepcoNcAAAAJ&#10;AQAADwAAAGRycy9kb3ducmV2LnhtbE2PzU7DMBCE70i8g7VIXBC106opDXGqqhIHjv2RuLrxkgTi&#10;dRQ7TenTdxGHctudGc1+m6/OrhUn7EPjSUMyUSCQSm8bqjQc9m/PLyBCNGRN6wk1/GCAVXF/l5vM&#10;+pG2eNrFSnAJhcxoqGPsMilDWaMzYeI7JPY+fe9M5LWvpO3NyOWulVOlUulMQ3yhNh1uaiy/d4PT&#10;gGGYJ2q9dNXh/TI+fUwvX2O31/rxIVGvICKe4y0Mv/iMDgUzHf1ANohWw2wxm3OUB7UEwYFFmrJw&#10;/BNkkcv/HxRXUEsDBBQAAAAIAIdO4kBTqpAm4gEAAJ4DAAAOAAAAZHJzL2Uyb0RvYy54bWytU0uO&#10;EzEQ3SNxB8t70klEENNKZxYJwwZBJOAAFdvdbck/uUw6uQQXQGIFrIDV7DkNDMeg7GQyw7BBiF64&#10;yy7Xq3qvyvPznTVsqyJq7xo+GY05U054qV3X8NevLh485gwTOAnGO9XwvUJ+vrh/bz6EWk19741U&#10;kRGIw3oIDe9TCnVVoeiVBRz5oBw5Wx8tJNrGrpIRBkK3ppqOx4+qwUcZohcKkU5XBydfFPy2VSK9&#10;aFtUiZmGU22prLGsm7xWiznUXYTQa3EsA/6hCgvaUdIT1AoSsDdR/wFltYgefZtGwtvKt60WqnAg&#10;NpPxHTYvewiqcCFxMJxkwv8HK55v15FpSb3jzIGlFl29u/zx9uPV1y/fP1z+/PY+258/sUmWaghY&#10;U8TSreNxh2EdM+9dG23+EyO2K/LuT/KqXWKCDqcPz2azGXVBXPuqm8AQMT1V3rJsNBxTBN31aemd&#10;oyb6OCnywvYZJkpNgdcBOatxbGj42Ww6I3CgMWoNJDJtIGLouhKL3mh5oY3JERi7zdJEtoU8GOXL&#10;BAn3t2s5yQqwP9wrrsPI9ArkEydZ2geSzNFs81yCVZIzo+gpZIsAoU6gzd/cpNTGUQVZ44Oq2dp4&#10;uS9il3MaglLjcWDzlN3el+ibZ7X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XqXKDXAAAACQEA&#10;AA8AAAAAAAAAAQAgAAAAIgAAAGRycy9kb3ducmV2LnhtbFBLAQIUABQAAAAIAIdO4kBTqpAm4gEA&#10;AJ4DAAAOAAAAAAAAAAEAIAAAACYBAABkcnMvZTJvRG9jLnhtbFBLBQYAAAAABgAGAFkBAAB6BQAA&#10;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部门名称（公章）：</w:t>
      </w:r>
      <w:r>
        <w:rPr>
          <w:rFonts w:hint="eastAsia" w:ascii="Times New Roman" w:hAnsi="Times New Roman" w:eastAsia="黑体" w:cs="黑体"/>
          <w:b/>
          <w:bCs/>
          <w:sz w:val="28"/>
          <w:szCs w:val="28"/>
          <w:lang w:eastAsia="zh-CN"/>
        </w:rPr>
        <w:t>昆明市生态环境局东川分局</w:t>
      </w:r>
    </w:p>
    <w:p>
      <w:pPr>
        <w:adjustRightInd w:val="0"/>
        <w:snapToGrid w:val="0"/>
        <w:spacing w:line="360" w:lineRule="auto"/>
        <w:ind w:firstLine="1104" w:firstLineChars="400"/>
        <w:jc w:val="left"/>
        <w:rPr>
          <w:rFonts w:hint="eastAsia" w:ascii="Times New Roman" w:hAnsi="Times New Roman" w:eastAsia="黑体" w:cs="黑体"/>
          <w:b/>
          <w:bCs/>
          <w:sz w:val="28"/>
          <w:szCs w:val="28"/>
        </w:rPr>
      </w:pPr>
    </w:p>
    <w:p>
      <w:pPr>
        <w:adjustRightInd w:val="0"/>
        <w:snapToGrid w:val="0"/>
        <w:spacing w:line="360" w:lineRule="auto"/>
        <w:ind w:firstLine="1104" w:firstLineChars="400"/>
        <w:jc w:val="left"/>
        <w:rPr>
          <w:rFonts w:hint="eastAsia" w:ascii="Times New Roman" w:hAnsi="Times New Roman" w:eastAsia="黑体" w:cs="黑体"/>
          <w:b/>
          <w:bCs/>
          <w:sz w:val="28"/>
          <w:szCs w:val="28"/>
        </w:rPr>
      </w:pPr>
    </w:p>
    <w:p>
      <w:pPr>
        <w:adjustRightInd w:val="0"/>
        <w:snapToGrid w:val="0"/>
        <w:spacing w:line="360" w:lineRule="auto"/>
        <w:ind w:firstLine="1104" w:firstLineChars="400"/>
        <w:jc w:val="left"/>
        <w:rPr>
          <w:rFonts w:hint="eastAsia" w:ascii="Times New Roman" w:hAnsi="Times New Roman" w:eastAsia="黑体" w:cs="黑体"/>
          <w:b/>
          <w:bCs/>
          <w:sz w:val="28"/>
          <w:szCs w:val="28"/>
        </w:rPr>
      </w:pPr>
    </w:p>
    <w:p>
      <w:pPr>
        <w:adjustRightInd w:val="0"/>
        <w:snapToGrid w:val="0"/>
        <w:spacing w:line="360" w:lineRule="auto"/>
        <w:ind w:firstLine="1104" w:firstLineChars="400"/>
        <w:jc w:val="left"/>
        <w:rPr>
          <w:rFonts w:ascii="Times New Roman" w:hAnsi="Times New Roman" w:eastAsia="黑体"/>
          <w:b/>
          <w:bCs/>
          <w:sz w:val="28"/>
          <w:szCs w:val="28"/>
        </w:rPr>
      </w:pPr>
      <w:r>
        <w:rPr>
          <w:rFonts w:ascii="Times New Roman" w:hAnsi="Times New Roman"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1570990</wp:posOffset>
                </wp:positionH>
                <wp:positionV relativeFrom="paragraph">
                  <wp:posOffset>193040</wp:posOffset>
                </wp:positionV>
                <wp:extent cx="3086100" cy="3810"/>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308610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23.7pt;margin-top:15.2pt;height:0.3pt;width:243pt;z-index:251659264;mso-width-relative:page;mso-height-relative:page;" filled="f" stroked="t" coordsize="21600,21600" o:gfxdata="UEsDBAoAAAAAAIdO4kAAAAAAAAAAAAAAAAAEAAAAZHJzL1BLAwQUAAAACACHTuJA6KW+dNYAAAAJ&#10;AQAADwAAAGRycy9kb3ducmV2LnhtbE2PzU7DMBCE70i8g7VI3KidJmqqEKcHJBAHFIkW7m68JIF4&#10;HWI3ad+e5QSn/RvNfFvuzm4QM06h96QhWSkQSI23PbUa3g6Pd1sQIRqyZvCEGi4YYFddX5WmsH6h&#10;V5z3sRVsQqEwGroYx0LK0HToTFj5EYlvH35yJvI4tdJOZmFzN8i1UhvpTE+c0JkRHzpsvvYnp+Gb&#10;8st7JuftZ13HzdPzS0tYL1rf3iTqHkTEc/wTwy8+o0PFTEd/IhvEoGGd5RlLNaSKKwvyNOXmyItE&#10;gaxK+f+D6gdQSwMEFAAAAAgAh07iQHQnN8PtAQAAqwMAAA4AAABkcnMvZTJvRG9jLnhtbK1TS44T&#10;MRDdI3EHy3vSnYxmFFrpzCJh2CCIxGdf8afbkn+yTTq5BBdAYgWsYFaz5zQwHIOyO4TfBiF6YZVd&#10;rlevnl8vLvdGk50IUTnb0umkpkRY5riyXUufP7u6N6ckJrActLOipQcR6eXy7p3F4Bsxc73TXASC&#10;IDY2g29pn5JvqiqyXhiIE+eFxaR0wUDCbegqHmBAdKOrWV1fVIML3AfHRIx4uh6TdFnwpRQsPZEy&#10;ikR0S5FbKmso6zav1XIBTRfA94odacA/sDCgLDY9Qa0hAXkZ1B9QRrHgopNpwpypnJSKiTIDTjOt&#10;f5vmaQ9elFlQnOhPMsX/B8se7zaBKN7SGSUWDD7R7eubL6/e3V5//Pz25uunNzn+8J7MslSDjw1W&#10;rOwmHHfRb0Keey+DIVIr/wJdUJTA2ci+CH04CS32iTA8PKvnF9Ma34Nh7mw+Le9QjSgZzYeYHgpn&#10;SA5aGlMA1fVp5azFF3Vh7AC7RzEhDyz8XpCLtSVDS++fz84RH9BTUkPC0HicMtqusItOK36ltM4V&#10;MXTblQ5kB9kl5cvTIu4v13KTNcR+vFdSo396AfyB5SQdPOpn0eg0UzCCU6IF/hc5QkBoEij9Nzex&#10;tbbIIAs+SpyjreOHonw5R0cUjkf3Zsv9vC/VP/6x5T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pb501gAAAAkBAAAPAAAAAAAAAAEAIAAAACIAAABkcnMvZG93bnJldi54bWxQSwECFAAUAAAACACH&#10;TuJAdCc3w+0BAACrAwAADgAAAAAAAAABACAAAAAlAQAAZHJzL2Uyb0RvYy54bWxQSwUGAAAAAAYA&#10;BgBZAQAAhAUAAAAA&#10;">
                <v:fill on="f" focussize="0,0"/>
                <v:stroke color="#000000" joinstyle="round"/>
                <v:imagedata o:title=""/>
                <o:lock v:ext="edit" aspectratio="f"/>
              </v:shape>
            </w:pict>
          </mc:Fallback>
        </mc:AlternateContent>
      </w:r>
      <w:r>
        <w:rPr>
          <w:rFonts w:hint="eastAsia" w:ascii="Times New Roman" w:hAnsi="Times New Roman" w:eastAsia="黑体" w:cs="黑体"/>
          <w:b/>
          <w:bCs/>
          <w:sz w:val="28"/>
          <w:szCs w:val="28"/>
        </w:rPr>
        <w:t>项目名称：</w:t>
      </w:r>
      <w:r>
        <w:rPr>
          <w:rFonts w:hint="eastAsia" w:ascii="Times New Roman" w:hAnsi="Times New Roman" w:eastAsia="黑体" w:cs="黑体"/>
          <w:b/>
          <w:bCs/>
          <w:sz w:val="28"/>
          <w:szCs w:val="28"/>
          <w:lang w:val="en-US" w:eastAsia="zh-CN"/>
        </w:rPr>
        <w:t>2019年中央重金属污染综合防治专项资金</w:t>
      </w: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jc w:val="center"/>
        <w:rPr>
          <w:rFonts w:hint="eastAsia" w:ascii="Times New Roman" w:hAnsi="Times New Roman" w:eastAsia="黑体" w:cs="黑体"/>
          <w:b/>
          <w:bCs/>
          <w:sz w:val="28"/>
          <w:szCs w:val="28"/>
          <w:lang w:val="en-US" w:eastAsia="zh-CN"/>
        </w:rPr>
      </w:pPr>
      <w:r>
        <w:rPr>
          <w:rFonts w:ascii="Times New Roman" w:hAnsi="Times New Roman" w:eastAsia="黑体"/>
          <w:b/>
          <w:bCs/>
          <w:sz w:val="28"/>
          <w:szCs w:val="28"/>
        </w:rPr>
        <w:t>20</w:t>
      </w:r>
      <w:r>
        <w:rPr>
          <w:rFonts w:hint="eastAsia" w:ascii="Times New Roman" w:hAnsi="Times New Roman" w:eastAsia="黑体"/>
          <w:b/>
          <w:bCs/>
          <w:sz w:val="28"/>
          <w:szCs w:val="28"/>
          <w:lang w:val="en-US" w:eastAsia="zh-CN"/>
        </w:rPr>
        <w:t>20</w:t>
      </w:r>
      <w:r>
        <w:rPr>
          <w:rFonts w:hint="eastAsia" w:ascii="Times New Roman" w:hAnsi="Times New Roman" w:eastAsia="黑体" w:cs="黑体"/>
          <w:b/>
          <w:bCs/>
          <w:sz w:val="28"/>
          <w:szCs w:val="28"/>
        </w:rPr>
        <w:t>年</w:t>
      </w:r>
      <w:r>
        <w:rPr>
          <w:rFonts w:hint="eastAsia" w:ascii="Times New Roman" w:hAnsi="Times New Roman" w:eastAsia="黑体"/>
          <w:b/>
          <w:bCs/>
          <w:sz w:val="28"/>
          <w:szCs w:val="28"/>
          <w:lang w:val="en-US" w:eastAsia="zh-CN"/>
        </w:rPr>
        <w:t>5</w:t>
      </w:r>
      <w:r>
        <w:rPr>
          <w:rFonts w:hint="eastAsia" w:ascii="Times New Roman" w:hAnsi="Times New Roman" w:eastAsia="黑体" w:cs="黑体"/>
          <w:b/>
          <w:bCs/>
          <w:sz w:val="28"/>
          <w:szCs w:val="28"/>
        </w:rPr>
        <w:t>月</w:t>
      </w:r>
      <w:r>
        <w:rPr>
          <w:rFonts w:hint="eastAsia" w:ascii="Times New Roman" w:hAnsi="Times New Roman" w:eastAsia="黑体" w:cs="黑体"/>
          <w:b/>
          <w:bCs/>
          <w:sz w:val="28"/>
          <w:szCs w:val="28"/>
          <w:lang w:val="en-US" w:eastAsia="zh-CN"/>
        </w:rPr>
        <w:t>30日</w:t>
      </w:r>
    </w:p>
    <w:p>
      <w:pPr>
        <w:spacing w:line="600" w:lineRule="exact"/>
        <w:ind w:firstLine="880"/>
        <w:jc w:val="center"/>
        <w:rPr>
          <w:rFonts w:ascii="方正小标宋_GBK" w:eastAsia="方正小标宋_GBK"/>
          <w:b/>
          <w:sz w:val="44"/>
          <w:szCs w:val="44"/>
        </w:rPr>
      </w:pPr>
    </w:p>
    <w:p>
      <w:pPr>
        <w:spacing w:line="600" w:lineRule="exact"/>
        <w:ind w:firstLine="880"/>
        <w:jc w:val="center"/>
        <w:rPr>
          <w:rFonts w:ascii="方正小标宋_GBK" w:eastAsia="方正小标宋_GBK"/>
          <w:b/>
          <w:sz w:val="44"/>
          <w:szCs w:val="44"/>
        </w:rPr>
      </w:pPr>
    </w:p>
    <w:p>
      <w:pPr>
        <w:spacing w:line="600" w:lineRule="exact"/>
        <w:rPr>
          <w:rFonts w:hint="eastAsia" w:ascii="方正小标宋_GBK" w:eastAsia="方正小标宋_GBK"/>
          <w:b/>
          <w:sz w:val="44"/>
          <w:szCs w:val="44"/>
        </w:rPr>
        <w:sectPr>
          <w:pgSz w:w="11907" w:h="16840"/>
          <w:pgMar w:top="1440" w:right="1800" w:bottom="1440" w:left="1800" w:header="851" w:footer="1304" w:gutter="0"/>
          <w:pgNumType w:fmt="decimal"/>
          <w:cols w:space="720" w:num="1"/>
          <w:docGrid w:type="linesAndChars" w:linePitch="587" w:charSpace="-842"/>
        </w:sectPr>
      </w:pPr>
    </w:p>
    <w:p>
      <w:pPr>
        <w:spacing w:line="600" w:lineRule="exact"/>
        <w:rPr>
          <w:rFonts w:hint="eastAsia" w:ascii="方正小标宋_GBK" w:eastAsia="方正小标宋_GBK"/>
          <w:b/>
          <w:sz w:val="44"/>
          <w:szCs w:val="44"/>
        </w:rPr>
      </w:pPr>
      <w:r>
        <w:rPr>
          <w:rFonts w:hint="eastAsia" w:ascii="方正小标宋_GBK" w:eastAsia="方正小标宋_GBK"/>
          <w:b/>
          <w:sz w:val="44"/>
          <w:szCs w:val="44"/>
        </w:rPr>
        <w:t xml:space="preserve">                </w:t>
      </w:r>
      <w:r>
        <w:rPr>
          <w:rFonts w:hint="eastAsia" w:ascii="方正小标宋_GBK" w:eastAsia="方正小标宋_GBK"/>
          <w:b w:val="0"/>
          <w:bCs/>
          <w:sz w:val="44"/>
          <w:szCs w:val="44"/>
        </w:rPr>
        <w:t xml:space="preserve"> 目</w:t>
      </w:r>
      <w:r>
        <w:rPr>
          <w:rFonts w:hint="eastAsia" w:ascii="方正小标宋_GBK" w:eastAsia="方正小标宋_GBK"/>
          <w:b w:val="0"/>
          <w:bCs/>
          <w:sz w:val="44"/>
          <w:szCs w:val="44"/>
          <w:lang w:val="en-US" w:eastAsia="zh-CN"/>
        </w:rPr>
        <w:t xml:space="preserve">  </w:t>
      </w:r>
      <w:r>
        <w:rPr>
          <w:rFonts w:hint="eastAsia" w:ascii="方正小标宋_GBK" w:eastAsia="方正小标宋_GBK"/>
          <w:b w:val="0"/>
          <w:bCs/>
          <w:sz w:val="44"/>
          <w:szCs w:val="44"/>
        </w:rPr>
        <w:t>录</w:t>
      </w:r>
    </w:p>
    <w:p>
      <w:pPr>
        <w:spacing w:line="600" w:lineRule="exact"/>
        <w:rPr>
          <w:rFonts w:hint="eastAsia" w:ascii="方正小标宋_GBK" w:eastAsia="方正小标宋_GBK"/>
          <w:b/>
          <w:sz w:val="44"/>
          <w:szCs w:val="44"/>
        </w:rPr>
      </w:pPr>
    </w:p>
    <w:p>
      <w:pPr>
        <w:pStyle w:val="5"/>
        <w:tabs>
          <w:tab w:val="right" w:leader="dot" w:pos="8297"/>
        </w:tabs>
        <w:rPr>
          <w:rFonts w:ascii="等线" w:hAnsi="等线" w:eastAsia="等线"/>
          <w:sz w:val="21"/>
          <w:szCs w:val="22"/>
        </w:rPr>
      </w:pPr>
      <w:r>
        <w:rPr>
          <w:rFonts w:ascii="方正小标宋_GBK" w:eastAsia="方正小标宋_GBK"/>
          <w:color w:val="FF0000"/>
          <w:sz w:val="36"/>
          <w:szCs w:val="36"/>
        </w:rPr>
        <w:fldChar w:fldCharType="begin"/>
      </w:r>
      <w:r>
        <w:rPr>
          <w:rFonts w:ascii="方正小标宋_GBK" w:eastAsia="方正小标宋_GBK"/>
          <w:color w:val="FF0000"/>
          <w:sz w:val="36"/>
          <w:szCs w:val="36"/>
        </w:rPr>
        <w:instrText xml:space="preserve"> </w:instrText>
      </w:r>
      <w:r>
        <w:rPr>
          <w:rFonts w:hint="eastAsia" w:ascii="方正小标宋_GBK" w:eastAsia="方正小标宋_GBK"/>
          <w:color w:val="FF0000"/>
          <w:sz w:val="36"/>
          <w:szCs w:val="36"/>
        </w:rPr>
        <w:instrText xml:space="preserve">TOC \o "1-3" \h \z \u</w:instrText>
      </w:r>
      <w:r>
        <w:rPr>
          <w:rFonts w:ascii="方正小标宋_GBK" w:eastAsia="方正小标宋_GBK"/>
          <w:color w:val="FF0000"/>
          <w:sz w:val="36"/>
          <w:szCs w:val="36"/>
        </w:rPr>
        <w:instrText xml:space="preserve"> </w:instrText>
      </w:r>
      <w:r>
        <w:rPr>
          <w:rFonts w:ascii="方正小标宋_GBK" w:eastAsia="方正小标宋_GBK"/>
          <w:color w:val="FF0000"/>
          <w:sz w:val="36"/>
          <w:szCs w:val="36"/>
        </w:rPr>
        <w:fldChar w:fldCharType="separate"/>
      </w:r>
      <w:r>
        <w:fldChar w:fldCharType="begin"/>
      </w:r>
      <w:r>
        <w:rPr>
          <w:rStyle w:val="10"/>
        </w:rPr>
        <w:instrText xml:space="preserve"> </w:instrText>
      </w:r>
      <w:r>
        <w:instrText xml:space="preserve">HYPERLINK \l "_Toc9837809"</w:instrText>
      </w:r>
      <w:r>
        <w:rPr>
          <w:rStyle w:val="10"/>
        </w:rPr>
        <w:instrText xml:space="preserve"> </w:instrText>
      </w:r>
      <w:r>
        <w:fldChar w:fldCharType="separate"/>
      </w:r>
      <w:r>
        <w:rPr>
          <w:rStyle w:val="10"/>
          <w:rFonts w:ascii="黑体" w:eastAsia="黑体"/>
        </w:rPr>
        <w:t>一、项目基本情况</w:t>
      </w:r>
      <w:r>
        <w:tab/>
      </w:r>
      <w:r>
        <w:fldChar w:fldCharType="begin"/>
      </w:r>
      <w:r>
        <w:instrText xml:space="preserve"> PAGEREF _Toc9837809 \h </w:instrText>
      </w:r>
      <w:r>
        <w:fldChar w:fldCharType="separate"/>
      </w:r>
      <w:r>
        <w:t>4</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"_Toc9837810"</w:instrText>
      </w:r>
      <w:r>
        <w:rPr>
          <w:rStyle w:val="10"/>
        </w:rPr>
        <w:instrText xml:space="preserve"> </w:instrText>
      </w:r>
      <w:r>
        <w:fldChar w:fldCharType="separate"/>
      </w:r>
      <w:r>
        <w:rPr>
          <w:rStyle w:val="10"/>
          <w:rFonts w:ascii="楷体_GB2312" w:eastAsia="楷体_GB2312"/>
        </w:rPr>
        <w:t>（一）项目概况</w:t>
      </w:r>
      <w:r>
        <w:tab/>
      </w:r>
      <w:r>
        <w:fldChar w:fldCharType="begin"/>
      </w:r>
      <w:r>
        <w:instrText xml:space="preserve"> PAGEREF _Toc9837810 \h </w:instrText>
      </w:r>
      <w:r>
        <w:fldChar w:fldCharType="separate"/>
      </w:r>
      <w:r>
        <w:t>4</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"_Toc9837811"</w:instrText>
      </w:r>
      <w:r>
        <w:rPr>
          <w:rStyle w:val="10"/>
        </w:rPr>
        <w:instrText xml:space="preserve"> </w:instrText>
      </w:r>
      <w:r>
        <w:fldChar w:fldCharType="separate"/>
      </w:r>
      <w:r>
        <w:rPr>
          <w:rStyle w:val="10"/>
          <w:rFonts w:ascii="楷体_GB2312" w:eastAsia="楷体_GB2312"/>
        </w:rPr>
        <w:t>（二）绩效目标</w:t>
      </w:r>
      <w:r>
        <w:tab/>
      </w:r>
      <w:r>
        <w:fldChar w:fldCharType="begin"/>
      </w:r>
      <w:r>
        <w:instrText xml:space="preserve"> PAGEREF _Toc9837811 \h </w:instrText>
      </w:r>
      <w:r>
        <w:fldChar w:fldCharType="separate"/>
      </w:r>
      <w:r>
        <w:t>8</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10"/>
        </w:rPr>
        <w:instrText xml:space="preserve"> </w:instrText>
      </w:r>
      <w:r>
        <w:instrText xml:space="preserve">HYPERLINK \l "_Toc9837812"</w:instrText>
      </w:r>
      <w:r>
        <w:rPr>
          <w:rStyle w:val="10"/>
        </w:rPr>
        <w:instrText xml:space="preserve"> </w:instrText>
      </w:r>
      <w:r>
        <w:fldChar w:fldCharType="separate"/>
      </w:r>
      <w:r>
        <w:rPr>
          <w:rStyle w:val="10"/>
          <w:rFonts w:ascii="黑体" w:eastAsia="黑体"/>
        </w:rPr>
        <w:t>二、绩效评价工作情况</w:t>
      </w:r>
      <w:r>
        <w:tab/>
      </w:r>
      <w:r>
        <w:fldChar w:fldCharType="begin"/>
      </w:r>
      <w:r>
        <w:instrText xml:space="preserve"> PAGEREF _Toc9837812 \h </w:instrText>
      </w:r>
      <w:r>
        <w:fldChar w:fldCharType="separate"/>
      </w:r>
      <w:r>
        <w:t>9</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"_Toc9837813"</w:instrText>
      </w:r>
      <w:r>
        <w:rPr>
          <w:rStyle w:val="10"/>
        </w:rPr>
        <w:instrText xml:space="preserve"> </w:instrText>
      </w:r>
      <w:r>
        <w:fldChar w:fldCharType="separate"/>
      </w:r>
      <w:r>
        <w:rPr>
          <w:rStyle w:val="10"/>
          <w:rFonts w:ascii="楷体_GB2312" w:eastAsia="楷体_GB2312"/>
        </w:rPr>
        <w:t>（一）绩效评价目的</w:t>
      </w:r>
      <w:r>
        <w:tab/>
      </w:r>
      <w:r>
        <w:fldChar w:fldCharType="begin"/>
      </w:r>
      <w:r>
        <w:instrText xml:space="preserve"> PAGEREF _Toc9837813 \h </w:instrText>
      </w:r>
      <w:r>
        <w:fldChar w:fldCharType="separate"/>
      </w:r>
      <w:r>
        <w:t>9</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"_Toc9837814"</w:instrText>
      </w:r>
      <w:r>
        <w:rPr>
          <w:rStyle w:val="10"/>
        </w:rPr>
        <w:instrText xml:space="preserve"> </w:instrText>
      </w:r>
      <w:r>
        <w:fldChar w:fldCharType="separate"/>
      </w:r>
      <w:r>
        <w:rPr>
          <w:rStyle w:val="10"/>
          <w:rFonts w:ascii="楷体_GB2312" w:eastAsia="楷体_GB2312"/>
        </w:rPr>
        <w:t>（二）绩效评价工作方案制定过程</w:t>
      </w:r>
      <w:r>
        <w:tab/>
      </w:r>
      <w:r>
        <w:fldChar w:fldCharType="begin"/>
      </w:r>
      <w:r>
        <w:instrText xml:space="preserve"> PAGEREF _Toc9837814 \h </w:instrText>
      </w:r>
      <w:r>
        <w:fldChar w:fldCharType="separate"/>
      </w:r>
      <w:r>
        <w:t>9</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"_Toc9837815"</w:instrText>
      </w:r>
      <w:r>
        <w:rPr>
          <w:rStyle w:val="10"/>
        </w:rPr>
        <w:instrText xml:space="preserve"> </w:instrText>
      </w:r>
      <w:r>
        <w:fldChar w:fldCharType="separate"/>
      </w:r>
      <w:r>
        <w:rPr>
          <w:rStyle w:val="10"/>
          <w:rFonts w:ascii="楷体_GB2312" w:eastAsia="楷体_GB2312"/>
        </w:rPr>
        <w:t>（三）绩效评价原则、评价方法</w:t>
      </w:r>
      <w:r>
        <w:tab/>
      </w:r>
      <w:r>
        <w:fldChar w:fldCharType="begin"/>
      </w:r>
      <w:r>
        <w:instrText xml:space="preserve"> PAGEREF _Toc9837815 \h </w:instrText>
      </w:r>
      <w:r>
        <w:fldChar w:fldCharType="separate"/>
      </w:r>
      <w:r>
        <w:t>11</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"_Toc9837816"</w:instrText>
      </w:r>
      <w:r>
        <w:rPr>
          <w:rStyle w:val="10"/>
        </w:rPr>
        <w:instrText xml:space="preserve"> </w:instrText>
      </w:r>
      <w:r>
        <w:fldChar w:fldCharType="separate"/>
      </w:r>
      <w:r>
        <w:rPr>
          <w:rStyle w:val="10"/>
          <w:rFonts w:ascii="楷体_GB2312" w:eastAsia="楷体_GB2312"/>
        </w:rPr>
        <w:t>（四）绩效评价实施过程</w:t>
      </w:r>
      <w:r>
        <w:tab/>
      </w:r>
      <w:r>
        <w:fldChar w:fldCharType="begin"/>
      </w:r>
      <w:r>
        <w:instrText xml:space="preserve"> PAGEREF _Toc9837816 \h </w:instrText>
      </w:r>
      <w:r>
        <w:fldChar w:fldCharType="separate"/>
      </w:r>
      <w:r>
        <w:t>12</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"_Toc9837817"</w:instrText>
      </w:r>
      <w:r>
        <w:rPr>
          <w:rStyle w:val="10"/>
        </w:rPr>
        <w:instrText xml:space="preserve"> </w:instrText>
      </w:r>
      <w:r>
        <w:fldChar w:fldCharType="separate"/>
      </w:r>
      <w:r>
        <w:rPr>
          <w:rStyle w:val="10"/>
          <w:rFonts w:ascii="楷体_GB2312" w:eastAsia="楷体_GB2312"/>
        </w:rPr>
        <w:t>（五）本次绩效评价的局限性</w:t>
      </w:r>
      <w:r>
        <w:tab/>
      </w:r>
      <w:r>
        <w:fldChar w:fldCharType="begin"/>
      </w:r>
      <w:r>
        <w:instrText xml:space="preserve"> PAGEREF _Toc9837817 \h </w:instrText>
      </w:r>
      <w:r>
        <w:fldChar w:fldCharType="separate"/>
      </w:r>
      <w:r>
        <w:t>13</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10"/>
        </w:rPr>
        <w:instrText xml:space="preserve"> </w:instrText>
      </w:r>
      <w:r>
        <w:instrText xml:space="preserve">HYPERLINK \l "_Toc9837818"</w:instrText>
      </w:r>
      <w:r>
        <w:rPr>
          <w:rStyle w:val="10"/>
        </w:rPr>
        <w:instrText xml:space="preserve"> </w:instrText>
      </w:r>
      <w:r>
        <w:fldChar w:fldCharType="separate"/>
      </w:r>
      <w:r>
        <w:rPr>
          <w:rStyle w:val="10"/>
          <w:rFonts w:ascii="黑体" w:eastAsia="黑体"/>
        </w:rPr>
        <w:t>三、评价结论和绩效分析</w:t>
      </w:r>
      <w:r>
        <w:tab/>
      </w:r>
      <w:r>
        <w:fldChar w:fldCharType="begin"/>
      </w:r>
      <w:r>
        <w:instrText xml:space="preserve"> PAGEREF _Toc9837818 \h </w:instrText>
      </w:r>
      <w:r>
        <w:fldChar w:fldCharType="separate"/>
      </w:r>
      <w:r>
        <w:t>13</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"_Toc9837819"</w:instrText>
      </w:r>
      <w:r>
        <w:rPr>
          <w:rStyle w:val="10"/>
        </w:rPr>
        <w:instrText xml:space="preserve"> </w:instrText>
      </w:r>
      <w:r>
        <w:fldChar w:fldCharType="separate"/>
      </w:r>
      <w:r>
        <w:rPr>
          <w:rStyle w:val="10"/>
          <w:rFonts w:ascii="楷体_GB2312" w:eastAsia="楷体_GB2312"/>
        </w:rPr>
        <w:t>（一）评价结论</w:t>
      </w:r>
      <w:r>
        <w:tab/>
      </w:r>
      <w:r>
        <w:fldChar w:fldCharType="begin"/>
      </w:r>
      <w:r>
        <w:instrText xml:space="preserve"> PAGEREF _Toc9837819 \h </w:instrText>
      </w:r>
      <w:r>
        <w:fldChar w:fldCharType="separate"/>
      </w:r>
      <w:r>
        <w:t>13</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"_Toc9837820"</w:instrText>
      </w:r>
      <w:r>
        <w:rPr>
          <w:rStyle w:val="10"/>
        </w:rPr>
        <w:instrText xml:space="preserve"> </w:instrText>
      </w:r>
      <w:r>
        <w:fldChar w:fldCharType="separate"/>
      </w:r>
      <w:r>
        <w:rPr>
          <w:rStyle w:val="10"/>
          <w:rFonts w:ascii="楷体_GB2312" w:eastAsia="楷体_GB2312"/>
        </w:rPr>
        <w:t>（二）具体绩效分析</w:t>
      </w:r>
      <w:r>
        <w:tab/>
      </w:r>
      <w:r>
        <w:fldChar w:fldCharType="begin"/>
      </w:r>
      <w:r>
        <w:instrText xml:space="preserve"> PAGEREF _Toc9837820 \h </w:instrText>
      </w:r>
      <w:r>
        <w:fldChar w:fldCharType="separate"/>
      </w:r>
      <w:r>
        <w:t>14</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10"/>
        </w:rPr>
        <w:instrText xml:space="preserve"> </w:instrText>
      </w:r>
      <w:r>
        <w:instrText xml:space="preserve">HYPERLINK \l "_Toc9837821"</w:instrText>
      </w:r>
      <w:r>
        <w:rPr>
          <w:rStyle w:val="10"/>
        </w:rPr>
        <w:instrText xml:space="preserve"> </w:instrText>
      </w:r>
      <w:r>
        <w:fldChar w:fldCharType="separate"/>
      </w:r>
      <w:r>
        <w:rPr>
          <w:rStyle w:val="10"/>
          <w:rFonts w:hint="eastAsia" w:ascii="黑体" w:hAnsi="黑体" w:eastAsia="黑体" w:cs="黑体"/>
        </w:rPr>
        <w:t>四、成本效益分析</w:t>
      </w:r>
      <w:r>
        <w:tab/>
      </w:r>
      <w:r>
        <w:fldChar w:fldCharType="begin"/>
      </w:r>
      <w:r>
        <w:instrText xml:space="preserve"> PAGEREF _Toc9837821 \h </w:instrText>
      </w:r>
      <w:r>
        <w:fldChar w:fldCharType="separate"/>
      </w:r>
      <w:r>
        <w:t>18</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"_Toc9837822"</w:instrText>
      </w:r>
      <w:r>
        <w:rPr>
          <w:rStyle w:val="10"/>
        </w:rPr>
        <w:instrText xml:space="preserve"> </w:instrText>
      </w:r>
      <w:r>
        <w:fldChar w:fldCharType="separate"/>
      </w:r>
      <w:r>
        <w:rPr>
          <w:rStyle w:val="10"/>
          <w:rFonts w:ascii="楷体_GB2312" w:eastAsia="楷体_GB2312"/>
        </w:rPr>
        <w:t>（一）资金收入及支出结构、资金使用方向</w:t>
      </w:r>
      <w:r>
        <w:tab/>
      </w:r>
      <w:r>
        <w:fldChar w:fldCharType="begin"/>
      </w:r>
      <w:r>
        <w:instrText xml:space="preserve"> PAGEREF _Toc9837822 \h </w:instrText>
      </w:r>
      <w:r>
        <w:fldChar w:fldCharType="separate"/>
      </w:r>
      <w:r>
        <w:t>18</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"_Toc9837823"</w:instrText>
      </w:r>
      <w:r>
        <w:rPr>
          <w:rStyle w:val="10"/>
        </w:rPr>
        <w:instrText xml:space="preserve"> </w:instrText>
      </w:r>
      <w:r>
        <w:fldChar w:fldCharType="separate"/>
      </w:r>
      <w:r>
        <w:rPr>
          <w:rStyle w:val="10"/>
          <w:rFonts w:ascii="楷体_GB2312" w:eastAsia="楷体_GB2312"/>
        </w:rPr>
        <w:t>（二）项目和资金管理情况</w:t>
      </w:r>
      <w:r>
        <w:tab/>
      </w:r>
      <w:r>
        <w:fldChar w:fldCharType="begin"/>
      </w:r>
      <w:r>
        <w:instrText xml:space="preserve"> PAGEREF _Toc9837823 \h </w:instrText>
      </w:r>
      <w:r>
        <w:fldChar w:fldCharType="separate"/>
      </w:r>
      <w:r>
        <w:t>18</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"_Toc9837824"</w:instrText>
      </w:r>
      <w:r>
        <w:rPr>
          <w:rStyle w:val="10"/>
        </w:rPr>
        <w:instrText xml:space="preserve"> </w:instrText>
      </w:r>
      <w:r>
        <w:fldChar w:fldCharType="separate"/>
      </w:r>
      <w:r>
        <w:rPr>
          <w:rStyle w:val="10"/>
          <w:rFonts w:ascii="楷体_GB2312" w:eastAsia="楷体_GB2312"/>
        </w:rPr>
        <w:t>（三）资金的节约性、资金使用效果</w:t>
      </w:r>
      <w:r>
        <w:tab/>
      </w:r>
      <w:r>
        <w:fldChar w:fldCharType="begin"/>
      </w:r>
      <w:r>
        <w:instrText xml:space="preserve"> PAGEREF _Toc9837824 \h </w:instrText>
      </w:r>
      <w:r>
        <w:fldChar w:fldCharType="separate"/>
      </w:r>
      <w:r>
        <w:t>19</w:t>
      </w:r>
      <w:r>
        <w:fldChar w:fldCharType="end"/>
      </w:r>
      <w:r>
        <w:fldChar w:fldCharType="end"/>
      </w:r>
    </w:p>
    <w:p>
      <w:pPr>
        <w:pStyle w:val="6"/>
        <w:tabs>
          <w:tab w:val="right" w:leader="dot" w:pos="8297"/>
        </w:tabs>
        <w:ind w:left="632"/>
        <w:rPr>
          <w:rFonts w:ascii="等线" w:hAnsi="等线" w:eastAsia="等线"/>
          <w:sz w:val="21"/>
          <w:szCs w:val="22"/>
        </w:rPr>
      </w:pPr>
      <w:r>
        <w:fldChar w:fldCharType="begin"/>
      </w:r>
      <w:r>
        <w:rPr>
          <w:rStyle w:val="10"/>
        </w:rPr>
        <w:instrText xml:space="preserve"> </w:instrText>
      </w:r>
      <w:r>
        <w:instrText xml:space="preserve">HYPERLINK \l "_Toc9837825"</w:instrText>
      </w:r>
      <w:r>
        <w:rPr>
          <w:rStyle w:val="10"/>
        </w:rPr>
        <w:instrText xml:space="preserve"> </w:instrText>
      </w:r>
      <w:r>
        <w:fldChar w:fldCharType="separate"/>
      </w:r>
      <w:r>
        <w:rPr>
          <w:rStyle w:val="10"/>
          <w:rFonts w:ascii="楷体_GB2312" w:eastAsia="楷体_GB2312"/>
        </w:rPr>
        <w:t>（四）变化趋势</w:t>
      </w:r>
      <w:r>
        <w:tab/>
      </w:r>
      <w:r>
        <w:fldChar w:fldCharType="begin"/>
      </w:r>
      <w:r>
        <w:instrText xml:space="preserve"> PAGEREF _Toc9837825 \h </w:instrText>
      </w:r>
      <w:r>
        <w:fldChar w:fldCharType="separate"/>
      </w:r>
      <w:r>
        <w:t>19</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10"/>
        </w:rPr>
        <w:instrText xml:space="preserve"> </w:instrText>
      </w:r>
      <w:r>
        <w:instrText xml:space="preserve">HYPERLINK \l "_Toc9837826"</w:instrText>
      </w:r>
      <w:r>
        <w:rPr>
          <w:rStyle w:val="10"/>
        </w:rPr>
        <w:instrText xml:space="preserve"> </w:instrText>
      </w:r>
      <w:r>
        <w:fldChar w:fldCharType="separate"/>
      </w:r>
      <w:r>
        <w:rPr>
          <w:rStyle w:val="10"/>
          <w:rFonts w:ascii="黑体" w:eastAsia="黑体"/>
        </w:rPr>
        <w:t>五、主要经验及做法</w:t>
      </w:r>
      <w:r>
        <w:tab/>
      </w:r>
      <w:r>
        <w:fldChar w:fldCharType="begin"/>
      </w:r>
      <w:r>
        <w:instrText xml:space="preserve"> PAGEREF _Toc9837826 \h </w:instrText>
      </w:r>
      <w:r>
        <w:fldChar w:fldCharType="separate"/>
      </w:r>
      <w:r>
        <w:t>20</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10"/>
        </w:rPr>
        <w:instrText xml:space="preserve"> </w:instrText>
      </w:r>
      <w:r>
        <w:instrText xml:space="preserve">HYPERLINK \l "_Toc9837827"</w:instrText>
      </w:r>
      <w:r>
        <w:rPr>
          <w:rStyle w:val="10"/>
        </w:rPr>
        <w:instrText xml:space="preserve"> </w:instrText>
      </w:r>
      <w:r>
        <w:fldChar w:fldCharType="separate"/>
      </w:r>
      <w:r>
        <w:rPr>
          <w:rStyle w:val="10"/>
          <w:rFonts w:ascii="黑体" w:eastAsia="黑体"/>
        </w:rPr>
        <w:t>六、存在的主要问题</w:t>
      </w:r>
      <w:r>
        <w:tab/>
      </w:r>
      <w:r>
        <w:fldChar w:fldCharType="begin"/>
      </w:r>
      <w:r>
        <w:instrText xml:space="preserve"> PAGEREF _Toc9837827 \h </w:instrText>
      </w:r>
      <w:r>
        <w:fldChar w:fldCharType="separate"/>
      </w:r>
      <w:r>
        <w:t>20</w:t>
      </w:r>
      <w:r>
        <w:fldChar w:fldCharType="end"/>
      </w:r>
      <w:r>
        <w:fldChar w:fldCharType="end"/>
      </w:r>
    </w:p>
    <w:p>
      <w:pPr>
        <w:pStyle w:val="5"/>
        <w:tabs>
          <w:tab w:val="right" w:leader="dot" w:pos="8297"/>
        </w:tabs>
        <w:rPr>
          <w:rFonts w:ascii="等线" w:hAnsi="等线" w:eastAsia="等线"/>
          <w:sz w:val="21"/>
          <w:szCs w:val="22"/>
        </w:rPr>
      </w:pPr>
      <w:r>
        <w:fldChar w:fldCharType="begin"/>
      </w:r>
      <w:r>
        <w:rPr>
          <w:rStyle w:val="10"/>
        </w:rPr>
        <w:instrText xml:space="preserve"> </w:instrText>
      </w:r>
      <w:r>
        <w:instrText xml:space="preserve">HYPERLINK \l "_Toc9837828"</w:instrText>
      </w:r>
      <w:r>
        <w:rPr>
          <w:rStyle w:val="10"/>
        </w:rPr>
        <w:instrText xml:space="preserve"> </w:instrText>
      </w:r>
      <w:r>
        <w:fldChar w:fldCharType="separate"/>
      </w:r>
      <w:r>
        <w:rPr>
          <w:rStyle w:val="10"/>
          <w:rFonts w:ascii="黑体" w:eastAsia="黑体"/>
        </w:rPr>
        <w:t>七、建议和改进措施</w:t>
      </w:r>
      <w:r>
        <w:tab/>
      </w:r>
      <w:r>
        <w:fldChar w:fldCharType="begin"/>
      </w:r>
      <w:r>
        <w:instrText xml:space="preserve"> PAGEREF _Toc9837828 \h </w:instrText>
      </w:r>
      <w:r>
        <w:fldChar w:fldCharType="separate"/>
      </w:r>
      <w:r>
        <w:t>20</w:t>
      </w:r>
      <w:r>
        <w:fldChar w:fldCharType="end"/>
      </w:r>
      <w:r>
        <w:fldChar w:fldCharType="end"/>
      </w:r>
    </w:p>
    <w:p>
      <w:pPr>
        <w:spacing w:line="600" w:lineRule="exact"/>
        <w:jc w:val="center"/>
        <w:rPr>
          <w:rFonts w:ascii="方正小标宋_GBK" w:eastAsia="方正小标宋_GBK"/>
          <w:color w:val="FF0000"/>
          <w:sz w:val="36"/>
          <w:szCs w:val="36"/>
        </w:rPr>
        <w:sectPr>
          <w:footerReference r:id="rId3" w:type="default"/>
          <w:footerReference r:id="rId4" w:type="even"/>
          <w:pgSz w:w="11907" w:h="16840"/>
          <w:pgMar w:top="1440" w:right="1800" w:bottom="1440" w:left="1800" w:header="851" w:footer="1304" w:gutter="0"/>
          <w:pgNumType w:fmt="decimal" w:start="1"/>
          <w:cols w:space="720" w:num="1"/>
          <w:docGrid w:type="linesAndChars" w:linePitch="587" w:charSpace="-842"/>
        </w:sectPr>
      </w:pPr>
      <w:r>
        <w:rPr>
          <w:rFonts w:ascii="方正小标宋_GBK" w:eastAsia="方正小标宋_GBK"/>
          <w:color w:val="FF0000"/>
          <w:sz w:val="36"/>
          <w:szCs w:val="36"/>
        </w:rPr>
        <w:fldChar w:fldCharType="end"/>
      </w:r>
    </w:p>
    <w:p>
      <w:pPr>
        <w:spacing w:line="600" w:lineRule="exact"/>
        <w:jc w:val="center"/>
        <w:rPr>
          <w:rFonts w:hint="eastAsia" w:ascii="方正小标宋_GBK" w:eastAsia="方正小标宋_GBK"/>
          <w:b/>
          <w:bCs w:val="0"/>
          <w:sz w:val="36"/>
          <w:szCs w:val="36"/>
          <w:lang w:eastAsia="zh-CN"/>
        </w:rPr>
      </w:pPr>
      <w:r>
        <w:rPr>
          <w:rFonts w:hint="eastAsia" w:ascii="方正小标宋_GBK" w:eastAsia="方正小标宋_GBK"/>
          <w:b/>
          <w:bCs w:val="0"/>
          <w:sz w:val="36"/>
          <w:szCs w:val="36"/>
          <w:lang w:eastAsia="zh-CN"/>
        </w:rPr>
        <w:t>昆明市生态环境局东川分局</w:t>
      </w:r>
    </w:p>
    <w:p>
      <w:pPr>
        <w:spacing w:line="600" w:lineRule="exact"/>
        <w:jc w:val="center"/>
        <w:rPr>
          <w:rFonts w:hint="eastAsia" w:ascii="方正小标宋_GBK" w:eastAsia="方正小标宋_GBK"/>
          <w:b/>
          <w:bCs w:val="0"/>
          <w:sz w:val="36"/>
          <w:szCs w:val="36"/>
          <w:lang w:val="en-US" w:eastAsia="zh-CN"/>
        </w:rPr>
      </w:pPr>
      <w:r>
        <w:rPr>
          <w:rFonts w:hint="eastAsia" w:ascii="方正小标宋_GBK" w:eastAsia="方正小标宋_GBK"/>
          <w:b/>
          <w:bCs w:val="0"/>
          <w:sz w:val="36"/>
          <w:szCs w:val="36"/>
          <w:lang w:val="en-US" w:eastAsia="zh-CN"/>
        </w:rPr>
        <w:t>2019年中央重金属污染综合防治专项资金</w:t>
      </w:r>
    </w:p>
    <w:p>
      <w:pPr>
        <w:spacing w:line="600" w:lineRule="exact"/>
        <w:jc w:val="center"/>
        <w:rPr>
          <w:rFonts w:hint="eastAsia" w:ascii="方正小标宋_GBK" w:eastAsia="方正小标宋_GBK"/>
          <w:b/>
          <w:color w:val="FF0000"/>
          <w:sz w:val="36"/>
          <w:szCs w:val="36"/>
        </w:rPr>
      </w:pPr>
      <w:r>
        <w:rPr>
          <w:rFonts w:hint="eastAsia" w:ascii="方正小标宋_GBK" w:eastAsia="方正小标宋_GBK"/>
          <w:b/>
          <w:bCs w:val="0"/>
          <w:sz w:val="36"/>
          <w:szCs w:val="36"/>
          <w:lang w:val="en-US" w:eastAsia="zh-CN"/>
        </w:rPr>
        <w:t>项目支出绩效自评报告</w:t>
      </w:r>
    </w:p>
    <w:p>
      <w:pPr>
        <w:spacing w:line="440" w:lineRule="exact"/>
        <w:ind w:firstLine="632" w:firstLineChars="200"/>
        <w:jc w:val="center"/>
        <w:rPr>
          <w:rFonts w:ascii="方正小标宋_GBK" w:hAnsi="黑体" w:eastAsia="方正小标宋_GBK"/>
          <w:sz w:val="36"/>
          <w:szCs w:val="36"/>
        </w:rPr>
      </w:pPr>
      <w:r>
        <w:rPr>
          <w:rFonts w:hint="eastAsia" w:ascii="方正小标宋_GBK" w:hAnsi="黑体" w:eastAsia="方正小标宋_GBK"/>
          <w:sz w:val="32"/>
          <w:szCs w:val="32"/>
        </w:rPr>
        <w:t>摘要（1500字以内）</w:t>
      </w:r>
    </w:p>
    <w:p>
      <w:pPr>
        <w:numPr>
          <w:ilvl w:val="0"/>
          <w:numId w:val="1"/>
        </w:numPr>
        <w:spacing w:line="440" w:lineRule="exact"/>
        <w:ind w:firstLine="632" w:firstLineChars="200"/>
        <w:jc w:val="left"/>
        <w:rPr>
          <w:rFonts w:hint="eastAsia" w:ascii="仿宋_GB2312" w:eastAsia="仿宋_GB2312"/>
          <w:sz w:val="32"/>
          <w:szCs w:val="32"/>
          <w:lang w:val="en-US" w:eastAsia="zh-CN"/>
        </w:rPr>
      </w:pPr>
      <w:r>
        <w:rPr>
          <w:rFonts w:hint="eastAsia" w:ascii="黑体" w:hAnsi="黑体" w:eastAsia="黑体"/>
          <w:sz w:val="32"/>
          <w:szCs w:val="32"/>
        </w:rPr>
        <w:t>项目概况</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黑体" w:hAnsi="黑体" w:eastAsia="黑体"/>
          <w:sz w:val="32"/>
          <w:szCs w:val="32"/>
          <w:lang w:val="en-US" w:eastAsia="zh-CN"/>
        </w:rPr>
      </w:pPr>
      <w:r>
        <w:rPr>
          <w:rFonts w:hint="eastAsia" w:ascii="仿宋_GB2312" w:hAnsi="Times New Roman"/>
          <w:color w:val="000000"/>
          <w:sz w:val="32"/>
          <w:szCs w:val="32"/>
        </w:rPr>
        <w:t>为更好的解决重金属污染现状问题，推进区域重金属污染防治任务，</w:t>
      </w:r>
      <w:r>
        <w:rPr>
          <w:rFonts w:hint="eastAsia" w:ascii="仿宋_GB2312" w:hAnsi="Times New Roman"/>
          <w:color w:val="000000"/>
          <w:sz w:val="32"/>
          <w:szCs w:val="32"/>
          <w:lang w:eastAsia="zh-CN"/>
        </w:rPr>
        <w:t>根据</w:t>
      </w:r>
      <w:r>
        <w:rPr>
          <w:rFonts w:hint="eastAsia" w:ascii="仿宋_GB2312" w:hAnsi="Times New Roman"/>
          <w:color w:val="000000"/>
          <w:sz w:val="32"/>
          <w:szCs w:val="32"/>
        </w:rPr>
        <w:t>国家、云南省及东川区重金属污染综合防治“十二五”规划和</w:t>
      </w:r>
      <w:r>
        <w:rPr>
          <w:rFonts w:hint="eastAsia" w:ascii="仿宋_GB2312" w:hAnsi="Times New Roman"/>
          <w:color w:val="000000"/>
          <w:kern w:val="0"/>
          <w:sz w:val="32"/>
          <w:szCs w:val="32"/>
        </w:rPr>
        <w:t>《关于落实&lt;重金属污染综合防治“十二五”规划&gt;中期评估后续工作的通知》（环办</w:t>
      </w:r>
      <w:r>
        <w:rPr>
          <w:rFonts w:hint="eastAsia" w:ascii="仿宋_GB2312"/>
          <w:sz w:val="32"/>
          <w:szCs w:val="32"/>
        </w:rPr>
        <w:t>〔201</w:t>
      </w:r>
      <w:r>
        <w:rPr>
          <w:rFonts w:hint="eastAsia" w:ascii="仿宋_GB2312"/>
          <w:sz w:val="32"/>
          <w:szCs w:val="32"/>
          <w:lang w:val="en-US" w:eastAsia="zh-CN"/>
        </w:rPr>
        <w:t>5</w:t>
      </w:r>
      <w:r>
        <w:rPr>
          <w:rFonts w:hint="eastAsia" w:ascii="仿宋_GB2312"/>
          <w:sz w:val="32"/>
          <w:szCs w:val="32"/>
        </w:rPr>
        <w:t>〕</w:t>
      </w:r>
      <w:r>
        <w:rPr>
          <w:rFonts w:hint="eastAsia" w:ascii="仿宋_GB2312" w:hAnsi="Times New Roman"/>
          <w:color w:val="000000"/>
          <w:kern w:val="0"/>
          <w:sz w:val="32"/>
          <w:szCs w:val="32"/>
        </w:rPr>
        <w:t>3号）</w:t>
      </w:r>
      <w:r>
        <w:rPr>
          <w:rFonts w:hint="eastAsia" w:ascii="仿宋_GB2312" w:hAnsi="Times New Roman"/>
          <w:color w:val="000000"/>
          <w:sz w:val="32"/>
          <w:szCs w:val="32"/>
          <w:lang w:eastAsia="zh-CN"/>
        </w:rPr>
        <w:t>要求，编制《昆明市东川区重金属污染综合防治实施方案》（以下简称“《方案》”），对东川区</w:t>
      </w:r>
      <w:r>
        <w:rPr>
          <w:rFonts w:hint="eastAsia" w:ascii="仿宋_GB2312" w:hAnsi="Times New Roman"/>
          <w:color w:val="000000"/>
          <w:sz w:val="32"/>
          <w:szCs w:val="32"/>
        </w:rPr>
        <w:t>2015-2017年三年重金属污染防治工作进行总体设计，重金属污染的区域 “一园两片区”作为项目实施的主要区域范围</w:t>
      </w:r>
      <w:r>
        <w:rPr>
          <w:rFonts w:hint="eastAsia" w:ascii="仿宋_GB2312" w:hAnsi="Times New Roman"/>
          <w:color w:val="000000"/>
          <w:sz w:val="32"/>
          <w:szCs w:val="32"/>
          <w:lang w:eastAsia="zh-CN"/>
        </w:rPr>
        <w:t>，从</w:t>
      </w:r>
      <w:r>
        <w:rPr>
          <w:rFonts w:hint="eastAsia" w:ascii="仿宋_GB2312" w:hAnsi="Times New Roman"/>
          <w:color w:val="000000"/>
          <w:sz w:val="32"/>
          <w:szCs w:val="32"/>
        </w:rPr>
        <w:t>重金属污染源综合治理、落后产能淘汰和重金属污染防治基础能力建设三个方面</w:t>
      </w:r>
      <w:r>
        <w:rPr>
          <w:rFonts w:hint="eastAsia" w:ascii="仿宋_GB2312" w:hAnsi="Times New Roman"/>
          <w:color w:val="000000"/>
          <w:sz w:val="32"/>
          <w:szCs w:val="32"/>
          <w:lang w:eastAsia="zh-CN"/>
        </w:rPr>
        <w:t>，对东川区出境河流、</w:t>
      </w:r>
      <w:r>
        <w:rPr>
          <w:rFonts w:hint="eastAsia" w:ascii="仿宋_GB2312" w:hAnsi="Times New Roman"/>
          <w:color w:val="000000"/>
          <w:sz w:val="32"/>
          <w:szCs w:val="32"/>
        </w:rPr>
        <w:t>涉重企业和历史遗留矿渣的重金属污染</w:t>
      </w:r>
      <w:r>
        <w:rPr>
          <w:rFonts w:hint="eastAsia" w:ascii="仿宋_GB2312" w:hAnsi="Times New Roman"/>
          <w:color w:val="000000"/>
          <w:sz w:val="32"/>
          <w:szCs w:val="32"/>
          <w:lang w:eastAsia="zh-CN"/>
        </w:rPr>
        <w:t>问题进行整治，同时提升</w:t>
      </w:r>
      <w:r>
        <w:rPr>
          <w:rFonts w:hint="eastAsia" w:ascii="仿宋_GB2312" w:hAnsi="Times New Roman"/>
          <w:color w:val="000000"/>
          <w:sz w:val="32"/>
          <w:szCs w:val="32"/>
        </w:rPr>
        <w:t>重金属污染防治监测和监察能力。</w:t>
      </w:r>
    </w:p>
    <w:p>
      <w:pPr>
        <w:numPr>
          <w:ilvl w:val="0"/>
          <w:numId w:val="1"/>
        </w:numPr>
        <w:spacing w:line="440" w:lineRule="exact"/>
        <w:ind w:left="0" w:leftChars="0" w:firstLine="632" w:firstLineChars="200"/>
        <w:jc w:val="left"/>
        <w:rPr>
          <w:rFonts w:hint="eastAsia" w:ascii="黑体" w:hAnsi="黑体" w:eastAsia="黑体"/>
          <w:sz w:val="32"/>
          <w:szCs w:val="32"/>
        </w:rPr>
      </w:pPr>
      <w:r>
        <w:rPr>
          <w:rFonts w:hint="eastAsia" w:ascii="黑体" w:hAnsi="黑体" w:eastAsia="黑体"/>
          <w:sz w:val="32"/>
          <w:szCs w:val="32"/>
        </w:rPr>
        <w:t>评价结论</w:t>
      </w:r>
    </w:p>
    <w:p>
      <w:pPr>
        <w:adjustRightInd w:val="0"/>
        <w:snapToGrid w:val="0"/>
        <w:spacing w:line="600" w:lineRule="exact"/>
        <w:ind w:firstLine="632" w:firstLineChars="200"/>
        <w:rPr>
          <w:rFonts w:hint="eastAsia" w:ascii="仿宋_GB2312"/>
          <w:color w:val="000000"/>
          <w:sz w:val="32"/>
          <w:szCs w:val="32"/>
          <w:highlight w:val="none"/>
          <w:lang w:eastAsia="zh-CN"/>
        </w:rPr>
      </w:pPr>
      <w:r>
        <w:rPr>
          <w:rFonts w:hint="eastAsia" w:ascii="仿宋_GB2312"/>
          <w:color w:val="000000"/>
          <w:sz w:val="32"/>
          <w:szCs w:val="32"/>
          <w:highlight w:val="none"/>
          <w:lang w:eastAsia="zh-CN"/>
        </w:rPr>
        <w:t>我们从项目决策、项目管理、项目绩效三个方面对中央重金属污染防治项目进行评价，重金属污染防治项目的实施，对提高环境监测水平，提高预警，销减重金属含量，提高废水资料利用，抑制大气污染等方面有促进作用，但项目实施进度慢，预计部分效益无法实现，部分项目程序执行不规范，经评价，东川区保局201</w:t>
      </w:r>
      <w:r>
        <w:rPr>
          <w:rFonts w:hint="eastAsia" w:ascii="仿宋_GB2312"/>
          <w:color w:val="000000"/>
          <w:sz w:val="32"/>
          <w:szCs w:val="32"/>
          <w:highlight w:val="none"/>
          <w:lang w:val="en-US" w:eastAsia="zh-CN"/>
        </w:rPr>
        <w:t>9</w:t>
      </w:r>
      <w:r>
        <w:rPr>
          <w:rFonts w:hint="eastAsia" w:ascii="仿宋_GB2312"/>
          <w:color w:val="000000"/>
          <w:sz w:val="32"/>
          <w:szCs w:val="32"/>
          <w:highlight w:val="none"/>
          <w:lang w:eastAsia="zh-CN"/>
        </w:rPr>
        <w:t>年中央重金属污染综合防治专项资金项目支出绩效自评得分：70分，绩效评价等级：“中”。</w:t>
      </w:r>
    </w:p>
    <w:p>
      <w:pPr>
        <w:spacing w:line="440" w:lineRule="exact"/>
        <w:ind w:firstLine="632" w:firstLineChars="200"/>
        <w:jc w:val="left"/>
        <w:rPr>
          <w:rFonts w:hint="eastAsia" w:ascii="楷体" w:hAnsi="楷体" w:eastAsia="楷体"/>
          <w:sz w:val="32"/>
          <w:szCs w:val="32"/>
        </w:rPr>
      </w:pPr>
      <w:r>
        <w:rPr>
          <w:rFonts w:hint="eastAsia" w:ascii="黑体" w:hAnsi="黑体" w:eastAsia="黑体"/>
          <w:sz w:val="32"/>
          <w:szCs w:val="32"/>
        </w:rPr>
        <w:t>三、经验、问题和建议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left"/>
        <w:textAlignment w:val="auto"/>
        <w:rPr>
          <w:rFonts w:hint="eastAsia" w:ascii="楷体" w:hAnsi="楷体" w:eastAsia="楷体"/>
          <w:sz w:val="32"/>
          <w:szCs w:val="32"/>
        </w:rPr>
      </w:pPr>
      <w:r>
        <w:rPr>
          <w:rFonts w:hint="eastAsia" w:ascii="楷体" w:hAnsi="楷体" w:eastAsia="楷体"/>
          <w:sz w:val="32"/>
          <w:szCs w:val="32"/>
          <w:lang w:val="en-US" w:eastAsia="zh-CN"/>
        </w:rPr>
        <w:t>1.</w:t>
      </w:r>
      <w:r>
        <w:rPr>
          <w:rFonts w:hint="eastAsia" w:ascii="楷体" w:hAnsi="楷体" w:eastAsia="楷体"/>
          <w:sz w:val="32"/>
          <w:szCs w:val="32"/>
        </w:rPr>
        <w:t>存在的问题</w:t>
      </w:r>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632" w:firstLineChars="200"/>
        <w:jc w:val="left"/>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截止绩效自评日，云南铜业凯通有色金属有限公司污酸废水深度处理工程、昆明市石将军矿业有限责任公司尾矿库选矿废水处理及水资源回用工程、昆明市东川金水矿业有限责任公司尾矿库选矿废水处理及水资源回用工程、东川区基础能力建设项目、空气自动站建设项目、昆明风景矿业有限公司黄水菁尾矿库选矿废水处理及水资源回用工程5项完工建设；</w:t>
      </w:r>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948" w:firstLineChars="300"/>
        <w:jc w:val="left"/>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昆明众智铜业有限公司重金属污染综合治理工程、东川四方地片区河里湾工业弃渣集中处置工程、云南紫润矿业有限公司绿茂紫牛大凹子尾矿库选矿废水处理及水资源回用工程3项未完工；</w:t>
      </w:r>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632" w:firstLineChars="200"/>
        <w:jc w:val="left"/>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云南红富化肥有限公司东川四方地片区河里湾工业弃渣集中处置工程、昆明汤丹冶金有限责任公司汤丹乌龙河片区选矿废水处理及水资源回用工程2项未按计划实施。</w:t>
      </w:r>
    </w:p>
    <w:p>
      <w:pPr>
        <w:spacing w:line="560" w:lineRule="exact"/>
        <w:ind w:firstLine="632" w:firstLineChars="200"/>
        <w:rPr>
          <w:rFonts w:hint="default"/>
          <w:color w:val="C00000"/>
          <w:sz w:val="32"/>
          <w:szCs w:val="32"/>
          <w:lang w:val="en-US" w:eastAsia="zh-CN"/>
        </w:rPr>
      </w:pPr>
      <w:r>
        <w:rPr>
          <w:rFonts w:hint="eastAsia" w:ascii="仿宋_GB2312" w:hAnsi="Times New Roman"/>
          <w:sz w:val="32"/>
          <w:szCs w:val="32"/>
        </w:rPr>
        <w:t>项目</w:t>
      </w:r>
      <w:r>
        <w:rPr>
          <w:rFonts w:hint="eastAsia" w:ascii="仿宋_GB2312" w:hAnsi="Times New Roman"/>
          <w:sz w:val="32"/>
          <w:szCs w:val="32"/>
          <w:lang w:eastAsia="zh-CN"/>
        </w:rPr>
        <w:t>中央资金到位</w:t>
      </w:r>
      <w:r>
        <w:rPr>
          <w:rFonts w:hint="eastAsia" w:ascii="仿宋_GB2312" w:hAnsi="Times New Roman"/>
          <w:sz w:val="32"/>
          <w:szCs w:val="32"/>
        </w:rPr>
        <w:t>26,000.00万元，</w:t>
      </w:r>
      <w:r>
        <w:rPr>
          <w:rFonts w:hint="eastAsia" w:ascii="仿宋_GB2312" w:hAnsi="Times New Roman"/>
          <w:sz w:val="32"/>
          <w:szCs w:val="32"/>
          <w:lang w:eastAsia="zh-CN"/>
        </w:rPr>
        <w:t>资金支出</w:t>
      </w:r>
      <w:r>
        <w:rPr>
          <w:rFonts w:hint="eastAsia" w:ascii="仿宋_GB2312" w:hAnsi="Times New Roman"/>
          <w:sz w:val="32"/>
          <w:szCs w:val="32"/>
          <w:lang w:val="en-US" w:eastAsia="zh-CN"/>
        </w:rPr>
        <w:t>14,584.71万元，其中：本级支出1,142.11万元，拨付项目企业13,442.6万元，资金上缴6,603.69万元，资金结转4,811.6万元，结转率18.</w:t>
      </w:r>
      <w:r>
        <w:rPr>
          <w:rFonts w:hint="eastAsia" w:ascii="仿宋_GB2312" w:hAnsi="Times New Roman"/>
          <w:color w:val="auto"/>
          <w:sz w:val="32"/>
          <w:szCs w:val="32"/>
          <w:lang w:val="en-US" w:eastAsia="zh-CN"/>
        </w:rPr>
        <w:t>51%。</w:t>
      </w:r>
      <w:r>
        <w:rPr>
          <w:rFonts w:hint="eastAsia" w:ascii="仿宋_GB2312" w:hAnsi="Times New Roman"/>
          <w:color w:val="auto"/>
          <w:sz w:val="32"/>
          <w:szCs w:val="32"/>
          <w:lang w:eastAsia="zh-CN"/>
        </w:rPr>
        <w:t>项目单位共收到中央重金属污染防治专项资金</w:t>
      </w:r>
      <w:r>
        <w:rPr>
          <w:rFonts w:hint="eastAsia" w:ascii="仿宋_GB2312" w:hAnsi="Times New Roman"/>
          <w:color w:val="auto"/>
          <w:sz w:val="32"/>
          <w:szCs w:val="32"/>
          <w:lang w:val="en-US" w:eastAsia="zh-CN"/>
        </w:rPr>
        <w:t>13,442.6万元，资金使用5,837.45万元，资金结转7,605.15万元，</w:t>
      </w:r>
      <w:r>
        <w:rPr>
          <w:rFonts w:hint="eastAsia" w:ascii="仿宋_GB2312" w:hAnsi="Times New Roman"/>
          <w:sz w:val="32"/>
          <w:szCs w:val="32"/>
          <w:lang w:val="en-US" w:eastAsia="zh-CN"/>
        </w:rPr>
        <w:t>结转率56.57%，资金结转大。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rFonts w:ascii="楷体" w:hAnsi="楷体" w:eastAsia="楷体"/>
          <w:sz w:val="32"/>
          <w:szCs w:val="32"/>
        </w:rPr>
      </w:pPr>
      <w:r>
        <w:rPr>
          <w:rFonts w:hint="eastAsia" w:ascii="楷体" w:hAnsi="楷体" w:eastAsia="楷体"/>
          <w:sz w:val="32"/>
          <w:szCs w:val="32"/>
          <w:lang w:val="en-US" w:eastAsia="zh-CN"/>
        </w:rPr>
        <w:t>2</w:t>
      </w:r>
      <w:r>
        <w:rPr>
          <w:rFonts w:hint="eastAsia" w:ascii="楷体" w:hAnsi="楷体" w:eastAsia="楷体"/>
          <w:sz w:val="32"/>
          <w:szCs w:val="32"/>
        </w:rPr>
        <w:t>.改进措施及建议。</w:t>
      </w:r>
    </w:p>
    <w:p>
      <w:pPr>
        <w:spacing w:line="560" w:lineRule="exact"/>
        <w:ind w:firstLine="632" w:firstLineChars="200"/>
        <w:rPr>
          <w:rFonts w:hint="default" w:ascii="仿宋_GB2312" w:hAnsi="Times New Roman" w:eastAsia="仿宋_GB2312"/>
          <w:sz w:val="32"/>
          <w:szCs w:val="32"/>
          <w:lang w:val="en-US" w:eastAsia="zh-CN"/>
        </w:rPr>
      </w:pPr>
      <w:r>
        <w:rPr>
          <w:rFonts w:hint="eastAsia" w:ascii="仿宋_GB2312" w:hAnsi="Times New Roman"/>
          <w:sz w:val="32"/>
          <w:szCs w:val="32"/>
          <w:lang w:val="zh-CN"/>
        </w:rPr>
        <w:t>建议规范强化项目建设管理，</w:t>
      </w:r>
      <w:r>
        <w:rPr>
          <w:rFonts w:hint="eastAsia" w:ascii="仿宋_GB2312" w:hAnsi="Times New Roman"/>
          <w:sz w:val="32"/>
          <w:szCs w:val="32"/>
        </w:rPr>
        <w:t>项目责任单位督促项目实施单位</w:t>
      </w:r>
      <w:r>
        <w:rPr>
          <w:rFonts w:hint="eastAsia" w:ascii="仿宋_GB2312" w:hAnsi="Times New Roman"/>
          <w:color w:val="000000"/>
          <w:sz w:val="32"/>
          <w:szCs w:val="32"/>
        </w:rPr>
        <w:t>尽快</w:t>
      </w:r>
      <w:r>
        <w:rPr>
          <w:rFonts w:hint="eastAsia" w:ascii="仿宋_GB2312" w:hAnsi="Times New Roman"/>
          <w:sz w:val="32"/>
          <w:szCs w:val="32"/>
        </w:rPr>
        <w:t>协调有关部门，</w:t>
      </w:r>
      <w:r>
        <w:rPr>
          <w:rFonts w:hint="eastAsia" w:ascii="仿宋_GB2312" w:hAnsi="Times New Roman"/>
          <w:sz w:val="32"/>
          <w:szCs w:val="32"/>
          <w:lang w:eastAsia="zh-CN"/>
        </w:rPr>
        <w:t>提高</w:t>
      </w:r>
      <w:r>
        <w:rPr>
          <w:rFonts w:hint="eastAsia" w:ascii="仿宋_GB2312" w:hAnsi="Times New Roman"/>
          <w:sz w:val="32"/>
          <w:szCs w:val="32"/>
        </w:rPr>
        <w:t>项目实施进度</w:t>
      </w:r>
      <w:r>
        <w:rPr>
          <w:rFonts w:hint="eastAsia" w:ascii="仿宋_GB2312" w:hAnsi="Times New Roman"/>
          <w:sz w:val="32"/>
          <w:szCs w:val="32"/>
          <w:lang w:eastAsia="zh-CN"/>
        </w:rPr>
        <w:t>，</w:t>
      </w:r>
      <w:r>
        <w:rPr>
          <w:rFonts w:hint="eastAsia" w:ascii="仿宋_GB2312" w:hAnsi="Times New Roman"/>
          <w:sz w:val="32"/>
          <w:szCs w:val="32"/>
          <w:lang w:val="en-US" w:eastAsia="zh-CN"/>
        </w:rPr>
        <w:t>对导致项目实施进度慢问题进行整改，对无法实施项目或暂时无法实施的项目，建议原渠道退回资金。</w:t>
      </w: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211" w:leftChars="-67" w:firstLine="656"/>
        <w:rPr>
          <w:rFonts w:hint="eastAsia" w:ascii="仿宋_GB2312"/>
          <w:sz w:val="32"/>
          <w:szCs w:val="32"/>
        </w:rPr>
      </w:pPr>
    </w:p>
    <w:p>
      <w:pPr>
        <w:pStyle w:val="11"/>
        <w:ind w:left="0" w:leftChars="0" w:firstLine="0" w:firstLineChars="0"/>
        <w:rPr>
          <w:rFonts w:hint="eastAsia" w:ascii="仿宋_GB2312"/>
          <w:sz w:val="32"/>
          <w:szCs w:val="32"/>
        </w:rPr>
      </w:pPr>
    </w:p>
    <w:p>
      <w:pPr>
        <w:spacing w:line="600" w:lineRule="exact"/>
        <w:jc w:val="center"/>
        <w:rPr>
          <w:rFonts w:hint="eastAsia" w:ascii="方正小标宋_GBK" w:eastAsia="方正小标宋_GBK"/>
          <w:b w:val="0"/>
          <w:bCs/>
          <w:sz w:val="36"/>
          <w:szCs w:val="36"/>
          <w:lang w:eastAsia="zh-CN"/>
        </w:rPr>
      </w:pPr>
      <w:r>
        <w:rPr>
          <w:rFonts w:hint="eastAsia" w:ascii="方正小标宋_GBK" w:eastAsia="方正小标宋_GBK"/>
          <w:b w:val="0"/>
          <w:bCs/>
          <w:sz w:val="36"/>
          <w:szCs w:val="36"/>
          <w:lang w:eastAsia="zh-CN"/>
        </w:rPr>
        <w:t>昆明市生态环境局东川分局</w:t>
      </w:r>
    </w:p>
    <w:p>
      <w:pPr>
        <w:spacing w:line="600" w:lineRule="exact"/>
        <w:jc w:val="center"/>
        <w:rPr>
          <w:rFonts w:hint="eastAsia" w:ascii="方正小标宋_GBK" w:eastAsia="方正小标宋_GBK"/>
          <w:b w:val="0"/>
          <w:bCs/>
          <w:sz w:val="36"/>
          <w:szCs w:val="36"/>
          <w:lang w:val="en-US" w:eastAsia="zh-CN"/>
        </w:rPr>
      </w:pPr>
      <w:r>
        <w:rPr>
          <w:rFonts w:hint="eastAsia" w:ascii="方正小标宋_GBK" w:eastAsia="方正小标宋_GBK"/>
          <w:b w:val="0"/>
          <w:bCs/>
          <w:sz w:val="36"/>
          <w:szCs w:val="36"/>
          <w:lang w:val="en-US" w:eastAsia="zh-CN"/>
        </w:rPr>
        <w:t>2019年中央重金属污染综合防治专项资金</w:t>
      </w:r>
    </w:p>
    <w:p>
      <w:pPr>
        <w:spacing w:line="600" w:lineRule="exact"/>
        <w:jc w:val="center"/>
        <w:rPr>
          <w:rFonts w:hint="eastAsia" w:ascii="方正小标宋_GBK" w:eastAsia="方正小标宋_GBK"/>
          <w:b/>
          <w:color w:val="FF0000"/>
          <w:sz w:val="36"/>
          <w:szCs w:val="36"/>
        </w:rPr>
      </w:pPr>
      <w:r>
        <w:rPr>
          <w:rFonts w:hint="eastAsia" w:ascii="方正小标宋_GBK" w:eastAsia="方正小标宋_GBK"/>
          <w:b w:val="0"/>
          <w:bCs/>
          <w:sz w:val="36"/>
          <w:szCs w:val="36"/>
          <w:lang w:val="en-US" w:eastAsia="zh-CN"/>
        </w:rPr>
        <w:t>项目支出绩效自评报告</w:t>
      </w:r>
    </w:p>
    <w:p>
      <w:pPr>
        <w:spacing w:line="440" w:lineRule="exact"/>
        <w:ind w:firstLine="3160" w:firstLineChars="1000"/>
        <w:jc w:val="both"/>
        <w:rPr>
          <w:rFonts w:ascii="方正小标宋_GBK" w:hAnsi="黑体" w:eastAsia="方正小标宋_GBK"/>
          <w:szCs w:val="32"/>
        </w:rPr>
      </w:pPr>
      <w:r>
        <w:rPr>
          <w:rFonts w:hint="eastAsia" w:ascii="方正小标宋_GBK" w:hAnsi="黑体" w:eastAsia="方正小标宋_GBK"/>
          <w:szCs w:val="32"/>
        </w:rPr>
        <w:t>（</w:t>
      </w:r>
      <w:r>
        <w:rPr>
          <w:rFonts w:hint="eastAsia" w:ascii="方正小标宋_GBK" w:hAnsi="黑体" w:eastAsia="方正小标宋_GBK"/>
          <w:szCs w:val="32"/>
          <w:lang w:eastAsia="zh-CN"/>
        </w:rPr>
        <w:t>正</w:t>
      </w:r>
      <w:r>
        <w:rPr>
          <w:rFonts w:hint="eastAsia" w:ascii="方正小标宋_GBK" w:hAnsi="黑体" w:eastAsia="方正小标宋_GBK"/>
          <w:szCs w:val="32"/>
          <w:lang w:val="en-US" w:eastAsia="zh-CN"/>
        </w:rPr>
        <w:t xml:space="preserve">  </w:t>
      </w:r>
      <w:r>
        <w:rPr>
          <w:rFonts w:hint="eastAsia" w:ascii="方正小标宋_GBK" w:hAnsi="黑体" w:eastAsia="方正小标宋_GBK"/>
          <w:szCs w:val="32"/>
          <w:lang w:eastAsia="zh-CN"/>
        </w:rPr>
        <w:t>文</w:t>
      </w:r>
      <w:r>
        <w:rPr>
          <w:rFonts w:hint="eastAsia" w:ascii="方正小标宋_GBK" w:hAnsi="黑体" w:eastAsia="方正小标宋_GBK"/>
          <w:szCs w:val="32"/>
        </w:rPr>
        <w:t>）</w:t>
      </w:r>
    </w:p>
    <w:p>
      <w:pPr>
        <w:pStyle w:val="11"/>
        <w:ind w:left="0" w:leftChars="0" w:firstLine="656" w:firstLineChars="200"/>
        <w:rPr>
          <w:rFonts w:hint="default" w:ascii="仿宋_GB2312"/>
          <w:sz w:val="32"/>
          <w:szCs w:val="32"/>
          <w:lang w:val="en-US" w:eastAsia="zh-CN"/>
        </w:rPr>
      </w:pPr>
      <w:r>
        <w:rPr>
          <w:rFonts w:hint="eastAsia" w:ascii="仿宋_GB2312"/>
          <w:sz w:val="32"/>
          <w:szCs w:val="32"/>
        </w:rPr>
        <w:t>根据《中华人民共和国预算法》，按照《项目支出绩效评价管理办法》(财预[2020] 10号)《云南省财政厅关于做好2020年预算绩效管理工作的指导意见》(云财绩[2020]3号)、《东川区预算绩效管理结果应用暂行办法》(东政发[2017] 111号)、《东川区部门预算绩效自评管理暂行办法》(东政办发[2019]92号)和《昆明市财政局关于报送2018年预算绩效自评项目计划的通知》（昆财绩〔2019〕31号）要求，昆明市生态环境东川分局</w:t>
      </w:r>
      <w:r>
        <w:rPr>
          <w:rFonts w:hint="eastAsia" w:ascii="仿宋_GB2312"/>
          <w:sz w:val="32"/>
          <w:szCs w:val="32"/>
          <w:lang w:val="en-US" w:eastAsia="zh-CN"/>
        </w:rPr>
        <w:t>对2019年中央重金属污染综合防治专项资金项目支出绩效进行自评，现将自评情况报告如下：</w:t>
      </w:r>
    </w:p>
    <w:p>
      <w:pPr>
        <w:pStyle w:val="2"/>
        <w:adjustRightInd w:val="0"/>
        <w:snapToGrid w:val="0"/>
        <w:spacing w:before="0" w:after="0" w:line="600" w:lineRule="exact"/>
        <w:ind w:firstLine="632" w:firstLineChars="200"/>
        <w:rPr>
          <w:rFonts w:ascii="黑体" w:eastAsia="黑体"/>
          <w:b w:val="0"/>
          <w:bCs w:val="0"/>
          <w:sz w:val="32"/>
          <w:szCs w:val="32"/>
        </w:rPr>
      </w:pPr>
      <w:bookmarkStart w:id="0" w:name="_Toc9837809"/>
      <w:r>
        <w:rPr>
          <w:rFonts w:hint="eastAsia" w:ascii="黑体" w:eastAsia="黑体"/>
          <w:b w:val="0"/>
          <w:bCs w:val="0"/>
          <w:sz w:val="32"/>
          <w:szCs w:val="32"/>
        </w:rPr>
        <w:t>一、项目基本情况</w:t>
      </w:r>
      <w:bookmarkEnd w:id="0"/>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1" w:name="_Toc9837810"/>
      <w:r>
        <w:rPr>
          <w:rFonts w:hint="eastAsia" w:ascii="楷体" w:hAnsi="楷体" w:eastAsia="楷体" w:cs="楷体"/>
          <w:b w:val="0"/>
          <w:bCs w:val="0"/>
          <w:sz w:val="32"/>
          <w:szCs w:val="32"/>
        </w:rPr>
        <w:t>（一）项目概况</w:t>
      </w:r>
      <w:bookmarkEnd w:id="1"/>
    </w:p>
    <w:p>
      <w:pPr>
        <w:adjustRightInd w:val="0"/>
        <w:snapToGrid w:val="0"/>
        <w:spacing w:line="600" w:lineRule="exact"/>
        <w:ind w:firstLine="632" w:firstLineChars="200"/>
        <w:rPr>
          <w:rFonts w:ascii="仿宋_GB2312"/>
          <w:sz w:val="32"/>
          <w:szCs w:val="32"/>
        </w:rPr>
      </w:pPr>
      <w:r>
        <w:rPr>
          <w:rFonts w:hint="eastAsia" w:ascii="仿宋_GB2312"/>
          <w:sz w:val="32"/>
          <w:szCs w:val="32"/>
        </w:rPr>
        <w:t>1. 立项背景及目的</w:t>
      </w:r>
    </w:p>
    <w:p>
      <w:pPr>
        <w:adjustRightInd w:val="0"/>
        <w:snapToGrid w:val="0"/>
        <w:spacing w:line="600" w:lineRule="exact"/>
        <w:ind w:firstLine="632" w:firstLineChars="200"/>
        <w:rPr>
          <w:rFonts w:ascii="仿宋_GB2312"/>
          <w:sz w:val="32"/>
          <w:szCs w:val="32"/>
        </w:rPr>
      </w:pPr>
      <w:r>
        <w:rPr>
          <w:rFonts w:hint="eastAsia" w:ascii="仿宋_GB2312"/>
          <w:sz w:val="32"/>
          <w:szCs w:val="32"/>
        </w:rPr>
        <w:t>（1）立项</w:t>
      </w:r>
      <w:r>
        <w:rPr>
          <w:rFonts w:ascii="仿宋_GB2312"/>
          <w:sz w:val="32"/>
          <w:szCs w:val="32"/>
        </w:rPr>
        <w:t>背景</w:t>
      </w:r>
    </w:p>
    <w:p>
      <w:pPr>
        <w:pStyle w:val="11"/>
        <w:spacing w:line="560" w:lineRule="exact"/>
        <w:ind w:firstLine="664"/>
        <w:rPr>
          <w:rFonts w:hint="eastAsia" w:ascii="仿宋_GB2312" w:eastAsia="仿宋_GB2312"/>
          <w:sz w:val="32"/>
          <w:szCs w:val="32"/>
          <w:lang w:val="en-US" w:eastAsia="zh-CN"/>
        </w:rPr>
      </w:pPr>
      <w:r>
        <w:rPr>
          <w:rFonts w:hint="eastAsia" w:ascii="仿宋_GB2312"/>
          <w:sz w:val="32"/>
          <w:szCs w:val="32"/>
        </w:rPr>
        <w:t>“十二五”期间，东川区被列为国家和云南省重金属污染重点防控区，涉重金属污染企业主要集中于“一园两片区”，即集中在碧谷、四方地工业园区、因民片区和汤丹片区</w:t>
      </w:r>
      <w:r>
        <w:rPr>
          <w:rFonts w:hint="eastAsia" w:ascii="仿宋_GB2312"/>
          <w:sz w:val="32"/>
          <w:szCs w:val="32"/>
          <w:lang w:eastAsia="zh-CN"/>
        </w:rPr>
        <w:t>，</w:t>
      </w:r>
      <w:r>
        <w:rPr>
          <w:rFonts w:hint="eastAsia" w:ascii="仿宋_GB2312"/>
          <w:sz w:val="32"/>
          <w:szCs w:val="32"/>
        </w:rPr>
        <w:t>重金属污染情况不容乐观，砷、铅等污染较为典型，出境河流的污染程度尽管得到了有效遏制，水体中重金属砷和铅依然无法稳定达到地表水III类的功能要求</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790" w:firstLineChars="250"/>
        <w:textAlignment w:val="auto"/>
        <w:rPr>
          <w:rFonts w:hint="eastAsia" w:ascii="仿宋_GB2312" w:hAnsi="Times New Roman"/>
          <w:color w:val="000000"/>
          <w:kern w:val="0"/>
          <w:sz w:val="32"/>
          <w:szCs w:val="32"/>
        </w:rPr>
      </w:pPr>
      <w:r>
        <w:rPr>
          <w:rFonts w:hint="eastAsia" w:ascii="仿宋_GB2312" w:hAnsi="Times New Roman"/>
          <w:color w:val="000000"/>
          <w:sz w:val="32"/>
          <w:szCs w:val="32"/>
        </w:rPr>
        <w:t>为更好的解决重金属污染现状问题，推进区域重金属污染防治任务，</w:t>
      </w:r>
      <w:r>
        <w:rPr>
          <w:rFonts w:hint="eastAsia" w:ascii="仿宋_GB2312" w:hAnsi="Times New Roman"/>
          <w:color w:val="000000"/>
          <w:sz w:val="32"/>
          <w:szCs w:val="32"/>
          <w:lang w:eastAsia="zh-CN"/>
        </w:rPr>
        <w:t>根据</w:t>
      </w:r>
      <w:r>
        <w:rPr>
          <w:rFonts w:hint="eastAsia" w:ascii="仿宋_GB2312" w:hAnsi="Times New Roman"/>
          <w:color w:val="000000"/>
          <w:sz w:val="32"/>
          <w:szCs w:val="32"/>
        </w:rPr>
        <w:t>国家、云南省及东川区重金属污染综合防治“十二五”规划和</w:t>
      </w:r>
      <w:r>
        <w:rPr>
          <w:rFonts w:hint="eastAsia" w:ascii="仿宋_GB2312" w:hAnsi="Times New Roman"/>
          <w:color w:val="000000"/>
          <w:kern w:val="0"/>
          <w:sz w:val="32"/>
          <w:szCs w:val="32"/>
        </w:rPr>
        <w:t>《关于落实&lt;重金属污染综合防治“十二五”规划&gt;中期评估后续工作的通知》（环办</w:t>
      </w:r>
      <w:r>
        <w:rPr>
          <w:rFonts w:hint="eastAsia" w:ascii="仿宋_GB2312"/>
          <w:sz w:val="32"/>
          <w:szCs w:val="32"/>
        </w:rPr>
        <w:t>〔201</w:t>
      </w:r>
      <w:r>
        <w:rPr>
          <w:rFonts w:hint="eastAsia" w:ascii="仿宋_GB2312"/>
          <w:sz w:val="32"/>
          <w:szCs w:val="32"/>
          <w:lang w:val="en-US" w:eastAsia="zh-CN"/>
        </w:rPr>
        <w:t>5</w:t>
      </w:r>
      <w:r>
        <w:rPr>
          <w:rFonts w:hint="eastAsia" w:ascii="仿宋_GB2312"/>
          <w:sz w:val="32"/>
          <w:szCs w:val="32"/>
        </w:rPr>
        <w:t>〕</w:t>
      </w:r>
      <w:r>
        <w:rPr>
          <w:rFonts w:hint="eastAsia" w:ascii="仿宋_GB2312" w:hAnsi="Times New Roman"/>
          <w:color w:val="000000"/>
          <w:kern w:val="0"/>
          <w:sz w:val="32"/>
          <w:szCs w:val="32"/>
        </w:rPr>
        <w:t>3号）</w:t>
      </w:r>
      <w:r>
        <w:rPr>
          <w:rFonts w:hint="eastAsia" w:ascii="仿宋_GB2312" w:hAnsi="Times New Roman"/>
          <w:color w:val="000000"/>
          <w:sz w:val="32"/>
          <w:szCs w:val="32"/>
          <w:lang w:eastAsia="zh-CN"/>
        </w:rPr>
        <w:t>要求，编制《昆明市东川区重金属污染综合防治实施方案》（以下简称“《方案》”），对东川区</w:t>
      </w:r>
      <w:r>
        <w:rPr>
          <w:rFonts w:hint="eastAsia" w:ascii="仿宋_GB2312" w:hAnsi="Times New Roman"/>
          <w:color w:val="000000"/>
          <w:sz w:val="32"/>
          <w:szCs w:val="32"/>
        </w:rPr>
        <w:t>2015-2017年三年重金属污染防治工作进行总体设计，重金属污染的区域 “一园两片区”作为项目实施的主要区域范围</w:t>
      </w:r>
      <w:r>
        <w:rPr>
          <w:rFonts w:hint="eastAsia" w:ascii="仿宋_GB2312" w:hAnsi="Times New Roman"/>
          <w:color w:val="000000"/>
          <w:sz w:val="32"/>
          <w:szCs w:val="32"/>
          <w:lang w:eastAsia="zh-CN"/>
        </w:rPr>
        <w:t>，从</w:t>
      </w:r>
      <w:r>
        <w:rPr>
          <w:rFonts w:hint="eastAsia" w:ascii="仿宋_GB2312" w:hAnsi="Times New Roman"/>
          <w:color w:val="000000"/>
          <w:sz w:val="32"/>
          <w:szCs w:val="32"/>
        </w:rPr>
        <w:t>重金属污染源综合治理、落后产能淘汰和重金属污染防治基础能力建设三个方面</w:t>
      </w:r>
      <w:r>
        <w:rPr>
          <w:rFonts w:hint="eastAsia" w:ascii="仿宋_GB2312" w:hAnsi="Times New Roman"/>
          <w:color w:val="000000"/>
          <w:sz w:val="32"/>
          <w:szCs w:val="32"/>
          <w:lang w:eastAsia="zh-CN"/>
        </w:rPr>
        <w:t>，对东川区出境河流、</w:t>
      </w:r>
      <w:r>
        <w:rPr>
          <w:rFonts w:hint="eastAsia" w:ascii="仿宋_GB2312" w:hAnsi="Times New Roman"/>
          <w:color w:val="000000"/>
          <w:sz w:val="32"/>
          <w:szCs w:val="32"/>
        </w:rPr>
        <w:t>涉重企业和历史遗留矿渣的重金属污染</w:t>
      </w:r>
      <w:r>
        <w:rPr>
          <w:rFonts w:hint="eastAsia" w:ascii="仿宋_GB2312" w:hAnsi="Times New Roman"/>
          <w:color w:val="000000"/>
          <w:sz w:val="32"/>
          <w:szCs w:val="32"/>
          <w:lang w:eastAsia="zh-CN"/>
        </w:rPr>
        <w:t>问题进行整治，同时提升</w:t>
      </w:r>
      <w:r>
        <w:rPr>
          <w:rFonts w:hint="eastAsia" w:ascii="仿宋_GB2312" w:hAnsi="Times New Roman"/>
          <w:color w:val="000000"/>
          <w:sz w:val="32"/>
          <w:szCs w:val="32"/>
        </w:rPr>
        <w:t>重金属污染防治监测和监察能力。</w:t>
      </w:r>
    </w:p>
    <w:p>
      <w:pPr>
        <w:numPr>
          <w:ilvl w:val="0"/>
          <w:numId w:val="2"/>
        </w:numPr>
        <w:topLinePunct/>
        <w:adjustRightInd w:val="0"/>
        <w:snapToGrid w:val="0"/>
        <w:spacing w:line="600" w:lineRule="exact"/>
        <w:ind w:firstLine="632" w:firstLineChars="200"/>
        <w:jc w:val="left"/>
        <w:rPr>
          <w:rFonts w:hint="eastAsia" w:ascii="仿宋_GB2312"/>
          <w:sz w:val="32"/>
          <w:szCs w:val="32"/>
          <w:highlight w:val="none"/>
        </w:rPr>
      </w:pPr>
      <w:r>
        <w:rPr>
          <w:rFonts w:hint="eastAsia" w:ascii="仿宋_GB2312"/>
          <w:sz w:val="32"/>
          <w:szCs w:val="32"/>
          <w:highlight w:val="none"/>
        </w:rPr>
        <w:t>项目实施情况</w:t>
      </w:r>
    </w:p>
    <w:p>
      <w:pPr>
        <w:numPr>
          <w:ilvl w:val="0"/>
          <w:numId w:val="0"/>
        </w:numPr>
        <w:topLinePunct/>
        <w:adjustRightInd w:val="0"/>
        <w:snapToGrid w:val="0"/>
        <w:spacing w:line="600" w:lineRule="exact"/>
        <w:jc w:val="left"/>
        <w:rPr>
          <w:rFonts w:hint="eastAsia" w:ascii="仿宋_GB2312"/>
          <w:sz w:val="32"/>
          <w:szCs w:val="32"/>
          <w:highlight w:val="none"/>
          <w:lang w:val="en-US" w:eastAsia="zh-CN"/>
        </w:rPr>
      </w:pPr>
      <w:r>
        <w:rPr>
          <w:rFonts w:hint="eastAsia" w:ascii="仿宋_GB2312"/>
          <w:sz w:val="32"/>
          <w:szCs w:val="32"/>
          <w:highlight w:val="none"/>
          <w:lang w:val="en-US" w:eastAsia="zh-CN"/>
        </w:rPr>
        <w:t xml:space="preserve">     根据《方案》，重金属污染综合防治项目</w:t>
      </w:r>
      <w:r>
        <w:rPr>
          <w:rFonts w:hint="eastAsia" w:ascii="仿宋_GB2312"/>
          <w:sz w:val="32"/>
          <w:szCs w:val="32"/>
          <w:highlight w:val="none"/>
          <w:lang w:val="de-DE" w:eastAsia="zh-CN"/>
        </w:rPr>
        <w:t>包括</w:t>
      </w:r>
      <w:r>
        <w:rPr>
          <w:rFonts w:hint="eastAsia" w:ascii="仿宋_GB2312"/>
          <w:sz w:val="32"/>
          <w:szCs w:val="32"/>
          <w:highlight w:val="none"/>
          <w:lang w:val="en-US" w:eastAsia="zh-CN"/>
        </w:rPr>
        <w:t>污染源综合治理和污染防治基础能力建设两类，分10个子项目，共分两个阶段实施。</w:t>
      </w:r>
    </w:p>
    <w:p>
      <w:pPr>
        <w:numPr>
          <w:ilvl w:val="0"/>
          <w:numId w:val="0"/>
        </w:numPr>
        <w:topLinePunct/>
        <w:adjustRightInd w:val="0"/>
        <w:snapToGrid w:val="0"/>
        <w:spacing w:line="600" w:lineRule="exact"/>
        <w:ind w:firstLine="948" w:firstLineChars="300"/>
        <w:jc w:val="left"/>
        <w:rPr>
          <w:rFonts w:hint="eastAsia" w:ascii="仿宋_GB2312"/>
          <w:sz w:val="32"/>
          <w:szCs w:val="32"/>
          <w:highlight w:val="none"/>
          <w:lang w:val="en-US" w:eastAsia="zh-CN"/>
        </w:rPr>
      </w:pPr>
      <w:r>
        <w:rPr>
          <w:rFonts w:hint="eastAsia" w:ascii="仿宋_GB2312"/>
          <w:sz w:val="32"/>
          <w:szCs w:val="32"/>
          <w:highlight w:val="none"/>
          <w:lang w:val="en-US" w:eastAsia="zh-CN"/>
        </w:rPr>
        <w:t>第一阶段：2015年，重点完成汤丹乌龙河片区选矿废水处理及回用工程项目等5个污染源治理项目前期工作，并正式启动工程施工建设；启动并完成云南铜业凯通有色金属有限公司污酸废水深度处理工程；</w:t>
      </w:r>
    </w:p>
    <w:p>
      <w:pPr>
        <w:numPr>
          <w:ilvl w:val="0"/>
          <w:numId w:val="0"/>
        </w:numPr>
        <w:topLinePunct/>
        <w:adjustRightInd w:val="0"/>
        <w:snapToGrid w:val="0"/>
        <w:spacing w:line="600" w:lineRule="exact"/>
        <w:ind w:firstLine="948" w:firstLineChars="300"/>
        <w:jc w:val="left"/>
        <w:rPr>
          <w:rFonts w:hint="eastAsia" w:ascii="仿宋_GB2312"/>
          <w:sz w:val="32"/>
          <w:szCs w:val="32"/>
          <w:highlight w:val="none"/>
          <w:lang w:val="en-US" w:eastAsia="zh-CN"/>
        </w:rPr>
      </w:pPr>
      <w:r>
        <w:rPr>
          <w:rFonts w:hint="eastAsia" w:ascii="仿宋_GB2312"/>
          <w:sz w:val="32"/>
          <w:szCs w:val="32"/>
          <w:highlight w:val="none"/>
          <w:lang w:val="en-US" w:eastAsia="zh-CN"/>
        </w:rPr>
        <w:t>第二阶段：2016－2017年，完成汤丹乌龙河片区选矿废水处理及回用工程、四方地片区废渣处置工程和东川区基础能力建设已开展的工作基础。本项目所有工程采用分阶段验收，并在2017年12月完成所有项目的验收。</w:t>
      </w:r>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948" w:firstLineChars="300"/>
        <w:jc w:val="left"/>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截止绩效自评日，云南铜业凯通有色金属有限公司污酸废水深度处理工程、昆明市石将军矿业有限责任公司尾矿库选矿废水处理及水资源回用工程、昆明市东川金水矿业有限责任公司尾矿库选矿废水处理及水资源回用工程、东川区基础能力建设项目、空气自动站建设项目、昆明风景矿业有限公司黄水菁尾矿库选矿废水处理及水资源回用工程5项完工建设；</w:t>
      </w:r>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948" w:firstLineChars="300"/>
        <w:jc w:val="left"/>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昆明众智铜业有限公司重金属污染综合治理工程、东川四方地片区河里湾工业弃渣集中处置工程、云南紫润矿业有限公司绿茂紫牛大凹子尾矿库选矿废水处理及水资源回用工程3项未完工；</w:t>
      </w:r>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632" w:firstLineChars="200"/>
        <w:jc w:val="left"/>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云南红富化肥有限公司东川四方地片区河里湾工业弃渣集中处置工程、昆明汤丹冶金有限责任公司汤丹乌龙河片区选矿废水处理及水资源回用工程2项未按计划实施。</w:t>
      </w:r>
    </w:p>
    <w:p>
      <w:pPr>
        <w:topLinePunct/>
        <w:adjustRightInd w:val="0"/>
        <w:snapToGrid w:val="0"/>
        <w:spacing w:line="600" w:lineRule="exact"/>
        <w:ind w:firstLine="632" w:firstLineChars="200"/>
        <w:jc w:val="left"/>
        <w:rPr>
          <w:rFonts w:hint="eastAsia" w:ascii="仿宋_GB2312"/>
          <w:sz w:val="32"/>
          <w:szCs w:val="32"/>
          <w:highlight w:val="none"/>
        </w:rPr>
      </w:pPr>
      <w:r>
        <w:rPr>
          <w:rFonts w:hint="eastAsia" w:ascii="仿宋_GB2312"/>
          <w:sz w:val="32"/>
          <w:szCs w:val="32"/>
          <w:highlight w:val="none"/>
        </w:rPr>
        <w:t>3.资金来源及使用情况</w:t>
      </w:r>
    </w:p>
    <w:p>
      <w:pPr>
        <w:spacing w:line="560" w:lineRule="exact"/>
        <w:ind w:firstLine="632" w:firstLineChars="200"/>
        <w:rPr>
          <w:rFonts w:hint="eastAsia" w:ascii="仿宋_GB2312" w:hAnsi="Times New Roman"/>
          <w:sz w:val="32"/>
          <w:szCs w:val="32"/>
          <w:lang w:val="en-US" w:eastAsia="zh-CN"/>
        </w:rPr>
      </w:pPr>
      <w:r>
        <w:rPr>
          <w:rFonts w:hint="eastAsia" w:ascii="仿宋_GB2312"/>
          <w:color w:val="000000"/>
          <w:spacing w:val="0"/>
          <w:sz w:val="32"/>
          <w:szCs w:val="32"/>
          <w:lang w:eastAsia="zh-CN"/>
        </w:rPr>
        <w:t>截止绩效自评日，</w:t>
      </w:r>
      <w:r>
        <w:rPr>
          <w:rFonts w:hint="eastAsia" w:ascii="仿宋_GB2312" w:hAnsi="Times New Roman"/>
          <w:sz w:val="32"/>
          <w:szCs w:val="32"/>
        </w:rPr>
        <w:t>项目</w:t>
      </w:r>
      <w:r>
        <w:rPr>
          <w:rFonts w:hint="eastAsia" w:ascii="仿宋_GB2312" w:hAnsi="Times New Roman"/>
          <w:sz w:val="32"/>
          <w:szCs w:val="32"/>
          <w:lang w:eastAsia="zh-CN"/>
        </w:rPr>
        <w:t>中央资金到位</w:t>
      </w:r>
      <w:r>
        <w:rPr>
          <w:rFonts w:hint="eastAsia" w:ascii="仿宋_GB2312" w:hAnsi="Times New Roman"/>
          <w:sz w:val="32"/>
          <w:szCs w:val="32"/>
        </w:rPr>
        <w:t>26,000.00万元，</w:t>
      </w:r>
      <w:r>
        <w:rPr>
          <w:rFonts w:hint="eastAsia" w:ascii="仿宋_GB2312" w:hAnsi="Times New Roman"/>
          <w:sz w:val="32"/>
          <w:szCs w:val="32"/>
          <w:lang w:eastAsia="zh-CN"/>
        </w:rPr>
        <w:t>资金支出</w:t>
      </w:r>
      <w:r>
        <w:rPr>
          <w:rFonts w:hint="eastAsia" w:ascii="仿宋_GB2312" w:hAnsi="Times New Roman"/>
          <w:sz w:val="32"/>
          <w:szCs w:val="32"/>
          <w:lang w:val="en-US" w:eastAsia="zh-CN"/>
        </w:rPr>
        <w:t>14,584.71万元，其中：本级支出1,142.11万元，拨付项目企业13,442.6万元，资金上缴6,603.69万元，资金结转4,811.6万元，结转率18.51%。</w:t>
      </w:r>
    </w:p>
    <w:p>
      <w:pPr>
        <w:spacing w:line="560" w:lineRule="exact"/>
        <w:ind w:firstLine="632" w:firstLineChars="200"/>
        <w:rPr>
          <w:rFonts w:hint="eastAsia" w:ascii="仿宋_GB2312" w:hAnsi="Times New Roman"/>
          <w:sz w:val="30"/>
          <w:szCs w:val="30"/>
          <w:lang w:val="en-US" w:eastAsia="zh-CN"/>
        </w:rPr>
      </w:pPr>
      <w:r>
        <w:rPr>
          <w:rFonts w:hint="eastAsia" w:ascii="仿宋_GB2312" w:hAnsi="Times New Roman"/>
          <w:color w:val="auto"/>
          <w:sz w:val="32"/>
          <w:szCs w:val="32"/>
          <w:lang w:eastAsia="zh-CN"/>
        </w:rPr>
        <w:t>项目单位共收到中央重金属污染防治专项资金</w:t>
      </w:r>
      <w:r>
        <w:rPr>
          <w:rFonts w:hint="eastAsia" w:ascii="仿宋_GB2312" w:hAnsi="Times New Roman"/>
          <w:color w:val="auto"/>
          <w:sz w:val="32"/>
          <w:szCs w:val="32"/>
          <w:lang w:val="en-US" w:eastAsia="zh-CN"/>
        </w:rPr>
        <w:t>13,442.6万元，资金使用5,837.45万元，资金结转7,605.15万元，结转率56.57%，具体见下：</w:t>
      </w:r>
    </w:p>
    <w:p>
      <w:pPr>
        <w:spacing w:line="560" w:lineRule="exact"/>
        <w:ind w:firstLine="592" w:firstLineChars="200"/>
        <w:rPr>
          <w:rFonts w:hint="eastAsia" w:ascii="仿宋_GB2312" w:hAnsi="Times New Roman"/>
          <w:sz w:val="30"/>
          <w:szCs w:val="30"/>
          <w:lang w:val="en-US" w:eastAsia="zh-CN"/>
        </w:rPr>
      </w:pPr>
    </w:p>
    <w:tbl>
      <w:tblPr>
        <w:tblStyle w:val="8"/>
        <w:tblW w:w="8328" w:type="dxa"/>
        <w:tblInd w:w="0" w:type="dxa"/>
        <w:tblLayout w:type="fixed"/>
        <w:tblCellMar>
          <w:top w:w="0" w:type="dxa"/>
          <w:left w:w="0" w:type="dxa"/>
          <w:bottom w:w="0" w:type="dxa"/>
          <w:right w:w="0" w:type="dxa"/>
        </w:tblCellMar>
      </w:tblPr>
      <w:tblGrid>
        <w:gridCol w:w="171"/>
        <w:gridCol w:w="864"/>
        <w:gridCol w:w="1455"/>
        <w:gridCol w:w="1046"/>
        <w:gridCol w:w="973"/>
        <w:gridCol w:w="973"/>
        <w:gridCol w:w="973"/>
        <w:gridCol w:w="900"/>
        <w:gridCol w:w="973"/>
      </w:tblGrid>
      <w:tr>
        <w:tblPrEx>
          <w:tblLayout w:type="fixed"/>
          <w:tblCellMar>
            <w:top w:w="0" w:type="dxa"/>
            <w:left w:w="0" w:type="dxa"/>
            <w:bottom w:w="0" w:type="dxa"/>
            <w:right w:w="0" w:type="dxa"/>
          </w:tblCellMar>
        </w:tblPrEx>
        <w:trPr>
          <w:trHeight w:val="96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5"/>
                <w:szCs w:val="15"/>
                <w:u w:val="none"/>
              </w:rPr>
            </w:pPr>
            <w:r>
              <w:rPr>
                <w:rFonts w:hint="eastAsia" w:ascii="仿宋_GB2312" w:hAnsi="仿宋_GB2312" w:eastAsia="仿宋_GB2312" w:cs="仿宋_GB2312"/>
                <w:b/>
                <w:i w:val="0"/>
                <w:color w:val="auto"/>
                <w:kern w:val="0"/>
                <w:sz w:val="15"/>
                <w:szCs w:val="15"/>
                <w:u w:val="none"/>
                <w:lang w:val="en-US" w:eastAsia="zh-CN" w:bidi="ar"/>
              </w:rPr>
              <w:t>序号</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5"/>
                <w:szCs w:val="15"/>
                <w:u w:val="none"/>
              </w:rPr>
            </w:pPr>
            <w:r>
              <w:rPr>
                <w:rFonts w:hint="eastAsia" w:ascii="仿宋_GB2312" w:hAnsi="仿宋_GB2312" w:eastAsia="仿宋_GB2312" w:cs="仿宋_GB2312"/>
                <w:b/>
                <w:i w:val="0"/>
                <w:color w:val="auto"/>
                <w:kern w:val="0"/>
                <w:sz w:val="15"/>
                <w:szCs w:val="15"/>
                <w:u w:val="none"/>
                <w:lang w:val="en-US" w:eastAsia="zh-CN" w:bidi="ar"/>
              </w:rPr>
              <w:t>项目实施单位</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5"/>
                <w:szCs w:val="15"/>
                <w:u w:val="none"/>
              </w:rPr>
            </w:pPr>
            <w:r>
              <w:rPr>
                <w:rFonts w:hint="eastAsia" w:ascii="仿宋_GB2312" w:hAnsi="仿宋_GB2312" w:eastAsia="仿宋_GB2312" w:cs="仿宋_GB2312"/>
                <w:b/>
                <w:i w:val="0"/>
                <w:color w:val="auto"/>
                <w:kern w:val="0"/>
                <w:sz w:val="15"/>
                <w:szCs w:val="15"/>
                <w:u w:val="none"/>
                <w:lang w:val="en-US" w:eastAsia="zh-CN" w:bidi="ar"/>
              </w:rPr>
              <w:t>项目名称</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5"/>
                <w:szCs w:val="15"/>
                <w:u w:val="none"/>
              </w:rPr>
            </w:pPr>
            <w:r>
              <w:rPr>
                <w:rFonts w:hint="eastAsia" w:ascii="仿宋_GB2312" w:hAnsi="仿宋_GB2312" w:eastAsia="仿宋_GB2312" w:cs="仿宋_GB2312"/>
                <w:b/>
                <w:i w:val="0"/>
                <w:color w:val="auto"/>
                <w:kern w:val="0"/>
                <w:sz w:val="15"/>
                <w:szCs w:val="15"/>
                <w:u w:val="none"/>
                <w:lang w:val="en-US" w:eastAsia="zh-CN" w:bidi="ar"/>
              </w:rPr>
              <w:t>2018年以前中央到位资金</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5"/>
                <w:szCs w:val="15"/>
                <w:u w:val="none"/>
              </w:rPr>
            </w:pPr>
            <w:r>
              <w:rPr>
                <w:rFonts w:hint="eastAsia" w:ascii="仿宋_GB2312" w:hAnsi="仿宋_GB2312" w:eastAsia="仿宋_GB2312" w:cs="仿宋_GB2312"/>
                <w:b/>
                <w:i w:val="0"/>
                <w:color w:val="auto"/>
                <w:kern w:val="0"/>
                <w:sz w:val="15"/>
                <w:szCs w:val="15"/>
                <w:u w:val="none"/>
                <w:lang w:val="en-US" w:eastAsia="zh-CN" w:bidi="ar"/>
              </w:rPr>
              <w:t>使用资金</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5"/>
                <w:szCs w:val="15"/>
                <w:u w:val="none"/>
              </w:rPr>
            </w:pPr>
            <w:r>
              <w:rPr>
                <w:rFonts w:hint="eastAsia" w:ascii="仿宋_GB2312" w:hAnsi="仿宋_GB2312" w:eastAsia="仿宋_GB2312" w:cs="仿宋_GB2312"/>
                <w:b/>
                <w:i w:val="0"/>
                <w:color w:val="auto"/>
                <w:kern w:val="0"/>
                <w:sz w:val="15"/>
                <w:szCs w:val="15"/>
                <w:u w:val="none"/>
                <w:lang w:val="en-US" w:eastAsia="zh-CN" w:bidi="ar"/>
              </w:rPr>
              <w:t>2018年结转资金</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5"/>
                <w:szCs w:val="15"/>
                <w:u w:val="none"/>
              </w:rPr>
            </w:pPr>
            <w:r>
              <w:rPr>
                <w:rFonts w:hint="eastAsia" w:ascii="仿宋_GB2312" w:hAnsi="仿宋_GB2312" w:eastAsia="仿宋_GB2312" w:cs="仿宋_GB2312"/>
                <w:b/>
                <w:i w:val="0"/>
                <w:color w:val="auto"/>
                <w:kern w:val="0"/>
                <w:sz w:val="15"/>
                <w:szCs w:val="15"/>
                <w:u w:val="none"/>
                <w:lang w:val="en-US" w:eastAsia="zh-CN" w:bidi="ar"/>
              </w:rPr>
              <w:t>2019年拨付</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5"/>
                <w:szCs w:val="15"/>
                <w:u w:val="none"/>
              </w:rPr>
            </w:pPr>
            <w:r>
              <w:rPr>
                <w:rFonts w:hint="eastAsia" w:ascii="仿宋_GB2312" w:hAnsi="仿宋_GB2312" w:eastAsia="仿宋_GB2312" w:cs="仿宋_GB2312"/>
                <w:b/>
                <w:i w:val="0"/>
                <w:color w:val="auto"/>
                <w:kern w:val="0"/>
                <w:sz w:val="15"/>
                <w:szCs w:val="15"/>
                <w:u w:val="none"/>
                <w:lang w:val="en-US" w:eastAsia="zh-CN" w:bidi="ar"/>
              </w:rPr>
              <w:t>使用资金</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auto"/>
                <w:sz w:val="15"/>
                <w:szCs w:val="15"/>
                <w:u w:val="none"/>
              </w:rPr>
            </w:pPr>
            <w:r>
              <w:rPr>
                <w:rFonts w:hint="eastAsia" w:ascii="仿宋_GB2312" w:hAnsi="仿宋_GB2312" w:eastAsia="仿宋_GB2312" w:cs="仿宋_GB2312"/>
                <w:b/>
                <w:i w:val="0"/>
                <w:color w:val="auto"/>
                <w:kern w:val="0"/>
                <w:sz w:val="15"/>
                <w:szCs w:val="15"/>
                <w:u w:val="none"/>
                <w:lang w:val="en-US" w:eastAsia="zh-CN" w:bidi="ar"/>
              </w:rPr>
              <w:t>2019年结转资金</w:t>
            </w:r>
          </w:p>
        </w:tc>
      </w:tr>
      <w:tr>
        <w:tblPrEx>
          <w:tblLayout w:type="fixed"/>
          <w:tblCellMar>
            <w:top w:w="0" w:type="dxa"/>
            <w:left w:w="0" w:type="dxa"/>
            <w:bottom w:w="0" w:type="dxa"/>
            <w:right w:w="0" w:type="dxa"/>
          </w:tblCellMar>
        </w:tblPrEx>
        <w:trPr>
          <w:trHeight w:val="108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昆明众智铜业有限公司</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昆明众智铜业有限公司重金属污染综合治理工程</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18,000,000.00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18,000,000.00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0.00 </w:t>
            </w:r>
          </w:p>
        </w:tc>
      </w:tr>
      <w:tr>
        <w:tblPrEx>
          <w:tblLayout w:type="fixed"/>
          <w:tblCellMar>
            <w:top w:w="0" w:type="dxa"/>
            <w:left w:w="0" w:type="dxa"/>
            <w:bottom w:w="0" w:type="dxa"/>
            <w:right w:w="0" w:type="dxa"/>
          </w:tblCellMar>
        </w:tblPrEx>
        <w:trPr>
          <w:trHeight w:val="86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云南铜业凯通有色金属有限公司</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云南铜业凯通有色金属有限公司污酸废水深度处理工程</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8,050,000.00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8,050,000.00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0.00 </w:t>
            </w:r>
          </w:p>
        </w:tc>
        <w:tc>
          <w:tcPr>
            <w:tcW w:w="9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0.00 </w:t>
            </w:r>
          </w:p>
        </w:tc>
      </w:tr>
      <w:tr>
        <w:tblPrEx>
          <w:tblLayout w:type="fixed"/>
          <w:tblCellMar>
            <w:top w:w="0" w:type="dxa"/>
            <w:left w:w="0" w:type="dxa"/>
            <w:bottom w:w="0" w:type="dxa"/>
            <w:right w:w="0" w:type="dxa"/>
          </w:tblCellMar>
        </w:tblPrEx>
        <w:trPr>
          <w:trHeight w:val="86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云南红富化肥有限公司（云南省东川再就业特区管理委员会）</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东川四方地片区河里湾工业弃渣集中处置工程</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25,000,000.00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25,000,000.00 </w:t>
            </w:r>
          </w:p>
        </w:tc>
        <w:tc>
          <w:tcPr>
            <w:tcW w:w="9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25,000,000.00 </w:t>
            </w:r>
          </w:p>
        </w:tc>
      </w:tr>
      <w:tr>
        <w:tblPrEx>
          <w:tblLayout w:type="fixed"/>
          <w:tblCellMar>
            <w:top w:w="0" w:type="dxa"/>
            <w:left w:w="0" w:type="dxa"/>
            <w:bottom w:w="0" w:type="dxa"/>
            <w:right w:w="0" w:type="dxa"/>
          </w:tblCellMar>
        </w:tblPrEx>
        <w:trPr>
          <w:trHeight w:val="84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昆明风景矿业有限公司</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昆明风景矿业有限公司黄水菁尾矿库选矿废水处理及水资源回用工程</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18,000,000.00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18,000,000.00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auto"/>
                <w:sz w:val="15"/>
                <w:szCs w:val="15"/>
                <w:u w:val="none"/>
              </w:rPr>
            </w:pPr>
          </w:p>
        </w:tc>
      </w:tr>
      <w:tr>
        <w:tblPrEx>
          <w:tblLayout w:type="fixed"/>
          <w:tblCellMar>
            <w:top w:w="0" w:type="dxa"/>
            <w:left w:w="0" w:type="dxa"/>
            <w:bottom w:w="0" w:type="dxa"/>
            <w:right w:w="0" w:type="dxa"/>
          </w:tblCellMar>
        </w:tblPrEx>
        <w:trPr>
          <w:trHeight w:val="86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云南紫润矿业有限公司</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云南紫润矿业有限公司绿茂紫牛大凹子尾矿库选矿废水处理及水资源回用工程</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20,376,000.00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20,376,000.00 </w:t>
            </w:r>
          </w:p>
        </w:tc>
        <w:tc>
          <w:tcPr>
            <w:tcW w:w="9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20,000,000.00 </w:t>
            </w: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750,000.00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39,626,000.00 </w:t>
            </w:r>
          </w:p>
        </w:tc>
      </w:tr>
      <w:tr>
        <w:tblPrEx>
          <w:tblLayout w:type="fixed"/>
          <w:tblCellMar>
            <w:top w:w="0" w:type="dxa"/>
            <w:left w:w="0" w:type="dxa"/>
            <w:bottom w:w="0" w:type="dxa"/>
            <w:right w:w="0" w:type="dxa"/>
          </w:tblCellMar>
        </w:tblPrEx>
        <w:trPr>
          <w:trHeight w:val="86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昆明市石将军矿业有限责住公司</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昆明市石将军矿业有限责任公司尾矿库选矿废水处理及水资源回用工程</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5,000,000.00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3,574,478.30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1,425,521.70 </w:t>
            </w:r>
          </w:p>
        </w:tc>
        <w:tc>
          <w:tcPr>
            <w:tcW w:w="9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10,000,000.00 </w:t>
            </w: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11,425,521.70 </w:t>
            </w:r>
          </w:p>
        </w:tc>
      </w:tr>
      <w:tr>
        <w:tblPrEx>
          <w:tblLayout w:type="fixed"/>
          <w:tblCellMar>
            <w:top w:w="0" w:type="dxa"/>
            <w:left w:w="0" w:type="dxa"/>
            <w:bottom w:w="0" w:type="dxa"/>
            <w:right w:w="0" w:type="dxa"/>
          </w:tblCellMar>
        </w:tblPrEx>
        <w:trPr>
          <w:trHeight w:val="86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7</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昆明市东川金水矿业有限责任公司</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昆明市东川金水矿业有限责任公司尾矿库选矿废水处理及水资源回用工程</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10,000,000.00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10,000,000.00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auto"/>
                <w:sz w:val="15"/>
                <w:szCs w:val="15"/>
                <w:u w:val="none"/>
              </w:rPr>
            </w:pPr>
          </w:p>
        </w:tc>
      </w:tr>
      <w:tr>
        <w:tblPrEx>
          <w:tblLayout w:type="fixed"/>
          <w:tblCellMar>
            <w:top w:w="0" w:type="dxa"/>
            <w:left w:w="0" w:type="dxa"/>
            <w:bottom w:w="0" w:type="dxa"/>
            <w:right w:w="0" w:type="dxa"/>
          </w:tblCellMar>
        </w:tblPrEx>
        <w:trPr>
          <w:trHeight w:val="86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东川区环境监测站和监察机构</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东川区基础能力建设项目</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8,120,000.00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8,120,000.00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1,613,091.05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auto"/>
                <w:sz w:val="15"/>
                <w:szCs w:val="15"/>
                <w:u w:val="none"/>
              </w:rPr>
            </w:pPr>
          </w:p>
        </w:tc>
      </w:tr>
      <w:tr>
        <w:tblPrEx>
          <w:tblLayout w:type="fixed"/>
          <w:tblCellMar>
            <w:top w:w="0" w:type="dxa"/>
            <w:left w:w="0" w:type="dxa"/>
            <w:bottom w:w="0" w:type="dxa"/>
            <w:right w:w="0" w:type="dxa"/>
          </w:tblCellMar>
        </w:tblPrEx>
        <w:trPr>
          <w:trHeight w:val="860" w:hRule="atLeast"/>
        </w:trPr>
        <w:tc>
          <w:tcPr>
            <w:tcW w:w="1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9</w:t>
            </w:r>
          </w:p>
        </w:tc>
        <w:tc>
          <w:tcPr>
            <w:tcW w:w="8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东川区环境监测站</w:t>
            </w:r>
          </w:p>
        </w:tc>
        <w:tc>
          <w:tcPr>
            <w:tcW w:w="1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昆明市东川区空气自动站建设项目</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1,688,000.00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1,688,000.00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w:t>
            </w:r>
          </w:p>
        </w:tc>
        <w:tc>
          <w:tcPr>
            <w:tcW w:w="97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仿宋_GB2312" w:hAnsi="仿宋_GB2312" w:eastAsia="仿宋_GB2312" w:cs="仿宋_GB2312"/>
                <w:i w:val="0"/>
                <w:color w:val="auto"/>
                <w:sz w:val="15"/>
                <w:szCs w:val="15"/>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auto"/>
                <w:sz w:val="15"/>
                <w:szCs w:val="15"/>
                <w:u w:val="none"/>
              </w:rPr>
            </w:pPr>
          </w:p>
        </w:tc>
      </w:tr>
      <w:tr>
        <w:tblPrEx>
          <w:tblLayout w:type="fixed"/>
          <w:tblCellMar>
            <w:top w:w="0" w:type="dxa"/>
            <w:left w:w="0" w:type="dxa"/>
            <w:bottom w:w="0" w:type="dxa"/>
            <w:right w:w="0" w:type="dxa"/>
          </w:tblCellMar>
        </w:tblPrEx>
        <w:trPr>
          <w:trHeight w:val="500" w:hRule="atLeast"/>
        </w:trPr>
        <w:tc>
          <w:tcPr>
            <w:tcW w:w="249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合计</w:t>
            </w:r>
          </w:p>
        </w:tc>
        <w:tc>
          <w:tcPr>
            <w:tcW w:w="104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114,234,000.00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67,432,478.30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46,801,521.70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30,000,000.00 </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2,363,091.05 </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5"/>
                <w:szCs w:val="15"/>
                <w:u w:val="none"/>
              </w:rPr>
            </w:pPr>
            <w:r>
              <w:rPr>
                <w:rFonts w:hint="eastAsia" w:ascii="仿宋_GB2312" w:hAnsi="仿宋_GB2312" w:eastAsia="仿宋_GB2312" w:cs="仿宋_GB2312"/>
                <w:i w:val="0"/>
                <w:color w:val="auto"/>
                <w:kern w:val="0"/>
                <w:sz w:val="15"/>
                <w:szCs w:val="15"/>
                <w:u w:val="none"/>
                <w:lang w:val="en-US" w:eastAsia="zh-CN" w:bidi="ar"/>
              </w:rPr>
              <w:t xml:space="preserve">76,051,521.70 </w:t>
            </w:r>
          </w:p>
        </w:tc>
      </w:tr>
    </w:tbl>
    <w:p>
      <w:pPr>
        <w:numPr>
          <w:ilvl w:val="0"/>
          <w:numId w:val="0"/>
        </w:num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lang w:val="en-US" w:eastAsia="zh-CN"/>
        </w:rPr>
        <w:t>4.</w:t>
      </w:r>
      <w:r>
        <w:rPr>
          <w:rFonts w:hint="eastAsia" w:ascii="仿宋_GB2312"/>
          <w:sz w:val="32"/>
          <w:szCs w:val="32"/>
        </w:rPr>
        <w:t>组织和管理情况</w:t>
      </w:r>
    </w:p>
    <w:p>
      <w:pPr>
        <w:autoSpaceDE/>
        <w:autoSpaceDN/>
        <w:adjustRightInd/>
        <w:snapToGrid/>
        <w:spacing w:line="560" w:lineRule="exact"/>
        <w:ind w:firstLine="632" w:firstLineChars="200"/>
        <w:jc w:val="left"/>
        <w:rPr>
          <w:rFonts w:hint="eastAsia" w:ascii="仿宋_GB2312" w:hAnsi="Times New Roman"/>
          <w:color w:val="0000FF"/>
          <w:sz w:val="32"/>
          <w:szCs w:val="32"/>
          <w:lang w:eastAsia="zh-CN"/>
        </w:rPr>
      </w:pPr>
      <w:r>
        <w:rPr>
          <w:rFonts w:hint="eastAsia" w:ascii="仿宋_GB2312"/>
          <w:color w:val="000000"/>
          <w:spacing w:val="0"/>
          <w:sz w:val="32"/>
          <w:szCs w:val="32"/>
          <w:lang w:eastAsia="zh-CN"/>
        </w:rPr>
        <w:t>东川分局</w:t>
      </w:r>
      <w:r>
        <w:rPr>
          <w:rFonts w:hint="eastAsia" w:ascii="仿宋_GB2312"/>
          <w:color w:val="000000"/>
          <w:spacing w:val="0"/>
          <w:sz w:val="32"/>
          <w:szCs w:val="32"/>
        </w:rPr>
        <w:t>作为重金属污染综合防治工作的牵头单位，主要负责协调各项工作的组织落实，编制重金属污染综合防治工作年度实施方</w:t>
      </w:r>
      <w:r>
        <w:rPr>
          <w:rFonts w:hint="eastAsia" w:ascii="仿宋_GB2312"/>
          <w:color w:val="auto"/>
          <w:spacing w:val="0"/>
          <w:sz w:val="32"/>
          <w:szCs w:val="32"/>
        </w:rPr>
        <w:t>案、</w:t>
      </w:r>
      <w:r>
        <w:rPr>
          <w:rFonts w:hint="eastAsia" w:ascii="仿宋_GB2312"/>
          <w:color w:val="auto"/>
          <w:spacing w:val="0"/>
          <w:sz w:val="32"/>
          <w:szCs w:val="32"/>
          <w:lang w:val="en-US" w:eastAsia="zh-CN"/>
        </w:rPr>
        <w:t>督促项目进度。</w:t>
      </w:r>
    </w:p>
    <w:p>
      <w:pPr>
        <w:spacing w:line="560" w:lineRule="exact"/>
        <w:ind w:firstLine="632" w:firstLineChars="200"/>
        <w:jc w:val="left"/>
        <w:rPr>
          <w:rFonts w:hint="eastAsia" w:ascii="仿宋_GB2312"/>
          <w:color w:val="000000"/>
          <w:sz w:val="32"/>
          <w:szCs w:val="32"/>
          <w:lang w:eastAsia="zh-CN"/>
        </w:rPr>
      </w:pPr>
      <w:r>
        <w:rPr>
          <w:rFonts w:hint="eastAsia" w:ascii="仿宋_GB2312" w:hAnsi="Times New Roman"/>
          <w:sz w:val="32"/>
          <w:szCs w:val="32"/>
          <w:lang w:eastAsia="zh-CN"/>
        </w:rPr>
        <w:t>各项目单位</w:t>
      </w:r>
      <w:r>
        <w:rPr>
          <w:rFonts w:hint="eastAsia" w:ascii="仿宋_GB2312" w:hAnsi="Times New Roman"/>
          <w:sz w:val="32"/>
          <w:szCs w:val="32"/>
        </w:rPr>
        <w:t>在项目实施管理过程中严格执行国家、省、市工程建设管理相关规定，严格执行建设工程项目法人制、招投标制、合同管理制、安全责任制。建立建全工程管理相关管理制度、行政人事等相关管理制度。工程项目施工均委托具备工程监理资质单位全面控制管理，建设单位同时委派代表进行工程跟踪监督管理。形成了齐抓共管理的工作机制，确保工项目质量和安全。在整个施工过程中做到降低环境污染，安全文明施工，强化工程质量</w:t>
      </w:r>
      <w:r>
        <w:rPr>
          <w:rFonts w:hint="eastAsia" w:ascii="仿宋_GB2312" w:hAnsi="Times New Roman"/>
          <w:sz w:val="32"/>
          <w:szCs w:val="32"/>
          <w:lang w:eastAsia="zh-CN"/>
        </w:rPr>
        <w:t>，对项目实施过程进行监督，</w:t>
      </w:r>
      <w:r>
        <w:rPr>
          <w:rFonts w:hint="eastAsia" w:ascii="仿宋_GB2312"/>
          <w:color w:val="000000"/>
          <w:sz w:val="32"/>
          <w:szCs w:val="32"/>
        </w:rPr>
        <w:t>定期通报和评估考核制度</w:t>
      </w:r>
      <w:r>
        <w:rPr>
          <w:rFonts w:hint="eastAsia" w:ascii="仿宋_GB2312"/>
          <w:color w:val="000000"/>
          <w:sz w:val="32"/>
          <w:szCs w:val="32"/>
          <w:lang w:eastAsia="zh-CN"/>
        </w:rPr>
        <w:t>，确保项目顺利实施。</w:t>
      </w:r>
    </w:p>
    <w:p>
      <w:pPr>
        <w:pStyle w:val="3"/>
        <w:adjustRightInd w:val="0"/>
        <w:snapToGrid w:val="0"/>
        <w:spacing w:before="0" w:after="0" w:line="600" w:lineRule="exact"/>
        <w:ind w:left="632" w:leftChars="200"/>
        <w:rPr>
          <w:rFonts w:hint="eastAsia" w:ascii="楷体" w:hAnsi="楷体" w:eastAsia="楷体" w:cs="楷体"/>
          <w:b w:val="0"/>
          <w:bCs w:val="0"/>
          <w:sz w:val="32"/>
          <w:szCs w:val="32"/>
        </w:rPr>
      </w:pPr>
      <w:bookmarkStart w:id="2" w:name="_Toc9837811"/>
      <w:r>
        <w:rPr>
          <w:rFonts w:hint="eastAsia" w:ascii="楷体" w:hAnsi="楷体" w:eastAsia="楷体" w:cs="楷体"/>
          <w:b w:val="0"/>
          <w:bCs w:val="0"/>
          <w:sz w:val="32"/>
          <w:szCs w:val="32"/>
        </w:rPr>
        <w:t>（二）绩效目标</w:t>
      </w:r>
      <w:bookmarkEnd w:id="2"/>
    </w:p>
    <w:p>
      <w:pPr>
        <w:autoSpaceDE/>
        <w:autoSpaceDN/>
        <w:adjustRightInd/>
        <w:snapToGrid/>
        <w:spacing w:line="560" w:lineRule="exact"/>
        <w:ind w:firstLine="948" w:firstLineChars="300"/>
        <w:jc w:val="left"/>
        <w:rPr>
          <w:rFonts w:hint="eastAsia" w:ascii="仿宋_GB2312"/>
          <w:color w:val="000000"/>
          <w:sz w:val="32"/>
          <w:szCs w:val="32"/>
          <w:lang w:val="en-US" w:eastAsia="zh-CN"/>
        </w:rPr>
      </w:pPr>
      <w:r>
        <w:rPr>
          <w:rFonts w:hint="eastAsia" w:ascii="仿宋_GB2312"/>
          <w:color w:val="000000"/>
          <w:sz w:val="32"/>
          <w:szCs w:val="32"/>
          <w:lang w:val="en-US" w:eastAsia="zh-CN"/>
        </w:rPr>
        <w:t>1.绩效总目标</w:t>
      </w:r>
    </w:p>
    <w:p>
      <w:pPr>
        <w:autoSpaceDE/>
        <w:autoSpaceDN/>
        <w:adjustRightInd/>
        <w:snapToGrid/>
        <w:spacing w:line="560" w:lineRule="exact"/>
        <w:ind w:firstLine="632" w:firstLineChars="200"/>
        <w:jc w:val="left"/>
        <w:rPr>
          <w:rFonts w:hint="eastAsia" w:ascii="仿宋_GB2312"/>
          <w:color w:val="000000"/>
          <w:sz w:val="32"/>
          <w:szCs w:val="32"/>
          <w:lang w:eastAsia="zh-CN"/>
        </w:rPr>
      </w:pPr>
      <w:r>
        <w:rPr>
          <w:rFonts w:hint="eastAsia" w:ascii="仿宋_GB2312"/>
          <w:color w:val="000000"/>
          <w:sz w:val="32"/>
          <w:szCs w:val="32"/>
          <w:lang w:val="en-US" w:eastAsia="zh-CN"/>
        </w:rPr>
        <w:t xml:space="preserve"> 根据《昆明市东川区重金属污染综合防治实施方案（2015年-2017年）》，项目实施期限为</w:t>
      </w:r>
      <w:r>
        <w:rPr>
          <w:rFonts w:hint="eastAsia" w:ascii="仿宋_GB2312"/>
          <w:color w:val="000000"/>
          <w:sz w:val="32"/>
          <w:szCs w:val="32"/>
        </w:rPr>
        <w:t>2015-2017年，共分为二个阶段。第一阶段：2015年</w:t>
      </w:r>
      <w:r>
        <w:rPr>
          <w:rFonts w:hint="eastAsia" w:ascii="仿宋_GB2312"/>
          <w:color w:val="000000"/>
          <w:sz w:val="32"/>
          <w:szCs w:val="32"/>
          <w:lang w:eastAsia="zh-CN"/>
        </w:rPr>
        <w:t>，</w:t>
      </w:r>
      <w:r>
        <w:rPr>
          <w:rFonts w:hint="eastAsia" w:ascii="仿宋_GB2312"/>
          <w:color w:val="000000"/>
          <w:sz w:val="32"/>
          <w:szCs w:val="32"/>
        </w:rPr>
        <w:t>重点完成汤丹乌龙河片区选矿废水处理及回用工程项目等5个污染源治理项目前期工作，并正式启动工程施工建设；启动并完成云南铜业凯通有色金属有限公司污酸废水深度处理工程；</w:t>
      </w:r>
    </w:p>
    <w:p>
      <w:pPr>
        <w:autoSpaceDE/>
        <w:autoSpaceDN/>
        <w:adjustRightInd/>
        <w:snapToGrid/>
        <w:spacing w:line="560" w:lineRule="exact"/>
        <w:ind w:firstLine="632" w:firstLineChars="200"/>
        <w:jc w:val="left"/>
        <w:rPr>
          <w:rFonts w:hint="eastAsia" w:ascii="仿宋_GB2312"/>
          <w:color w:val="000000"/>
          <w:sz w:val="32"/>
          <w:szCs w:val="32"/>
          <w:lang w:eastAsia="zh-CN"/>
        </w:rPr>
      </w:pPr>
      <w:r>
        <w:rPr>
          <w:rFonts w:hint="eastAsia" w:ascii="仿宋_GB2312"/>
          <w:color w:val="000000"/>
          <w:sz w:val="32"/>
          <w:szCs w:val="32"/>
        </w:rPr>
        <w:t>第二阶段：2016－2017年</w:t>
      </w:r>
      <w:r>
        <w:rPr>
          <w:rFonts w:hint="eastAsia" w:ascii="仿宋_GB2312"/>
          <w:color w:val="000000"/>
          <w:sz w:val="32"/>
          <w:szCs w:val="32"/>
          <w:lang w:eastAsia="zh-CN"/>
        </w:rPr>
        <w:t>，</w:t>
      </w:r>
      <w:r>
        <w:rPr>
          <w:rFonts w:hint="eastAsia" w:ascii="仿宋_GB2312"/>
          <w:color w:val="000000"/>
          <w:sz w:val="32"/>
          <w:szCs w:val="32"/>
        </w:rPr>
        <w:t>重点完成汤丹乌龙河片区选矿废水处理及回用工程、四方地片区废渣处置工程和东川区基础能力建设已开展的工作基础</w:t>
      </w:r>
      <w:r>
        <w:rPr>
          <w:rFonts w:hint="eastAsia" w:ascii="仿宋_GB2312"/>
          <w:color w:val="000000"/>
          <w:sz w:val="32"/>
          <w:szCs w:val="32"/>
          <w:lang w:eastAsia="zh-CN"/>
        </w:rPr>
        <w:t>，</w:t>
      </w:r>
      <w:r>
        <w:rPr>
          <w:rFonts w:hint="eastAsia" w:ascii="仿宋_GB2312"/>
          <w:color w:val="000000"/>
          <w:sz w:val="32"/>
          <w:szCs w:val="32"/>
        </w:rPr>
        <w:t>项目所有工程采用分阶段验收，并在2017年12月完成所有项目的验收</w:t>
      </w:r>
      <w:r>
        <w:rPr>
          <w:rFonts w:hint="eastAsia" w:ascii="仿宋_GB2312"/>
          <w:color w:val="000000"/>
          <w:sz w:val="32"/>
          <w:szCs w:val="32"/>
          <w:lang w:eastAsia="zh-CN"/>
        </w:rPr>
        <w:t>。</w:t>
      </w:r>
    </w:p>
    <w:p>
      <w:pPr>
        <w:spacing w:line="560" w:lineRule="exact"/>
        <w:ind w:firstLine="632" w:firstLineChars="200"/>
        <w:rPr>
          <w:rFonts w:hint="eastAsia" w:ascii="仿宋_GB2312" w:hAnsi="Times New Roman" w:eastAsia="仿宋_GB2312"/>
          <w:color w:val="000000"/>
          <w:sz w:val="32"/>
          <w:szCs w:val="32"/>
          <w:lang w:eastAsia="zh-CN"/>
        </w:rPr>
      </w:pPr>
      <w:r>
        <w:rPr>
          <w:rFonts w:hint="eastAsia" w:ascii="仿宋_GB2312"/>
          <w:color w:val="000000"/>
          <w:sz w:val="32"/>
          <w:szCs w:val="32"/>
          <w:lang w:val="de-DE" w:eastAsia="zh-CN"/>
        </w:rPr>
        <w:t>项目实施完成验收后，</w:t>
      </w:r>
      <w:r>
        <w:rPr>
          <w:rFonts w:hint="eastAsia" w:ascii="仿宋_GB2312"/>
          <w:color w:val="000000"/>
          <w:sz w:val="32"/>
          <w:szCs w:val="32"/>
          <w:lang w:val="de-DE"/>
        </w:rPr>
        <w:t>重金属污染</w:t>
      </w:r>
      <w:r>
        <w:rPr>
          <w:rFonts w:hint="eastAsia" w:ascii="仿宋_GB2312"/>
          <w:color w:val="000000"/>
          <w:sz w:val="32"/>
          <w:szCs w:val="32"/>
          <w:lang w:val="de-DE" w:eastAsia="zh-CN"/>
        </w:rPr>
        <w:t>得以</w:t>
      </w:r>
      <w:r>
        <w:rPr>
          <w:rFonts w:hint="eastAsia" w:ascii="仿宋_GB2312"/>
          <w:color w:val="000000"/>
          <w:sz w:val="32"/>
          <w:szCs w:val="32"/>
          <w:lang w:val="de-DE"/>
        </w:rPr>
        <w:t>削减</w:t>
      </w:r>
      <w:r>
        <w:rPr>
          <w:rFonts w:hint="eastAsia" w:ascii="仿宋_GB2312"/>
          <w:color w:val="000000"/>
          <w:sz w:val="32"/>
          <w:szCs w:val="32"/>
          <w:lang w:val="de-DE" w:eastAsia="zh-CN"/>
        </w:rPr>
        <w:t>、提高废水回收率，对</w:t>
      </w:r>
      <w:r>
        <w:rPr>
          <w:rFonts w:hint="eastAsia" w:ascii="仿宋_GB2312" w:hAnsi="Times New Roman"/>
          <w:color w:val="000000"/>
          <w:sz w:val="32"/>
          <w:szCs w:val="32"/>
          <w:lang w:val="de-DE"/>
        </w:rPr>
        <w:t>四方地片区、汤丹片区、因民片区选矿和冶炼废渣的集中综合处置</w:t>
      </w:r>
      <w:r>
        <w:rPr>
          <w:rFonts w:hint="eastAsia" w:ascii="仿宋_GB2312" w:hAnsi="Times New Roman"/>
          <w:color w:val="000000"/>
          <w:sz w:val="32"/>
          <w:szCs w:val="32"/>
          <w:lang w:val="de-DE" w:eastAsia="zh-CN"/>
        </w:rPr>
        <w:t>，</w:t>
      </w:r>
      <w:r>
        <w:rPr>
          <w:rFonts w:hint="eastAsia" w:ascii="仿宋_GB2312" w:hAnsi="Times New Roman"/>
          <w:color w:val="000000"/>
          <w:sz w:val="32"/>
          <w:szCs w:val="32"/>
          <w:lang w:val="de-DE"/>
        </w:rPr>
        <w:t>减少区域内环境风险</w:t>
      </w:r>
      <w:r>
        <w:rPr>
          <w:rFonts w:hint="eastAsia" w:ascii="仿宋_GB2312" w:hAnsi="Times New Roman"/>
          <w:color w:val="000000"/>
          <w:sz w:val="32"/>
          <w:szCs w:val="32"/>
          <w:lang w:val="de-DE" w:eastAsia="zh-CN"/>
        </w:rPr>
        <w:t>，具体见下：</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077"/>
        <w:gridCol w:w="1276"/>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97" w:hRule="atLeast"/>
          <w:tblHeader/>
          <w:jc w:val="center"/>
        </w:trPr>
        <w:tc>
          <w:tcPr>
            <w:tcW w:w="4077"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考核内容</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2015</w:t>
            </w:r>
            <w:r>
              <w:rPr>
                <w:rFonts w:hint="eastAsia" w:ascii="仿宋_GB2312"/>
                <w:color w:val="000000"/>
                <w:sz w:val="24"/>
              </w:rPr>
              <w:t>年</w:t>
            </w:r>
          </w:p>
        </w:tc>
        <w:tc>
          <w:tcPr>
            <w:tcW w:w="1275"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2016</w:t>
            </w:r>
            <w:r>
              <w:rPr>
                <w:rFonts w:hint="eastAsia" w:ascii="仿宋_GB2312"/>
                <w:color w:val="000000"/>
                <w:sz w:val="24"/>
              </w:rPr>
              <w:t>年</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2017</w:t>
            </w:r>
            <w:r>
              <w:rPr>
                <w:rFonts w:hint="eastAsia" w:ascii="仿宋_GB2312"/>
                <w:color w:val="000000"/>
                <w:sz w:val="24"/>
              </w:rPr>
              <w:t>年</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077"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重金属减排量削减率</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1%</w:t>
            </w:r>
          </w:p>
        </w:tc>
        <w:tc>
          <w:tcPr>
            <w:tcW w:w="1275"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2%</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2%</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077" w:type="dxa"/>
            <w:shd w:val="clear" w:color="auto" w:fill="FFFFFF"/>
            <w:noWrap w:val="0"/>
            <w:vAlign w:val="center"/>
          </w:tcPr>
          <w:p>
            <w:pPr>
              <w:jc w:val="center"/>
              <w:rPr>
                <w:rFonts w:hint="eastAsia" w:ascii="仿宋_GB2312"/>
                <w:color w:val="000000"/>
                <w:sz w:val="24"/>
              </w:rPr>
            </w:pPr>
            <w:r>
              <w:rPr>
                <w:rFonts w:hint="eastAsia" w:ascii="仿宋_GB2312"/>
                <w:color w:val="000000"/>
                <w:sz w:val="24"/>
              </w:rPr>
              <w:t>重金属废水的回用提高率</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w:t>
            </w:r>
          </w:p>
        </w:tc>
        <w:tc>
          <w:tcPr>
            <w:tcW w:w="1275"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12%</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23%</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077"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区域水和大气环境质量监测达标率</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100%</w:t>
            </w:r>
          </w:p>
        </w:tc>
        <w:tc>
          <w:tcPr>
            <w:tcW w:w="1275"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100%</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100%</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077"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涉重企业的废渣处理和处置率</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90%</w:t>
            </w:r>
          </w:p>
        </w:tc>
        <w:tc>
          <w:tcPr>
            <w:tcW w:w="1275"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95%</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100%</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hAnsi="Times New Roman"/>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077"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监测及监察能力</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基本满足</w:t>
            </w:r>
          </w:p>
        </w:tc>
        <w:tc>
          <w:tcPr>
            <w:tcW w:w="1275"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明显改善</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较好满足</w:t>
            </w:r>
          </w:p>
        </w:tc>
        <w:tc>
          <w:tcPr>
            <w:tcW w:w="1276" w:type="dxa"/>
            <w:shd w:val="clear" w:color="auto" w:fill="FFFFFF"/>
            <w:noWrap w:val="0"/>
            <w:vAlign w:val="center"/>
          </w:tcPr>
          <w:p>
            <w:pPr>
              <w:jc w:val="center"/>
              <w:rPr>
                <w:rFonts w:hint="eastAsia" w:ascii="仿宋_GB2312" w:hAnsi="Times New Roman"/>
                <w:color w:val="000000"/>
                <w:sz w:val="24"/>
              </w:rPr>
            </w:pPr>
            <w:r>
              <w:rPr>
                <w:rFonts w:hint="eastAsia" w:ascii="仿宋_GB2312"/>
                <w:color w:val="000000"/>
                <w:sz w:val="24"/>
              </w:rPr>
              <w:t>较好满足</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32" w:firstLineChars="200"/>
        <w:jc w:val="left"/>
        <w:textAlignment w:val="auto"/>
        <w:rPr>
          <w:rFonts w:hint="eastAsia"/>
          <w:color w:val="000000"/>
          <w:sz w:val="32"/>
          <w:szCs w:val="32"/>
          <w:highlight w:val="none"/>
        </w:rPr>
      </w:pPr>
      <w:r>
        <w:rPr>
          <w:rFonts w:hint="eastAsia"/>
          <w:color w:val="000000"/>
          <w:sz w:val="32"/>
          <w:szCs w:val="32"/>
          <w:highlight w:val="none"/>
          <w:lang w:val="en-US" w:eastAsia="zh-CN"/>
        </w:rPr>
        <w:t>2.</w:t>
      </w:r>
      <w:r>
        <w:rPr>
          <w:rFonts w:hint="eastAsia"/>
          <w:color w:val="000000"/>
          <w:sz w:val="32"/>
          <w:szCs w:val="32"/>
          <w:highlight w:val="none"/>
        </w:rPr>
        <w:t>绩效年度目标</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color w:val="000000"/>
          <w:sz w:val="32"/>
          <w:szCs w:val="32"/>
          <w:highlight w:val="none"/>
          <w:lang w:val="en-US" w:eastAsia="zh-CN"/>
        </w:rPr>
      </w:pPr>
      <w:r>
        <w:rPr>
          <w:rFonts w:hint="eastAsia"/>
          <w:color w:val="000000"/>
          <w:sz w:val="32"/>
          <w:szCs w:val="32"/>
          <w:highlight w:val="none"/>
          <w:lang w:val="en-US" w:eastAsia="zh-CN"/>
        </w:rPr>
        <w:t>2019年，完成中央重金属污染综合防治10个子项目并投入验收，重金属减排量削减率达5%、重金属废水的回用提高率35%、区域水和大气环境质量监测达标率100%、涉重企业的废渣处理和处置率100%、监测及监察能力提升，较好满足工作需要。</w:t>
      </w:r>
    </w:p>
    <w:p>
      <w:pPr>
        <w:pStyle w:val="2"/>
        <w:adjustRightInd w:val="0"/>
        <w:snapToGrid w:val="0"/>
        <w:spacing w:before="0" w:after="0" w:line="600" w:lineRule="exact"/>
        <w:ind w:firstLine="632" w:firstLineChars="200"/>
        <w:rPr>
          <w:rFonts w:ascii="黑体" w:eastAsia="黑体"/>
          <w:b w:val="0"/>
          <w:bCs w:val="0"/>
          <w:sz w:val="32"/>
          <w:szCs w:val="32"/>
        </w:rPr>
      </w:pPr>
      <w:bookmarkStart w:id="3" w:name="_Toc9837812"/>
      <w:r>
        <w:rPr>
          <w:rFonts w:hint="eastAsia" w:ascii="黑体" w:eastAsia="黑体"/>
          <w:b w:val="0"/>
          <w:bCs w:val="0"/>
          <w:sz w:val="32"/>
          <w:szCs w:val="32"/>
        </w:rPr>
        <w:t>二、绩效评价工作情况</w:t>
      </w:r>
      <w:bookmarkEnd w:id="3"/>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4" w:name="_Toc9837813"/>
      <w:r>
        <w:rPr>
          <w:rFonts w:hint="eastAsia" w:ascii="楷体" w:hAnsi="楷体" w:eastAsia="楷体" w:cs="楷体"/>
          <w:b w:val="0"/>
          <w:bCs w:val="0"/>
          <w:sz w:val="32"/>
          <w:szCs w:val="32"/>
        </w:rPr>
        <w:t>（一）绩效评价目的</w:t>
      </w:r>
      <w:bookmarkEnd w:id="4"/>
    </w:p>
    <w:p>
      <w:pPr>
        <w:topLinePunct/>
        <w:adjustRightInd w:val="0"/>
        <w:snapToGrid w:val="0"/>
        <w:spacing w:line="600" w:lineRule="exact"/>
        <w:ind w:firstLine="632" w:firstLineChars="200"/>
        <w:rPr>
          <w:rFonts w:ascii="仿宋_GB2312"/>
          <w:sz w:val="32"/>
          <w:szCs w:val="32"/>
        </w:rPr>
      </w:pPr>
      <w:r>
        <w:rPr>
          <w:rFonts w:hint="eastAsia" w:ascii="仿宋_GB2312"/>
          <w:sz w:val="32"/>
          <w:szCs w:val="32"/>
        </w:rPr>
        <w:t>全面了解项目管理过程是否规范、产出目标是否完成以及效果目标是否实现等方面，总结经验，查找不足，为项目在以后年度的开展提供可行性参考建议。在此基础上，重点分析项目预算编制的合理性、成本支出的真实性和控制的有效性，评价财政资金的使用效率和效果，为以后年度编制项目预算、选择项目实施主体等提供参考依据。</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5" w:name="_Toc9837814"/>
      <w:r>
        <w:rPr>
          <w:rFonts w:hint="eastAsia" w:ascii="楷体" w:hAnsi="楷体" w:eastAsia="楷体" w:cs="楷体"/>
          <w:b w:val="0"/>
          <w:bCs w:val="0"/>
          <w:sz w:val="32"/>
          <w:szCs w:val="32"/>
        </w:rPr>
        <w:t>（二）绩效评价工作方案制定过程</w:t>
      </w:r>
      <w:bookmarkEnd w:id="5"/>
    </w:p>
    <w:p>
      <w:pPr>
        <w:topLinePunct/>
        <w:adjustRightInd w:val="0"/>
        <w:snapToGrid w:val="0"/>
        <w:spacing w:line="600" w:lineRule="exact"/>
        <w:ind w:firstLine="948" w:firstLineChars="300"/>
        <w:rPr>
          <w:rFonts w:hint="eastAsia" w:ascii="仿宋_GB2312"/>
          <w:sz w:val="32"/>
          <w:szCs w:val="32"/>
        </w:rPr>
      </w:pPr>
      <w:r>
        <w:rPr>
          <w:rFonts w:hint="eastAsia" w:ascii="仿宋_GB2312"/>
          <w:sz w:val="32"/>
          <w:szCs w:val="32"/>
        </w:rPr>
        <w:t>1.前期调研</w:t>
      </w:r>
    </w:p>
    <w:p>
      <w:pPr>
        <w:topLinePunct/>
        <w:adjustRightInd w:val="0"/>
        <w:snapToGrid w:val="0"/>
        <w:spacing w:line="600" w:lineRule="exact"/>
        <w:ind w:firstLine="632" w:firstLineChars="200"/>
        <w:rPr>
          <w:rFonts w:ascii="Times New Roman" w:hAnsi="Times New Roman"/>
          <w:sz w:val="32"/>
          <w:szCs w:val="32"/>
        </w:rPr>
      </w:pPr>
      <w:r>
        <w:rPr>
          <w:rFonts w:ascii="Times New Roman" w:hAnsi="Times New Roman"/>
          <w:sz w:val="32"/>
          <w:szCs w:val="32"/>
        </w:rPr>
        <w:t>成立绩效评价小组，实施绩效评价前期调查，拟定绩效评价方案；</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2.研究文件</w:t>
      </w:r>
    </w:p>
    <w:p>
      <w:pPr>
        <w:topLinePunct/>
        <w:adjustRightInd w:val="0"/>
        <w:snapToGrid w:val="0"/>
        <w:spacing w:line="600" w:lineRule="exact"/>
        <w:ind w:firstLine="632" w:firstLineChars="200"/>
        <w:rPr>
          <w:rFonts w:ascii="Times New Roman" w:hAnsi="Times New Roman"/>
          <w:sz w:val="32"/>
          <w:szCs w:val="32"/>
        </w:rPr>
      </w:pPr>
      <w:r>
        <w:rPr>
          <w:rFonts w:ascii="Times New Roman" w:hAnsi="Times New Roman"/>
          <w:sz w:val="32"/>
          <w:szCs w:val="32"/>
        </w:rPr>
        <w:t>成立绩效评价小组，实施绩效评价前期调查，拟定绩效评价方案；</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3.绩效评价指标体系及工作方案的设计</w:t>
      </w:r>
    </w:p>
    <w:p>
      <w:pPr>
        <w:topLinePunct/>
        <w:adjustRightInd w:val="0"/>
        <w:snapToGrid w:val="0"/>
        <w:spacing w:line="600" w:lineRule="exact"/>
        <w:ind w:firstLine="632" w:firstLineChars="200"/>
        <w:rPr>
          <w:rFonts w:hint="eastAsia" w:ascii="仿宋_GB2312"/>
          <w:sz w:val="32"/>
          <w:szCs w:val="32"/>
          <w:highlight w:val="none"/>
        </w:rPr>
      </w:pPr>
      <w:r>
        <w:rPr>
          <w:rFonts w:hint="eastAsia" w:ascii="仿宋_GB2312"/>
          <w:sz w:val="32"/>
          <w:szCs w:val="32"/>
          <w:highlight w:val="none"/>
        </w:rPr>
        <w:t>（1）绩效评价指标体系</w:t>
      </w:r>
    </w:p>
    <w:p>
      <w:pPr>
        <w:topLinePunct/>
        <w:adjustRightInd w:val="0"/>
        <w:snapToGrid w:val="0"/>
        <w:spacing w:line="600" w:lineRule="exact"/>
        <w:ind w:firstLine="632" w:firstLineChars="200"/>
        <w:rPr>
          <w:rFonts w:hint="eastAsia" w:ascii="仿宋_GB2312"/>
          <w:color w:val="000000"/>
          <w:sz w:val="32"/>
          <w:szCs w:val="32"/>
          <w:highlight w:val="none"/>
        </w:rPr>
      </w:pPr>
      <w:r>
        <w:rPr>
          <w:rFonts w:hint="eastAsia" w:ascii="仿宋_GB2312"/>
          <w:color w:val="000000"/>
          <w:sz w:val="32"/>
          <w:szCs w:val="32"/>
          <w:highlight w:val="none"/>
        </w:rPr>
        <w:t>绩效评价指标体系共设一级指标3个，分别为项目决策（20%）、项目管理（2</w:t>
      </w:r>
      <w:r>
        <w:rPr>
          <w:rFonts w:hint="eastAsia" w:ascii="仿宋_GB2312"/>
          <w:color w:val="000000"/>
          <w:sz w:val="32"/>
          <w:szCs w:val="32"/>
          <w:highlight w:val="none"/>
          <w:lang w:val="en-US" w:eastAsia="zh-CN"/>
        </w:rPr>
        <w:t>4</w:t>
      </w:r>
      <w:r>
        <w:rPr>
          <w:rFonts w:hint="eastAsia" w:ascii="仿宋_GB2312"/>
          <w:color w:val="000000"/>
          <w:sz w:val="32"/>
          <w:szCs w:val="32"/>
          <w:highlight w:val="none"/>
        </w:rPr>
        <w:t>%）、项目绩效（</w:t>
      </w:r>
      <w:r>
        <w:rPr>
          <w:rFonts w:hint="eastAsia" w:ascii="仿宋_GB2312"/>
          <w:color w:val="000000"/>
          <w:sz w:val="32"/>
          <w:szCs w:val="32"/>
          <w:highlight w:val="none"/>
          <w:lang w:val="en-US" w:eastAsia="zh-CN"/>
        </w:rPr>
        <w:t>56</w:t>
      </w:r>
      <w:r>
        <w:rPr>
          <w:rFonts w:hint="eastAsia" w:ascii="仿宋_GB2312"/>
          <w:color w:val="000000"/>
          <w:sz w:val="32"/>
          <w:szCs w:val="32"/>
          <w:highlight w:val="none"/>
        </w:rPr>
        <w:t>%）；项目决策设项目立项（8%）、项目目标（12%）二级指标2个，项目管理设投入管理（</w:t>
      </w:r>
      <w:r>
        <w:rPr>
          <w:rFonts w:hint="eastAsia" w:ascii="仿宋_GB2312"/>
          <w:color w:val="000000"/>
          <w:sz w:val="32"/>
          <w:szCs w:val="32"/>
          <w:highlight w:val="none"/>
          <w:lang w:val="en-US" w:eastAsia="zh-CN"/>
        </w:rPr>
        <w:t>8</w:t>
      </w:r>
      <w:r>
        <w:rPr>
          <w:rFonts w:hint="eastAsia" w:ascii="仿宋_GB2312"/>
          <w:color w:val="000000"/>
          <w:sz w:val="32"/>
          <w:szCs w:val="32"/>
          <w:highlight w:val="none"/>
        </w:rPr>
        <w:t>%）、财务管理（</w:t>
      </w:r>
      <w:r>
        <w:rPr>
          <w:rFonts w:hint="eastAsia" w:ascii="仿宋_GB2312"/>
          <w:color w:val="000000"/>
          <w:sz w:val="32"/>
          <w:szCs w:val="32"/>
          <w:highlight w:val="none"/>
          <w:lang w:val="en-US" w:eastAsia="zh-CN"/>
        </w:rPr>
        <w:t>7</w:t>
      </w:r>
      <w:r>
        <w:rPr>
          <w:rFonts w:hint="eastAsia" w:ascii="仿宋_GB2312"/>
          <w:color w:val="000000"/>
          <w:sz w:val="32"/>
          <w:szCs w:val="32"/>
          <w:highlight w:val="none"/>
        </w:rPr>
        <w:t>%）、项目实施（</w:t>
      </w:r>
      <w:r>
        <w:rPr>
          <w:rFonts w:hint="eastAsia" w:ascii="仿宋_GB2312"/>
          <w:color w:val="000000"/>
          <w:sz w:val="32"/>
          <w:szCs w:val="32"/>
          <w:highlight w:val="none"/>
          <w:lang w:val="en-US" w:eastAsia="zh-CN"/>
        </w:rPr>
        <w:t>9</w:t>
      </w:r>
      <w:r>
        <w:rPr>
          <w:rFonts w:hint="eastAsia" w:ascii="仿宋_GB2312"/>
          <w:color w:val="000000"/>
          <w:sz w:val="32"/>
          <w:szCs w:val="32"/>
          <w:highlight w:val="none"/>
        </w:rPr>
        <w:t>%）二级指标3个，项目绩效设项目产出（</w:t>
      </w:r>
      <w:r>
        <w:rPr>
          <w:rFonts w:hint="eastAsia" w:ascii="仿宋_GB2312"/>
          <w:color w:val="000000"/>
          <w:sz w:val="32"/>
          <w:szCs w:val="32"/>
          <w:highlight w:val="none"/>
          <w:lang w:val="en-US" w:eastAsia="zh-CN"/>
        </w:rPr>
        <w:t>35</w:t>
      </w:r>
      <w:r>
        <w:rPr>
          <w:rFonts w:hint="eastAsia" w:ascii="仿宋_GB2312"/>
          <w:color w:val="000000"/>
          <w:sz w:val="32"/>
          <w:szCs w:val="32"/>
          <w:highlight w:val="none"/>
        </w:rPr>
        <w:t>%）、项目效益（</w:t>
      </w:r>
      <w:r>
        <w:rPr>
          <w:rFonts w:hint="eastAsia" w:ascii="仿宋_GB2312"/>
          <w:color w:val="000000"/>
          <w:sz w:val="32"/>
          <w:szCs w:val="32"/>
          <w:highlight w:val="none"/>
          <w:lang w:val="en-US" w:eastAsia="zh-CN"/>
        </w:rPr>
        <w:t>21</w:t>
      </w:r>
      <w:r>
        <w:rPr>
          <w:rFonts w:hint="eastAsia" w:ascii="仿宋_GB2312"/>
          <w:color w:val="000000"/>
          <w:sz w:val="32"/>
          <w:szCs w:val="32"/>
          <w:highlight w:val="none"/>
        </w:rPr>
        <w:t>%）二级指标2个；二级指标再根据项目具体情况细化为三级指标及四级指标。</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（2）工作方案</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为进一步规范财政资金管理，强化财政支出绩效理念，加强部门责任意识，及时总结经验，分析存在问题及原因，采取切实措施进一步改进和加强财政专项资金管理，不断提高财政专项资金管理水平和使用效益。</w:t>
      </w:r>
      <w:r>
        <w:rPr>
          <w:rFonts w:hint="eastAsia" w:ascii="仿宋_GB2312"/>
          <w:sz w:val="32"/>
          <w:szCs w:val="32"/>
          <w:lang w:eastAsia="zh-CN"/>
        </w:rPr>
        <w:t>东川分局</w:t>
      </w:r>
      <w:r>
        <w:rPr>
          <w:rFonts w:hint="eastAsia" w:ascii="仿宋_GB2312"/>
          <w:sz w:val="32"/>
          <w:szCs w:val="32"/>
        </w:rPr>
        <w:t>成立绩效评价工作小组，组织布置本次项目资金使用的绩效自评工作，</w:t>
      </w:r>
      <w:r>
        <w:rPr>
          <w:rFonts w:hint="eastAsia" w:ascii="仿宋_GB2312"/>
          <w:sz w:val="32"/>
          <w:szCs w:val="32"/>
          <w:lang w:val="en-US" w:eastAsia="zh-CN"/>
        </w:rPr>
        <w:t>咨询昆明亚太会计师事务所及全程参与，</w:t>
      </w:r>
      <w:r>
        <w:rPr>
          <w:rFonts w:hint="eastAsia" w:ascii="仿宋_GB2312"/>
          <w:sz w:val="32"/>
          <w:szCs w:val="32"/>
        </w:rPr>
        <w:t>收集整理、审查核实，汇总分析专项资金使用绩效评价基础信息和其他资料。并组织召开绩效评价会议，确定绩效评价重点，选取适合的绩效评价方式，客观、公正地对所有自评材料进行评审，并对出具的绩效评价报告的客观性、真实性负责。按照要求，制定绩效评价指标体系，明确绩效评价标准和评分标准，核查落实项目指标完成情况，对社会公众进行满意度调查，对产生的社会效益进行访谈，编制基础数据表，对成本效益进行分析，最终得出绩效自评评分，并形成绩效自评报告。</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6" w:name="_Toc9837815"/>
      <w:r>
        <w:rPr>
          <w:rFonts w:hint="eastAsia" w:ascii="楷体" w:hAnsi="楷体" w:eastAsia="楷体" w:cs="楷体"/>
          <w:b w:val="0"/>
          <w:bCs w:val="0"/>
          <w:sz w:val="32"/>
          <w:szCs w:val="32"/>
        </w:rPr>
        <w:t>（三）绩效评价原则、评价方法</w:t>
      </w:r>
      <w:bookmarkEnd w:id="6"/>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1.绩效评价原则。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（1）经济性、效率性和有效性原则；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（2）经济效益、社会效益和生态环境效益原则；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（3）客观及公开、公正原则；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（4）财政支出和产出绩效对应原则；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（5）定量分析与定性分析相结合原则。</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2.绩效评价方法</w:t>
      </w:r>
    </w:p>
    <w:p>
      <w:pPr>
        <w:topLinePunct/>
        <w:adjustRightInd w:val="0"/>
        <w:snapToGrid w:val="0"/>
        <w:spacing w:line="600" w:lineRule="exact"/>
        <w:ind w:firstLine="632" w:firstLineChars="200"/>
        <w:rPr>
          <w:rFonts w:hint="eastAsia" w:ascii="仿宋_GB2312"/>
          <w:sz w:val="32"/>
          <w:szCs w:val="32"/>
          <w:lang w:eastAsia="zh-CN"/>
        </w:rPr>
      </w:pPr>
      <w:r>
        <w:rPr>
          <w:rFonts w:hint="eastAsia" w:ascii="仿宋_GB2312"/>
          <w:sz w:val="32"/>
          <w:szCs w:val="32"/>
          <w:lang w:eastAsia="zh-CN"/>
        </w:rPr>
        <w:t>东川分局根据《</w:t>
      </w:r>
      <w:bookmarkStart w:id="20" w:name="_GoBack"/>
      <w:bookmarkEnd w:id="20"/>
      <w:r>
        <w:rPr>
          <w:rFonts w:hint="eastAsia" w:ascii="仿宋_GB2312"/>
          <w:sz w:val="32"/>
          <w:szCs w:val="32"/>
          <w:lang w:eastAsia="zh-CN"/>
        </w:rPr>
        <w:t>项目支出绩效评价管理办法》(财预[2020] 10号)《云南省财政厅关于做好2020年预算绩效管理工作的指导意见》(云财绩[2020]3号)、《东川区预算绩效管理结果应用暂行办法》(东政发[2017] 111号)、《东川区部门预算绩效自评管理暂行办法》(东政办发[2019]92号)</w:t>
      </w:r>
      <w:r>
        <w:rPr>
          <w:rFonts w:hint="eastAsia" w:ascii="仿宋_GB2312"/>
          <w:sz w:val="32"/>
          <w:szCs w:val="32"/>
          <w:lang w:val="en-US" w:eastAsia="zh-CN"/>
        </w:rPr>
        <w:t>和《昆明市财政局关于报送2018年预算绩效自评项目计划的通知》（昆财绩〔2019〕31号）</w:t>
      </w:r>
      <w:r>
        <w:rPr>
          <w:rFonts w:hint="eastAsia" w:ascii="仿宋_GB2312"/>
          <w:sz w:val="32"/>
          <w:szCs w:val="32"/>
          <w:lang w:eastAsia="zh-CN"/>
        </w:rPr>
        <w:t>的要求，采用定量分析与定性分析相结合、运用比较分析的办法，开展绩效评价。</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7" w:name="_Toc9837816"/>
      <w:r>
        <w:rPr>
          <w:rFonts w:hint="eastAsia" w:ascii="楷体" w:hAnsi="楷体" w:eastAsia="楷体" w:cs="楷体"/>
          <w:b w:val="0"/>
          <w:bCs w:val="0"/>
          <w:sz w:val="32"/>
          <w:szCs w:val="32"/>
        </w:rPr>
        <w:t>（四）绩效评价实施过程</w:t>
      </w:r>
      <w:bookmarkEnd w:id="7"/>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1.数据填报和采集</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本次绩效评价数据来源于</w:t>
      </w:r>
      <w:r>
        <w:rPr>
          <w:rFonts w:hint="eastAsia" w:ascii="仿宋_GB2312"/>
          <w:sz w:val="32"/>
          <w:szCs w:val="32"/>
          <w:lang w:eastAsia="zh-CN"/>
        </w:rPr>
        <w:t>东川分局</w:t>
      </w:r>
      <w:r>
        <w:rPr>
          <w:rFonts w:hint="eastAsia" w:ascii="仿宋_GB2312"/>
          <w:sz w:val="32"/>
          <w:szCs w:val="32"/>
        </w:rPr>
        <w:t>预算批复及明细、部门决算报表、绩效目标申报表、绩效目标完成情况、部门年度工作计划及工作总结、中长期规划等，根据上述资料进行分析汇总，形成绩效自评报告的基础数据。</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2.社会调查及项目效益访谈</w:t>
      </w:r>
    </w:p>
    <w:p>
      <w:pPr>
        <w:topLinePunct/>
        <w:adjustRightInd w:val="0"/>
        <w:snapToGrid w:val="0"/>
        <w:spacing w:line="600" w:lineRule="exact"/>
        <w:ind w:firstLine="632" w:firstLineChars="200"/>
        <w:rPr>
          <w:rFonts w:hint="eastAsia" w:ascii="仿宋_GB2312"/>
          <w:color w:val="000000"/>
          <w:sz w:val="32"/>
          <w:szCs w:val="32"/>
        </w:rPr>
      </w:pPr>
      <w:r>
        <w:rPr>
          <w:rFonts w:hint="eastAsia" w:ascii="仿宋_GB2312"/>
          <w:sz w:val="32"/>
          <w:szCs w:val="32"/>
          <w:lang w:eastAsia="zh-CN"/>
        </w:rPr>
        <w:t>东川分局</w:t>
      </w:r>
      <w:r>
        <w:rPr>
          <w:rFonts w:hint="eastAsia" w:ascii="仿宋_GB2312"/>
          <w:sz w:val="32"/>
          <w:szCs w:val="32"/>
        </w:rPr>
        <w:t>绩效评价工作小组根据</w:t>
      </w:r>
      <w:r>
        <w:rPr>
          <w:rFonts w:hint="eastAsia" w:ascii="仿宋_GB2312"/>
          <w:sz w:val="32"/>
          <w:szCs w:val="32"/>
          <w:lang w:eastAsia="zh-CN"/>
        </w:rPr>
        <w:t>项目情况设计调查问卷，设置</w:t>
      </w:r>
      <w:r>
        <w:rPr>
          <w:rFonts w:hint="eastAsia" w:ascii="仿宋_GB2312"/>
          <w:sz w:val="32"/>
          <w:szCs w:val="32"/>
          <w:lang w:val="en-US" w:eastAsia="zh-CN"/>
        </w:rPr>
        <w:t>5个问题，共发放50份，收回45份，</w:t>
      </w:r>
      <w:r>
        <w:rPr>
          <w:rFonts w:hint="eastAsia" w:ascii="仿宋_GB2312"/>
          <w:color w:val="000000"/>
          <w:sz w:val="32"/>
          <w:szCs w:val="32"/>
        </w:rPr>
        <w:t>我们对访谈结果进行整理分析，形成访谈分析报告，并结合项目实施情况、调查问卷，最终得出项目效益中的社会效益部分的自评得分。</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3.数据分析和撰写报告</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lang w:eastAsia="zh-CN"/>
        </w:rPr>
        <w:t>东川分局</w:t>
      </w:r>
      <w:r>
        <w:rPr>
          <w:rFonts w:hint="eastAsia" w:ascii="仿宋_GB2312"/>
          <w:sz w:val="32"/>
          <w:szCs w:val="32"/>
        </w:rPr>
        <w:t>对201</w:t>
      </w:r>
      <w:r>
        <w:rPr>
          <w:rFonts w:hint="eastAsia" w:ascii="仿宋_GB2312"/>
          <w:sz w:val="32"/>
          <w:szCs w:val="32"/>
          <w:lang w:val="en-US" w:eastAsia="zh-CN"/>
        </w:rPr>
        <w:t>9</w:t>
      </w:r>
      <w:r>
        <w:rPr>
          <w:rFonts w:hint="eastAsia" w:ascii="仿宋_GB2312"/>
          <w:sz w:val="32"/>
          <w:szCs w:val="32"/>
        </w:rPr>
        <w:t>年</w:t>
      </w:r>
      <w:r>
        <w:rPr>
          <w:rFonts w:hint="eastAsia" w:ascii="仿宋_GB2312"/>
          <w:sz w:val="32"/>
          <w:szCs w:val="32"/>
          <w:lang w:eastAsia="zh-CN"/>
        </w:rPr>
        <w:t>重金属污染综合污染防治项目</w:t>
      </w:r>
      <w:r>
        <w:rPr>
          <w:rFonts w:hint="eastAsia" w:ascii="仿宋_GB2312"/>
          <w:sz w:val="32"/>
          <w:szCs w:val="32"/>
        </w:rPr>
        <w:t>从项目决策、项目管理、项目绩效（包括产出和效益）三个方面对各项目数据进行分析评价，得出评价结论及自评得分，撰写绩效自评报告。</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项目决策方面，主要是评价绩效目标的设定情况，包括绩效目标设立的充分性、明确性、合理性以及细化程度，看绩效目标的设立是否符合客观实际，是否与部门履职相一致，绩效指标是否清晰、细化、可衡量。</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高效；项目制度包括项目管理制度、财务管理制度、资产管理制度和绩效跟踪管理措施以及制度措施的落实情况。</w:t>
      </w:r>
    </w:p>
    <w:p>
      <w:pPr>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项目绩效方面，主要是绩效目标的实现程度和效果，绩效目标的实现程度包括产出数量、产出质量、产出时效和产出成本；效果包括经济效益、社会效益、生态效益、可持续影响以及服务对象满意度等。</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8" w:name="_Toc9837817"/>
      <w:r>
        <w:rPr>
          <w:rFonts w:hint="eastAsia" w:ascii="楷体" w:hAnsi="楷体" w:eastAsia="楷体" w:cs="楷体"/>
          <w:b w:val="0"/>
          <w:bCs w:val="0"/>
          <w:sz w:val="32"/>
          <w:szCs w:val="32"/>
        </w:rPr>
        <w:t>（五）本次绩效评价的局限性</w:t>
      </w:r>
      <w:bookmarkEnd w:id="8"/>
    </w:p>
    <w:p>
      <w:pPr>
        <w:spacing w:line="600" w:lineRule="exact"/>
        <w:jc w:val="left"/>
        <w:rPr>
          <w:rFonts w:hint="default" w:ascii="仿宋_GB2312"/>
          <w:sz w:val="32"/>
          <w:szCs w:val="32"/>
          <w:lang w:val="en-US" w:eastAsia="zh-CN"/>
        </w:rPr>
      </w:pPr>
      <w:r>
        <w:rPr>
          <w:rFonts w:hint="eastAsia" w:ascii="仿宋_GB2312"/>
          <w:sz w:val="32"/>
          <w:szCs w:val="32"/>
          <w:lang w:val="en-US" w:eastAsia="zh-CN"/>
        </w:rPr>
        <w:t xml:space="preserve">     重金属污染防治项目的实施，为销减重金属的污染，提高废水利用率，专业性较强，在进行问卷调查时，社会公众对该项目不了解，问卷选项勾选不客观。</w:t>
      </w:r>
    </w:p>
    <w:p>
      <w:pPr>
        <w:pStyle w:val="2"/>
        <w:adjustRightInd w:val="0"/>
        <w:snapToGrid w:val="0"/>
        <w:spacing w:before="0" w:after="0" w:line="600" w:lineRule="exact"/>
        <w:ind w:firstLine="632" w:firstLineChars="200"/>
        <w:rPr>
          <w:rFonts w:hint="eastAsia" w:ascii="黑体" w:eastAsia="黑体"/>
          <w:b w:val="0"/>
          <w:bCs w:val="0"/>
          <w:sz w:val="32"/>
          <w:szCs w:val="32"/>
        </w:rPr>
      </w:pPr>
      <w:bookmarkStart w:id="9" w:name="_Toc9837818"/>
      <w:r>
        <w:rPr>
          <w:rFonts w:hint="eastAsia" w:ascii="黑体" w:eastAsia="黑体"/>
          <w:b w:val="0"/>
          <w:bCs w:val="0"/>
          <w:sz w:val="32"/>
          <w:szCs w:val="32"/>
        </w:rPr>
        <w:t>三、评价结论和绩效分析</w:t>
      </w:r>
      <w:bookmarkEnd w:id="9"/>
    </w:p>
    <w:p>
      <w:pPr>
        <w:pStyle w:val="3"/>
        <w:adjustRightInd w:val="0"/>
        <w:snapToGrid w:val="0"/>
        <w:spacing w:before="0" w:after="0" w:line="600" w:lineRule="exact"/>
        <w:ind w:left="632" w:leftChars="200"/>
        <w:rPr>
          <w:rFonts w:hint="eastAsia" w:ascii="楷体" w:hAnsi="楷体" w:eastAsia="楷体" w:cs="楷体"/>
          <w:b w:val="0"/>
          <w:bCs w:val="0"/>
          <w:sz w:val="32"/>
          <w:szCs w:val="32"/>
        </w:rPr>
      </w:pPr>
      <w:bookmarkStart w:id="10" w:name="_Toc9837819"/>
      <w:r>
        <w:rPr>
          <w:rFonts w:hint="eastAsia" w:ascii="楷体" w:hAnsi="楷体" w:eastAsia="楷体" w:cs="楷体"/>
          <w:b w:val="0"/>
          <w:bCs w:val="0"/>
          <w:sz w:val="32"/>
          <w:szCs w:val="32"/>
        </w:rPr>
        <w:t>（一）评价结论</w:t>
      </w:r>
      <w:bookmarkEnd w:id="10"/>
    </w:p>
    <w:p>
      <w:pPr>
        <w:topLinePunct/>
        <w:adjustRightInd w:val="0"/>
        <w:snapToGrid w:val="0"/>
        <w:spacing w:line="600" w:lineRule="exact"/>
        <w:ind w:firstLine="632" w:firstLineChars="200"/>
        <w:rPr>
          <w:rFonts w:hint="eastAsia" w:ascii="仿宋_GB2312"/>
          <w:color w:val="000000"/>
          <w:sz w:val="32"/>
          <w:szCs w:val="32"/>
        </w:rPr>
      </w:pPr>
      <w:r>
        <w:rPr>
          <w:rFonts w:hint="eastAsia" w:ascii="仿宋_GB2312"/>
          <w:color w:val="000000"/>
          <w:sz w:val="32"/>
          <w:szCs w:val="32"/>
        </w:rPr>
        <w:t>1.评价结果</w:t>
      </w:r>
    </w:p>
    <w:p>
      <w:pPr>
        <w:adjustRightInd w:val="0"/>
        <w:snapToGrid w:val="0"/>
        <w:spacing w:line="600" w:lineRule="exact"/>
        <w:ind w:firstLine="632" w:firstLineChars="200"/>
        <w:rPr>
          <w:rFonts w:hint="default" w:ascii="仿宋_GB2312"/>
          <w:color w:val="auto"/>
          <w:sz w:val="32"/>
          <w:szCs w:val="32"/>
          <w:highlight w:val="none"/>
          <w:lang w:val="en-US" w:eastAsia="zh-CN"/>
        </w:rPr>
      </w:pPr>
      <w:r>
        <w:rPr>
          <w:rFonts w:hint="eastAsia" w:ascii="仿宋_GB2312"/>
          <w:color w:val="auto"/>
          <w:sz w:val="32"/>
          <w:szCs w:val="32"/>
          <w:highlight w:val="none"/>
          <w:lang w:eastAsia="zh-CN"/>
        </w:rPr>
        <w:t>我们从项目决策、项目管理、项目绩效三个方面对中央重金属污染防治项目进行评价，重金属污染防治项目的实施，对提高环境监测水平，提高预警，销减重金属含量，提高废水资料利用，抑制大气污染等方面有促进作用，但项目实施进度慢，预计</w:t>
      </w:r>
      <w:r>
        <w:rPr>
          <w:rFonts w:hint="eastAsia" w:ascii="仿宋_GB2312"/>
          <w:color w:val="auto"/>
          <w:sz w:val="32"/>
          <w:szCs w:val="32"/>
          <w:highlight w:val="none"/>
          <w:lang w:val="en-US" w:eastAsia="zh-CN"/>
        </w:rPr>
        <w:t>部分</w:t>
      </w:r>
      <w:r>
        <w:rPr>
          <w:rFonts w:hint="eastAsia" w:ascii="仿宋_GB2312"/>
          <w:color w:val="auto"/>
          <w:sz w:val="32"/>
          <w:szCs w:val="32"/>
          <w:highlight w:val="none"/>
          <w:lang w:eastAsia="zh-CN"/>
        </w:rPr>
        <w:t>效益无法实现，</w:t>
      </w:r>
      <w:r>
        <w:rPr>
          <w:rFonts w:hint="eastAsia" w:ascii="仿宋_GB2312"/>
          <w:color w:val="auto"/>
          <w:sz w:val="32"/>
          <w:szCs w:val="32"/>
          <w:highlight w:val="none"/>
          <w:lang w:val="en-US" w:eastAsia="zh-CN"/>
        </w:rPr>
        <w:t>部分项目程序执行不规范，</w:t>
      </w:r>
      <w:r>
        <w:rPr>
          <w:rFonts w:hint="eastAsia" w:ascii="仿宋_GB2312"/>
          <w:color w:val="auto"/>
          <w:sz w:val="32"/>
          <w:szCs w:val="32"/>
          <w:highlight w:val="none"/>
          <w:lang w:eastAsia="zh-CN"/>
        </w:rPr>
        <w:t>经评价，东川区保局2018年中央重金属污染综合防治专项资金项目支出绩效自评</w:t>
      </w:r>
      <w:r>
        <w:rPr>
          <w:rFonts w:hint="eastAsia" w:ascii="仿宋_GB2312"/>
          <w:color w:val="auto"/>
          <w:sz w:val="32"/>
          <w:szCs w:val="32"/>
          <w:highlight w:val="none"/>
          <w:lang w:val="en-US" w:eastAsia="zh-CN"/>
        </w:rPr>
        <w:t>得分</w:t>
      </w:r>
      <w:r>
        <w:rPr>
          <w:rFonts w:hint="eastAsia" w:ascii="仿宋_GB2312"/>
          <w:color w:val="auto"/>
          <w:sz w:val="32"/>
          <w:szCs w:val="32"/>
          <w:highlight w:val="none"/>
          <w:lang w:eastAsia="zh-CN"/>
        </w:rPr>
        <w:t>：</w:t>
      </w:r>
      <w:r>
        <w:rPr>
          <w:rFonts w:hint="eastAsia" w:ascii="仿宋_GB2312"/>
          <w:color w:val="auto"/>
          <w:sz w:val="32"/>
          <w:szCs w:val="32"/>
          <w:highlight w:val="none"/>
          <w:lang w:val="en-US" w:eastAsia="zh-CN"/>
        </w:rPr>
        <w:t>70分，绩效评价等级：“中”。</w:t>
      </w:r>
    </w:p>
    <w:p>
      <w:pPr>
        <w:topLinePunct/>
        <w:adjustRightInd w:val="0"/>
        <w:snapToGrid w:val="0"/>
        <w:spacing w:line="600" w:lineRule="exact"/>
        <w:ind w:firstLine="948" w:firstLineChars="300"/>
        <w:rPr>
          <w:rFonts w:hint="eastAsia" w:ascii="仿宋_GB2312"/>
          <w:color w:val="000000"/>
          <w:sz w:val="32"/>
          <w:szCs w:val="32"/>
        </w:rPr>
      </w:pPr>
      <w:r>
        <w:rPr>
          <w:rFonts w:hint="eastAsia" w:ascii="仿宋_GB2312"/>
          <w:color w:val="000000"/>
          <w:sz w:val="32"/>
          <w:szCs w:val="32"/>
        </w:rPr>
        <w:t>2.主要绩效</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bookmarkStart w:id="11" w:name="_Toc9837820"/>
      <w:r>
        <w:rPr>
          <w:rFonts w:hint="eastAsia" w:ascii="楷体" w:hAnsi="楷体" w:eastAsia="楷体" w:cs="楷体"/>
          <w:b w:val="0"/>
          <w:bCs w:val="0"/>
          <w:sz w:val="32"/>
          <w:szCs w:val="32"/>
        </w:rPr>
        <w:t>（二）具体绩效分析</w:t>
      </w:r>
      <w:bookmarkEnd w:id="11"/>
    </w:p>
    <w:tbl>
      <w:tblPr>
        <w:tblStyle w:val="8"/>
        <w:tblW w:w="8326" w:type="dxa"/>
        <w:tblInd w:w="0" w:type="dxa"/>
        <w:tblLayout w:type="fixed"/>
        <w:tblCellMar>
          <w:top w:w="0" w:type="dxa"/>
          <w:left w:w="0" w:type="dxa"/>
          <w:bottom w:w="0" w:type="dxa"/>
          <w:right w:w="0" w:type="dxa"/>
        </w:tblCellMar>
      </w:tblPr>
      <w:tblGrid>
        <w:gridCol w:w="648"/>
        <w:gridCol w:w="640"/>
        <w:gridCol w:w="650"/>
        <w:gridCol w:w="1505"/>
        <w:gridCol w:w="404"/>
        <w:gridCol w:w="424"/>
        <w:gridCol w:w="1737"/>
        <w:gridCol w:w="2318"/>
      </w:tblGrid>
      <w:tr>
        <w:tblPrEx>
          <w:tblLayout w:type="fixed"/>
          <w:tblCellMar>
            <w:top w:w="0" w:type="dxa"/>
            <w:left w:w="0" w:type="dxa"/>
            <w:bottom w:w="0" w:type="dxa"/>
            <w:right w:w="0" w:type="dxa"/>
          </w:tblCellMar>
        </w:tblPrEx>
        <w:trPr>
          <w:trHeight w:val="30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一级指标</w:t>
            </w: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二级指标</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三级指标</w:t>
            </w:r>
          </w:p>
        </w:tc>
        <w:tc>
          <w:tcPr>
            <w:tcW w:w="15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四级指标</w:t>
            </w:r>
          </w:p>
        </w:tc>
        <w:tc>
          <w:tcPr>
            <w:tcW w:w="4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分值</w:t>
            </w:r>
          </w:p>
        </w:tc>
        <w:tc>
          <w:tcPr>
            <w:tcW w:w="4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得分</w:t>
            </w:r>
          </w:p>
        </w:tc>
        <w:tc>
          <w:tcPr>
            <w:tcW w:w="173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指标解释</w:t>
            </w:r>
          </w:p>
        </w:tc>
        <w:tc>
          <w:tcPr>
            <w:tcW w:w="23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评价情况</w:t>
            </w:r>
          </w:p>
        </w:tc>
      </w:tr>
      <w:tr>
        <w:tblPrEx>
          <w:tblLayout w:type="fixed"/>
          <w:tblCellMar>
            <w:top w:w="0" w:type="dxa"/>
            <w:left w:w="0" w:type="dxa"/>
            <w:bottom w:w="0" w:type="dxa"/>
            <w:right w:w="0" w:type="dxa"/>
          </w:tblCellMar>
        </w:tblPrEx>
        <w:trPr>
          <w:trHeight w:val="28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4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4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c>
          <w:tcPr>
            <w:tcW w:w="23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18"/>
                <w:szCs w:val="18"/>
                <w:u w:val="none"/>
              </w:rPr>
            </w:pPr>
          </w:p>
        </w:tc>
      </w:tr>
      <w:tr>
        <w:tblPrEx>
          <w:tblLayout w:type="fixed"/>
          <w:tblCellMar>
            <w:top w:w="0" w:type="dxa"/>
            <w:left w:w="0" w:type="dxa"/>
            <w:bottom w:w="0" w:type="dxa"/>
            <w:right w:w="0" w:type="dxa"/>
          </w:tblCellMar>
        </w:tblPrEx>
        <w:trPr>
          <w:trHeight w:val="57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A.项目决策（20%）</w:t>
            </w: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A1.项目立项（8%）</w:t>
            </w: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A11.与政府中长期规划目标适应性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A111.与政府中长期规划目标匹配性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考察项目与政府中长期目标是否匹配</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与政府中长期目标匹配</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A12.立项依据充分性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A121.与部门相关规划、决策匹配性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考察项目是否符合部门中长期发展规划和政府决策</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符合部门中长期发展规划和政府决策</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A122.与部门职责适应性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考察项目是否与部门职责密切相关</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与部门职责密切相关</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A13.项目立项规范性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A131.前期调研情况</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考察项目立项是否经过前期调研</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立项已经过前期调研</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A132.立项程序规范性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考察项目的申请、设立过程是否符合相关要求</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申请、设立过程符合相关要求</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A2.项目目标（12%）</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A21.绩效目标设定的合理性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A211.绩效目标相关性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考察设定的绩效目标是否与发展规划相关</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设定的绩效目标与发展规划相关</w:t>
            </w:r>
          </w:p>
        </w:tc>
      </w:tr>
      <w:tr>
        <w:tblPrEx>
          <w:tblLayout w:type="fixed"/>
          <w:tblCellMar>
            <w:top w:w="0" w:type="dxa"/>
            <w:left w:w="0" w:type="dxa"/>
            <w:bottom w:w="0" w:type="dxa"/>
            <w:right w:w="0" w:type="dxa"/>
          </w:tblCellMar>
        </w:tblPrEx>
        <w:trPr>
          <w:trHeight w:val="5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A212.绩效目标完整性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考察设定的绩效目标是否完整地反应预期产出和效果</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绩效目标能完整地反应预期产出和效果</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A213.目标与预算的匹配性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考察设定的绩效目标是否与年度预算相匹配</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的绩效目标与年度预算相匹配</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A22.绩效指标设定的明确性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A221.指标细化分解情况</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考察是否将绩效目标细化分解为清晰、可量化的绩效指标</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绩效目标细化分解为清晰、可量化的绩效指标</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A222.指标与目标的匹配性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考察设定的绩效指标是否与年度工作任务相对应</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绩效指标与年度工作任务相对应</w:t>
            </w:r>
          </w:p>
        </w:tc>
      </w:tr>
      <w:tr>
        <w:tblPrEx>
          <w:tblLayout w:type="fixed"/>
          <w:tblCellMar>
            <w:top w:w="0" w:type="dxa"/>
            <w:left w:w="0" w:type="dxa"/>
            <w:bottom w:w="0" w:type="dxa"/>
            <w:right w:w="0" w:type="dxa"/>
          </w:tblCellMar>
        </w:tblPrEx>
        <w:trPr>
          <w:trHeight w:val="570" w:hRule="atLeast"/>
        </w:trPr>
        <w:tc>
          <w:tcPr>
            <w:tcW w:w="648"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B.项目管理（24%）</w:t>
            </w:r>
          </w:p>
        </w:tc>
        <w:tc>
          <w:tcPr>
            <w:tcW w:w="640"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B1.投入管理（8%）</w:t>
            </w: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B11.预算编制合理性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B111.预算编制合理</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考察预算编制是否充分、合理的预计项目支出并完整反应</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预算编制合理</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B12.预算调整规范性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B121.预算调整程序执行规范性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考察存在预算调整时是否按照相关规定执行调整程序</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调整程序执行规范</w:t>
            </w:r>
          </w:p>
        </w:tc>
      </w:tr>
      <w:tr>
        <w:tblPrEx>
          <w:tblLayout w:type="fixed"/>
          <w:tblCellMar>
            <w:top w:w="0" w:type="dxa"/>
            <w:left w:w="0" w:type="dxa"/>
            <w:bottom w:w="0" w:type="dxa"/>
            <w:right w:w="0" w:type="dxa"/>
          </w:tblCellMar>
        </w:tblPrEx>
        <w:trPr>
          <w:trHeight w:val="148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B13.预算执行率</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B131.预算执行情况</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考察项目预算执行的进度。预算执行率=实际支出金额/项目预算金额×100%</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截止绩效自评日，项目中央资金到位26,000.00万元，资金支出14,584.71万元，其中：本级支出1,142.11万元，拨付项目企业13,442.6万元，资金上缴6,603.69万元，资金结转4,811.6万元，结转率18.51%。</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项目单位共收到中央重金属污染防治专项资金13,442.6万元，资金使用5,837.45万元，资金结转7,605.15万元，结转率56.57%</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B14.资金到位率</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B141.资金及时、足额到位</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考察资金及时、足额到位情况</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资金及时、足额到位</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B2.财务管理（7%）</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B21.资金管理</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B211.资金专账核算</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考察资金会计核算规范性，是否专账核算</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资金专账核算、会计核算规范性</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B212.资金使用情况</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考察项目资金使用是否符合预算批复的用途，是否存在截留、挤占、挪用、虚列支出等情况</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未发现存在截留、挤占、挪用、虚列支出等情况</w:t>
            </w:r>
          </w:p>
        </w:tc>
      </w:tr>
      <w:tr>
        <w:tblPrEx>
          <w:tblLayout w:type="fixed"/>
          <w:tblCellMar>
            <w:top w:w="0" w:type="dxa"/>
            <w:left w:w="0" w:type="dxa"/>
            <w:bottom w:w="0" w:type="dxa"/>
            <w:right w:w="0" w:type="dxa"/>
          </w:tblCellMar>
        </w:tblPrEx>
        <w:trPr>
          <w:trHeight w:val="114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B22.财务管理制度健全性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B221.建立健全财务管理制度</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考察项目的财务制度是否健全、完善、有效，有效执行</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相关财务制度不健全</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B23.财务监控有效性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B231.资金拨付程序完整性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考察资金拨付是否具有完整的审批程序和手续，是否符合相关制度规定</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资金拨付申请、审批手续完整</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B232.财务制度执行有效性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考察是否存在违反相关财务管理制度的情况</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未违反相关财务管理制度</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B233.资金拨付进行跟踪管理</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考察是否对资金拨付进行跟踪管理</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未对实施企业资金进行跟踪管理</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B3.项目实施（9%）</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B31.项目管理制度健全性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B311.项目实施单位管理制度健全性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项目实施单位为保障项目顺利实施制订的与项目直接相关的业务管理制度是否健全、完善和有效</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制订相关制度或采取措施</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B312.管理方监管措施健全性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考察项目主管部门为保障项目顺利实施采取的监管措施是否明确，是否存在需要完善的风险控制环节</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监管措施明确、完善</w:t>
            </w:r>
          </w:p>
        </w:tc>
      </w:tr>
      <w:tr>
        <w:tblPrEx>
          <w:tblLayout w:type="fixed"/>
          <w:tblCellMar>
            <w:top w:w="0" w:type="dxa"/>
            <w:left w:w="0" w:type="dxa"/>
            <w:bottom w:w="0" w:type="dxa"/>
            <w:right w:w="0" w:type="dxa"/>
          </w:tblCellMar>
        </w:tblPrEx>
        <w:trPr>
          <w:trHeight w:val="122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B32.项目管理制度执行有效性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B321.项目实施单位管理制度执行情况</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考察项目实施单位制订的项目合同制；监理制；定期通过评估考核制度是否有效执行；项目可研、中标通知书、合同、验收、结算是否齐全；项目后期移交或管护制度制定及执行是否有效。</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制定的相关制度未有效执行</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B33.政府采购规范性</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B331.采购方式、采购流程合规性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考察采购方式是否符合中央、省、市的相关要求；考察采购流程是否符合相关规定</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众智未进行公开招标</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B34.绩效管理工作</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B341.项目单位绩效管理执行规范性</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考察项目单位是否严格按照绩效管理规定对预算资金支出情况开展绩效自评</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对绩效管理相关规定执行到位</w:t>
            </w:r>
          </w:p>
        </w:tc>
      </w:tr>
      <w:tr>
        <w:tblPrEx>
          <w:tblLayout w:type="fixed"/>
          <w:tblCellMar>
            <w:top w:w="0" w:type="dxa"/>
            <w:left w:w="0" w:type="dxa"/>
            <w:bottom w:w="0" w:type="dxa"/>
            <w:right w:w="0" w:type="dxa"/>
          </w:tblCellMar>
        </w:tblPrEx>
        <w:trPr>
          <w:trHeight w:val="294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C.项目绩效（56%）</w:t>
            </w:r>
          </w:p>
        </w:tc>
        <w:tc>
          <w:tcPr>
            <w:tcW w:w="640"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C1.项目产出（35%）</w:t>
            </w: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C11.重金属污染综合治理项目完成情况</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C111.10项目工程完工情况</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工程项目是否完工验收（一个项目3分)</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截止绩效自评日，云南铜业凯通有色金属有限公司污酸废水深度处理工程、昆明市石将军矿业有限责任公司尾矿库选矿废水处理及水资源回用工程、昆明市东川金水矿业有限责任公司尾矿库选矿废水处理及水资源回用工程、东川区基础能力建设项目、空气自动站建设项目、昆明风景矿业有限公司黄水菁尾矿库选矿废水处理及水资源回用工程5项完工建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昆明众智铜业有限公司重金属污染综合治理工程、东川四方地片区河里湾工业弃渣集中处置工程、云南紫润矿业有限公司绿茂紫牛大凹子尾矿库选矿废水处理及水资源回用工程3项未完工；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云南红富化肥有限公司东川四方地片区河里湾工业弃渣集中处置工程、昆明汤丹冶金有限责任公司汤丹乌龙河片区选矿废水处理及水资源回用工程2项未按计划实施。</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C12.项目完成及时率</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C121.项目完成及时率</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项目完成及时率=(实际完成时间/计划完成时间）*100%</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项目完成率为50%</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C2.项目效益（21%）</w:t>
            </w: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C21.社会效益</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C211.提高环境监测及监察能力，确保沿河周边居民生产、生活安全，维护社会稳定</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环境监测和监察能力是否能较好满足现状，沿河周边居民生产、生活安全得以保障，维护社会稳定</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有效果2分</w:t>
            </w:r>
          </w:p>
        </w:tc>
      </w:tr>
      <w:tr>
        <w:tblPrEx>
          <w:tblLayout w:type="fixed"/>
          <w:tblCellMar>
            <w:top w:w="0" w:type="dxa"/>
            <w:left w:w="0" w:type="dxa"/>
            <w:bottom w:w="0" w:type="dxa"/>
            <w:right w:w="0" w:type="dxa"/>
          </w:tblCellMar>
        </w:tblPrEx>
        <w:trPr>
          <w:trHeight w:val="8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C22.生态效益</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C221废水、废弃重金属污染物铅、砷明显削减，选矿和冶炼废渣的集中综合处置，改善区域水和大气环境质量</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重金属减排量削减率达5%；重金属废水的回用提高率35%；涉重企业的废渣处理和处置率100%</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有效果2分</w:t>
            </w:r>
          </w:p>
        </w:tc>
      </w:tr>
      <w:tr>
        <w:tblPrEx>
          <w:tblLayout w:type="fixed"/>
          <w:tblCellMar>
            <w:top w:w="0" w:type="dxa"/>
            <w:left w:w="0" w:type="dxa"/>
            <w:bottom w:w="0" w:type="dxa"/>
            <w:right w:w="0" w:type="dxa"/>
          </w:tblCellMar>
        </w:tblPrEx>
        <w:trPr>
          <w:trHeight w:val="57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C222有效提高废水使用率，节约资源</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重金属废水的回用提高率35%</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有效果2分</w:t>
            </w:r>
          </w:p>
        </w:tc>
      </w:tr>
      <w:tr>
        <w:tblPrEx>
          <w:tblLayout w:type="fixed"/>
          <w:tblCellMar>
            <w:top w:w="0" w:type="dxa"/>
            <w:left w:w="0" w:type="dxa"/>
            <w:bottom w:w="0" w:type="dxa"/>
            <w:right w:w="0" w:type="dxa"/>
          </w:tblCellMar>
        </w:tblPrEx>
        <w:trPr>
          <w:trHeight w:val="15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C25.满意度</w:t>
            </w:r>
          </w:p>
        </w:tc>
        <w:tc>
          <w:tcPr>
            <w:tcW w:w="15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C251满意度</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满意度=（满意与基本满意份数）/总调查问卷份数</w:t>
            </w: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以问卷调查、匿名填写的方式，每份问卷设置5个问题，发放50份，对收回的45份问卷进行统计、汇总、分析，了解社会公众对2019年中央重金属污染综合防治专项资金知晓率及满意度。，社会公众对2019年中央重金属污染综合防治专项资金</w:t>
            </w:r>
            <w:r>
              <w:rPr>
                <w:rFonts w:hint="eastAsia" w:ascii="仿宋_GB2312" w:hAnsi="仿宋_GB2312" w:cs="仿宋_GB2312"/>
                <w:i w:val="0"/>
                <w:color w:val="000000"/>
                <w:kern w:val="0"/>
                <w:sz w:val="18"/>
                <w:szCs w:val="18"/>
                <w:u w:val="none"/>
                <w:lang w:val="en-US" w:eastAsia="zh-CN" w:bidi="ar"/>
              </w:rPr>
              <w:t>问题的</w:t>
            </w:r>
            <w:r>
              <w:rPr>
                <w:rFonts w:hint="eastAsia" w:ascii="仿宋_GB2312" w:hAnsi="仿宋_GB2312" w:eastAsia="仿宋_GB2312" w:cs="仿宋_GB2312"/>
                <w:i w:val="0"/>
                <w:color w:val="000000"/>
                <w:kern w:val="0"/>
                <w:sz w:val="18"/>
                <w:szCs w:val="18"/>
                <w:u w:val="none"/>
                <w:lang w:val="en-US" w:eastAsia="zh-CN" w:bidi="ar"/>
              </w:rPr>
              <w:t>满意</w:t>
            </w:r>
            <w:r>
              <w:rPr>
                <w:rFonts w:hint="eastAsia" w:ascii="仿宋_GB2312" w:hAnsi="仿宋_GB2312" w:cs="仿宋_GB2312"/>
                <w:i w:val="0"/>
                <w:color w:val="000000"/>
                <w:kern w:val="0"/>
                <w:sz w:val="18"/>
                <w:szCs w:val="18"/>
                <w:u w:val="none"/>
                <w:lang w:val="en-US" w:eastAsia="zh-CN" w:bidi="ar"/>
              </w:rPr>
              <w:t>度个数为</w:t>
            </w:r>
            <w:r>
              <w:rPr>
                <w:rFonts w:hint="eastAsia" w:ascii="仿宋_GB2312" w:hAnsi="仿宋_GB2312" w:eastAsia="仿宋_GB2312" w:cs="仿宋_GB2312"/>
                <w:i w:val="0"/>
                <w:color w:val="000000"/>
                <w:kern w:val="0"/>
                <w:sz w:val="18"/>
                <w:szCs w:val="18"/>
                <w:u w:val="none"/>
                <w:lang w:val="en-US" w:eastAsia="zh-CN" w:bidi="ar"/>
              </w:rPr>
              <w:t>164</w:t>
            </w:r>
            <w:r>
              <w:rPr>
                <w:rFonts w:hint="eastAsia" w:ascii="仿宋_GB2312" w:hAnsi="仿宋_GB2312" w:cs="仿宋_GB2312"/>
                <w:i w:val="0"/>
                <w:color w:val="000000"/>
                <w:kern w:val="0"/>
                <w:sz w:val="18"/>
                <w:szCs w:val="18"/>
                <w:u w:val="none"/>
                <w:lang w:val="en-US" w:eastAsia="zh-CN" w:bidi="ar"/>
              </w:rPr>
              <w:t>个</w:t>
            </w:r>
            <w:r>
              <w:rPr>
                <w:rFonts w:hint="eastAsia" w:ascii="仿宋_GB2312" w:hAnsi="仿宋_GB2312" w:eastAsia="仿宋_GB2312" w:cs="仿宋_GB2312"/>
                <w:i w:val="0"/>
                <w:color w:val="000000"/>
                <w:kern w:val="0"/>
                <w:sz w:val="18"/>
                <w:szCs w:val="18"/>
                <w:u w:val="none"/>
                <w:lang w:val="en-US" w:eastAsia="zh-CN" w:bidi="ar"/>
              </w:rPr>
              <w:t>，占72.89%，基本满意38</w:t>
            </w:r>
            <w:r>
              <w:rPr>
                <w:rFonts w:hint="eastAsia" w:ascii="仿宋_GB2312" w:hAnsi="仿宋_GB2312" w:cs="仿宋_GB2312"/>
                <w:i w:val="0"/>
                <w:color w:val="000000"/>
                <w:kern w:val="0"/>
                <w:sz w:val="18"/>
                <w:szCs w:val="18"/>
                <w:u w:val="none"/>
                <w:lang w:val="en-US" w:eastAsia="zh-CN" w:bidi="ar"/>
              </w:rPr>
              <w:t>个</w:t>
            </w:r>
            <w:r>
              <w:rPr>
                <w:rFonts w:hint="eastAsia" w:ascii="仿宋_GB2312" w:hAnsi="仿宋_GB2312" w:eastAsia="仿宋_GB2312" w:cs="仿宋_GB2312"/>
                <w:i w:val="0"/>
                <w:color w:val="000000"/>
                <w:kern w:val="0"/>
                <w:sz w:val="18"/>
                <w:szCs w:val="18"/>
                <w:u w:val="none"/>
                <w:lang w:val="en-US" w:eastAsia="zh-CN" w:bidi="ar"/>
              </w:rPr>
              <w:t>，占16.87%，不满意及不清楚该项目23</w:t>
            </w:r>
            <w:r>
              <w:rPr>
                <w:rFonts w:hint="eastAsia" w:ascii="仿宋_GB2312" w:hAnsi="仿宋_GB2312" w:cs="仿宋_GB2312"/>
                <w:i w:val="0"/>
                <w:color w:val="000000"/>
                <w:kern w:val="0"/>
                <w:sz w:val="18"/>
                <w:szCs w:val="18"/>
                <w:u w:val="none"/>
                <w:lang w:val="en-US" w:eastAsia="zh-CN" w:bidi="ar"/>
              </w:rPr>
              <w:t>个</w:t>
            </w:r>
            <w:r>
              <w:rPr>
                <w:rFonts w:hint="eastAsia" w:ascii="仿宋_GB2312" w:hAnsi="仿宋_GB2312" w:eastAsia="仿宋_GB2312" w:cs="仿宋_GB2312"/>
                <w:i w:val="0"/>
                <w:color w:val="000000"/>
                <w:kern w:val="0"/>
                <w:sz w:val="18"/>
                <w:szCs w:val="18"/>
                <w:u w:val="none"/>
                <w:lang w:val="en-US" w:eastAsia="zh-CN" w:bidi="ar"/>
              </w:rPr>
              <w:t>，占10.22%，社会公众对项目实施较认可。</w:t>
            </w:r>
          </w:p>
        </w:tc>
      </w:tr>
      <w:tr>
        <w:tblPrEx>
          <w:tblLayout w:type="fixed"/>
          <w:tblCellMar>
            <w:top w:w="0" w:type="dxa"/>
            <w:left w:w="0" w:type="dxa"/>
            <w:bottom w:w="0" w:type="dxa"/>
            <w:right w:w="0" w:type="dxa"/>
          </w:tblCellMar>
        </w:tblPrEx>
        <w:trPr>
          <w:trHeight w:val="570" w:hRule="atLeast"/>
        </w:trPr>
        <w:tc>
          <w:tcPr>
            <w:tcW w:w="344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合计</w:t>
            </w:r>
          </w:p>
        </w:tc>
        <w:tc>
          <w:tcPr>
            <w:tcW w:w="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4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w:t>
            </w:r>
          </w:p>
        </w:tc>
        <w:tc>
          <w:tcPr>
            <w:tcW w:w="17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c>
          <w:tcPr>
            <w:tcW w:w="23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18"/>
                <w:szCs w:val="18"/>
                <w:u w:val="none"/>
              </w:rPr>
            </w:pPr>
          </w:p>
        </w:tc>
      </w:tr>
    </w:tbl>
    <w:p>
      <w:pPr>
        <w:topLinePunct/>
        <w:adjustRightInd w:val="0"/>
        <w:snapToGrid w:val="0"/>
        <w:spacing w:line="600" w:lineRule="exact"/>
        <w:rPr>
          <w:rFonts w:hint="eastAsia" w:ascii="仿宋_GB2312"/>
          <w:b w:val="0"/>
          <w:bCs w:val="0"/>
          <w:szCs w:val="32"/>
          <w:lang w:val="en-US" w:eastAsia="zh-CN"/>
        </w:rPr>
      </w:pPr>
    </w:p>
    <w:p>
      <w:pPr>
        <w:spacing w:line="560" w:lineRule="exact"/>
        <w:ind w:firstLine="632" w:firstLineChars="200"/>
        <w:rPr>
          <w:rFonts w:hint="eastAsia" w:ascii="仿宋_GB2312" w:hAnsi="Times New Roman"/>
          <w:bCs/>
          <w:sz w:val="32"/>
          <w:szCs w:val="32"/>
        </w:rPr>
      </w:pPr>
      <w:r>
        <w:rPr>
          <w:rFonts w:hint="eastAsia" w:ascii="仿宋_GB2312"/>
          <w:color w:val="000000"/>
          <w:sz w:val="32"/>
          <w:szCs w:val="32"/>
          <w:lang w:val="de-DE"/>
        </w:rPr>
        <w:t>通过</w:t>
      </w:r>
      <w:r>
        <w:rPr>
          <w:rFonts w:hint="eastAsia" w:ascii="仿宋_GB2312"/>
          <w:color w:val="000000"/>
          <w:sz w:val="32"/>
          <w:szCs w:val="32"/>
          <w:lang w:val="de-DE" w:eastAsia="zh-CN"/>
        </w:rPr>
        <w:t>项目实施，从</w:t>
      </w:r>
      <w:r>
        <w:rPr>
          <w:rFonts w:hint="eastAsia" w:ascii="仿宋_GB2312"/>
          <w:color w:val="000000"/>
          <w:sz w:val="32"/>
          <w:szCs w:val="32"/>
          <w:lang w:val="de-DE"/>
        </w:rPr>
        <w:t>污染源源头控制、过程控制和末端治理的工程措施和监测及监察的监督管理措施，以达到对东川区重金属污染防治的总体目标，实现对重金属污染源的有效削减，有效控制和削减水体中包括砷、铅和镉在内的重金属污染物，从而实现对小江上游大白河断面及下游蒙姑重金属污染削减及污染源控制的目的</w:t>
      </w:r>
      <w:r>
        <w:rPr>
          <w:rFonts w:hint="eastAsia" w:ascii="仿宋_GB2312"/>
          <w:color w:val="000000"/>
          <w:sz w:val="32"/>
          <w:szCs w:val="32"/>
          <w:lang w:val="de-DE" w:eastAsia="zh-CN"/>
        </w:rPr>
        <w:t>，</w:t>
      </w:r>
      <w:r>
        <w:rPr>
          <w:rFonts w:hint="eastAsia" w:ascii="仿宋_GB2312"/>
          <w:color w:val="000000"/>
          <w:sz w:val="32"/>
          <w:szCs w:val="32"/>
          <w:lang w:val="de-DE"/>
        </w:rPr>
        <w:t>以2014年为基数，预计重金属砷削减率26.27%，镉削减率81.13%，铅削减率10.79%</w:t>
      </w:r>
      <w:r>
        <w:rPr>
          <w:rFonts w:hint="eastAsia" w:ascii="仿宋_GB2312"/>
          <w:color w:val="000000"/>
          <w:sz w:val="32"/>
          <w:szCs w:val="32"/>
          <w:lang w:val="de-DE" w:eastAsia="zh-CN"/>
        </w:rPr>
        <w:t>。</w:t>
      </w:r>
      <w:r>
        <w:rPr>
          <w:rFonts w:hint="eastAsia" w:ascii="仿宋_GB2312"/>
          <w:color w:val="000000"/>
          <w:spacing w:val="0"/>
          <w:sz w:val="32"/>
          <w:szCs w:val="32"/>
        </w:rPr>
        <w:t>通过加大重点企业防控力度，提高行业准入门槛；采取综合手段，严格污染源监管；加大重金属污染物整治，积极推清洁生产，开展循环经济；做好修复试点工程，逐步解决历史遗留污染问题；强化监管能力建设，提升监管水平；加强产品安全管理，提升民生保障水平。</w:t>
      </w:r>
      <w:r>
        <w:rPr>
          <w:rFonts w:hint="eastAsia" w:ascii="仿宋_GB2312" w:hAnsi="Times New Roman"/>
          <w:color w:val="000000"/>
          <w:spacing w:val="0"/>
          <w:sz w:val="32"/>
          <w:szCs w:val="32"/>
        </w:rPr>
        <w:t>切实转变发展方式，调整优化产业结构</w:t>
      </w:r>
      <w:r>
        <w:rPr>
          <w:rFonts w:hint="eastAsia" w:ascii="仿宋_GB2312" w:hAnsi="Times New Roman"/>
          <w:color w:val="000000"/>
          <w:spacing w:val="0"/>
          <w:kern w:val="0"/>
          <w:sz w:val="32"/>
          <w:szCs w:val="32"/>
          <w:lang w:val="zh-CN"/>
        </w:rPr>
        <w:t>方案。并集中力量解决一批工业污染场地和矿区土壤污染等的历史遗留问题。重点针对“退城进园”后企业遗弃的土地、需要改变使用功能予以利用的地块、高风险场地，开展污染场地风险评估，开展污染场地修复试点和工程示范。</w:t>
      </w:r>
      <w:r>
        <w:rPr>
          <w:rFonts w:hint="eastAsia" w:ascii="仿宋_GB2312" w:hAnsi="Times New Roman"/>
          <w:bCs/>
          <w:sz w:val="32"/>
          <w:szCs w:val="32"/>
        </w:rPr>
        <w:t>并且项目成果可持续应用。</w:t>
      </w:r>
      <w:r>
        <w:rPr>
          <w:rFonts w:hint="eastAsia" w:ascii="仿宋_GB2312" w:hAnsi="Times New Roman"/>
          <w:sz w:val="32"/>
          <w:szCs w:val="32"/>
        </w:rPr>
        <w:t>整体环境及视觉效果有所提高，优化了人民群众生活条件，靓化环境，促进东川区经济社会快速健康发展。</w:t>
      </w:r>
      <w:r>
        <w:rPr>
          <w:rFonts w:hint="eastAsia" w:ascii="仿宋_GB2312" w:hAnsi="Times New Roman"/>
          <w:bCs/>
          <w:sz w:val="32"/>
          <w:szCs w:val="32"/>
        </w:rPr>
        <w:t>项目实施后推动产业结构发展，将产生一定的工作岗位，增加就业机会，</w:t>
      </w:r>
      <w:r>
        <w:rPr>
          <w:rFonts w:hint="eastAsia" w:ascii="仿宋_GB2312" w:hAnsi="Times New Roman"/>
          <w:sz w:val="32"/>
          <w:szCs w:val="32"/>
        </w:rPr>
        <w:t>与社会发展适应，</w:t>
      </w:r>
      <w:r>
        <w:rPr>
          <w:rFonts w:hint="eastAsia" w:ascii="仿宋_GB2312" w:hAnsi="Times New Roman"/>
          <w:bCs/>
          <w:sz w:val="32"/>
          <w:szCs w:val="32"/>
        </w:rPr>
        <w:t>提升了东川区对外招商引资吸引力。</w:t>
      </w:r>
    </w:p>
    <w:p>
      <w:pPr>
        <w:spacing w:line="560" w:lineRule="exact"/>
        <w:ind w:firstLine="632" w:firstLineChars="200"/>
        <w:rPr>
          <w:rFonts w:hint="default" w:ascii="仿宋_GB2312"/>
          <w:b w:val="0"/>
          <w:bCs w:val="0"/>
          <w:sz w:val="32"/>
          <w:szCs w:val="32"/>
          <w:lang w:val="en-US" w:eastAsia="zh-CN"/>
        </w:rPr>
      </w:pPr>
      <w:r>
        <w:rPr>
          <w:rFonts w:hint="eastAsia" w:ascii="仿宋_GB2312" w:hAnsi="Times New Roman"/>
          <w:sz w:val="32"/>
          <w:szCs w:val="32"/>
        </w:rPr>
        <w:t>评价组对东川区</w:t>
      </w:r>
      <w:r>
        <w:rPr>
          <w:rFonts w:hint="eastAsia" w:ascii="仿宋_GB2312"/>
          <w:color w:val="000000"/>
          <w:spacing w:val="0"/>
          <w:sz w:val="32"/>
          <w:szCs w:val="32"/>
        </w:rPr>
        <w:t>重金属污染综合防治</w:t>
      </w:r>
      <w:r>
        <w:rPr>
          <w:rFonts w:hint="eastAsia" w:ascii="仿宋_GB2312" w:hAnsi="Times New Roman"/>
          <w:sz w:val="32"/>
          <w:szCs w:val="32"/>
        </w:rPr>
        <w:t>项目进行</w:t>
      </w:r>
      <w:r>
        <w:rPr>
          <w:rFonts w:hint="eastAsia" w:ascii="仿宋_GB2312" w:hAnsi="Times New Roman"/>
          <w:sz w:val="32"/>
          <w:szCs w:val="32"/>
          <w:lang w:eastAsia="zh-CN"/>
        </w:rPr>
        <w:t>社会公众满意度调查</w:t>
      </w:r>
      <w:r>
        <w:rPr>
          <w:rFonts w:hint="eastAsia" w:ascii="仿宋_GB2312" w:hAnsi="Times New Roman"/>
          <w:sz w:val="32"/>
          <w:szCs w:val="32"/>
        </w:rPr>
        <w:t>，目的在于对专项资金实施政策及使用效果进行了解，共向社会</w:t>
      </w:r>
      <w:r>
        <w:rPr>
          <w:rFonts w:hint="eastAsia" w:ascii="仿宋_GB2312" w:hAnsi="Times New Roman"/>
          <w:sz w:val="32"/>
          <w:szCs w:val="32"/>
          <w:lang w:eastAsia="zh-CN"/>
        </w:rPr>
        <w:t>公</w:t>
      </w:r>
      <w:r>
        <w:rPr>
          <w:rFonts w:hint="eastAsia" w:ascii="仿宋_GB2312" w:hAnsi="Times New Roman"/>
          <w:sz w:val="32"/>
          <w:szCs w:val="32"/>
        </w:rPr>
        <w:t>众发了</w:t>
      </w:r>
      <w:r>
        <w:rPr>
          <w:rFonts w:hint="eastAsia" w:ascii="仿宋_GB2312" w:hAnsi="Times New Roman"/>
          <w:sz w:val="32"/>
          <w:szCs w:val="32"/>
          <w:lang w:val="en-US" w:eastAsia="zh-CN"/>
        </w:rPr>
        <w:t>50</w:t>
      </w:r>
      <w:r>
        <w:rPr>
          <w:rFonts w:hint="eastAsia" w:ascii="仿宋_GB2312" w:hAnsi="Times New Roman"/>
          <w:sz w:val="32"/>
          <w:szCs w:val="32"/>
        </w:rPr>
        <w:t>份调查问卷，收回</w:t>
      </w:r>
      <w:r>
        <w:rPr>
          <w:rFonts w:hint="eastAsia" w:ascii="仿宋_GB2312" w:hAnsi="Times New Roman"/>
          <w:sz w:val="32"/>
          <w:szCs w:val="32"/>
          <w:lang w:val="en-US" w:eastAsia="zh-CN"/>
        </w:rPr>
        <w:t>45</w:t>
      </w:r>
      <w:r>
        <w:rPr>
          <w:rFonts w:hint="eastAsia" w:ascii="仿宋_GB2312" w:hAnsi="Times New Roman"/>
          <w:sz w:val="32"/>
          <w:szCs w:val="32"/>
        </w:rPr>
        <w:t>份。根据调查问卷结果进行分析：社会群众对</w:t>
      </w:r>
      <w:r>
        <w:rPr>
          <w:rFonts w:hint="eastAsia" w:ascii="仿宋_GB2312"/>
          <w:color w:val="000000"/>
          <w:spacing w:val="0"/>
          <w:sz w:val="32"/>
          <w:szCs w:val="32"/>
        </w:rPr>
        <w:t>重金属污染综合防治</w:t>
      </w:r>
      <w:r>
        <w:rPr>
          <w:rFonts w:hint="eastAsia" w:ascii="仿宋_GB2312" w:hAnsi="Times New Roman"/>
          <w:sz w:val="32"/>
          <w:szCs w:val="32"/>
        </w:rPr>
        <w:t>项目表示基本满意，满意度达</w:t>
      </w:r>
      <w:r>
        <w:rPr>
          <w:rFonts w:hint="eastAsia" w:ascii="仿宋_GB2312" w:hAnsi="Times New Roman"/>
          <w:sz w:val="32"/>
          <w:szCs w:val="32"/>
          <w:lang w:val="en-US" w:eastAsia="zh-CN"/>
        </w:rPr>
        <w:t>89.77</w:t>
      </w:r>
      <w:r>
        <w:rPr>
          <w:rFonts w:hint="eastAsia" w:ascii="仿宋_GB2312" w:hAnsi="Times New Roman"/>
          <w:sz w:val="32"/>
          <w:szCs w:val="32"/>
        </w:rPr>
        <w:t>%。</w:t>
      </w:r>
    </w:p>
    <w:p>
      <w:pPr>
        <w:pStyle w:val="2"/>
        <w:adjustRightInd w:val="0"/>
        <w:snapToGrid w:val="0"/>
        <w:spacing w:before="0" w:after="0" w:line="600" w:lineRule="exact"/>
        <w:ind w:firstLine="632" w:firstLineChars="200"/>
        <w:rPr>
          <w:rFonts w:hint="default" w:ascii="Times New Roman" w:hAnsi="Times New Roman" w:cs="Times New Roman"/>
          <w:b w:val="0"/>
          <w:bCs w:val="0"/>
          <w:sz w:val="32"/>
          <w:szCs w:val="32"/>
        </w:rPr>
      </w:pPr>
      <w:bookmarkStart w:id="12" w:name="_Toc9837821"/>
      <w:r>
        <w:rPr>
          <w:rFonts w:hint="eastAsia" w:ascii="黑体" w:hAnsi="黑体" w:eastAsia="黑体" w:cs="黑体"/>
          <w:b w:val="0"/>
          <w:bCs w:val="0"/>
          <w:sz w:val="32"/>
          <w:szCs w:val="32"/>
        </w:rPr>
        <w:t>四、成本效益分析</w:t>
      </w:r>
      <w:bookmarkEnd w:id="12"/>
    </w:p>
    <w:p>
      <w:pPr>
        <w:pStyle w:val="3"/>
        <w:adjustRightInd w:val="0"/>
        <w:snapToGrid w:val="0"/>
        <w:spacing w:before="0" w:after="0" w:line="600" w:lineRule="exact"/>
        <w:ind w:firstLine="632" w:firstLineChars="200"/>
        <w:rPr>
          <w:rFonts w:hint="eastAsia" w:ascii="楷体" w:hAnsi="楷体" w:eastAsia="楷体" w:cs="楷体"/>
          <w:b w:val="0"/>
          <w:bCs w:val="0"/>
          <w:color w:val="000000"/>
          <w:sz w:val="32"/>
          <w:szCs w:val="32"/>
        </w:rPr>
      </w:pPr>
      <w:bookmarkStart w:id="13" w:name="_Toc9837822"/>
      <w:r>
        <w:rPr>
          <w:rFonts w:hint="eastAsia" w:ascii="楷体" w:hAnsi="楷体" w:eastAsia="楷体" w:cs="楷体"/>
          <w:b w:val="0"/>
          <w:bCs w:val="0"/>
          <w:color w:val="000000"/>
          <w:sz w:val="32"/>
          <w:szCs w:val="32"/>
        </w:rPr>
        <w:t>（一）资金收入及支出结构、资金使用方向</w:t>
      </w:r>
      <w:bookmarkEnd w:id="13"/>
    </w:p>
    <w:p>
      <w:pPr>
        <w:spacing w:line="560" w:lineRule="exact"/>
        <w:ind w:firstLine="632" w:firstLineChars="200"/>
        <w:rPr>
          <w:rFonts w:hint="eastAsia" w:ascii="仿宋_GB2312" w:hAnsi="Times New Roman"/>
          <w:color w:val="auto"/>
          <w:sz w:val="32"/>
          <w:szCs w:val="32"/>
          <w:lang w:val="en-US" w:eastAsia="zh-CN"/>
        </w:rPr>
      </w:pPr>
      <w:bookmarkStart w:id="14" w:name="_Toc9837823"/>
      <w:r>
        <w:rPr>
          <w:rFonts w:hint="eastAsia" w:ascii="仿宋_GB2312"/>
          <w:color w:val="000000"/>
          <w:spacing w:val="0"/>
          <w:sz w:val="32"/>
          <w:szCs w:val="32"/>
          <w:lang w:eastAsia="zh-CN"/>
        </w:rPr>
        <w:t>截止绩效自评日，</w:t>
      </w:r>
      <w:r>
        <w:rPr>
          <w:rFonts w:hint="eastAsia" w:ascii="仿宋_GB2312" w:hAnsi="Times New Roman"/>
          <w:sz w:val="32"/>
          <w:szCs w:val="32"/>
        </w:rPr>
        <w:t>项目</w:t>
      </w:r>
      <w:r>
        <w:rPr>
          <w:rFonts w:hint="eastAsia" w:ascii="仿宋_GB2312" w:hAnsi="Times New Roman"/>
          <w:sz w:val="32"/>
          <w:szCs w:val="32"/>
          <w:lang w:eastAsia="zh-CN"/>
        </w:rPr>
        <w:t>中央资金到位</w:t>
      </w:r>
      <w:r>
        <w:rPr>
          <w:rFonts w:hint="eastAsia" w:ascii="仿宋_GB2312" w:hAnsi="Times New Roman"/>
          <w:sz w:val="32"/>
          <w:szCs w:val="32"/>
        </w:rPr>
        <w:t>26,000.00万元，</w:t>
      </w:r>
      <w:r>
        <w:rPr>
          <w:rFonts w:hint="eastAsia" w:ascii="仿宋_GB2312" w:hAnsi="Times New Roman"/>
          <w:sz w:val="32"/>
          <w:szCs w:val="32"/>
          <w:lang w:eastAsia="zh-CN"/>
        </w:rPr>
        <w:t>资金支出</w:t>
      </w:r>
      <w:r>
        <w:rPr>
          <w:rFonts w:hint="eastAsia" w:ascii="仿宋_GB2312" w:hAnsi="Times New Roman"/>
          <w:sz w:val="32"/>
          <w:szCs w:val="32"/>
          <w:lang w:val="en-US" w:eastAsia="zh-CN"/>
        </w:rPr>
        <w:t>14,584.71万元，其中：本级支出1,142.11万元，拨付项目企</w:t>
      </w:r>
      <w:r>
        <w:rPr>
          <w:rFonts w:hint="eastAsia" w:ascii="仿宋_GB2312" w:hAnsi="Times New Roman"/>
          <w:color w:val="auto"/>
          <w:sz w:val="32"/>
          <w:szCs w:val="32"/>
          <w:lang w:val="en-US" w:eastAsia="zh-CN"/>
        </w:rPr>
        <w:t>业13,442.60万元，资金上缴6,603.69万元，资金结转4,811.60万元，结转率18.51%。</w:t>
      </w:r>
    </w:p>
    <w:p>
      <w:pPr>
        <w:spacing w:line="560" w:lineRule="exact"/>
        <w:ind w:firstLine="632" w:firstLineChars="200"/>
        <w:rPr>
          <w:rFonts w:hint="eastAsia" w:ascii="仿宋_GB2312"/>
          <w:color w:val="auto"/>
          <w:spacing w:val="0"/>
          <w:sz w:val="32"/>
          <w:szCs w:val="32"/>
          <w:lang w:eastAsia="zh-CN"/>
        </w:rPr>
      </w:pPr>
      <w:r>
        <w:rPr>
          <w:rFonts w:hint="eastAsia" w:ascii="仿宋_GB2312" w:hAnsi="Times New Roman"/>
          <w:color w:val="auto"/>
          <w:sz w:val="32"/>
          <w:szCs w:val="32"/>
          <w:lang w:eastAsia="zh-CN"/>
        </w:rPr>
        <w:t>项目单位共收到中央重金属污染防治专项资金</w:t>
      </w:r>
      <w:r>
        <w:rPr>
          <w:rFonts w:hint="eastAsia" w:ascii="仿宋_GB2312" w:hAnsi="Times New Roman"/>
          <w:color w:val="auto"/>
          <w:sz w:val="32"/>
          <w:szCs w:val="32"/>
          <w:lang w:val="en-US" w:eastAsia="zh-CN"/>
        </w:rPr>
        <w:t>13,442.60万元，资金使用5,837.45万元，主要用于支付工程款、设备材料款等，资金结转7,605.15万元，结转率56.57%。</w:t>
      </w:r>
    </w:p>
    <w:p>
      <w:pPr>
        <w:pStyle w:val="3"/>
        <w:numPr>
          <w:ilvl w:val="0"/>
          <w:numId w:val="3"/>
        </w:numPr>
        <w:adjustRightInd w:val="0"/>
        <w:snapToGrid w:val="0"/>
        <w:spacing w:before="0" w:after="0" w:line="600" w:lineRule="exact"/>
        <w:ind w:firstLine="632"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项目和资金管理情况</w:t>
      </w:r>
      <w:bookmarkEnd w:id="14"/>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outlineLvl w:val="9"/>
        <w:rPr>
          <w:rFonts w:hint="eastAsia" w:ascii="仿宋_GB2312" w:hAnsi="仿宋" w:cs="仿宋"/>
          <w:color w:val="0000FF"/>
          <w:spacing w:val="0"/>
          <w:sz w:val="32"/>
          <w:szCs w:val="32"/>
        </w:rPr>
      </w:pPr>
      <w:r>
        <w:rPr>
          <w:rFonts w:hint="eastAsia" w:ascii="仿宋_GB2312" w:hAnsi="Times New Roman" w:cs="Times New Roman"/>
          <w:color w:val="auto"/>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zh-CN" w:eastAsia="zh-CN" w:bidi="ar-SA"/>
        </w:rPr>
        <w:t>东川分局制定</w:t>
      </w:r>
      <w:r>
        <w:rPr>
          <w:rFonts w:hint="eastAsia" w:ascii="仿宋_GB2312" w:hAnsi="Times New Roman" w:cs="Times New Roman"/>
          <w:color w:val="auto"/>
          <w:kern w:val="2"/>
          <w:sz w:val="32"/>
          <w:szCs w:val="32"/>
          <w:lang w:val="zh-CN" w:eastAsia="zh-CN" w:bidi="ar-SA"/>
        </w:rPr>
        <w:t>《</w:t>
      </w:r>
      <w:r>
        <w:rPr>
          <w:rFonts w:hint="eastAsia" w:ascii="仿宋_GB2312" w:hAnsi="Times New Roman" w:eastAsia="仿宋_GB2312" w:cs="Times New Roman"/>
          <w:color w:val="auto"/>
          <w:kern w:val="2"/>
          <w:sz w:val="32"/>
          <w:szCs w:val="32"/>
          <w:lang w:val="en-US" w:eastAsia="zh-CN" w:bidi="ar-SA"/>
        </w:rPr>
        <w:t>昆明市生态环境局东川分局专项资金管理办法</w:t>
      </w:r>
      <w:r>
        <w:rPr>
          <w:rFonts w:hint="eastAsia" w:ascii="仿宋_GB2312" w:hAnsi="Times New Roman" w:cs="Times New Roman"/>
          <w:color w:val="auto"/>
          <w:kern w:val="2"/>
          <w:sz w:val="32"/>
          <w:szCs w:val="32"/>
          <w:lang w:val="zh-CN" w:eastAsia="zh-CN" w:bidi="ar-SA"/>
        </w:rPr>
        <w:t>》</w:t>
      </w:r>
      <w:r>
        <w:rPr>
          <w:rFonts w:hint="eastAsia" w:ascii="仿宋_GB2312" w:hAnsi="Times New Roman" w:eastAsia="仿宋_GB2312" w:cs="Times New Roman"/>
          <w:color w:val="auto"/>
          <w:kern w:val="2"/>
          <w:sz w:val="32"/>
          <w:szCs w:val="32"/>
          <w:lang w:val="en-US" w:eastAsia="zh-CN" w:bidi="ar-SA"/>
        </w:rPr>
        <w:t>，要求设立资金专户，实行封闭运行，</w:t>
      </w:r>
      <w:r>
        <w:rPr>
          <w:rFonts w:hint="eastAsia" w:ascii="仿宋_GB2312" w:hAnsi="Times New Roman" w:eastAsia="仿宋_GB2312" w:cs="Times New Roman"/>
          <w:color w:val="auto"/>
          <w:kern w:val="2"/>
          <w:sz w:val="32"/>
          <w:szCs w:val="32"/>
          <w:lang w:val="zh-CN" w:eastAsia="zh-CN" w:bidi="ar-SA"/>
        </w:rPr>
        <w:t>规定资金支付的审批流程，</w:t>
      </w:r>
      <w:r>
        <w:rPr>
          <w:rFonts w:hint="eastAsia" w:ascii="仿宋_GB2312" w:hAnsi="Times New Roman" w:eastAsia="仿宋_GB2312" w:cs="Times New Roman"/>
          <w:color w:val="auto"/>
          <w:kern w:val="2"/>
          <w:sz w:val="32"/>
          <w:szCs w:val="32"/>
          <w:lang w:val="en-US" w:eastAsia="zh-CN" w:bidi="ar-SA"/>
        </w:rPr>
        <w:t>按照专项资金的用途和范围，预拨启动金：项目启动时，项目责任单位根据建设需要提出用款申请，经昆明市生态环境局东川分局审核后，资金拨付项目施工单位或供货单位，提供合同、中标通知书、开工令等资料，申请项目启动资金，并按签订合同约定比例支付项目启动金，项目启动金最高不超过该项目专项资金补助总额30%。</w:t>
      </w:r>
      <w:r>
        <w:rPr>
          <w:rFonts w:hint="eastAsia" w:ascii="仿宋_GB2312" w:hAnsi="Times New Roman" w:eastAsia="仿宋_GB2312" w:cs="Times New Roman"/>
          <w:color w:val="auto"/>
          <w:kern w:val="2"/>
          <w:sz w:val="32"/>
          <w:szCs w:val="32"/>
          <w:lang w:val="zh-CN" w:eastAsia="zh-CN" w:bidi="ar-SA"/>
        </w:rPr>
        <w:t>项目进度款：</w:t>
      </w:r>
      <w:r>
        <w:rPr>
          <w:rFonts w:hint="eastAsia" w:ascii="仿宋_GB2312" w:hAnsi="Times New Roman" w:eastAsia="仿宋_GB2312" w:cs="Times New Roman"/>
          <w:color w:val="auto"/>
          <w:kern w:val="2"/>
          <w:sz w:val="32"/>
          <w:szCs w:val="32"/>
          <w:lang w:val="en-US" w:eastAsia="zh-CN" w:bidi="ar-SA"/>
        </w:rPr>
        <w:t>项目责任单位根据项目进度提出用款申请，昆明市生态环境局东川分局实地勘察后进行拨付，项目责任单位根据施工单位或供货单位提供经监理签字认定工程量清单、货物验收清单、发票、项目实施照片等有效报账凭据，方可拨付项目进度款。项目尾款：项目建成后3个月内项目责任单位申请初验，验收通过后，施工单位或供货单位提供相关报账资料，经审核后，方能拨付尾款。东川分局同时制定</w:t>
      </w:r>
      <w:r>
        <w:rPr>
          <w:rFonts w:hint="eastAsia" w:ascii="仿宋_GB2312" w:hAnsi="Times New Roman"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昆明市生态环境局东川分局专项资金项目管理办法</w:t>
      </w:r>
      <w:r>
        <w:rPr>
          <w:rFonts w:hint="eastAsia" w:ascii="仿宋_GB2312" w:hAnsi="Times New Roman"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w:t>
      </w:r>
      <w:r>
        <w:rPr>
          <w:rFonts w:hint="eastAsia" w:ascii="仿宋_GB2312" w:hAnsi="Times New Roman" w:cs="Times New Roman"/>
          <w:color w:val="auto"/>
          <w:kern w:val="2"/>
          <w:sz w:val="32"/>
          <w:szCs w:val="32"/>
          <w:lang w:val="en-US" w:eastAsia="zh-CN" w:bidi="ar-SA"/>
        </w:rPr>
        <w:t>要求项目责任单位按规定进行采购，同时做好合同管理、项目实施现场管理等， 施工单位应依据国家法律法规的规定及时编制竣工决算，验收小组对竣工决算进行审核，重点审查决算依据是否完备，相关文件资料是否齐全，竣工清理是否完成，决算编制是否正确，并聘请第三方进行造价结算审计和财务竣工决算审计，工程竣工决算应聘请第三方审计未审计的项目，不得办理工程项目的移交手续。</w:t>
      </w:r>
    </w:p>
    <w:p>
      <w:pPr>
        <w:pStyle w:val="3"/>
        <w:numPr>
          <w:ilvl w:val="0"/>
          <w:numId w:val="3"/>
        </w:numPr>
        <w:adjustRightInd w:val="0"/>
        <w:snapToGrid w:val="0"/>
        <w:spacing w:before="0" w:after="0" w:line="600" w:lineRule="exact"/>
        <w:ind w:left="0" w:leftChars="0" w:firstLine="632" w:firstLineChars="200"/>
        <w:rPr>
          <w:rFonts w:hint="eastAsia" w:ascii="楷体" w:hAnsi="楷体" w:eastAsia="楷体" w:cs="楷体"/>
          <w:b w:val="0"/>
          <w:bCs w:val="0"/>
          <w:sz w:val="32"/>
          <w:szCs w:val="32"/>
        </w:rPr>
      </w:pPr>
      <w:bookmarkStart w:id="15" w:name="_Toc9837824"/>
      <w:r>
        <w:rPr>
          <w:rFonts w:hint="eastAsia" w:ascii="楷体" w:hAnsi="楷体" w:eastAsia="楷体" w:cs="楷体"/>
          <w:b w:val="0"/>
          <w:bCs w:val="0"/>
          <w:sz w:val="32"/>
          <w:szCs w:val="32"/>
        </w:rPr>
        <w:t>资金的节约性、资金使用效果</w:t>
      </w:r>
      <w:bookmarkEnd w:id="15"/>
    </w:p>
    <w:p>
      <w:pPr>
        <w:spacing w:line="560" w:lineRule="exact"/>
        <w:ind w:firstLine="632" w:firstLineChars="200"/>
        <w:rPr>
          <w:rFonts w:hint="eastAsia" w:ascii="仿宋_GB2312" w:hAnsi="Times New Roman"/>
          <w:color w:val="auto"/>
          <w:sz w:val="32"/>
          <w:szCs w:val="32"/>
          <w:lang w:val="en-US" w:eastAsia="zh-CN"/>
        </w:rPr>
      </w:pPr>
      <w:bookmarkStart w:id="16" w:name="_Toc9837825"/>
      <w:r>
        <w:rPr>
          <w:rFonts w:hint="eastAsia" w:ascii="仿宋_GB2312"/>
          <w:color w:val="000000"/>
          <w:spacing w:val="0"/>
          <w:sz w:val="32"/>
          <w:szCs w:val="32"/>
          <w:lang w:eastAsia="zh-CN"/>
        </w:rPr>
        <w:t>截止绩效自评日，</w:t>
      </w:r>
      <w:r>
        <w:rPr>
          <w:rFonts w:hint="eastAsia" w:ascii="仿宋_GB2312" w:hAnsi="Times New Roman"/>
          <w:sz w:val="32"/>
          <w:szCs w:val="32"/>
        </w:rPr>
        <w:t>项目</w:t>
      </w:r>
      <w:r>
        <w:rPr>
          <w:rFonts w:hint="eastAsia" w:ascii="仿宋_GB2312" w:hAnsi="Times New Roman"/>
          <w:sz w:val="32"/>
          <w:szCs w:val="32"/>
          <w:lang w:eastAsia="zh-CN"/>
        </w:rPr>
        <w:t>中央资金到位</w:t>
      </w:r>
      <w:r>
        <w:rPr>
          <w:rFonts w:hint="eastAsia" w:ascii="仿宋_GB2312" w:hAnsi="Times New Roman"/>
          <w:sz w:val="32"/>
          <w:szCs w:val="32"/>
        </w:rPr>
        <w:t>26,000.00万元，</w:t>
      </w:r>
      <w:r>
        <w:rPr>
          <w:rFonts w:hint="eastAsia" w:ascii="仿宋_GB2312" w:hAnsi="Times New Roman"/>
          <w:sz w:val="32"/>
          <w:szCs w:val="32"/>
          <w:lang w:eastAsia="zh-CN"/>
        </w:rPr>
        <w:t>资金支出</w:t>
      </w:r>
      <w:r>
        <w:rPr>
          <w:rFonts w:hint="eastAsia" w:ascii="仿宋_GB2312" w:hAnsi="Times New Roman"/>
          <w:sz w:val="32"/>
          <w:szCs w:val="32"/>
          <w:lang w:val="en-US" w:eastAsia="zh-CN"/>
        </w:rPr>
        <w:t>14,584.71万元，其中：本级支出1,142.11万元，拨付项目企</w:t>
      </w:r>
      <w:r>
        <w:rPr>
          <w:rFonts w:hint="eastAsia" w:ascii="仿宋_GB2312" w:hAnsi="Times New Roman"/>
          <w:color w:val="auto"/>
          <w:sz w:val="32"/>
          <w:szCs w:val="32"/>
          <w:lang w:val="en-US" w:eastAsia="zh-CN"/>
        </w:rPr>
        <w:t>业13,442.60万元，资金上缴6,603.69万元，资金结转4,811.60万元，结转率18.51%。</w:t>
      </w:r>
    </w:p>
    <w:p>
      <w:pPr>
        <w:pStyle w:val="3"/>
        <w:adjustRightInd w:val="0"/>
        <w:snapToGrid w:val="0"/>
        <w:spacing w:before="0" w:after="0" w:line="600" w:lineRule="exact"/>
        <w:ind w:firstLine="632"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（四）变化趋势</w:t>
      </w:r>
      <w:bookmarkEnd w:id="16"/>
    </w:p>
    <w:p>
      <w:pPr>
        <w:tabs>
          <w:tab w:val="left" w:pos="6952"/>
        </w:tabs>
        <w:topLinePunct/>
        <w:adjustRightInd w:val="0"/>
        <w:snapToGrid w:val="0"/>
        <w:spacing w:line="600" w:lineRule="exact"/>
        <w:ind w:firstLine="632" w:firstLineChars="200"/>
        <w:rPr>
          <w:rFonts w:hint="eastAsia" w:ascii="仿宋_GB2312"/>
          <w:sz w:val="32"/>
          <w:szCs w:val="32"/>
        </w:rPr>
      </w:pPr>
      <w:r>
        <w:rPr>
          <w:rFonts w:hint="eastAsia" w:ascii="仿宋_GB2312"/>
          <w:sz w:val="32"/>
          <w:szCs w:val="32"/>
        </w:rPr>
        <w:t>1.资金来源变化趋势</w:t>
      </w:r>
    </w:p>
    <w:p>
      <w:pPr>
        <w:tabs>
          <w:tab w:val="left" w:pos="6952"/>
        </w:tabs>
        <w:topLinePunct/>
        <w:adjustRightInd w:val="0"/>
        <w:snapToGrid w:val="0"/>
        <w:spacing w:line="600" w:lineRule="exact"/>
        <w:ind w:firstLine="632" w:firstLineChars="200"/>
        <w:rPr>
          <w:rFonts w:hint="eastAsia" w:ascii="仿宋_GB2312" w:eastAsia="仿宋_GB2312"/>
          <w:sz w:val="32"/>
          <w:szCs w:val="32"/>
          <w:lang w:eastAsia="zh-CN"/>
        </w:rPr>
      </w:pPr>
      <w:r>
        <w:rPr>
          <w:rFonts w:hint="eastAsia" w:ascii="仿宋_GB2312"/>
          <w:sz w:val="32"/>
          <w:szCs w:val="32"/>
          <w:lang w:eastAsia="zh-CN"/>
        </w:rPr>
        <w:t>重金属污染防治项目资金来源于中央，无变化。</w:t>
      </w:r>
    </w:p>
    <w:p>
      <w:pPr>
        <w:numPr>
          <w:ilvl w:val="0"/>
          <w:numId w:val="0"/>
        </w:numPr>
        <w:tabs>
          <w:tab w:val="left" w:pos="6952"/>
        </w:tabs>
        <w:topLinePunct/>
        <w:adjustRightInd w:val="0"/>
        <w:snapToGrid w:val="0"/>
        <w:spacing w:line="600" w:lineRule="exact"/>
        <w:ind w:leftChars="200"/>
        <w:rPr>
          <w:rFonts w:ascii="仿宋_GB2312"/>
          <w:sz w:val="32"/>
          <w:szCs w:val="32"/>
        </w:rPr>
      </w:pPr>
      <w:r>
        <w:rPr>
          <w:rFonts w:hint="eastAsia" w:ascii="仿宋_GB2312"/>
          <w:sz w:val="32"/>
          <w:szCs w:val="32"/>
          <w:lang w:val="en-US" w:eastAsia="zh-CN"/>
        </w:rPr>
        <w:t>2.</w:t>
      </w:r>
      <w:r>
        <w:rPr>
          <w:rFonts w:hint="eastAsia" w:ascii="仿宋_GB2312"/>
          <w:sz w:val="32"/>
          <w:szCs w:val="32"/>
        </w:rPr>
        <w:t>预算收入</w:t>
      </w:r>
      <w:r>
        <w:rPr>
          <w:rFonts w:ascii="仿宋_GB2312"/>
          <w:sz w:val="32"/>
          <w:szCs w:val="32"/>
        </w:rPr>
        <w:t>变化趋势</w:t>
      </w:r>
    </w:p>
    <w:p>
      <w:pPr>
        <w:tabs>
          <w:tab w:val="left" w:pos="6952"/>
        </w:tabs>
        <w:topLinePunct/>
        <w:adjustRightInd w:val="0"/>
        <w:snapToGrid w:val="0"/>
        <w:spacing w:line="600" w:lineRule="exact"/>
        <w:ind w:firstLine="632" w:firstLineChars="200"/>
        <w:jc w:val="both"/>
        <w:rPr>
          <w:rFonts w:hint="default" w:ascii="仿宋_GB2312"/>
          <w:sz w:val="32"/>
          <w:szCs w:val="32"/>
          <w:lang w:val="en-US" w:eastAsia="zh-CN"/>
        </w:rPr>
      </w:pPr>
      <w:r>
        <w:rPr>
          <w:rFonts w:hint="eastAsia" w:ascii="仿宋_GB2312"/>
          <w:sz w:val="32"/>
          <w:szCs w:val="32"/>
          <w:lang w:val="en-US" w:eastAsia="zh-CN"/>
        </w:rPr>
        <w:t>东川区重金属污染防治项目中央资金2015年到位7,869.00万元、2016年到位8,606.00万元、2018年到位9,525.00万元，无变化。</w:t>
      </w:r>
    </w:p>
    <w:p>
      <w:pPr>
        <w:tabs>
          <w:tab w:val="left" w:pos="6952"/>
        </w:tabs>
        <w:topLinePunct/>
        <w:adjustRightInd w:val="0"/>
        <w:snapToGrid w:val="0"/>
        <w:spacing w:line="600" w:lineRule="exact"/>
        <w:ind w:firstLine="632" w:firstLineChars="200"/>
        <w:jc w:val="left"/>
        <w:rPr>
          <w:rFonts w:ascii="仿宋_GB2312"/>
          <w:sz w:val="32"/>
          <w:szCs w:val="32"/>
        </w:rPr>
      </w:pPr>
      <w:r>
        <w:rPr>
          <w:rFonts w:hint="eastAsia" w:ascii="仿宋_GB2312"/>
          <w:sz w:val="32"/>
          <w:szCs w:val="32"/>
        </w:rPr>
        <w:t>3.资金支出</w:t>
      </w:r>
      <w:r>
        <w:rPr>
          <w:rFonts w:ascii="仿宋_GB2312"/>
          <w:sz w:val="32"/>
          <w:szCs w:val="32"/>
        </w:rPr>
        <w:t>变化趋势</w:t>
      </w:r>
    </w:p>
    <w:p>
      <w:pPr>
        <w:spacing w:line="560" w:lineRule="exact"/>
        <w:ind w:firstLine="632" w:firstLineChars="200"/>
        <w:rPr>
          <w:rFonts w:hint="default" w:ascii="仿宋_GB2312" w:eastAsia="仿宋_GB2312"/>
          <w:color w:val="auto"/>
          <w:sz w:val="32"/>
          <w:szCs w:val="32"/>
          <w:lang w:val="en-US" w:eastAsia="zh-CN"/>
        </w:rPr>
      </w:pPr>
      <w:r>
        <w:rPr>
          <w:rFonts w:hint="eastAsia" w:ascii="仿宋_GB2312" w:hAnsi="Times New Roman"/>
          <w:color w:val="auto"/>
          <w:sz w:val="32"/>
          <w:szCs w:val="32"/>
        </w:rPr>
        <w:t>截止</w:t>
      </w:r>
      <w:r>
        <w:rPr>
          <w:rFonts w:hint="eastAsia" w:ascii="仿宋_GB2312" w:hAnsi="Times New Roman"/>
          <w:color w:val="auto"/>
          <w:sz w:val="32"/>
          <w:szCs w:val="32"/>
          <w:lang w:eastAsia="zh-CN"/>
        </w:rPr>
        <w:t>绩效评价日</w:t>
      </w:r>
      <w:r>
        <w:rPr>
          <w:rFonts w:hint="eastAsia" w:ascii="仿宋_GB2312" w:hAnsi="Times New Roman"/>
          <w:color w:val="auto"/>
          <w:sz w:val="32"/>
          <w:szCs w:val="32"/>
        </w:rPr>
        <w:t>,</w:t>
      </w:r>
      <w:r>
        <w:rPr>
          <w:rFonts w:hint="eastAsia" w:ascii="仿宋_GB2312" w:hAnsi="Times New Roman"/>
          <w:sz w:val="32"/>
          <w:szCs w:val="32"/>
          <w:lang w:eastAsia="zh-CN"/>
        </w:rPr>
        <w:t>资金支出</w:t>
      </w:r>
      <w:r>
        <w:rPr>
          <w:rFonts w:hint="eastAsia" w:ascii="仿宋_GB2312" w:hAnsi="Times New Roman"/>
          <w:sz w:val="32"/>
          <w:szCs w:val="32"/>
          <w:lang w:val="en-US" w:eastAsia="zh-CN"/>
        </w:rPr>
        <w:t>14,584.71万元</w:t>
      </w:r>
      <w:r>
        <w:rPr>
          <w:rFonts w:hint="eastAsia" w:ascii="仿宋_GB2312" w:hAnsi="Times New Roman"/>
          <w:color w:val="auto"/>
          <w:sz w:val="32"/>
          <w:szCs w:val="32"/>
          <w:lang w:val="en-US" w:eastAsia="zh-CN"/>
        </w:rPr>
        <w:t>，其中：</w:t>
      </w:r>
      <w:r>
        <w:rPr>
          <w:rFonts w:hint="eastAsia" w:ascii="仿宋_GB2312" w:hAnsi="Times New Roman"/>
          <w:color w:val="auto"/>
          <w:sz w:val="32"/>
          <w:szCs w:val="32"/>
        </w:rPr>
        <w:t>2015年1,805.00万元，2016年3</w:t>
      </w:r>
      <w:r>
        <w:rPr>
          <w:rFonts w:ascii="仿宋_GB2312" w:hAnsi="Times New Roman"/>
          <w:color w:val="auto"/>
          <w:sz w:val="32"/>
          <w:szCs w:val="32"/>
        </w:rPr>
        <w:t>,</w:t>
      </w:r>
      <w:r>
        <w:rPr>
          <w:rFonts w:hint="eastAsia" w:ascii="仿宋_GB2312" w:hAnsi="Times New Roman"/>
          <w:color w:val="auto"/>
          <w:sz w:val="32"/>
          <w:szCs w:val="32"/>
        </w:rPr>
        <w:t>996</w:t>
      </w:r>
      <w:r>
        <w:rPr>
          <w:rFonts w:ascii="仿宋_GB2312" w:hAnsi="Times New Roman"/>
          <w:color w:val="auto"/>
          <w:sz w:val="32"/>
          <w:szCs w:val="32"/>
        </w:rPr>
        <w:t>.</w:t>
      </w:r>
      <w:r>
        <w:rPr>
          <w:rFonts w:hint="eastAsia" w:ascii="仿宋_GB2312" w:hAnsi="Times New Roman"/>
          <w:color w:val="auto"/>
          <w:sz w:val="32"/>
          <w:szCs w:val="32"/>
        </w:rPr>
        <w:t>40万元，2017年</w:t>
      </w:r>
      <w:r>
        <w:rPr>
          <w:rFonts w:hint="eastAsia" w:ascii="仿宋_GB2312" w:hAnsi="Times New Roman"/>
          <w:color w:val="auto"/>
          <w:sz w:val="32"/>
          <w:szCs w:val="32"/>
          <w:lang w:val="en-US" w:eastAsia="zh-CN"/>
        </w:rPr>
        <w:t>698.20</w:t>
      </w:r>
      <w:r>
        <w:rPr>
          <w:rFonts w:hint="eastAsia" w:ascii="仿宋_GB2312" w:hAnsi="Times New Roman"/>
          <w:color w:val="auto"/>
          <w:sz w:val="32"/>
          <w:szCs w:val="32"/>
        </w:rPr>
        <w:t>万元，2018年</w:t>
      </w:r>
      <w:r>
        <w:rPr>
          <w:rFonts w:hint="eastAsia" w:ascii="仿宋_GB2312" w:hAnsi="Times New Roman"/>
          <w:color w:val="auto"/>
          <w:sz w:val="32"/>
          <w:szCs w:val="32"/>
          <w:lang w:val="en-US" w:eastAsia="zh-CN"/>
        </w:rPr>
        <w:t>4</w:t>
      </w:r>
      <w:r>
        <w:rPr>
          <w:rFonts w:hint="eastAsia" w:ascii="仿宋_GB2312" w:hAnsi="Times New Roman"/>
          <w:color w:val="auto"/>
          <w:sz w:val="32"/>
          <w:szCs w:val="32"/>
        </w:rPr>
        <w:t>,</w:t>
      </w:r>
      <w:r>
        <w:rPr>
          <w:rFonts w:hint="eastAsia" w:ascii="仿宋_GB2312" w:hAnsi="Times New Roman"/>
          <w:color w:val="auto"/>
          <w:sz w:val="32"/>
          <w:szCs w:val="32"/>
          <w:lang w:val="en-US" w:eastAsia="zh-CN"/>
        </w:rPr>
        <w:t>928</w:t>
      </w:r>
      <w:r>
        <w:rPr>
          <w:rFonts w:hint="eastAsia" w:ascii="仿宋_GB2312" w:hAnsi="Times New Roman"/>
          <w:color w:val="auto"/>
          <w:sz w:val="32"/>
          <w:szCs w:val="32"/>
        </w:rPr>
        <w:t>.</w:t>
      </w:r>
      <w:r>
        <w:rPr>
          <w:rFonts w:hint="eastAsia" w:ascii="仿宋_GB2312" w:hAnsi="Times New Roman"/>
          <w:color w:val="auto"/>
          <w:sz w:val="32"/>
          <w:szCs w:val="32"/>
          <w:lang w:val="en-US" w:eastAsia="zh-CN"/>
        </w:rPr>
        <w:t>55</w:t>
      </w:r>
      <w:r>
        <w:rPr>
          <w:rFonts w:hint="eastAsia" w:ascii="仿宋_GB2312" w:hAnsi="Times New Roman"/>
          <w:color w:val="auto"/>
          <w:sz w:val="32"/>
          <w:szCs w:val="32"/>
        </w:rPr>
        <w:t>万元</w:t>
      </w:r>
      <w:r>
        <w:rPr>
          <w:rFonts w:hint="eastAsia" w:ascii="仿宋_GB2312" w:hAnsi="Times New Roman"/>
          <w:color w:val="auto"/>
          <w:sz w:val="32"/>
          <w:szCs w:val="32"/>
          <w:lang w:eastAsia="zh-CN"/>
        </w:rPr>
        <w:t>，</w:t>
      </w:r>
      <w:r>
        <w:rPr>
          <w:rFonts w:hint="eastAsia" w:ascii="仿宋_GB2312" w:hAnsi="Times New Roman"/>
          <w:color w:val="auto"/>
          <w:sz w:val="32"/>
          <w:szCs w:val="32"/>
          <w:lang w:val="en-US" w:eastAsia="zh-CN"/>
        </w:rPr>
        <w:t>2019年3,156.56万元,2019年资金上缴6,603.69万元。</w:t>
      </w:r>
    </w:p>
    <w:p>
      <w:pPr>
        <w:pStyle w:val="2"/>
        <w:numPr>
          <w:ilvl w:val="0"/>
          <w:numId w:val="4"/>
        </w:numPr>
        <w:adjustRightInd w:val="0"/>
        <w:snapToGrid w:val="0"/>
        <w:spacing w:before="0" w:after="0" w:line="600" w:lineRule="exact"/>
        <w:ind w:firstLine="632" w:firstLineChars="200"/>
        <w:rPr>
          <w:rFonts w:hint="eastAsia" w:ascii="黑体" w:eastAsia="黑体"/>
          <w:b w:val="0"/>
          <w:bCs w:val="0"/>
          <w:sz w:val="32"/>
          <w:szCs w:val="32"/>
        </w:rPr>
      </w:pPr>
      <w:bookmarkStart w:id="17" w:name="_Toc9837826"/>
      <w:r>
        <w:rPr>
          <w:rFonts w:hint="eastAsia" w:ascii="黑体" w:eastAsia="黑体"/>
          <w:b w:val="0"/>
          <w:bCs w:val="0"/>
          <w:sz w:val="32"/>
          <w:szCs w:val="32"/>
        </w:rPr>
        <w:t>主要经验及做法</w:t>
      </w:r>
      <w:bookmarkEnd w:id="17"/>
    </w:p>
    <w:p>
      <w:pPr>
        <w:numPr>
          <w:ilvl w:val="0"/>
          <w:numId w:val="0"/>
        </w:numPr>
        <w:rPr>
          <w:rFonts w:hint="default" w:eastAsia="仿宋_GB2312"/>
          <w:sz w:val="32"/>
          <w:szCs w:val="32"/>
          <w:lang w:val="en-US" w:eastAsia="zh-CN"/>
        </w:rPr>
      </w:pPr>
      <w:r>
        <w:rPr>
          <w:rFonts w:hint="eastAsia"/>
          <w:sz w:val="32"/>
          <w:szCs w:val="32"/>
          <w:lang w:val="en-US" w:eastAsia="zh-CN"/>
        </w:rPr>
        <w:t xml:space="preserve">    无。</w:t>
      </w:r>
    </w:p>
    <w:p>
      <w:pPr>
        <w:pStyle w:val="2"/>
        <w:adjustRightInd w:val="0"/>
        <w:snapToGrid w:val="0"/>
        <w:spacing w:before="0" w:after="0" w:line="600" w:lineRule="exact"/>
        <w:ind w:firstLine="632" w:firstLineChars="200"/>
        <w:rPr>
          <w:rFonts w:hint="eastAsia" w:ascii="黑体" w:eastAsia="黑体"/>
          <w:b w:val="0"/>
          <w:bCs w:val="0"/>
          <w:sz w:val="32"/>
          <w:szCs w:val="32"/>
        </w:rPr>
      </w:pPr>
      <w:bookmarkStart w:id="18" w:name="_Toc9837827"/>
      <w:r>
        <w:rPr>
          <w:rFonts w:hint="eastAsia" w:ascii="黑体" w:eastAsia="黑体"/>
          <w:b w:val="0"/>
          <w:bCs w:val="0"/>
          <w:sz w:val="32"/>
          <w:szCs w:val="32"/>
        </w:rPr>
        <w:t>六、存在的主要问题</w:t>
      </w:r>
      <w:bookmarkEnd w:id="18"/>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632" w:firstLineChars="200"/>
        <w:jc w:val="left"/>
        <w:textAlignment w:val="auto"/>
        <w:rPr>
          <w:rFonts w:hint="default" w:ascii="仿宋_GB2312"/>
          <w:color w:val="auto"/>
          <w:sz w:val="32"/>
          <w:szCs w:val="32"/>
          <w:highlight w:val="none"/>
          <w:lang w:val="en-US" w:eastAsia="zh-CN"/>
        </w:rPr>
      </w:pPr>
      <w:bookmarkStart w:id="19" w:name="_Toc9837828"/>
      <w:r>
        <w:rPr>
          <w:rFonts w:hint="eastAsia" w:ascii="仿宋_GB2312"/>
          <w:color w:val="auto"/>
          <w:sz w:val="32"/>
          <w:szCs w:val="32"/>
          <w:highlight w:val="none"/>
          <w:lang w:val="en-US" w:eastAsia="zh-CN"/>
        </w:rPr>
        <w:t>截止绩效自评日，云南铜业凯通有色金属有限公司污酸废水深度处理工程、昆明市石将军矿业有限责任公司尾矿库选矿废水处理及水资源回用工程、昆明市东川金水矿业有限责任公司尾矿库选矿废水处理及水资源回用工程、东川区基础能力建设项目、空气自动站建设项目、昆明风景矿业有限公司黄水菁尾矿库选矿废水处理及水资源回用工程5项完工建设；</w:t>
      </w:r>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948" w:firstLineChars="300"/>
        <w:jc w:val="left"/>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昆明众智铜业有限公司重金属污染综合治理工程、东川四方地片区河里湾工业弃渣集中处置工程、云南紫润矿业有限公司绿茂紫牛大凹子尾矿库选矿废水处理及水资源回用工程3项未完工；</w:t>
      </w:r>
    </w:p>
    <w:p>
      <w:pPr>
        <w:keepNext w:val="0"/>
        <w:keepLines w:val="0"/>
        <w:pageBreakBefore w:val="0"/>
        <w:numPr>
          <w:ilvl w:val="0"/>
          <w:numId w:val="0"/>
        </w:numPr>
        <w:kinsoku/>
        <w:wordWrap/>
        <w:overflowPunct/>
        <w:topLinePunct/>
        <w:autoSpaceDE/>
        <w:autoSpaceDN/>
        <w:bidi w:val="0"/>
        <w:adjustRightInd w:val="0"/>
        <w:snapToGrid w:val="0"/>
        <w:spacing w:line="600" w:lineRule="exact"/>
        <w:ind w:firstLine="632" w:firstLineChars="200"/>
        <w:jc w:val="left"/>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云南红富化肥有限公司东川四方地片区河里湾工业弃渣集中处置工程、昆明汤丹冶金有限责任公司汤丹乌龙河片区选矿废水处理及水资源回用工程2项未按计划实施；</w:t>
      </w:r>
    </w:p>
    <w:p>
      <w:pPr>
        <w:spacing w:line="560" w:lineRule="exact"/>
        <w:ind w:firstLine="632" w:firstLineChars="200"/>
        <w:rPr>
          <w:rFonts w:hint="default"/>
          <w:color w:val="C00000"/>
          <w:sz w:val="32"/>
          <w:szCs w:val="32"/>
          <w:lang w:val="en-US" w:eastAsia="zh-CN"/>
        </w:rPr>
      </w:pPr>
      <w:r>
        <w:rPr>
          <w:rFonts w:hint="eastAsia" w:ascii="仿宋_GB2312" w:hAnsi="Times New Roman"/>
          <w:sz w:val="32"/>
          <w:szCs w:val="32"/>
        </w:rPr>
        <w:t>项目</w:t>
      </w:r>
      <w:r>
        <w:rPr>
          <w:rFonts w:hint="eastAsia" w:ascii="仿宋_GB2312" w:hAnsi="Times New Roman"/>
          <w:sz w:val="32"/>
          <w:szCs w:val="32"/>
          <w:lang w:eastAsia="zh-CN"/>
        </w:rPr>
        <w:t>中央资金到位</w:t>
      </w:r>
      <w:r>
        <w:rPr>
          <w:rFonts w:hint="eastAsia" w:ascii="仿宋_GB2312" w:hAnsi="Times New Roman"/>
          <w:sz w:val="32"/>
          <w:szCs w:val="32"/>
        </w:rPr>
        <w:t>26,000.00万元，</w:t>
      </w:r>
      <w:r>
        <w:rPr>
          <w:rFonts w:hint="eastAsia" w:ascii="仿宋_GB2312" w:hAnsi="Times New Roman"/>
          <w:sz w:val="32"/>
          <w:szCs w:val="32"/>
          <w:lang w:eastAsia="zh-CN"/>
        </w:rPr>
        <w:t>资金支出</w:t>
      </w:r>
      <w:r>
        <w:rPr>
          <w:rFonts w:hint="eastAsia" w:ascii="仿宋_GB2312" w:hAnsi="Times New Roman"/>
          <w:sz w:val="32"/>
          <w:szCs w:val="32"/>
          <w:lang w:val="en-US" w:eastAsia="zh-CN"/>
        </w:rPr>
        <w:t>14,584.71万元，其中：本级支出1,142.11万元，拨付项目企业13,442.60万元，资金上缴6,603.69万元，资金结转4,811.6万元，结转率18.</w:t>
      </w:r>
      <w:r>
        <w:rPr>
          <w:rFonts w:hint="eastAsia" w:ascii="仿宋_GB2312" w:hAnsi="Times New Roman"/>
          <w:color w:val="auto"/>
          <w:sz w:val="32"/>
          <w:szCs w:val="32"/>
          <w:lang w:val="en-US" w:eastAsia="zh-CN"/>
        </w:rPr>
        <w:t>51%。</w:t>
      </w:r>
      <w:r>
        <w:rPr>
          <w:rFonts w:hint="eastAsia" w:ascii="仿宋_GB2312" w:hAnsi="Times New Roman"/>
          <w:color w:val="auto"/>
          <w:sz w:val="32"/>
          <w:szCs w:val="32"/>
          <w:lang w:eastAsia="zh-CN"/>
        </w:rPr>
        <w:t>项目单位共收到中央重金属污染防治专项资金</w:t>
      </w:r>
      <w:r>
        <w:rPr>
          <w:rFonts w:hint="eastAsia" w:ascii="仿宋_GB2312" w:hAnsi="Times New Roman"/>
          <w:color w:val="auto"/>
          <w:sz w:val="32"/>
          <w:szCs w:val="32"/>
          <w:lang w:val="en-US" w:eastAsia="zh-CN"/>
        </w:rPr>
        <w:t>13,442.60万元，资金使用5,837.45万元，资金结转7,605.15万元，</w:t>
      </w:r>
      <w:r>
        <w:rPr>
          <w:rFonts w:hint="eastAsia" w:ascii="仿宋_GB2312" w:hAnsi="Times New Roman"/>
          <w:sz w:val="32"/>
          <w:szCs w:val="32"/>
          <w:lang w:val="en-US" w:eastAsia="zh-CN"/>
        </w:rPr>
        <w:t>结转率56.57%，资金结转大。</w:t>
      </w:r>
    </w:p>
    <w:p>
      <w:pPr>
        <w:pStyle w:val="2"/>
        <w:adjustRightInd w:val="0"/>
        <w:snapToGrid w:val="0"/>
        <w:spacing w:before="0" w:after="0" w:line="600" w:lineRule="exact"/>
        <w:ind w:firstLine="632" w:firstLineChars="200"/>
        <w:rPr>
          <w:rFonts w:hint="eastAsia" w:ascii="黑体" w:eastAsia="黑体"/>
          <w:b w:val="0"/>
          <w:bCs w:val="0"/>
          <w:sz w:val="32"/>
          <w:szCs w:val="32"/>
        </w:rPr>
      </w:pPr>
      <w:r>
        <w:rPr>
          <w:rFonts w:hint="eastAsia" w:ascii="黑体" w:eastAsia="黑体"/>
          <w:b w:val="0"/>
          <w:bCs w:val="0"/>
          <w:sz w:val="32"/>
          <w:szCs w:val="32"/>
        </w:rPr>
        <w:t>七、建议和改进措施</w:t>
      </w:r>
      <w:bookmarkEnd w:id="19"/>
    </w:p>
    <w:p>
      <w:pPr>
        <w:spacing w:line="560" w:lineRule="exact"/>
        <w:ind w:firstLine="632" w:firstLineChars="200"/>
        <w:rPr>
          <w:rFonts w:hint="default" w:ascii="仿宋_GB2312" w:hAnsi="Times New Roman" w:eastAsia="仿宋_GB2312"/>
          <w:sz w:val="32"/>
          <w:szCs w:val="32"/>
          <w:lang w:val="en-US" w:eastAsia="zh-CN"/>
        </w:rPr>
      </w:pPr>
      <w:r>
        <w:rPr>
          <w:rFonts w:hint="eastAsia" w:ascii="仿宋_GB2312" w:hAnsi="Times New Roman"/>
          <w:sz w:val="32"/>
          <w:szCs w:val="32"/>
          <w:lang w:val="zh-CN"/>
        </w:rPr>
        <w:t>建议规范强化项目建设管理，</w:t>
      </w:r>
      <w:r>
        <w:rPr>
          <w:rFonts w:hint="eastAsia" w:ascii="仿宋_GB2312" w:hAnsi="Times New Roman"/>
          <w:sz w:val="32"/>
          <w:szCs w:val="32"/>
        </w:rPr>
        <w:t>项目责任单位督促项目实施单位</w:t>
      </w:r>
      <w:r>
        <w:rPr>
          <w:rFonts w:hint="eastAsia" w:ascii="仿宋_GB2312" w:hAnsi="Times New Roman"/>
          <w:color w:val="000000"/>
          <w:sz w:val="32"/>
          <w:szCs w:val="32"/>
        </w:rPr>
        <w:t>尽快</w:t>
      </w:r>
      <w:r>
        <w:rPr>
          <w:rFonts w:hint="eastAsia" w:ascii="仿宋_GB2312" w:hAnsi="Times New Roman"/>
          <w:sz w:val="32"/>
          <w:szCs w:val="32"/>
        </w:rPr>
        <w:t>协调有关部门，</w:t>
      </w:r>
      <w:r>
        <w:rPr>
          <w:rFonts w:hint="eastAsia" w:ascii="仿宋_GB2312" w:hAnsi="Times New Roman"/>
          <w:sz w:val="32"/>
          <w:szCs w:val="32"/>
          <w:lang w:eastAsia="zh-CN"/>
        </w:rPr>
        <w:t>提高</w:t>
      </w:r>
      <w:r>
        <w:rPr>
          <w:rFonts w:hint="eastAsia" w:ascii="仿宋_GB2312" w:hAnsi="Times New Roman"/>
          <w:sz w:val="32"/>
          <w:szCs w:val="32"/>
        </w:rPr>
        <w:t>项目实施进度</w:t>
      </w:r>
      <w:r>
        <w:rPr>
          <w:rFonts w:hint="eastAsia" w:ascii="仿宋_GB2312" w:hAnsi="Times New Roman"/>
          <w:sz w:val="32"/>
          <w:szCs w:val="32"/>
          <w:lang w:eastAsia="zh-CN"/>
        </w:rPr>
        <w:t>，</w:t>
      </w:r>
      <w:r>
        <w:rPr>
          <w:rFonts w:hint="eastAsia" w:ascii="仿宋_GB2312" w:hAnsi="Times New Roman"/>
          <w:sz w:val="32"/>
          <w:szCs w:val="32"/>
          <w:lang w:val="en-US" w:eastAsia="zh-CN"/>
        </w:rPr>
        <w:t>对导致项目实施进度慢问题进行整改，对无法实施项目或暂时无法实施的项目，建议原渠道退回资金。</w:t>
      </w:r>
    </w:p>
    <w:p>
      <w:pPr>
        <w:topLinePunct/>
        <w:adjustRightInd w:val="0"/>
        <w:snapToGrid w:val="0"/>
        <w:spacing w:line="600" w:lineRule="exact"/>
        <w:ind w:firstLine="200"/>
        <w:rPr>
          <w:rFonts w:hint="eastAsia" w:ascii="仿宋_GB2312"/>
          <w:sz w:val="32"/>
          <w:szCs w:val="32"/>
        </w:rPr>
      </w:pPr>
    </w:p>
    <w:p>
      <w:pPr>
        <w:topLinePunct/>
        <w:adjustRightInd w:val="0"/>
        <w:snapToGrid w:val="0"/>
        <w:spacing w:line="600" w:lineRule="exact"/>
        <w:ind w:firstLine="825" w:firstLineChars="261"/>
        <w:rPr>
          <w:rFonts w:hint="eastAsia" w:ascii="仿宋_GB2312"/>
          <w:sz w:val="32"/>
          <w:szCs w:val="32"/>
        </w:rPr>
      </w:pPr>
      <w:r>
        <w:rPr>
          <w:rFonts w:hint="eastAsia" w:ascii="仿宋_GB2312"/>
          <w:sz w:val="32"/>
          <w:szCs w:val="32"/>
        </w:rPr>
        <w:t>附件1：</w:t>
      </w:r>
      <w:r>
        <w:rPr>
          <w:rFonts w:hint="eastAsia" w:ascii="仿宋_GB2312"/>
          <w:sz w:val="32"/>
          <w:szCs w:val="32"/>
          <w:lang w:eastAsia="zh-CN"/>
        </w:rPr>
        <w:t>昆明市生态环境局东川分局</w:t>
      </w:r>
      <w:r>
        <w:rPr>
          <w:rFonts w:hint="eastAsia" w:ascii="仿宋_GB2312"/>
          <w:sz w:val="32"/>
          <w:szCs w:val="32"/>
        </w:rPr>
        <w:t>重金属污染专项资金项目支出绩效自评指标体系</w:t>
      </w:r>
    </w:p>
    <w:p>
      <w:pPr>
        <w:topLinePunct/>
        <w:adjustRightInd w:val="0"/>
        <w:snapToGrid w:val="0"/>
        <w:spacing w:line="600" w:lineRule="exact"/>
        <w:ind w:firstLine="825" w:firstLineChars="261"/>
        <w:rPr>
          <w:rFonts w:hint="eastAsia" w:ascii="仿宋_GB2312"/>
          <w:sz w:val="32"/>
          <w:szCs w:val="32"/>
        </w:rPr>
      </w:pPr>
      <w:r>
        <w:rPr>
          <w:rFonts w:hint="eastAsia" w:ascii="仿宋_GB2312"/>
          <w:sz w:val="32"/>
          <w:szCs w:val="32"/>
        </w:rPr>
        <w:t>附件</w:t>
      </w:r>
      <w:r>
        <w:rPr>
          <w:rFonts w:hint="eastAsia" w:ascii="仿宋_GB2312"/>
          <w:sz w:val="32"/>
          <w:szCs w:val="32"/>
          <w:lang w:val="en-US" w:eastAsia="zh-CN"/>
        </w:rPr>
        <w:t>2</w:t>
      </w:r>
      <w:r>
        <w:rPr>
          <w:rFonts w:hint="eastAsia" w:ascii="仿宋_GB2312"/>
          <w:sz w:val="32"/>
          <w:szCs w:val="32"/>
        </w:rPr>
        <w:t>：</w:t>
      </w:r>
      <w:r>
        <w:rPr>
          <w:rFonts w:hint="eastAsia" w:ascii="仿宋_GB2312"/>
          <w:sz w:val="32"/>
          <w:szCs w:val="32"/>
          <w:lang w:eastAsia="zh-CN"/>
        </w:rPr>
        <w:t>昆明市生态环境局东川分局</w:t>
      </w:r>
      <w:r>
        <w:rPr>
          <w:rFonts w:hint="eastAsia" w:ascii="仿宋_GB2312"/>
          <w:sz w:val="32"/>
          <w:szCs w:val="32"/>
        </w:rPr>
        <w:t>2018年重金属污染专项资金项目基础数据表</w:t>
      </w:r>
    </w:p>
    <w:p>
      <w:pPr>
        <w:topLinePunct/>
        <w:adjustRightInd w:val="0"/>
        <w:snapToGrid w:val="0"/>
        <w:spacing w:line="600" w:lineRule="exact"/>
        <w:ind w:firstLine="825" w:firstLineChars="261"/>
        <w:rPr>
          <w:rFonts w:hint="eastAsia" w:ascii="仿宋_GB2312"/>
          <w:sz w:val="32"/>
          <w:szCs w:val="32"/>
        </w:rPr>
      </w:pPr>
      <w:r>
        <w:rPr>
          <w:rFonts w:hint="eastAsia" w:ascii="仿宋_GB2312"/>
          <w:sz w:val="32"/>
          <w:szCs w:val="32"/>
          <w:lang w:eastAsia="zh-CN"/>
        </w:rPr>
        <w:t>附件</w:t>
      </w:r>
      <w:r>
        <w:rPr>
          <w:rFonts w:hint="eastAsia" w:ascii="仿宋_GB2312"/>
          <w:sz w:val="32"/>
          <w:szCs w:val="32"/>
          <w:lang w:val="en-US" w:eastAsia="zh-CN"/>
        </w:rPr>
        <w:t>3：</w:t>
      </w:r>
      <w:r>
        <w:rPr>
          <w:rFonts w:hint="eastAsia" w:ascii="仿宋_GB2312"/>
          <w:sz w:val="32"/>
          <w:szCs w:val="32"/>
        </w:rPr>
        <w:t>访谈分析报告</w:t>
      </w:r>
    </w:p>
    <w:p>
      <w:pPr>
        <w:topLinePunct/>
        <w:adjustRightInd w:val="0"/>
        <w:snapToGrid w:val="0"/>
        <w:spacing w:line="600" w:lineRule="exact"/>
        <w:ind w:firstLine="825" w:firstLineChars="261"/>
        <w:rPr>
          <w:rFonts w:hint="eastAsia" w:ascii="仿宋_GB2312"/>
          <w:sz w:val="32"/>
          <w:szCs w:val="32"/>
          <w:highlight w:val="none"/>
        </w:rPr>
      </w:pPr>
      <w:r>
        <w:rPr>
          <w:rFonts w:hint="eastAsia" w:ascii="仿宋_GB2312"/>
          <w:sz w:val="32"/>
          <w:szCs w:val="32"/>
          <w:highlight w:val="none"/>
        </w:rPr>
        <w:t>附件</w:t>
      </w:r>
      <w:r>
        <w:rPr>
          <w:rFonts w:hint="eastAsia" w:ascii="仿宋_GB2312"/>
          <w:sz w:val="32"/>
          <w:szCs w:val="32"/>
          <w:highlight w:val="none"/>
          <w:lang w:val="en-US" w:eastAsia="zh-CN"/>
        </w:rPr>
        <w:t>4</w:t>
      </w:r>
      <w:r>
        <w:rPr>
          <w:rFonts w:hint="eastAsia" w:ascii="仿宋_GB2312"/>
          <w:sz w:val="32"/>
          <w:szCs w:val="32"/>
          <w:highlight w:val="none"/>
        </w:rPr>
        <w:t>：社会调查问卷分析报告</w:t>
      </w:r>
    </w:p>
    <w:p>
      <w:pPr>
        <w:topLinePunct/>
        <w:adjustRightInd w:val="0"/>
        <w:snapToGrid w:val="0"/>
        <w:spacing w:line="600" w:lineRule="exact"/>
        <w:ind w:firstLine="825" w:firstLineChars="261"/>
        <w:rPr>
          <w:rFonts w:hint="eastAsia" w:ascii="仿宋_GB2312"/>
          <w:sz w:val="32"/>
          <w:szCs w:val="32"/>
          <w:highlight w:val="none"/>
        </w:rPr>
      </w:pPr>
      <w:r>
        <w:rPr>
          <w:rFonts w:hint="eastAsia" w:ascii="仿宋_GB2312"/>
          <w:sz w:val="32"/>
          <w:szCs w:val="32"/>
          <w:highlight w:val="none"/>
          <w:lang w:eastAsia="zh-CN"/>
        </w:rPr>
        <w:t>附件</w:t>
      </w:r>
      <w:r>
        <w:rPr>
          <w:rFonts w:hint="eastAsia" w:ascii="仿宋_GB2312"/>
          <w:sz w:val="32"/>
          <w:szCs w:val="32"/>
          <w:highlight w:val="none"/>
          <w:lang w:val="en-US" w:eastAsia="zh-CN"/>
        </w:rPr>
        <w:t>5：</w:t>
      </w:r>
      <w:r>
        <w:rPr>
          <w:rFonts w:hint="eastAsia" w:ascii="仿宋_GB2312"/>
          <w:sz w:val="32"/>
          <w:szCs w:val="32"/>
          <w:highlight w:val="none"/>
        </w:rPr>
        <w:t>云南省东川区2015年-2017重金属污染综合防治项目申报材料</w:t>
      </w:r>
    </w:p>
    <w:p>
      <w:pPr>
        <w:topLinePunct/>
        <w:adjustRightInd w:val="0"/>
        <w:snapToGrid w:val="0"/>
        <w:spacing w:line="600" w:lineRule="exact"/>
        <w:ind w:firstLine="825" w:firstLineChars="261"/>
        <w:rPr>
          <w:rFonts w:hint="default" w:ascii="仿宋_GB2312" w:eastAsia="仿宋_GB2312"/>
          <w:sz w:val="32"/>
          <w:szCs w:val="32"/>
          <w:highlight w:val="none"/>
          <w:lang w:val="en-US" w:eastAsia="zh-CN"/>
        </w:rPr>
      </w:pPr>
      <w:r>
        <w:rPr>
          <w:rFonts w:hint="eastAsia" w:ascii="仿宋_GB2312"/>
          <w:sz w:val="32"/>
          <w:szCs w:val="32"/>
          <w:highlight w:val="none"/>
          <w:lang w:eastAsia="zh-CN"/>
        </w:rPr>
        <w:t>附件</w:t>
      </w:r>
      <w:r>
        <w:rPr>
          <w:rFonts w:hint="eastAsia" w:ascii="仿宋_GB2312"/>
          <w:sz w:val="32"/>
          <w:szCs w:val="32"/>
          <w:highlight w:val="none"/>
          <w:lang w:val="en-US" w:eastAsia="zh-CN"/>
        </w:rPr>
        <w:t>6：昆明市生态环境局东川分局2018年重金属污染专项资金项目支出工作底稿</w:t>
      </w:r>
    </w:p>
    <w:p>
      <w:pPr>
        <w:topLinePunct/>
        <w:spacing w:line="600" w:lineRule="exact"/>
        <w:rPr>
          <w:rFonts w:hint="eastAsia" w:ascii="仿宋_GB2312"/>
          <w:sz w:val="30"/>
          <w:szCs w:val="30"/>
        </w:rPr>
      </w:pPr>
    </w:p>
    <w:p>
      <w:pPr>
        <w:topLinePunct/>
        <w:spacing w:line="600" w:lineRule="exact"/>
        <w:ind w:right="316" w:firstLine="592" w:firstLineChars="200"/>
        <w:jc w:val="right"/>
        <w:rPr>
          <w:rFonts w:hint="eastAsia" w:ascii="仿宋_GB2312"/>
          <w:sz w:val="30"/>
          <w:szCs w:val="30"/>
        </w:rPr>
      </w:pPr>
    </w:p>
    <w:p>
      <w:pPr>
        <w:topLinePunct/>
        <w:spacing w:line="600" w:lineRule="exact"/>
        <w:ind w:firstLine="592" w:firstLineChars="200"/>
        <w:jc w:val="center"/>
        <w:rPr>
          <w:rFonts w:hint="eastAsia" w:ascii="仿宋_GB2312"/>
          <w:sz w:val="30"/>
          <w:szCs w:val="30"/>
        </w:rPr>
      </w:pPr>
    </w:p>
    <w:p/>
    <w:sectPr>
      <w:footerReference r:id="rId5" w:type="default"/>
      <w:footerReference r:id="rId6" w:type="even"/>
      <w:pgSz w:w="11907" w:h="16840"/>
      <w:pgMar w:top="1440" w:right="1800" w:bottom="1440" w:left="1800" w:header="851" w:footer="1304" w:gutter="0"/>
      <w:pgNumType w:fmt="decimal"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modern"/>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Cambria" w:hAnsi="Cambr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41</w:t>
                          </w:r>
                          <w:r>
                            <w:rPr>
                              <w:sz w:val="28"/>
                              <w:szCs w:val="28"/>
                            </w:rPr>
                            <w:fldChar w:fldCharType="end"/>
                          </w:r>
                        </w:p>
                        <w:p>
                          <w:pPr>
                            <w:pStyle w:val="4"/>
                            <w:jc w:val="center"/>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41</w:t>
                    </w:r>
                    <w:r>
                      <w:rPr>
                        <w:sz w:val="28"/>
                        <w:szCs w:val="28"/>
                      </w:rPr>
                      <w:fldChar w:fldCharType="end"/>
                    </w:r>
                  </w:p>
                  <w:p>
                    <w:pPr>
                      <w:pStyle w:val="4"/>
                      <w:jc w:val="center"/>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Cambria" w:hAnsi="Cambr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rPr>
                              <w:rFonts w:ascii="Cambria" w:hAnsi="Cambria"/>
                              <w:sz w:val="18"/>
                              <w:szCs w:val="18"/>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Cambria" w:hAnsi="Cambria"/>
                              <w:sz w:val="24"/>
                              <w:szCs w:val="24"/>
                              <w:lang w:val="zh-CN"/>
                            </w:rPr>
                            <w:t>40</w:t>
                          </w:r>
                          <w:r>
                            <w:rPr>
                              <w:sz w:val="24"/>
                              <w:szCs w:val="24"/>
                            </w:rPr>
                            <w:fldChar w:fldCharType="end"/>
                          </w:r>
                          <w:r>
                            <w:rPr>
                              <w:rFonts w:ascii="Cambria" w:hAnsi="Cambria"/>
                              <w:sz w:val="24"/>
                              <w:szCs w:val="24"/>
                              <w:lang w:val="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4"/>
                      <w:jc w:val="center"/>
                    </w:pPr>
                    <w:r>
                      <w:rPr>
                        <w:rFonts w:ascii="Cambria" w:hAnsi="Cambria"/>
                        <w:sz w:val="18"/>
                        <w:szCs w:val="18"/>
                        <w:lang w:val="zh-CN"/>
                      </w:rPr>
                      <w:t xml:space="preserve"> </w:t>
                    </w:r>
                    <w:r>
                      <w:rPr>
                        <w:sz w:val="24"/>
                        <w:szCs w:val="24"/>
                      </w:rPr>
                      <w:fldChar w:fldCharType="begin"/>
                    </w:r>
                    <w:r>
                      <w:rPr>
                        <w:sz w:val="24"/>
                        <w:szCs w:val="24"/>
                      </w:rPr>
                      <w:instrText xml:space="preserve"> PAGE    \* MERGEFORMAT </w:instrText>
                    </w:r>
                    <w:r>
                      <w:rPr>
                        <w:sz w:val="24"/>
                        <w:szCs w:val="24"/>
                      </w:rPr>
                      <w:fldChar w:fldCharType="separate"/>
                    </w:r>
                    <w:r>
                      <w:rPr>
                        <w:rFonts w:ascii="Cambria" w:hAnsi="Cambria"/>
                        <w:sz w:val="24"/>
                        <w:szCs w:val="24"/>
                        <w:lang w:val="zh-CN"/>
                      </w:rPr>
                      <w:t>40</w:t>
                    </w:r>
                    <w:r>
                      <w:rPr>
                        <w:sz w:val="24"/>
                        <w:szCs w:val="24"/>
                      </w:rPr>
                      <w:fldChar w:fldCharType="end"/>
                    </w:r>
                    <w:r>
                      <w:rPr>
                        <w:rFonts w:ascii="Cambria" w:hAnsi="Cambria"/>
                        <w:sz w:val="24"/>
                        <w:szCs w:val="24"/>
                        <w:lang w:val="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17D455"/>
    <w:multiLevelType w:val="singleLevel"/>
    <w:tmpl w:val="FC17D455"/>
    <w:lvl w:ilvl="0" w:tentative="0">
      <w:start w:val="2"/>
      <w:numFmt w:val="chineseCounting"/>
      <w:suff w:val="nothing"/>
      <w:lvlText w:val="（%1）"/>
      <w:lvlJc w:val="left"/>
      <w:rPr>
        <w:rFonts w:hint="eastAsia"/>
      </w:rPr>
    </w:lvl>
  </w:abstractNum>
  <w:abstractNum w:abstractNumId="1">
    <w:nsid w:val="2A152495"/>
    <w:multiLevelType w:val="singleLevel"/>
    <w:tmpl w:val="2A152495"/>
    <w:lvl w:ilvl="0" w:tentative="0">
      <w:start w:val="5"/>
      <w:numFmt w:val="chineseCounting"/>
      <w:suff w:val="nothing"/>
      <w:lvlText w:val="%1、"/>
      <w:lvlJc w:val="left"/>
      <w:rPr>
        <w:rFonts w:hint="eastAsia"/>
      </w:rPr>
    </w:lvl>
  </w:abstractNum>
  <w:abstractNum w:abstractNumId="2">
    <w:nsid w:val="43DF16F1"/>
    <w:multiLevelType w:val="singleLevel"/>
    <w:tmpl w:val="43DF16F1"/>
    <w:lvl w:ilvl="0" w:tentative="0">
      <w:start w:val="2"/>
      <w:numFmt w:val="decimal"/>
      <w:suff w:val="space"/>
      <w:lvlText w:val="%1."/>
      <w:lvlJc w:val="left"/>
    </w:lvl>
  </w:abstractNum>
  <w:abstractNum w:abstractNumId="3">
    <w:nsid w:val="543BB22B"/>
    <w:multiLevelType w:val="singleLevel"/>
    <w:tmpl w:val="543BB22B"/>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F5BC4"/>
    <w:rsid w:val="494F5BC4"/>
    <w:rsid w:val="4AA8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character" w:default="1" w:styleId="9">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unhideWhenUsed/>
    <w:uiPriority w:val="39"/>
  </w:style>
  <w:style w:type="paragraph" w:styleId="6">
    <w:name w:val="toc 2"/>
    <w:basedOn w:val="1"/>
    <w:next w:val="1"/>
    <w:unhideWhenUsed/>
    <w:qFormat/>
    <w:uiPriority w:val="39"/>
    <w:pPr>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99"/>
    <w:rPr>
      <w:rFonts w:cs="Times New Roman"/>
      <w:color w:val="0000FF"/>
      <w:u w:val="single"/>
    </w:rPr>
  </w:style>
  <w:style w:type="paragraph" w:customStyle="1" w:styleId="11">
    <w:name w:val="正文1"/>
    <w:basedOn w:val="1"/>
    <w:qFormat/>
    <w:uiPriority w:val="0"/>
    <w:pPr>
      <w:autoSpaceDE w:val="0"/>
      <w:autoSpaceDN w:val="0"/>
      <w:adjustRightInd w:val="0"/>
      <w:snapToGrid w:val="0"/>
      <w:spacing w:line="600" w:lineRule="exact"/>
      <w:ind w:firstLine="624" w:firstLineChars="200"/>
    </w:pPr>
    <w:rPr>
      <w:rFonts w:ascii="宋体" w:hAnsi="宋体"/>
      <w:spacing w:val="6"/>
      <w:sz w:val="3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昆明市东川区党政机关单位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2020-08-13T09:17:00Z</dcterms:created>
  <dc:creator>紫雨</dc:creator>
  <cp:lastModifiedBy>紫雨</cp:lastModifiedBy>
  <dcterms:modified xsi:type="dcterms:W3CDTF">2020-08-13T10:51:04Z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