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b w:val="0"/>
          <w:bCs/>
          <w:sz w:val="44"/>
          <w:szCs w:val="44"/>
          <w:lang w:val="en-US" w:eastAsia="zh-CN"/>
        </w:rPr>
      </w:pPr>
    </w:p>
    <w:p>
      <w:pPr>
        <w:spacing w:line="600" w:lineRule="exact"/>
        <w:jc w:val="center"/>
        <w:rPr>
          <w:rFonts w:hint="eastAsia" w:ascii="黑体" w:hAnsi="黑体" w:eastAsia="黑体" w:cs="黑体"/>
          <w:b w:val="0"/>
          <w:bCs/>
          <w:sz w:val="52"/>
          <w:szCs w:val="52"/>
          <w:lang w:val="en-US" w:eastAsia="zh-CN"/>
        </w:rPr>
      </w:pPr>
    </w:p>
    <w:p>
      <w:pPr>
        <w:spacing w:line="600" w:lineRule="exact"/>
        <w:jc w:val="center"/>
        <w:rPr>
          <w:rFonts w:hint="eastAsia" w:ascii="方正小标宋_GBK" w:hAnsi="方正小标宋_GBK" w:eastAsia="方正小标宋_GBK" w:cs="方正小标宋_GBK"/>
          <w:b/>
          <w:bCs w:val="0"/>
          <w:sz w:val="36"/>
          <w:szCs w:val="36"/>
          <w:lang w:val="en-US" w:eastAsia="zh-CN"/>
        </w:rPr>
      </w:pPr>
      <w:r>
        <w:rPr>
          <w:rFonts w:hint="eastAsia" w:ascii="方正小标宋_GBK" w:hAnsi="方正小标宋_GBK" w:eastAsia="方正小标宋_GBK" w:cs="方正小标宋_GBK"/>
          <w:b/>
          <w:bCs w:val="0"/>
          <w:sz w:val="36"/>
          <w:szCs w:val="36"/>
          <w:lang w:val="en-US" w:eastAsia="zh-CN"/>
        </w:rPr>
        <w:t>2019年涉重危废排查资金项目支出</w:t>
      </w:r>
    </w:p>
    <w:p>
      <w:pPr>
        <w:spacing w:line="600" w:lineRule="exact"/>
        <w:jc w:val="center"/>
        <w:rPr>
          <w:rFonts w:hint="eastAsia" w:ascii="方正小标宋_GBK" w:hAnsi="方正小标宋_GBK" w:eastAsia="方正小标宋_GBK" w:cs="方正小标宋_GBK"/>
          <w:b/>
          <w:bCs w:val="0"/>
          <w:sz w:val="36"/>
          <w:szCs w:val="36"/>
          <w:lang w:val="en-US" w:eastAsia="zh-CN"/>
        </w:rPr>
      </w:pPr>
      <w:r>
        <w:rPr>
          <w:rFonts w:hint="eastAsia" w:ascii="方正小标宋_GBK" w:hAnsi="方正小标宋_GBK" w:eastAsia="方正小标宋_GBK" w:cs="方正小标宋_GBK"/>
          <w:b/>
          <w:bCs w:val="0"/>
          <w:sz w:val="36"/>
          <w:szCs w:val="36"/>
          <w:lang w:val="en-US" w:eastAsia="zh-CN"/>
        </w:rPr>
        <w:t>绩效自评报告</w:t>
      </w:r>
    </w:p>
    <w:p>
      <w:pPr>
        <w:spacing w:line="600" w:lineRule="exact"/>
        <w:jc w:val="center"/>
        <w:rPr>
          <w:rFonts w:hint="eastAsia" w:ascii="黑体" w:hAnsi="黑体" w:eastAsia="黑体" w:cs="黑体"/>
          <w:b/>
          <w:bCs w:val="0"/>
          <w:sz w:val="36"/>
          <w:szCs w:val="36"/>
          <w:lang w:val="en-US" w:eastAsia="zh-CN"/>
        </w:rPr>
      </w:pPr>
      <w:r>
        <w:rPr>
          <w:rFonts w:hint="eastAsia" w:ascii="方正小标宋_GBK" w:hAnsi="方正小标宋_GBK" w:eastAsia="方正小标宋_GBK" w:cs="方正小标宋_GBK"/>
          <w:b/>
          <w:bCs w:val="0"/>
          <w:sz w:val="36"/>
          <w:szCs w:val="36"/>
          <w:lang w:val="en-US" w:eastAsia="zh-CN"/>
        </w:rPr>
        <w:t xml:space="preserve"> (2019年度）</w:t>
      </w: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adjustRightInd w:val="0"/>
        <w:snapToGrid w:val="0"/>
        <w:spacing w:line="360" w:lineRule="auto"/>
        <w:ind w:firstLine="1104" w:firstLineChars="400"/>
        <w:jc w:val="left"/>
        <w:rPr>
          <w:rFonts w:hint="eastAsia" w:ascii="Times New Roman" w:hAnsi="Times New Roman" w:eastAsia="黑体" w:cs="黑体"/>
          <w:b/>
          <w:bCs/>
          <w:sz w:val="28"/>
          <w:szCs w:val="28"/>
        </w:rPr>
      </w:pPr>
    </w:p>
    <w:p>
      <w:pPr>
        <w:adjustRightInd w:val="0"/>
        <w:snapToGrid w:val="0"/>
        <w:spacing w:line="360" w:lineRule="auto"/>
        <w:ind w:firstLine="1104" w:firstLineChars="400"/>
        <w:jc w:val="left"/>
        <w:rPr>
          <w:rFonts w:hint="eastAsia" w:ascii="Times New Roman" w:hAnsi="Times New Roman" w:eastAsia="黑体" w:cs="黑体"/>
          <w:b/>
          <w:bCs/>
          <w:sz w:val="28"/>
          <w:szCs w:val="28"/>
          <w:lang w:eastAsia="zh-CN"/>
        </w:rPr>
      </w:pPr>
      <w:r>
        <w:rPr>
          <w:rFonts w:ascii="Times New Roman" w:hAnsi="Times New Roman"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6.75pt;margin-top:15.45pt;height:0pt;width:196.5pt;z-index:251658240;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XqXKDXAAAACQEA&#10;AA8AAAAAAAAAAQAgAAAAIgAAAGRycy9kb3ducmV2LnhtbFBLAQIUABQAAAAIAIdO4kC+lQRR4gEA&#10;AJ4DAAAOAAAAAAAAAAEAIAAAACYBAABkcnMvZTJvRG9jLnhtbFBLBQYAAAAABgAGAFkBAAB6BQAA&#10;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部门名称（公章）：</w:t>
      </w:r>
      <w:r>
        <w:rPr>
          <w:rFonts w:hint="eastAsia" w:ascii="Times New Roman" w:hAnsi="Times New Roman" w:eastAsia="黑体" w:cs="黑体"/>
          <w:b/>
          <w:bCs/>
          <w:sz w:val="28"/>
          <w:szCs w:val="28"/>
          <w:lang w:eastAsia="zh-CN"/>
        </w:rPr>
        <w:t>昆明市生态环境局东川分局</w:t>
      </w:r>
    </w:p>
    <w:p>
      <w:pPr>
        <w:adjustRightInd w:val="0"/>
        <w:snapToGrid w:val="0"/>
        <w:spacing w:line="360" w:lineRule="auto"/>
        <w:jc w:val="left"/>
        <w:rPr>
          <w:rFonts w:hint="eastAsia" w:ascii="Times New Roman" w:hAnsi="Times New Roman" w:eastAsia="黑体" w:cs="黑体"/>
          <w:b/>
          <w:bCs/>
          <w:sz w:val="28"/>
          <w:szCs w:val="28"/>
        </w:rPr>
      </w:pPr>
    </w:p>
    <w:p>
      <w:pPr>
        <w:adjustRightInd w:val="0"/>
        <w:snapToGrid w:val="0"/>
        <w:spacing w:line="360" w:lineRule="auto"/>
        <w:ind w:firstLine="1104" w:firstLineChars="400"/>
        <w:jc w:val="left"/>
        <w:rPr>
          <w:rFonts w:hint="eastAsia" w:ascii="Times New Roman" w:hAnsi="Times New Roman" w:eastAsia="黑体" w:cs="黑体"/>
          <w:b/>
          <w:bCs/>
          <w:sz w:val="28"/>
          <w:szCs w:val="28"/>
        </w:rPr>
      </w:pPr>
    </w:p>
    <w:p>
      <w:pPr>
        <w:adjustRightInd w:val="0"/>
        <w:snapToGrid w:val="0"/>
        <w:spacing w:line="360" w:lineRule="auto"/>
        <w:ind w:firstLine="1104" w:firstLineChars="400"/>
        <w:jc w:val="left"/>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1570990</wp:posOffset>
                </wp:positionH>
                <wp:positionV relativeFrom="paragraph">
                  <wp:posOffset>193040</wp:posOffset>
                </wp:positionV>
                <wp:extent cx="3086100" cy="3810"/>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308610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23.7pt;margin-top:15.2pt;height:0.3pt;width:243pt;z-index:251659264;mso-width-relative:page;mso-height-relative:page;" filled="f" stroked="t" coordsize="21600,21600" o:gfxdata="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KW+dNYAAAAJAQAADwAAAAAAAAABACAAAAAiAAAAZHJzL2Rvd25yZXYueG1sUEsBAhQAFAAAAAgA&#10;h07iQN914PzuAQAAqwMAAA4AAAAAAAAAAQAgAAAAJQEAAGRycy9lMm9Eb2MueG1sUEsFBgAAAAAG&#10;AAYAWQEAAIUFA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项目名称：</w:t>
      </w:r>
      <w:r>
        <w:rPr>
          <w:rFonts w:hint="eastAsia" w:ascii="Times New Roman" w:hAnsi="Times New Roman" w:eastAsia="黑体" w:cs="黑体"/>
          <w:b/>
          <w:bCs/>
          <w:sz w:val="28"/>
          <w:szCs w:val="28"/>
          <w:lang w:val="en-US" w:eastAsia="zh-CN"/>
        </w:rPr>
        <w:t>2019年涉重危废排查资金</w:t>
      </w: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jc w:val="center"/>
        <w:rPr>
          <w:rFonts w:hint="eastAsia" w:ascii="Times New Roman" w:hAnsi="Times New Roman" w:eastAsia="黑体" w:cs="黑体"/>
          <w:b/>
          <w:bCs/>
          <w:sz w:val="28"/>
          <w:szCs w:val="28"/>
          <w:lang w:val="en-US" w:eastAsia="zh-CN"/>
        </w:rPr>
      </w:pPr>
      <w:r>
        <w:rPr>
          <w:rFonts w:hint="eastAsia" w:ascii="Times New Roman" w:hAnsi="Times New Roman" w:eastAsia="黑体"/>
          <w:b/>
          <w:bCs/>
          <w:sz w:val="28"/>
          <w:szCs w:val="28"/>
          <w:lang w:val="en-US" w:eastAsia="zh-CN"/>
        </w:rPr>
        <w:t>2020</w:t>
      </w:r>
      <w:r>
        <w:rPr>
          <w:rFonts w:hint="eastAsia" w:ascii="Times New Roman" w:hAnsi="Times New Roman" w:eastAsia="黑体" w:cs="黑体"/>
          <w:b/>
          <w:bCs/>
          <w:sz w:val="28"/>
          <w:szCs w:val="28"/>
        </w:rPr>
        <w:t>年</w:t>
      </w:r>
      <w:r>
        <w:rPr>
          <w:rFonts w:hint="eastAsia" w:ascii="Times New Roman" w:hAnsi="Times New Roman" w:eastAsia="黑体"/>
          <w:b/>
          <w:bCs/>
          <w:sz w:val="28"/>
          <w:szCs w:val="28"/>
          <w:lang w:val="en-US" w:eastAsia="zh-CN"/>
        </w:rPr>
        <w:t>5</w:t>
      </w:r>
      <w:r>
        <w:rPr>
          <w:rFonts w:hint="eastAsia" w:ascii="Times New Roman" w:hAnsi="Times New Roman" w:eastAsia="黑体" w:cs="黑体"/>
          <w:b/>
          <w:bCs/>
          <w:sz w:val="28"/>
          <w:szCs w:val="28"/>
        </w:rPr>
        <w:t>月</w:t>
      </w:r>
      <w:r>
        <w:rPr>
          <w:rFonts w:hint="eastAsia" w:ascii="Times New Roman" w:hAnsi="Times New Roman" w:eastAsia="黑体" w:cs="黑体"/>
          <w:b/>
          <w:bCs/>
          <w:sz w:val="28"/>
          <w:szCs w:val="28"/>
          <w:lang w:val="en-US" w:eastAsia="zh-CN"/>
        </w:rPr>
        <w:t>30日</w:t>
      </w: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sectPr>
          <w:pgSz w:w="11907" w:h="16840"/>
          <w:pgMar w:top="1440" w:right="1800" w:bottom="1440" w:left="1800" w:header="851" w:footer="1304" w:gutter="0"/>
          <w:pgNumType w:fmt="decimal"/>
          <w:cols w:space="720" w:num="1"/>
          <w:docGrid w:type="linesAndChars" w:linePitch="587" w:charSpace="-842"/>
        </w:sectPr>
      </w:pPr>
    </w:p>
    <w:p>
      <w:pPr>
        <w:spacing w:line="600" w:lineRule="exact"/>
        <w:ind w:firstLine="880"/>
        <w:jc w:val="center"/>
        <w:rPr>
          <w:rFonts w:ascii="方正小标宋_GBK" w:eastAsia="方正小标宋_GBK"/>
          <w:b/>
          <w:sz w:val="44"/>
          <w:szCs w:val="44"/>
        </w:rPr>
      </w:pPr>
    </w:p>
    <w:p>
      <w:pPr>
        <w:spacing w:line="600" w:lineRule="exact"/>
        <w:rPr>
          <w:rFonts w:hint="eastAsia" w:ascii="方正小标宋_GBK" w:eastAsia="方正小标宋_GBK"/>
          <w:b/>
          <w:sz w:val="44"/>
          <w:szCs w:val="44"/>
        </w:rPr>
      </w:pPr>
      <w:r>
        <w:rPr>
          <w:rFonts w:hint="eastAsia" w:ascii="方正小标宋_GBK" w:eastAsia="方正小标宋_GBK"/>
          <w:b/>
          <w:sz w:val="44"/>
          <w:szCs w:val="44"/>
        </w:rPr>
        <w:t xml:space="preserve">                </w:t>
      </w:r>
      <w:r>
        <w:rPr>
          <w:rFonts w:hint="eastAsia" w:ascii="方正小标宋_GBK" w:eastAsia="方正小标宋_GBK"/>
          <w:b w:val="0"/>
          <w:bCs/>
          <w:sz w:val="44"/>
          <w:szCs w:val="44"/>
        </w:rPr>
        <w:t xml:space="preserve"> 目</w:t>
      </w:r>
      <w:r>
        <w:rPr>
          <w:rFonts w:hint="eastAsia" w:ascii="方正小标宋_GBK" w:eastAsia="方正小标宋_GBK"/>
          <w:b w:val="0"/>
          <w:bCs/>
          <w:sz w:val="44"/>
          <w:szCs w:val="44"/>
          <w:lang w:val="en-US" w:eastAsia="zh-CN"/>
        </w:rPr>
        <w:t xml:space="preserve">  </w:t>
      </w:r>
      <w:r>
        <w:rPr>
          <w:rFonts w:hint="eastAsia" w:ascii="方正小标宋_GBK" w:eastAsia="方正小标宋_GBK"/>
          <w:b w:val="0"/>
          <w:bCs/>
          <w:sz w:val="44"/>
          <w:szCs w:val="44"/>
        </w:rPr>
        <w:t>录</w:t>
      </w:r>
    </w:p>
    <w:p>
      <w:pPr>
        <w:spacing w:line="600" w:lineRule="exact"/>
        <w:rPr>
          <w:rFonts w:hint="eastAsia" w:ascii="方正小标宋_GBK" w:eastAsia="方正小标宋_GBK"/>
          <w:b/>
          <w:sz w:val="44"/>
          <w:szCs w:val="44"/>
        </w:rPr>
      </w:pPr>
    </w:p>
    <w:p>
      <w:pPr>
        <w:pStyle w:val="5"/>
        <w:tabs>
          <w:tab w:val="right" w:leader="dot" w:pos="8307"/>
        </w:tabs>
      </w:pPr>
      <w:r>
        <w:rPr>
          <w:rFonts w:ascii="方正小标宋_GBK" w:eastAsia="方正小标宋_GBK"/>
          <w:color w:val="FF0000"/>
          <w:sz w:val="36"/>
          <w:szCs w:val="36"/>
        </w:rPr>
        <w:fldChar w:fldCharType="begin"/>
      </w:r>
      <w:r>
        <w:rPr>
          <w:rFonts w:ascii="方正小标宋_GBK" w:eastAsia="方正小标宋_GBK"/>
          <w:color w:val="FF0000"/>
          <w:sz w:val="36"/>
          <w:szCs w:val="36"/>
        </w:rPr>
        <w:instrText xml:space="preserve"> </w:instrText>
      </w:r>
      <w:r>
        <w:rPr>
          <w:rFonts w:hint="eastAsia" w:ascii="方正小标宋_GBK" w:eastAsia="方正小标宋_GBK"/>
          <w:color w:val="FF0000"/>
          <w:sz w:val="36"/>
          <w:szCs w:val="36"/>
        </w:rPr>
        <w:instrText xml:space="preserve">TOC \o "1-3" \h \z \u</w:instrText>
      </w:r>
      <w:r>
        <w:rPr>
          <w:rFonts w:ascii="方正小标宋_GBK" w:eastAsia="方正小标宋_GBK"/>
          <w:color w:val="FF0000"/>
          <w:sz w:val="36"/>
          <w:szCs w:val="36"/>
        </w:rPr>
        <w:instrText xml:space="preserve"> </w:instrText>
      </w:r>
      <w:r>
        <w:rPr>
          <w:rFonts w:ascii="方正小标宋_GBK" w:eastAsia="方正小标宋_GBK"/>
          <w:color w:val="FF0000"/>
          <w:sz w:val="36"/>
          <w:szCs w:val="36"/>
        </w:rPr>
        <w:fldChar w:fldCharType="separate"/>
      </w:r>
      <w:r>
        <w:rPr>
          <w:rFonts w:ascii="方正小标宋_GBK" w:eastAsia="方正小标宋_GBK"/>
          <w:color w:val="FF0000"/>
          <w:szCs w:val="36"/>
        </w:rPr>
        <w:fldChar w:fldCharType="begin"/>
      </w:r>
      <w:r>
        <w:rPr>
          <w:rFonts w:ascii="方正小标宋_GBK" w:eastAsia="方正小标宋_GBK"/>
          <w:szCs w:val="36"/>
        </w:rPr>
        <w:instrText xml:space="preserve"> HYPERLINK \l _Toc65 </w:instrText>
      </w:r>
      <w:r>
        <w:rPr>
          <w:rFonts w:ascii="方正小标宋_GBK" w:eastAsia="方正小标宋_GBK"/>
          <w:szCs w:val="36"/>
        </w:rPr>
        <w:fldChar w:fldCharType="separate"/>
      </w:r>
      <w:r>
        <w:rPr>
          <w:rFonts w:hint="eastAsia" w:ascii="黑体" w:eastAsia="黑体"/>
          <w:bCs w:val="0"/>
          <w:szCs w:val="32"/>
        </w:rPr>
        <w:t>一、项目基本情况</w:t>
      </w:r>
      <w:r>
        <w:tab/>
      </w:r>
      <w:r>
        <w:fldChar w:fldCharType="begin"/>
      </w:r>
      <w:r>
        <w:instrText xml:space="preserve"> PAGEREF _Toc65 </w:instrText>
      </w:r>
      <w:r>
        <w:fldChar w:fldCharType="separate"/>
      </w:r>
      <w:r>
        <w:t>3</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_Toc14177 </w:instrText>
      </w:r>
      <w:r>
        <w:rPr>
          <w:rFonts w:ascii="方正小标宋_GBK" w:eastAsia="方正小标宋_GBK"/>
          <w:szCs w:val="36"/>
        </w:rPr>
        <w:fldChar w:fldCharType="separate"/>
      </w:r>
      <w:r>
        <w:rPr>
          <w:rFonts w:hint="eastAsia" w:ascii="楷体_GB2312" w:eastAsia="楷体_GB2312"/>
          <w:bCs w:val="0"/>
        </w:rPr>
        <w:t>（一）项目概况</w:t>
      </w:r>
      <w:r>
        <w:tab/>
      </w:r>
      <w:r>
        <w:fldChar w:fldCharType="begin"/>
      </w:r>
      <w:r>
        <w:instrText xml:space="preserve"> PAGEREF _Toc14177 </w:instrText>
      </w:r>
      <w:r>
        <w:fldChar w:fldCharType="separate"/>
      </w:r>
      <w:r>
        <w:t>3</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_Toc31289 </w:instrText>
      </w:r>
      <w:r>
        <w:rPr>
          <w:rFonts w:ascii="方正小标宋_GBK" w:eastAsia="方正小标宋_GBK"/>
          <w:szCs w:val="36"/>
        </w:rPr>
        <w:fldChar w:fldCharType="separate"/>
      </w:r>
      <w:r>
        <w:rPr>
          <w:rFonts w:hint="eastAsia" w:ascii="楷体_GB2312" w:eastAsia="楷体_GB2312"/>
          <w:bCs w:val="0"/>
        </w:rPr>
        <w:t>（二）绩效目标</w:t>
      </w:r>
      <w:r>
        <w:tab/>
      </w:r>
      <w:r>
        <w:fldChar w:fldCharType="begin"/>
      </w:r>
      <w:r>
        <w:instrText xml:space="preserve"> PAGEREF _Toc31289 </w:instrText>
      </w:r>
      <w:r>
        <w:fldChar w:fldCharType="separate"/>
      </w:r>
      <w:r>
        <w:t>6</w:t>
      </w:r>
      <w:r>
        <w:fldChar w:fldCharType="end"/>
      </w:r>
      <w:r>
        <w:rPr>
          <w:rFonts w:ascii="方正小标宋_GBK" w:eastAsia="方正小标宋_GBK"/>
          <w:color w:val="FF0000"/>
          <w:szCs w:val="36"/>
        </w:rPr>
        <w:fldChar w:fldCharType="end"/>
      </w:r>
    </w:p>
    <w:p>
      <w:pPr>
        <w:pStyle w:val="5"/>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_Toc15420 </w:instrText>
      </w:r>
      <w:r>
        <w:rPr>
          <w:rFonts w:ascii="方正小标宋_GBK" w:eastAsia="方正小标宋_GBK"/>
          <w:szCs w:val="36"/>
        </w:rPr>
        <w:fldChar w:fldCharType="separate"/>
      </w:r>
      <w:r>
        <w:rPr>
          <w:rFonts w:hint="eastAsia" w:ascii="黑体" w:eastAsia="黑体"/>
          <w:bCs w:val="0"/>
          <w:szCs w:val="32"/>
        </w:rPr>
        <w:t>二、绩效评价工作情况</w:t>
      </w:r>
      <w:r>
        <w:tab/>
      </w:r>
      <w:r>
        <w:fldChar w:fldCharType="begin"/>
      </w:r>
      <w:r>
        <w:instrText xml:space="preserve"> PAGEREF _Toc15420 </w:instrText>
      </w:r>
      <w:r>
        <w:fldChar w:fldCharType="separate"/>
      </w:r>
      <w:r>
        <w:t>7</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_Toc19715 </w:instrText>
      </w:r>
      <w:r>
        <w:rPr>
          <w:rFonts w:ascii="方正小标宋_GBK" w:eastAsia="方正小标宋_GBK"/>
          <w:szCs w:val="36"/>
        </w:rPr>
        <w:fldChar w:fldCharType="separate"/>
      </w:r>
      <w:r>
        <w:rPr>
          <w:rFonts w:hint="eastAsia" w:ascii="楷体_GB2312" w:eastAsia="楷体_GB2312"/>
          <w:bCs w:val="0"/>
        </w:rPr>
        <w:t>（一）绩效评价目的</w:t>
      </w:r>
      <w:r>
        <w:tab/>
      </w:r>
      <w:r>
        <w:fldChar w:fldCharType="begin"/>
      </w:r>
      <w:r>
        <w:instrText xml:space="preserve"> PAGEREF _Toc19715 </w:instrText>
      </w:r>
      <w:r>
        <w:fldChar w:fldCharType="separate"/>
      </w:r>
      <w:r>
        <w:t>8</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_Toc29423 </w:instrText>
      </w:r>
      <w:r>
        <w:rPr>
          <w:rFonts w:ascii="方正小标宋_GBK" w:eastAsia="方正小标宋_GBK"/>
          <w:szCs w:val="36"/>
        </w:rPr>
        <w:fldChar w:fldCharType="separate"/>
      </w:r>
      <w:r>
        <w:rPr>
          <w:rFonts w:hint="eastAsia" w:ascii="楷体_GB2312" w:eastAsia="楷体_GB2312"/>
        </w:rPr>
        <w:t>（二）绩效评价工作方案制定过程</w:t>
      </w:r>
      <w:r>
        <w:tab/>
      </w:r>
      <w:r>
        <w:fldChar w:fldCharType="begin"/>
      </w:r>
      <w:r>
        <w:instrText xml:space="preserve"> PAGEREF _Toc29423 </w:instrText>
      </w:r>
      <w:r>
        <w:fldChar w:fldCharType="separate"/>
      </w:r>
      <w:r>
        <w:t>8</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_Toc8790 </w:instrText>
      </w:r>
      <w:r>
        <w:rPr>
          <w:rFonts w:ascii="方正小标宋_GBK" w:eastAsia="方正小标宋_GBK"/>
          <w:szCs w:val="36"/>
        </w:rPr>
        <w:fldChar w:fldCharType="separate"/>
      </w:r>
      <w:r>
        <w:rPr>
          <w:rFonts w:hint="eastAsia" w:ascii="楷体_GB2312" w:eastAsia="楷体_GB2312"/>
        </w:rPr>
        <w:t>（三）绩效评价原则、评价方法</w:t>
      </w:r>
      <w:r>
        <w:tab/>
      </w:r>
      <w:r>
        <w:fldChar w:fldCharType="begin"/>
      </w:r>
      <w:r>
        <w:instrText xml:space="preserve"> PAGEREF _Toc8790 </w:instrText>
      </w:r>
      <w:r>
        <w:fldChar w:fldCharType="separate"/>
      </w:r>
      <w:r>
        <w:t>9</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_Toc29392 </w:instrText>
      </w:r>
      <w:r>
        <w:rPr>
          <w:rFonts w:ascii="方正小标宋_GBK" w:eastAsia="方正小标宋_GBK"/>
          <w:szCs w:val="36"/>
        </w:rPr>
        <w:fldChar w:fldCharType="separate"/>
      </w:r>
      <w:r>
        <w:rPr>
          <w:rFonts w:hint="eastAsia" w:ascii="楷体_GB2312" w:eastAsia="楷体_GB2312"/>
        </w:rPr>
        <w:t>（四）绩效评价实施过程</w:t>
      </w:r>
      <w:r>
        <w:tab/>
      </w:r>
      <w:r>
        <w:fldChar w:fldCharType="begin"/>
      </w:r>
      <w:r>
        <w:instrText xml:space="preserve"> PAGEREF _Toc29392 </w:instrText>
      </w:r>
      <w:r>
        <w:fldChar w:fldCharType="separate"/>
      </w:r>
      <w:r>
        <w:t>10</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_Toc24260 </w:instrText>
      </w:r>
      <w:r>
        <w:rPr>
          <w:rFonts w:ascii="方正小标宋_GBK" w:eastAsia="方正小标宋_GBK"/>
          <w:szCs w:val="36"/>
        </w:rPr>
        <w:fldChar w:fldCharType="separate"/>
      </w:r>
      <w:r>
        <w:rPr>
          <w:rFonts w:hint="eastAsia" w:ascii="楷体_GB2312" w:eastAsia="楷体_GB2312"/>
          <w:bCs w:val="0"/>
        </w:rPr>
        <w:t>（五）本次绩效评价的局限性</w:t>
      </w:r>
      <w:r>
        <w:tab/>
      </w:r>
      <w:r>
        <w:fldChar w:fldCharType="begin"/>
      </w:r>
      <w:r>
        <w:instrText xml:space="preserve"> PAGEREF _Toc24260 </w:instrText>
      </w:r>
      <w:r>
        <w:fldChar w:fldCharType="separate"/>
      </w:r>
      <w:r>
        <w:t>12</w:t>
      </w:r>
      <w:r>
        <w:fldChar w:fldCharType="end"/>
      </w:r>
      <w:r>
        <w:rPr>
          <w:rFonts w:ascii="方正小标宋_GBK" w:eastAsia="方正小标宋_GBK"/>
          <w:color w:val="FF0000"/>
          <w:szCs w:val="36"/>
        </w:rPr>
        <w:fldChar w:fldCharType="end"/>
      </w:r>
    </w:p>
    <w:p>
      <w:pPr>
        <w:pStyle w:val="5"/>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_Toc22132 </w:instrText>
      </w:r>
      <w:r>
        <w:rPr>
          <w:rFonts w:ascii="方正小标宋_GBK" w:eastAsia="方正小标宋_GBK"/>
          <w:szCs w:val="36"/>
        </w:rPr>
        <w:fldChar w:fldCharType="separate"/>
      </w:r>
      <w:r>
        <w:rPr>
          <w:rFonts w:hint="eastAsia" w:ascii="黑体" w:eastAsia="黑体"/>
          <w:bCs w:val="0"/>
          <w:szCs w:val="32"/>
        </w:rPr>
        <w:t>三、评价结论和绩效分析</w:t>
      </w:r>
      <w:r>
        <w:tab/>
      </w:r>
      <w:r>
        <w:fldChar w:fldCharType="begin"/>
      </w:r>
      <w:r>
        <w:instrText xml:space="preserve"> PAGEREF _Toc22132 </w:instrText>
      </w:r>
      <w:r>
        <w:fldChar w:fldCharType="separate"/>
      </w:r>
      <w:r>
        <w:t>12</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_Toc430 </w:instrText>
      </w:r>
      <w:r>
        <w:rPr>
          <w:rFonts w:ascii="方正小标宋_GBK" w:eastAsia="方正小标宋_GBK"/>
          <w:szCs w:val="36"/>
        </w:rPr>
        <w:fldChar w:fldCharType="separate"/>
      </w:r>
      <w:r>
        <w:rPr>
          <w:rFonts w:hint="eastAsia" w:ascii="楷体_GB2312" w:eastAsia="楷体_GB2312"/>
          <w:bCs w:val="0"/>
          <w:szCs w:val="32"/>
        </w:rPr>
        <w:t>（一）评价结论</w:t>
      </w:r>
      <w:r>
        <w:tab/>
      </w:r>
      <w:r>
        <w:fldChar w:fldCharType="begin"/>
      </w:r>
      <w:r>
        <w:instrText xml:space="preserve"> PAGEREF _Toc430 </w:instrText>
      </w:r>
      <w:r>
        <w:fldChar w:fldCharType="separate"/>
      </w:r>
      <w:r>
        <w:t>12</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_Toc14928 </w:instrText>
      </w:r>
      <w:r>
        <w:rPr>
          <w:rFonts w:ascii="方正小标宋_GBK" w:eastAsia="方正小标宋_GBK"/>
          <w:szCs w:val="36"/>
        </w:rPr>
        <w:fldChar w:fldCharType="separate"/>
      </w:r>
      <w:r>
        <w:rPr>
          <w:rFonts w:hint="eastAsia" w:ascii="楷体_GB2312" w:eastAsia="楷体_GB2312"/>
          <w:bCs w:val="0"/>
          <w:highlight w:val="none"/>
        </w:rPr>
        <w:t>（二）具体绩效分析</w:t>
      </w:r>
      <w:r>
        <w:tab/>
      </w:r>
      <w:r>
        <w:fldChar w:fldCharType="begin"/>
      </w:r>
      <w:r>
        <w:instrText xml:space="preserve"> PAGEREF _Toc14928 </w:instrText>
      </w:r>
      <w:r>
        <w:fldChar w:fldCharType="separate"/>
      </w:r>
      <w:r>
        <w:t>13</w:t>
      </w:r>
      <w:r>
        <w:fldChar w:fldCharType="end"/>
      </w:r>
      <w:r>
        <w:rPr>
          <w:rFonts w:ascii="方正小标宋_GBK" w:eastAsia="方正小标宋_GBK"/>
          <w:color w:val="FF0000"/>
          <w:szCs w:val="36"/>
        </w:rPr>
        <w:fldChar w:fldCharType="end"/>
      </w:r>
    </w:p>
    <w:p>
      <w:pPr>
        <w:pStyle w:val="5"/>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_Toc19946 </w:instrText>
      </w:r>
      <w:r>
        <w:rPr>
          <w:rFonts w:ascii="方正小标宋_GBK" w:eastAsia="方正小标宋_GBK"/>
          <w:szCs w:val="36"/>
        </w:rPr>
        <w:fldChar w:fldCharType="separate"/>
      </w:r>
      <w:r>
        <w:rPr>
          <w:rFonts w:hint="eastAsia" w:ascii="黑体" w:hAnsi="黑体" w:eastAsia="黑体" w:cs="黑体"/>
          <w:bCs w:val="0"/>
          <w:szCs w:val="32"/>
        </w:rPr>
        <w:t>四、成本效益分析</w:t>
      </w:r>
      <w:r>
        <w:tab/>
      </w:r>
      <w:r>
        <w:fldChar w:fldCharType="begin"/>
      </w:r>
      <w:r>
        <w:instrText xml:space="preserve"> PAGEREF _Toc19946 </w:instrText>
      </w:r>
      <w:r>
        <w:fldChar w:fldCharType="separate"/>
      </w:r>
      <w:r>
        <w:t>21</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_Toc21839 </w:instrText>
      </w:r>
      <w:r>
        <w:rPr>
          <w:rFonts w:ascii="方正小标宋_GBK" w:eastAsia="方正小标宋_GBK"/>
          <w:szCs w:val="36"/>
        </w:rPr>
        <w:fldChar w:fldCharType="separate"/>
      </w:r>
      <w:r>
        <w:rPr>
          <w:rFonts w:hint="default" w:ascii="Times New Roman" w:hAnsi="Times New Roman" w:eastAsia="楷体_GB2312" w:cs="Times New Roman"/>
          <w:bCs w:val="0"/>
          <w:szCs w:val="32"/>
        </w:rPr>
        <w:t>（一）资金收入及支出结构、资金使用方向</w:t>
      </w:r>
      <w:r>
        <w:tab/>
      </w:r>
      <w:r>
        <w:fldChar w:fldCharType="begin"/>
      </w:r>
      <w:r>
        <w:instrText xml:space="preserve"> PAGEREF _Toc21839 </w:instrText>
      </w:r>
      <w:r>
        <w:fldChar w:fldCharType="separate"/>
      </w:r>
      <w:r>
        <w:t>21</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_Toc18550 </w:instrText>
      </w:r>
      <w:r>
        <w:rPr>
          <w:rFonts w:ascii="方正小标宋_GBK" w:eastAsia="方正小标宋_GBK"/>
          <w:szCs w:val="36"/>
        </w:rPr>
        <w:fldChar w:fldCharType="separate"/>
      </w:r>
      <w:r>
        <w:rPr>
          <w:rFonts w:hint="eastAsia" w:ascii="楷体_GB2312" w:eastAsia="楷体_GB2312"/>
          <w:bCs w:val="0"/>
        </w:rPr>
        <w:t>（二）项目和资金管理情况</w:t>
      </w:r>
      <w:r>
        <w:tab/>
      </w:r>
      <w:r>
        <w:fldChar w:fldCharType="begin"/>
      </w:r>
      <w:r>
        <w:instrText xml:space="preserve"> PAGEREF _Toc18550 </w:instrText>
      </w:r>
      <w:r>
        <w:fldChar w:fldCharType="separate"/>
      </w:r>
      <w:r>
        <w:t>21</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_Toc9005 </w:instrText>
      </w:r>
      <w:r>
        <w:rPr>
          <w:rFonts w:ascii="方正小标宋_GBK" w:eastAsia="方正小标宋_GBK"/>
          <w:szCs w:val="36"/>
        </w:rPr>
        <w:fldChar w:fldCharType="separate"/>
      </w:r>
      <w:r>
        <w:rPr>
          <w:rFonts w:hint="eastAsia" w:ascii="楷体_GB2312" w:eastAsia="楷体_GB2312"/>
          <w:bCs w:val="0"/>
        </w:rPr>
        <w:t>（三）资金的节约性、资金使用效果</w:t>
      </w:r>
      <w:r>
        <w:tab/>
      </w:r>
      <w:r>
        <w:fldChar w:fldCharType="begin"/>
      </w:r>
      <w:r>
        <w:instrText xml:space="preserve"> PAGEREF _Toc9005 </w:instrText>
      </w:r>
      <w:r>
        <w:fldChar w:fldCharType="separate"/>
      </w:r>
      <w:r>
        <w:t>21</w:t>
      </w:r>
      <w:r>
        <w:fldChar w:fldCharType="end"/>
      </w:r>
      <w:r>
        <w:rPr>
          <w:rFonts w:ascii="方正小标宋_GBK" w:eastAsia="方正小标宋_GBK"/>
          <w:color w:val="FF0000"/>
          <w:szCs w:val="36"/>
        </w:rPr>
        <w:fldChar w:fldCharType="end"/>
      </w:r>
    </w:p>
    <w:p>
      <w:pPr>
        <w:pStyle w:val="6"/>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_Toc17906 </w:instrText>
      </w:r>
      <w:r>
        <w:rPr>
          <w:rFonts w:ascii="方正小标宋_GBK" w:eastAsia="方正小标宋_GBK"/>
          <w:szCs w:val="36"/>
        </w:rPr>
        <w:fldChar w:fldCharType="separate"/>
      </w:r>
      <w:r>
        <w:rPr>
          <w:rFonts w:hint="eastAsia" w:ascii="楷体_GB2312" w:eastAsia="楷体_GB2312"/>
          <w:bCs w:val="0"/>
        </w:rPr>
        <w:t>（四）变化趋势</w:t>
      </w:r>
      <w:r>
        <w:tab/>
      </w:r>
      <w:r>
        <w:fldChar w:fldCharType="begin"/>
      </w:r>
      <w:r>
        <w:instrText xml:space="preserve"> PAGEREF _Toc17906 </w:instrText>
      </w:r>
      <w:r>
        <w:fldChar w:fldCharType="separate"/>
      </w:r>
      <w:r>
        <w:t>21</w:t>
      </w:r>
      <w:r>
        <w:fldChar w:fldCharType="end"/>
      </w:r>
      <w:r>
        <w:rPr>
          <w:rFonts w:ascii="方正小标宋_GBK" w:eastAsia="方正小标宋_GBK"/>
          <w:color w:val="FF0000"/>
          <w:szCs w:val="36"/>
        </w:rPr>
        <w:fldChar w:fldCharType="end"/>
      </w:r>
    </w:p>
    <w:p>
      <w:pPr>
        <w:pStyle w:val="5"/>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_Toc5784 </w:instrText>
      </w:r>
      <w:r>
        <w:rPr>
          <w:rFonts w:ascii="方正小标宋_GBK" w:eastAsia="方正小标宋_GBK"/>
          <w:szCs w:val="36"/>
        </w:rPr>
        <w:fldChar w:fldCharType="separate"/>
      </w:r>
      <w:r>
        <w:rPr>
          <w:rFonts w:hint="eastAsia" w:ascii="黑体" w:eastAsia="黑体"/>
          <w:bCs w:val="0"/>
          <w:szCs w:val="32"/>
        </w:rPr>
        <w:t>五、主要经验及做法</w:t>
      </w:r>
      <w:r>
        <w:tab/>
      </w:r>
      <w:r>
        <w:fldChar w:fldCharType="begin"/>
      </w:r>
      <w:r>
        <w:instrText xml:space="preserve"> PAGEREF _Toc5784 </w:instrText>
      </w:r>
      <w:r>
        <w:fldChar w:fldCharType="separate"/>
      </w:r>
      <w:r>
        <w:t>22</w:t>
      </w:r>
      <w:r>
        <w:fldChar w:fldCharType="end"/>
      </w:r>
      <w:r>
        <w:rPr>
          <w:rFonts w:ascii="方正小标宋_GBK" w:eastAsia="方正小标宋_GBK"/>
          <w:color w:val="FF0000"/>
          <w:szCs w:val="36"/>
        </w:rPr>
        <w:fldChar w:fldCharType="end"/>
      </w:r>
    </w:p>
    <w:p>
      <w:pPr>
        <w:pStyle w:val="5"/>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_Toc17589 </w:instrText>
      </w:r>
      <w:r>
        <w:rPr>
          <w:rFonts w:ascii="方正小标宋_GBK" w:eastAsia="方正小标宋_GBK"/>
          <w:szCs w:val="36"/>
        </w:rPr>
        <w:fldChar w:fldCharType="separate"/>
      </w:r>
      <w:r>
        <w:rPr>
          <w:rFonts w:hint="eastAsia" w:ascii="黑体" w:eastAsia="黑体"/>
          <w:bCs w:val="0"/>
          <w:szCs w:val="32"/>
        </w:rPr>
        <w:t>六、存在的主要问题</w:t>
      </w:r>
      <w:r>
        <w:tab/>
      </w:r>
      <w:r>
        <w:fldChar w:fldCharType="begin"/>
      </w:r>
      <w:r>
        <w:instrText xml:space="preserve"> PAGEREF _Toc17589 </w:instrText>
      </w:r>
      <w:r>
        <w:fldChar w:fldCharType="separate"/>
      </w:r>
      <w:r>
        <w:t>22</w:t>
      </w:r>
      <w:r>
        <w:fldChar w:fldCharType="end"/>
      </w:r>
      <w:r>
        <w:rPr>
          <w:rFonts w:ascii="方正小标宋_GBK" w:eastAsia="方正小标宋_GBK"/>
          <w:color w:val="FF0000"/>
          <w:szCs w:val="36"/>
        </w:rPr>
        <w:fldChar w:fldCharType="end"/>
      </w:r>
    </w:p>
    <w:p>
      <w:pPr>
        <w:pStyle w:val="5"/>
        <w:tabs>
          <w:tab w:val="right" w:leader="dot" w:pos="8307"/>
        </w:tabs>
      </w:pPr>
      <w:r>
        <w:rPr>
          <w:rFonts w:ascii="方正小标宋_GBK" w:eastAsia="方正小标宋_GBK"/>
          <w:color w:val="FF0000"/>
          <w:szCs w:val="36"/>
        </w:rPr>
        <w:fldChar w:fldCharType="begin"/>
      </w:r>
      <w:r>
        <w:rPr>
          <w:rFonts w:ascii="方正小标宋_GBK" w:eastAsia="方正小标宋_GBK"/>
          <w:szCs w:val="36"/>
        </w:rPr>
        <w:instrText xml:space="preserve"> HYPERLINK \l _Toc14692 </w:instrText>
      </w:r>
      <w:r>
        <w:rPr>
          <w:rFonts w:ascii="方正小标宋_GBK" w:eastAsia="方正小标宋_GBK"/>
          <w:szCs w:val="36"/>
        </w:rPr>
        <w:fldChar w:fldCharType="separate"/>
      </w:r>
      <w:r>
        <w:rPr>
          <w:rFonts w:hint="eastAsia" w:ascii="黑体" w:eastAsia="黑体"/>
          <w:bCs w:val="0"/>
          <w:szCs w:val="32"/>
        </w:rPr>
        <w:t>七、建议和改进措施</w:t>
      </w:r>
      <w:r>
        <w:tab/>
      </w:r>
      <w:r>
        <w:fldChar w:fldCharType="begin"/>
      </w:r>
      <w:r>
        <w:instrText xml:space="preserve"> PAGEREF _Toc14692 </w:instrText>
      </w:r>
      <w:r>
        <w:fldChar w:fldCharType="separate"/>
      </w:r>
      <w:r>
        <w:t>22</w:t>
      </w:r>
      <w:r>
        <w:fldChar w:fldCharType="end"/>
      </w:r>
      <w:r>
        <w:rPr>
          <w:rFonts w:ascii="方正小标宋_GBK" w:eastAsia="方正小标宋_GBK"/>
          <w:color w:val="FF0000"/>
          <w:szCs w:val="36"/>
        </w:rPr>
        <w:fldChar w:fldCharType="end"/>
      </w:r>
    </w:p>
    <w:p>
      <w:pPr>
        <w:spacing w:line="600" w:lineRule="exact"/>
        <w:jc w:val="center"/>
        <w:rPr>
          <w:rFonts w:ascii="方正小标宋_GBK" w:eastAsia="方正小标宋_GBK"/>
          <w:color w:val="FF0000"/>
          <w:sz w:val="36"/>
          <w:szCs w:val="36"/>
        </w:rPr>
        <w:sectPr>
          <w:footerReference r:id="rId3" w:type="default"/>
          <w:footerReference r:id="rId4" w:type="even"/>
          <w:pgSz w:w="11907" w:h="16840"/>
          <w:pgMar w:top="1440" w:right="1800" w:bottom="1440" w:left="1800" w:header="851" w:footer="1304" w:gutter="0"/>
          <w:pgNumType w:fmt="decimal" w:start="1"/>
          <w:cols w:space="720" w:num="1"/>
          <w:docGrid w:type="linesAndChars" w:linePitch="587" w:charSpace="-842"/>
        </w:sectPr>
      </w:pPr>
      <w:r>
        <w:rPr>
          <w:rFonts w:ascii="方正小标宋_GBK" w:eastAsia="方正小标宋_GBK"/>
          <w:color w:val="FF0000"/>
          <w:szCs w:val="36"/>
        </w:rPr>
        <w:fldChar w:fldCharType="end"/>
      </w:r>
    </w:p>
    <w:p>
      <w:pPr>
        <w:spacing w:line="600" w:lineRule="exact"/>
        <w:jc w:val="center"/>
        <w:rPr>
          <w:rFonts w:hint="eastAsia" w:ascii="方正小标宋_GBK" w:eastAsia="方正小标宋_GBK"/>
          <w:b w:val="0"/>
          <w:bCs/>
          <w:sz w:val="36"/>
          <w:szCs w:val="36"/>
          <w:lang w:eastAsia="zh-CN"/>
        </w:rPr>
      </w:pPr>
      <w:r>
        <w:rPr>
          <w:rFonts w:hint="eastAsia" w:ascii="方正小标宋_GBK" w:eastAsia="方正小标宋_GBK"/>
          <w:b w:val="0"/>
          <w:bCs/>
          <w:sz w:val="36"/>
          <w:szCs w:val="36"/>
          <w:lang w:eastAsia="zh-CN"/>
        </w:rPr>
        <w:t>昆明市生态环境局东川分局</w:t>
      </w:r>
    </w:p>
    <w:p>
      <w:pPr>
        <w:spacing w:line="600" w:lineRule="exact"/>
        <w:jc w:val="center"/>
        <w:rPr>
          <w:rFonts w:hint="eastAsia" w:ascii="方正小标宋_GBK" w:eastAsia="方正小标宋_GBK"/>
          <w:b w:val="0"/>
          <w:bCs/>
          <w:sz w:val="36"/>
          <w:szCs w:val="36"/>
          <w:lang w:val="en-US" w:eastAsia="zh-CN"/>
        </w:rPr>
      </w:pPr>
      <w:r>
        <w:rPr>
          <w:rFonts w:hint="eastAsia" w:ascii="方正小标宋_GBK" w:eastAsia="方正小标宋_GBK"/>
          <w:b w:val="0"/>
          <w:bCs/>
          <w:sz w:val="36"/>
          <w:szCs w:val="36"/>
          <w:lang w:val="en-US" w:eastAsia="zh-CN"/>
        </w:rPr>
        <w:t>2019年涉重危废排查资金项目支出</w:t>
      </w:r>
    </w:p>
    <w:p>
      <w:pPr>
        <w:spacing w:line="600" w:lineRule="exact"/>
        <w:jc w:val="center"/>
        <w:rPr>
          <w:rFonts w:hint="eastAsia" w:ascii="方正小标宋_GBK" w:eastAsia="方正小标宋_GBK"/>
          <w:b/>
          <w:color w:val="FF0000"/>
          <w:sz w:val="36"/>
          <w:szCs w:val="36"/>
        </w:rPr>
      </w:pPr>
      <w:r>
        <w:rPr>
          <w:rFonts w:hint="eastAsia" w:ascii="方正小标宋_GBK" w:eastAsia="方正小标宋_GBK"/>
          <w:b w:val="0"/>
          <w:bCs/>
          <w:sz w:val="36"/>
          <w:szCs w:val="36"/>
          <w:lang w:val="en-US" w:eastAsia="zh-CN"/>
        </w:rPr>
        <w:t>绩效自评报告</w:t>
      </w:r>
    </w:p>
    <w:p>
      <w:pPr>
        <w:spacing w:line="440" w:lineRule="exact"/>
        <w:ind w:firstLine="632" w:firstLineChars="200"/>
        <w:jc w:val="center"/>
        <w:rPr>
          <w:rFonts w:ascii="方正小标宋_GBK" w:hAnsi="黑体" w:eastAsia="方正小标宋_GBK"/>
          <w:szCs w:val="32"/>
        </w:rPr>
      </w:pPr>
      <w:r>
        <w:rPr>
          <w:rFonts w:hint="eastAsia" w:ascii="方正小标宋_GBK" w:hAnsi="黑体" w:eastAsia="方正小标宋_GBK"/>
          <w:szCs w:val="32"/>
        </w:rPr>
        <w:t>摘要（1500字以内）</w:t>
      </w:r>
    </w:p>
    <w:p>
      <w:pPr>
        <w:numPr>
          <w:ilvl w:val="0"/>
          <w:numId w:val="1"/>
        </w:numPr>
        <w:spacing w:line="440" w:lineRule="exact"/>
        <w:ind w:firstLine="632" w:firstLineChars="200"/>
        <w:jc w:val="left"/>
        <w:rPr>
          <w:rFonts w:hint="default" w:ascii="黑体" w:hAnsi="黑体" w:eastAsia="黑体"/>
          <w:szCs w:val="32"/>
          <w:lang w:val="en-US" w:eastAsia="zh-CN"/>
        </w:rPr>
      </w:pPr>
      <w:r>
        <w:rPr>
          <w:rFonts w:hint="eastAsia" w:ascii="黑体" w:hAnsi="黑体" w:eastAsia="黑体"/>
          <w:szCs w:val="32"/>
        </w:rPr>
        <w:t>项目概况</w:t>
      </w:r>
    </w:p>
    <w:p>
      <w:pPr>
        <w:numPr>
          <w:ilvl w:val="0"/>
          <w:numId w:val="0"/>
        </w:numPr>
        <w:topLinePunct/>
        <w:adjustRightInd w:val="0"/>
        <w:snapToGrid w:val="0"/>
        <w:spacing w:line="600" w:lineRule="exact"/>
        <w:ind w:firstLine="656" w:firstLineChars="200"/>
        <w:jc w:val="left"/>
        <w:rPr>
          <w:rFonts w:hint="default" w:ascii="黑体" w:hAnsi="黑体" w:eastAsia="黑体"/>
          <w:szCs w:val="32"/>
          <w:lang w:val="en-US" w:eastAsia="zh-CN"/>
        </w:rPr>
      </w:pPr>
      <w:r>
        <w:rPr>
          <w:rFonts w:hint="eastAsia" w:ascii="仿宋_GB2312" w:hAnsi="宋体" w:eastAsia="仿宋_GB2312"/>
          <w:spacing w:val="6"/>
          <w:kern w:val="2"/>
          <w:sz w:val="32"/>
          <w:szCs w:val="32"/>
          <w:lang w:val="en-US" w:eastAsia="zh-CN" w:bidi="ar-SA"/>
        </w:rPr>
        <w:t>进一步加强工业园区固体废物污染防治，强化工业固体废物堆存场所的环境监管，根据东川区委区政府《关于印发〈东川区涉重涉矿企业整治工作方案〉的通知》（东办通〔2019〕90号）要求，以涉重、涉危行业企业为重点，全面开展东川区四方地碧谷工业园区工业固废堆存场所环境整治工作，完善堆存场所“三防”设施建设和强化环境污染风险防控，</w:t>
      </w:r>
      <w:r>
        <w:rPr>
          <w:rFonts w:hint="eastAsia" w:ascii="仿宋_GB2312" w:hAnsi="宋体"/>
          <w:spacing w:val="6"/>
          <w:kern w:val="2"/>
          <w:sz w:val="32"/>
          <w:szCs w:val="32"/>
          <w:lang w:val="en-US" w:eastAsia="zh-CN" w:bidi="ar-SA"/>
        </w:rPr>
        <w:t>并</w:t>
      </w:r>
      <w:r>
        <w:rPr>
          <w:rFonts w:hint="eastAsia" w:ascii="仿宋_GB2312" w:hAnsi="宋体" w:eastAsia="仿宋_GB2312"/>
          <w:spacing w:val="6"/>
          <w:kern w:val="2"/>
          <w:sz w:val="32"/>
          <w:szCs w:val="32"/>
          <w:lang w:val="en-US" w:eastAsia="zh-CN" w:bidi="ar-SA"/>
        </w:rPr>
        <w:t>对涉及园区固废污染的问题开展专项整治</w:t>
      </w:r>
      <w:r>
        <w:rPr>
          <w:rFonts w:hint="eastAsia" w:ascii="仿宋_GB2312" w:hAnsi="宋体"/>
          <w:spacing w:val="6"/>
          <w:kern w:val="2"/>
          <w:sz w:val="32"/>
          <w:szCs w:val="32"/>
          <w:lang w:val="en-US" w:eastAsia="zh-CN" w:bidi="ar-SA"/>
        </w:rPr>
        <w:t>工作，</w:t>
      </w:r>
      <w:r>
        <w:rPr>
          <w:rFonts w:hint="eastAsia" w:ascii="仿宋_GB2312" w:hAnsi="宋体" w:eastAsia="仿宋_GB2312"/>
          <w:spacing w:val="6"/>
          <w:kern w:val="2"/>
          <w:sz w:val="32"/>
          <w:szCs w:val="32"/>
          <w:lang w:val="en-US" w:eastAsia="zh-CN" w:bidi="ar-SA"/>
        </w:rPr>
        <w:t>积极推进园区工业固体废物污染防治，进一步提升园区工业固体废物环境监管水平，逐步构建工业固体废物</w:t>
      </w:r>
      <w:r>
        <w:rPr>
          <w:rFonts w:hint="eastAsia" w:ascii="仿宋_GB2312" w:hAnsi="宋体" w:eastAsia="仿宋_GB2312"/>
          <w:spacing w:val="6"/>
          <w:kern w:val="2"/>
          <w:sz w:val="32"/>
          <w:szCs w:val="32"/>
          <w:highlight w:val="none"/>
          <w:lang w:val="en-US" w:eastAsia="zh-CN" w:bidi="ar-SA"/>
        </w:rPr>
        <w:t>长效管理机制，解决现有工业固体废物堆存场所环境污染问题，打好工业固体废物污染防治攻坚战。</w:t>
      </w:r>
    </w:p>
    <w:p>
      <w:pPr>
        <w:numPr>
          <w:ilvl w:val="0"/>
          <w:numId w:val="1"/>
        </w:numPr>
        <w:spacing w:line="440" w:lineRule="exact"/>
        <w:ind w:left="0" w:leftChars="0" w:firstLine="632" w:firstLineChars="200"/>
        <w:jc w:val="left"/>
        <w:rPr>
          <w:rFonts w:hint="eastAsia" w:ascii="黑体" w:hAnsi="黑体" w:eastAsia="黑体"/>
          <w:szCs w:val="32"/>
        </w:rPr>
      </w:pPr>
      <w:r>
        <w:rPr>
          <w:rFonts w:hint="eastAsia" w:ascii="黑体" w:hAnsi="黑体" w:eastAsia="黑体"/>
          <w:szCs w:val="32"/>
        </w:rPr>
        <w:t>评价结论</w:t>
      </w:r>
    </w:p>
    <w:p>
      <w:pPr>
        <w:adjustRightInd w:val="0"/>
        <w:snapToGrid w:val="0"/>
        <w:spacing w:line="600" w:lineRule="exact"/>
        <w:ind w:firstLine="632" w:firstLineChars="200"/>
        <w:rPr>
          <w:rFonts w:hint="eastAsia" w:ascii="黑体" w:hAnsi="黑体" w:eastAsia="黑体"/>
          <w:szCs w:val="32"/>
        </w:rPr>
      </w:pPr>
      <w:r>
        <w:rPr>
          <w:rFonts w:hint="eastAsia" w:ascii="仿宋_GB2312"/>
          <w:color w:val="000000"/>
          <w:szCs w:val="32"/>
          <w:highlight w:val="none"/>
          <w:lang w:eastAsia="zh-CN"/>
        </w:rPr>
        <w:t>我们从项目决策、项目管理、项目绩效三个方面对</w:t>
      </w:r>
      <w:r>
        <w:rPr>
          <w:rFonts w:hint="eastAsia" w:ascii="仿宋_GB2312"/>
          <w:color w:val="000000"/>
          <w:szCs w:val="32"/>
          <w:highlight w:val="none"/>
          <w:lang w:val="en-US" w:eastAsia="zh-CN"/>
        </w:rPr>
        <w:t>涉重危废排查项目进行自评，涉重危废排查项目实施，对提高危险废物环境监管能力、利用处置能力和环境风险防范能力有着重要意义，切实维护生态环境安全和人民群众身体健康，东川分局2019年涉重危废排查项目实施有效，但存在绩效指标未量化、细化的问题，自评得分:80.5分，绩效评价等级：“良”</w:t>
      </w:r>
    </w:p>
    <w:p>
      <w:pPr>
        <w:spacing w:line="440" w:lineRule="exact"/>
        <w:ind w:firstLine="632" w:firstLineChars="200"/>
        <w:jc w:val="left"/>
        <w:rPr>
          <w:rFonts w:hint="eastAsia" w:ascii="楷体" w:hAnsi="楷体" w:eastAsia="楷体"/>
          <w:szCs w:val="32"/>
        </w:rPr>
      </w:pPr>
      <w:r>
        <w:rPr>
          <w:rFonts w:hint="eastAsia" w:ascii="黑体" w:hAnsi="黑体" w:eastAsia="黑体"/>
          <w:szCs w:val="32"/>
        </w:rPr>
        <w:t>三、经验、问题和建议</w:t>
      </w:r>
    </w:p>
    <w:p>
      <w:pPr>
        <w:spacing w:line="560" w:lineRule="exact"/>
        <w:ind w:firstLine="632" w:firstLineChars="200"/>
        <w:rPr>
          <w:rFonts w:hint="eastAsia"/>
          <w:lang w:val="en-US" w:eastAsia="zh-CN"/>
        </w:rPr>
      </w:pPr>
      <w:r>
        <w:rPr>
          <w:rFonts w:hint="eastAsia"/>
          <w:lang w:val="en-US" w:eastAsia="zh-CN"/>
        </w:rPr>
        <w:t>截至绩效评价日，</w:t>
      </w:r>
      <w:r>
        <w:rPr>
          <w:rFonts w:hint="eastAsia" w:ascii="仿宋_GB2312" w:hAnsi="Times New Roman"/>
          <w:sz w:val="32"/>
          <w:szCs w:val="32"/>
        </w:rPr>
        <w:t>项目</w:t>
      </w:r>
      <w:r>
        <w:rPr>
          <w:rFonts w:hint="eastAsia" w:ascii="仿宋_GB2312" w:hAnsi="Times New Roman"/>
          <w:sz w:val="32"/>
          <w:szCs w:val="32"/>
          <w:lang w:eastAsia="zh-CN"/>
        </w:rPr>
        <w:t>资金到位</w:t>
      </w:r>
      <w:r>
        <w:rPr>
          <w:rFonts w:hint="eastAsia" w:ascii="仿宋_GB2312" w:hAnsi="Times New Roman"/>
          <w:sz w:val="32"/>
          <w:szCs w:val="32"/>
          <w:lang w:val="en-US" w:eastAsia="zh-CN"/>
        </w:rPr>
        <w:t>100</w:t>
      </w:r>
      <w:r>
        <w:rPr>
          <w:rFonts w:hint="eastAsia" w:ascii="仿宋_GB2312" w:hAnsi="Times New Roman"/>
          <w:sz w:val="32"/>
          <w:szCs w:val="32"/>
        </w:rPr>
        <w:t>万元，</w:t>
      </w:r>
      <w:r>
        <w:rPr>
          <w:rFonts w:hint="eastAsia" w:ascii="仿宋_GB2312" w:hAnsi="Times New Roman"/>
          <w:sz w:val="32"/>
          <w:szCs w:val="32"/>
          <w:lang w:eastAsia="zh-CN"/>
        </w:rPr>
        <w:t>资金支出</w:t>
      </w:r>
      <w:r>
        <w:rPr>
          <w:rFonts w:hint="eastAsia" w:ascii="仿宋_GB2312" w:hAnsi="Times New Roman"/>
          <w:sz w:val="32"/>
          <w:szCs w:val="32"/>
          <w:lang w:val="en-US" w:eastAsia="zh-CN"/>
        </w:rPr>
        <w:t>80.63万元，资金结转19.37万元，结转率19.37%。项目绩效指标未细化、未量化。</w:t>
      </w:r>
    </w:p>
    <w:p>
      <w:pPr>
        <w:topLinePunct/>
        <w:adjustRightInd w:val="0"/>
        <w:snapToGrid w:val="0"/>
        <w:spacing w:line="600" w:lineRule="exact"/>
        <w:ind w:firstLine="825" w:firstLineChars="261"/>
        <w:rPr>
          <w:rFonts w:hint="eastAsia" w:ascii="仿宋_GB2312" w:hAnsi="Times New Roman"/>
          <w:sz w:val="32"/>
          <w:szCs w:val="32"/>
          <w:lang w:val="zh-CN"/>
        </w:rPr>
      </w:pPr>
      <w:r>
        <w:rPr>
          <w:rFonts w:hint="eastAsia" w:ascii="仿宋_GB2312" w:hAnsi="Times New Roman"/>
          <w:sz w:val="32"/>
          <w:szCs w:val="32"/>
          <w:lang w:val="zh-CN"/>
        </w:rPr>
        <w:t>建议规范强化项目建设管理，</w:t>
      </w:r>
      <w:r>
        <w:rPr>
          <w:rFonts w:hint="eastAsia" w:ascii="仿宋_GB2312" w:hAnsi="Times New Roman"/>
          <w:sz w:val="32"/>
          <w:szCs w:val="32"/>
          <w:lang w:val="en-US" w:eastAsia="zh-CN"/>
        </w:rPr>
        <w:t>加快资金使用进度，提高资金使用效率，并将项目绩效指标进行细化、量化。</w:t>
      </w:r>
    </w:p>
    <w:p>
      <w:pPr>
        <w:adjustRightInd w:val="0"/>
        <w:snapToGrid w:val="0"/>
        <w:spacing w:line="600" w:lineRule="exact"/>
        <w:ind w:firstLine="632" w:firstLineChars="200"/>
        <w:rPr>
          <w:rFonts w:hint="eastAsia" w:ascii="仿宋_GB2312"/>
          <w:szCs w:val="22"/>
          <w:lang w:val="en-US" w:eastAsia="zh-CN"/>
        </w:rPr>
      </w:pPr>
    </w:p>
    <w:p>
      <w:pPr>
        <w:pStyle w:val="9"/>
        <w:ind w:left="-211" w:leftChars="-67" w:firstLine="656"/>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pStyle w:val="9"/>
        <w:ind w:left="0" w:leftChars="0" w:firstLine="0" w:firstLineChars="0"/>
        <w:rPr>
          <w:rFonts w:hint="eastAsia" w:ascii="仿宋_GB2312"/>
          <w:sz w:val="32"/>
          <w:szCs w:val="32"/>
        </w:rPr>
      </w:pPr>
    </w:p>
    <w:p>
      <w:pPr>
        <w:spacing w:line="600" w:lineRule="exact"/>
        <w:jc w:val="center"/>
        <w:rPr>
          <w:rFonts w:hint="eastAsia" w:ascii="方正小标宋_GBK" w:eastAsia="方正小标宋_GBK"/>
          <w:b w:val="0"/>
          <w:bCs/>
          <w:sz w:val="36"/>
          <w:szCs w:val="36"/>
          <w:lang w:eastAsia="zh-CN"/>
        </w:rPr>
      </w:pPr>
      <w:r>
        <w:rPr>
          <w:rFonts w:hint="eastAsia" w:ascii="方正小标宋_GBK" w:eastAsia="方正小标宋_GBK"/>
          <w:b w:val="0"/>
          <w:bCs/>
          <w:sz w:val="36"/>
          <w:szCs w:val="36"/>
          <w:lang w:eastAsia="zh-CN"/>
        </w:rPr>
        <w:t>昆明市生态环境局东川分局</w:t>
      </w:r>
    </w:p>
    <w:p>
      <w:pPr>
        <w:spacing w:line="600" w:lineRule="exact"/>
        <w:jc w:val="center"/>
        <w:rPr>
          <w:rFonts w:hint="eastAsia" w:ascii="方正小标宋_GBK" w:eastAsia="方正小标宋_GBK"/>
          <w:b w:val="0"/>
          <w:bCs/>
          <w:sz w:val="36"/>
          <w:szCs w:val="36"/>
          <w:lang w:val="en-US" w:eastAsia="zh-CN"/>
        </w:rPr>
      </w:pPr>
      <w:r>
        <w:rPr>
          <w:rFonts w:hint="eastAsia" w:ascii="方正小标宋_GBK" w:eastAsia="方正小标宋_GBK"/>
          <w:b w:val="0"/>
          <w:bCs/>
          <w:sz w:val="36"/>
          <w:szCs w:val="36"/>
          <w:lang w:val="en-US" w:eastAsia="zh-CN"/>
        </w:rPr>
        <w:t>2019年涉重危废排查资金项目支出</w:t>
      </w:r>
    </w:p>
    <w:p>
      <w:pPr>
        <w:spacing w:line="600" w:lineRule="exact"/>
        <w:jc w:val="center"/>
        <w:rPr>
          <w:rFonts w:hint="eastAsia" w:ascii="方正小标宋_GBK" w:eastAsia="方正小标宋_GBK"/>
          <w:b/>
          <w:color w:val="FF0000"/>
          <w:sz w:val="36"/>
          <w:szCs w:val="36"/>
        </w:rPr>
      </w:pPr>
      <w:r>
        <w:rPr>
          <w:rFonts w:hint="eastAsia" w:ascii="方正小标宋_GBK" w:eastAsia="方正小标宋_GBK"/>
          <w:b w:val="0"/>
          <w:bCs/>
          <w:sz w:val="36"/>
          <w:szCs w:val="36"/>
          <w:lang w:val="en-US" w:eastAsia="zh-CN"/>
        </w:rPr>
        <w:t xml:space="preserve"> 绩效自评报告</w:t>
      </w:r>
    </w:p>
    <w:p>
      <w:pPr>
        <w:spacing w:line="440" w:lineRule="exact"/>
        <w:ind w:firstLine="3476" w:firstLineChars="1100"/>
        <w:jc w:val="both"/>
        <w:rPr>
          <w:rFonts w:ascii="方正小标宋_GBK" w:hAnsi="黑体" w:eastAsia="方正小标宋_GBK"/>
          <w:szCs w:val="32"/>
        </w:rPr>
      </w:pPr>
      <w:r>
        <w:rPr>
          <w:rFonts w:hint="eastAsia" w:ascii="方正小标宋_GBK" w:hAnsi="黑体" w:eastAsia="方正小标宋_GBK"/>
          <w:szCs w:val="32"/>
        </w:rPr>
        <w:t>（</w:t>
      </w:r>
      <w:r>
        <w:rPr>
          <w:rFonts w:hint="eastAsia" w:ascii="方正小标宋_GBK" w:hAnsi="黑体" w:eastAsia="方正小标宋_GBK"/>
          <w:szCs w:val="32"/>
          <w:lang w:eastAsia="zh-CN"/>
        </w:rPr>
        <w:t>正</w:t>
      </w:r>
      <w:r>
        <w:rPr>
          <w:rFonts w:hint="eastAsia" w:ascii="方正小标宋_GBK" w:hAnsi="黑体" w:eastAsia="方正小标宋_GBK"/>
          <w:szCs w:val="32"/>
          <w:lang w:val="en-US" w:eastAsia="zh-CN"/>
        </w:rPr>
        <w:t xml:space="preserve">  </w:t>
      </w:r>
      <w:r>
        <w:rPr>
          <w:rFonts w:hint="eastAsia" w:ascii="方正小标宋_GBK" w:hAnsi="黑体" w:eastAsia="方正小标宋_GBK"/>
          <w:szCs w:val="32"/>
          <w:lang w:eastAsia="zh-CN"/>
        </w:rPr>
        <w:t>文</w:t>
      </w:r>
      <w:r>
        <w:rPr>
          <w:rFonts w:hint="eastAsia" w:ascii="方正小标宋_GBK" w:hAnsi="黑体" w:eastAsia="方正小标宋_GBK"/>
          <w:szCs w:val="32"/>
        </w:rPr>
        <w:t>）</w:t>
      </w:r>
    </w:p>
    <w:p>
      <w:pPr>
        <w:pStyle w:val="9"/>
        <w:ind w:left="0" w:leftChars="0" w:firstLine="656" w:firstLineChars="200"/>
        <w:rPr>
          <w:rFonts w:hint="eastAsia" w:ascii="仿宋_GB2312"/>
          <w:sz w:val="32"/>
          <w:szCs w:val="32"/>
        </w:rPr>
      </w:pPr>
      <w:r>
        <w:rPr>
          <w:rFonts w:hint="eastAsia" w:ascii="仿宋_GB2312"/>
          <w:sz w:val="32"/>
          <w:szCs w:val="32"/>
        </w:rPr>
        <w:t>根据《中华人民共和国预算法》，按照《项目支出绩效评价管理办法》(财预[2020]10号)《云南省财政厅关于做好2020年预算绩效管理工作的指导意见》(云财绩[2020]3号)、《东川区预算绩效管理结果应用暂行办法》(东政发[2017] 111号)、《东川区部门预算绩效自评管理暂行办法》(东政办发[2019]92号)和《昆明市财政局关于报送2018年预算绩效自评项目计划的通知》（昆财绩〔2019〕31号）要求，昆明市生态环境东川分局对2019年</w:t>
      </w:r>
      <w:r>
        <w:rPr>
          <w:rFonts w:hint="eastAsia" w:ascii="仿宋_GB2312"/>
          <w:sz w:val="32"/>
          <w:szCs w:val="32"/>
          <w:lang w:val="en-US" w:eastAsia="zh-CN"/>
        </w:rPr>
        <w:t>涉重危废排查资金项目支出</w:t>
      </w:r>
      <w:r>
        <w:rPr>
          <w:rFonts w:hint="eastAsia" w:ascii="仿宋_GB2312"/>
          <w:sz w:val="32"/>
          <w:szCs w:val="32"/>
        </w:rPr>
        <w:t>绩效进行自评，现对自评情况作如下报告：</w:t>
      </w:r>
    </w:p>
    <w:p>
      <w:pPr>
        <w:pStyle w:val="2"/>
        <w:adjustRightInd w:val="0"/>
        <w:snapToGrid w:val="0"/>
        <w:spacing w:before="0" w:after="0" w:line="600" w:lineRule="exact"/>
        <w:ind w:firstLine="632" w:firstLineChars="200"/>
        <w:rPr>
          <w:rFonts w:ascii="黑体" w:eastAsia="黑体"/>
          <w:b w:val="0"/>
          <w:bCs w:val="0"/>
          <w:sz w:val="32"/>
          <w:szCs w:val="32"/>
        </w:rPr>
      </w:pPr>
      <w:bookmarkStart w:id="0" w:name="_Toc65"/>
      <w:r>
        <w:rPr>
          <w:rFonts w:hint="eastAsia" w:ascii="黑体" w:eastAsia="黑体"/>
          <w:b w:val="0"/>
          <w:bCs w:val="0"/>
          <w:sz w:val="32"/>
          <w:szCs w:val="32"/>
        </w:rPr>
        <w:t>一、项目基本情况</w:t>
      </w:r>
      <w:bookmarkEnd w:id="0"/>
    </w:p>
    <w:p>
      <w:pPr>
        <w:pStyle w:val="3"/>
        <w:adjustRightInd w:val="0"/>
        <w:snapToGrid w:val="0"/>
        <w:spacing w:before="0" w:after="0" w:line="600" w:lineRule="exact"/>
        <w:ind w:firstLine="632" w:firstLineChars="200"/>
        <w:rPr>
          <w:rFonts w:hint="eastAsia" w:ascii="楷体" w:hAnsi="楷体" w:eastAsia="楷体" w:cs="楷体"/>
          <w:b w:val="0"/>
          <w:bCs w:val="0"/>
        </w:rPr>
      </w:pPr>
      <w:bookmarkStart w:id="1" w:name="_Toc14177"/>
      <w:r>
        <w:rPr>
          <w:rFonts w:hint="eastAsia" w:ascii="楷体" w:hAnsi="楷体" w:eastAsia="楷体" w:cs="楷体"/>
          <w:b w:val="0"/>
          <w:bCs w:val="0"/>
        </w:rPr>
        <w:t>（一）项目概况</w:t>
      </w:r>
      <w:bookmarkEnd w:id="1"/>
    </w:p>
    <w:p>
      <w:pPr>
        <w:adjustRightInd w:val="0"/>
        <w:snapToGrid w:val="0"/>
        <w:spacing w:line="600" w:lineRule="exact"/>
        <w:ind w:firstLine="632" w:firstLineChars="200"/>
        <w:rPr>
          <w:rFonts w:ascii="仿宋_GB2312"/>
        </w:rPr>
      </w:pPr>
      <w:r>
        <w:rPr>
          <w:rFonts w:hint="eastAsia" w:ascii="仿宋_GB2312"/>
          <w:szCs w:val="32"/>
        </w:rPr>
        <w:t>1.</w:t>
      </w:r>
      <w:r>
        <w:rPr>
          <w:rFonts w:hint="eastAsia" w:ascii="仿宋_GB2312"/>
        </w:rPr>
        <w:t xml:space="preserve"> 立项背景及目的</w:t>
      </w:r>
    </w:p>
    <w:p>
      <w:pPr>
        <w:numPr>
          <w:ilvl w:val="0"/>
          <w:numId w:val="0"/>
        </w:numPr>
        <w:topLinePunct/>
        <w:adjustRightInd w:val="0"/>
        <w:snapToGrid w:val="0"/>
        <w:spacing w:line="600" w:lineRule="exact"/>
        <w:ind w:firstLine="656" w:firstLineChars="200"/>
        <w:jc w:val="left"/>
        <w:rPr>
          <w:rFonts w:hint="eastAsia" w:ascii="仿宋_GB2312"/>
          <w:highlight w:val="none"/>
          <w:lang w:val="en-US" w:eastAsia="zh-CN"/>
        </w:rPr>
      </w:pPr>
      <w:r>
        <w:rPr>
          <w:rFonts w:hint="eastAsia" w:ascii="仿宋_GB2312" w:hAnsi="宋体" w:eastAsia="仿宋_GB2312"/>
          <w:spacing w:val="6"/>
          <w:kern w:val="2"/>
          <w:sz w:val="32"/>
          <w:szCs w:val="32"/>
          <w:lang w:val="en-US" w:eastAsia="zh-CN" w:bidi="ar-SA"/>
        </w:rPr>
        <w:t>进一步加强工业园区固体废物污染防治，强化工业固体废物堆存场所的环境监管，根据东川区委区政府《关于印发〈东川区涉重涉矿企业整治工作方案〉的通知》（东办通〔2019〕90号）要求，以涉重、涉危行业企业为重点，全面开展东川区四方地碧谷工业园区工业固废堆存场所环境整治工作，完善堆存场所“三防”设施建设和强化环境污染风险防控，</w:t>
      </w:r>
      <w:r>
        <w:rPr>
          <w:rFonts w:hint="eastAsia" w:ascii="仿宋_GB2312" w:hAnsi="宋体"/>
          <w:spacing w:val="6"/>
          <w:kern w:val="2"/>
          <w:sz w:val="32"/>
          <w:szCs w:val="32"/>
          <w:lang w:val="en-US" w:eastAsia="zh-CN" w:bidi="ar-SA"/>
        </w:rPr>
        <w:t>并</w:t>
      </w:r>
      <w:r>
        <w:rPr>
          <w:rFonts w:hint="eastAsia" w:ascii="仿宋_GB2312" w:hAnsi="宋体" w:eastAsia="仿宋_GB2312"/>
          <w:spacing w:val="6"/>
          <w:kern w:val="2"/>
          <w:sz w:val="32"/>
          <w:szCs w:val="32"/>
          <w:lang w:val="en-US" w:eastAsia="zh-CN" w:bidi="ar-SA"/>
        </w:rPr>
        <w:t>对涉及园区固废污染的问题开展专项整治</w:t>
      </w:r>
      <w:r>
        <w:rPr>
          <w:rFonts w:hint="eastAsia" w:ascii="仿宋_GB2312" w:hAnsi="宋体"/>
          <w:spacing w:val="6"/>
          <w:kern w:val="2"/>
          <w:sz w:val="32"/>
          <w:szCs w:val="32"/>
          <w:lang w:val="en-US" w:eastAsia="zh-CN" w:bidi="ar-SA"/>
        </w:rPr>
        <w:t>工作，</w:t>
      </w:r>
      <w:r>
        <w:rPr>
          <w:rFonts w:hint="eastAsia" w:ascii="仿宋_GB2312" w:hAnsi="宋体" w:eastAsia="仿宋_GB2312"/>
          <w:spacing w:val="6"/>
          <w:kern w:val="2"/>
          <w:sz w:val="32"/>
          <w:szCs w:val="32"/>
          <w:lang w:val="en-US" w:eastAsia="zh-CN" w:bidi="ar-SA"/>
        </w:rPr>
        <w:t>积极推进园区工业固体废物污染防治，进一步提升园区工业固体废物环境监管水平，逐步构建工业固体废物</w:t>
      </w:r>
      <w:r>
        <w:rPr>
          <w:rFonts w:hint="eastAsia" w:ascii="仿宋_GB2312" w:hAnsi="宋体" w:eastAsia="仿宋_GB2312"/>
          <w:spacing w:val="6"/>
          <w:kern w:val="2"/>
          <w:sz w:val="32"/>
          <w:szCs w:val="32"/>
          <w:highlight w:val="none"/>
          <w:lang w:val="en-US" w:eastAsia="zh-CN" w:bidi="ar-SA"/>
        </w:rPr>
        <w:t>长效管理机制，解决现有工业固体废物堆存场所环境污染问题，打好工业固体废物污染防治攻坚战。</w:t>
      </w:r>
    </w:p>
    <w:p>
      <w:pPr>
        <w:numPr>
          <w:ilvl w:val="0"/>
          <w:numId w:val="0"/>
        </w:numPr>
        <w:topLinePunct/>
        <w:adjustRightInd w:val="0"/>
        <w:snapToGrid w:val="0"/>
        <w:spacing w:line="600" w:lineRule="exact"/>
        <w:ind w:firstLine="632" w:firstLineChars="200"/>
        <w:jc w:val="left"/>
        <w:rPr>
          <w:rFonts w:hint="eastAsia" w:ascii="仿宋_GB2312"/>
          <w:highlight w:val="none"/>
        </w:rPr>
      </w:pPr>
      <w:r>
        <w:rPr>
          <w:rFonts w:hint="eastAsia" w:ascii="仿宋_GB2312"/>
          <w:highlight w:val="none"/>
          <w:lang w:val="en-US" w:eastAsia="zh-CN"/>
        </w:rPr>
        <w:t>2.</w:t>
      </w:r>
      <w:r>
        <w:rPr>
          <w:rFonts w:hint="eastAsia" w:ascii="仿宋_GB2312"/>
          <w:highlight w:val="none"/>
        </w:rPr>
        <w:t>项目实施情况</w:t>
      </w:r>
    </w:p>
    <w:p>
      <w:pPr>
        <w:keepNext w:val="0"/>
        <w:keepLines w:val="0"/>
        <w:widowControl w:val="0"/>
        <w:suppressLineNumbers w:val="0"/>
        <w:spacing w:before="0" w:beforeAutospacing="0" w:after="0" w:afterAutospacing="0"/>
        <w:ind w:left="0" w:right="0" w:firstLine="632" w:firstLineChars="200"/>
        <w:jc w:val="both"/>
        <w:rPr>
          <w:rFonts w:hint="eastAsia" w:ascii="仿宋_GB2312"/>
          <w:szCs w:val="22"/>
          <w:highlight w:val="none"/>
          <w:lang w:val="en-US" w:eastAsia="zh-CN"/>
        </w:rPr>
      </w:pPr>
      <w:r>
        <w:rPr>
          <w:rFonts w:hint="eastAsia" w:ascii="仿宋_GB2312"/>
          <w:szCs w:val="22"/>
          <w:highlight w:val="none"/>
          <w:lang w:val="en-US" w:eastAsia="zh-CN"/>
        </w:rPr>
        <w:t>本次工业固废堆存场所调查包括危险废物、一般工业固废、原料产品、其它垃圾四类堆存场所，以危险废物和一般工业固废堆存场所调查为重点。本次调查涉及东川区四方地碧谷产业园内的64家企业和2个公共堆存场所，调查的主要内容包括企业基本信息、工业固体废物堆存场所的空间信息、影像资料、堆存场所基本情况（包括运行情况、固废种类、性质、堆存方式、堆存量、固废来源等）、堆存场所污染防治情况、存在问题等，并对照《一般工业固体废物贮存、处置场污染控制标准》和《危险废物贮存污染控制标准》相关要求，核查堆存场所“三防措施”、日常管理等是否到位，是否存在渗漏、粉尘弥漫、乱堆乱放等情况。</w:t>
      </w:r>
    </w:p>
    <w:p>
      <w:pPr>
        <w:keepNext w:val="0"/>
        <w:keepLines w:val="0"/>
        <w:widowControl w:val="0"/>
        <w:suppressLineNumbers w:val="0"/>
        <w:spacing w:before="0" w:beforeAutospacing="0" w:after="0" w:afterAutospacing="0"/>
        <w:ind w:left="0" w:right="0" w:firstLine="632" w:firstLineChars="200"/>
        <w:jc w:val="both"/>
        <w:rPr>
          <w:rFonts w:hint="eastAsia" w:ascii="仿宋_GB2312"/>
          <w:szCs w:val="22"/>
          <w:highlight w:val="none"/>
          <w:lang w:val="en-US" w:eastAsia="zh-CN"/>
        </w:rPr>
      </w:pPr>
      <w:r>
        <w:rPr>
          <w:rFonts w:hint="eastAsia" w:ascii="仿宋_GB2312"/>
          <w:szCs w:val="22"/>
          <w:highlight w:val="none"/>
          <w:lang w:val="en-US" w:eastAsia="zh-CN"/>
        </w:rPr>
        <w:t>本次调查共计212处堆存点，其中涉及一般工业固体废物堆存场所49处，占比23%；危险废物堆存场所35处，占比16%；原料、产品堆存场所86处，占比41%；其它垃圾固废堆存场所42处，占比20%。详见下图。</w:t>
      </w:r>
    </w:p>
    <w:p>
      <w:pPr>
        <w:keepNext w:val="0"/>
        <w:keepLines w:val="0"/>
        <w:widowControl w:val="0"/>
        <w:suppressLineNumbers w:val="0"/>
        <w:spacing w:before="0" w:beforeAutospacing="0" w:after="0" w:afterAutospacing="0"/>
        <w:ind w:left="0" w:right="0" w:firstLine="552" w:firstLineChars="200"/>
        <w:jc w:val="center"/>
        <w:rPr>
          <w:b/>
          <w:bCs w:val="0"/>
          <w:lang w:val="en-US"/>
        </w:rPr>
      </w:pPr>
      <w:r>
        <w:rPr>
          <w:rFonts w:hint="eastAsia" w:ascii="等线" w:hAnsi="等线" w:eastAsia="等线" w:cs="Times New Roman"/>
          <w:b/>
          <w:bCs w:val="0"/>
          <w:kern w:val="2"/>
          <w:sz w:val="28"/>
          <w:szCs w:val="28"/>
          <w:lang w:val="en-US" w:eastAsia="zh-CN" w:bidi="ar"/>
        </w:rPr>
        <w:drawing>
          <wp:inline distT="0" distB="0" distL="114300" distR="114300">
            <wp:extent cx="2811780" cy="2346960"/>
            <wp:effectExtent l="0" t="0" r="7620" b="152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811780" cy="2346960"/>
                    </a:xfrm>
                    <a:prstGeom prst="rect">
                      <a:avLst/>
                    </a:prstGeom>
                    <a:noFill/>
                    <a:ln>
                      <a:noFill/>
                    </a:ln>
                  </pic:spPr>
                </pic:pic>
              </a:graphicData>
            </a:graphic>
          </wp:inline>
        </w:drawing>
      </w:r>
    </w:p>
    <w:p>
      <w:pPr>
        <w:topLinePunct/>
        <w:adjustRightInd w:val="0"/>
        <w:snapToGrid w:val="0"/>
        <w:spacing w:line="600" w:lineRule="exact"/>
        <w:jc w:val="left"/>
        <w:rPr>
          <w:rFonts w:hint="eastAsia" w:ascii="仿宋_GB2312"/>
          <w:szCs w:val="32"/>
          <w:highlight w:val="none"/>
        </w:rPr>
      </w:pPr>
    </w:p>
    <w:p>
      <w:pPr>
        <w:keepNext w:val="0"/>
        <w:keepLines w:val="0"/>
        <w:widowControl w:val="0"/>
        <w:suppressLineNumbers w:val="0"/>
        <w:spacing w:before="0" w:beforeAutospacing="0" w:after="0" w:afterAutospacing="0"/>
        <w:ind w:left="0" w:right="0" w:firstLine="632" w:firstLineChars="200"/>
        <w:jc w:val="both"/>
        <w:rPr>
          <w:rFonts w:hint="eastAsia" w:ascii="仿宋_GB2312"/>
          <w:szCs w:val="22"/>
          <w:highlight w:val="none"/>
          <w:lang w:val="en-US" w:eastAsia="zh-CN"/>
        </w:rPr>
      </w:pPr>
      <w:r>
        <w:rPr>
          <w:rFonts w:hint="eastAsia" w:ascii="仿宋_GB2312"/>
          <w:szCs w:val="22"/>
          <w:highlight w:val="none"/>
          <w:lang w:val="en-US" w:eastAsia="zh-CN"/>
        </w:rPr>
        <w:t>本次调查共计212处堆存点，共计堆存量为8066987吨，主要以一般工业固体废物为主，堆存量为7755032吨，占总堆存量的96%，危险废物堆存量为35059吨，占堆存量的0.43%，产品、原辅料堆存量为276303吨，占堆存量的3%。其它垃圾堆存量为594吨，占堆存量的0.01%。详见下图。</w:t>
      </w:r>
    </w:p>
    <w:p>
      <w:pPr>
        <w:keepNext w:val="0"/>
        <w:keepLines w:val="0"/>
        <w:widowControl w:val="0"/>
        <w:suppressLineNumbers w:val="0"/>
        <w:spacing w:before="0" w:beforeAutospacing="0" w:after="0" w:afterAutospacing="0"/>
        <w:ind w:left="0" w:right="0" w:firstLine="592" w:firstLineChars="200"/>
        <w:jc w:val="center"/>
        <w:rPr>
          <w:b/>
          <w:bCs w:val="0"/>
          <w:sz w:val="30"/>
          <w:szCs w:val="30"/>
          <w:lang w:val="en-US"/>
        </w:rPr>
      </w:pPr>
      <w:r>
        <w:rPr>
          <w:rFonts w:hint="eastAsia" w:ascii="等线" w:hAnsi="等线" w:eastAsia="等线" w:cs="Times New Roman"/>
          <w:b/>
          <w:bCs w:val="0"/>
          <w:kern w:val="2"/>
          <w:sz w:val="30"/>
          <w:szCs w:val="30"/>
          <w:lang w:val="en-US" w:eastAsia="zh-CN" w:bidi="ar"/>
        </w:rPr>
        <w:drawing>
          <wp:inline distT="0" distB="0" distL="114300" distR="114300">
            <wp:extent cx="4061460" cy="2461260"/>
            <wp:effectExtent l="0" t="0" r="15240"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061460" cy="246126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firstLine="632" w:firstLineChars="200"/>
        <w:jc w:val="both"/>
        <w:rPr>
          <w:rFonts w:hint="eastAsia" w:ascii="仿宋_GB2312"/>
          <w:szCs w:val="32"/>
          <w:highlight w:val="none"/>
        </w:rPr>
      </w:pPr>
      <w:r>
        <w:rPr>
          <w:rFonts w:hint="eastAsia" w:ascii="仿宋_GB2312"/>
          <w:szCs w:val="22"/>
          <w:highlight w:val="none"/>
          <w:lang w:val="en-US" w:eastAsia="zh-CN"/>
        </w:rPr>
        <w:t>根据园区工业固废堆存场所现状调查情况，摸清企业各工业固体废物堆存场所位置、固体废物种类、数量及存在问题等，结合堆存场所规模、固废处置利用、污染防治情况等，根据当前堆存场所环境风险和环境管理要求确定整改企业及整治问题清单。对中央环境保护督察“回头看”反馈问题，央视媒体报道问题、以及“长江经济带固体废物大排查行动”、“打击固体废物环境违法行为专项行动”和“清废行动2018”等已明确指出需要整改的企业固体废物堆场及相关问题，制定一企一策”整改措施。</w:t>
      </w:r>
    </w:p>
    <w:p>
      <w:pPr>
        <w:keepNext w:val="0"/>
        <w:keepLines w:val="0"/>
        <w:widowControl w:val="0"/>
        <w:suppressLineNumbers w:val="0"/>
        <w:spacing w:before="0" w:beforeAutospacing="0" w:after="0" w:afterAutospacing="0"/>
        <w:ind w:left="0" w:right="0" w:firstLine="632" w:firstLineChars="200"/>
        <w:jc w:val="both"/>
        <w:rPr>
          <w:rFonts w:hint="eastAsia" w:ascii="仿宋_GB2312"/>
          <w:szCs w:val="32"/>
          <w:highlight w:val="none"/>
        </w:rPr>
      </w:pPr>
      <w:r>
        <w:rPr>
          <w:rFonts w:hint="eastAsia" w:ascii="仿宋_GB2312"/>
          <w:szCs w:val="22"/>
          <w:highlight w:val="none"/>
          <w:lang w:val="en-US" w:eastAsia="zh-CN"/>
        </w:rPr>
        <w:t>2019年5月拨付10万元用于铜都街道办固废清理工作铜都街道办于2019年6月对新桥河、腊利河、尼拉姑冲沟、石羊冲沟、小江河、桃树沟等多处地点进行了固废清理。</w:t>
      </w:r>
    </w:p>
    <w:p>
      <w:pPr>
        <w:topLinePunct/>
        <w:adjustRightInd w:val="0"/>
        <w:snapToGrid w:val="0"/>
        <w:spacing w:line="600" w:lineRule="exact"/>
        <w:ind w:firstLine="632" w:firstLineChars="200"/>
        <w:jc w:val="left"/>
        <w:rPr>
          <w:rFonts w:hint="eastAsia" w:ascii="仿宋_GB2312"/>
          <w:szCs w:val="32"/>
          <w:highlight w:val="none"/>
        </w:rPr>
      </w:pPr>
      <w:r>
        <w:rPr>
          <w:rFonts w:hint="eastAsia" w:ascii="仿宋_GB2312"/>
          <w:szCs w:val="32"/>
          <w:highlight w:val="none"/>
        </w:rPr>
        <w:t>3.</w:t>
      </w:r>
      <w:r>
        <w:rPr>
          <w:rFonts w:hint="eastAsia" w:ascii="仿宋_GB2312"/>
          <w:highlight w:val="none"/>
        </w:rPr>
        <w:t>资金来源及使用情况</w:t>
      </w:r>
    </w:p>
    <w:p>
      <w:pPr>
        <w:spacing w:line="560" w:lineRule="exact"/>
        <w:ind w:firstLine="632" w:firstLineChars="200"/>
        <w:rPr>
          <w:rFonts w:hint="eastAsia" w:ascii="仿宋_GB2312" w:hAnsi="Times New Roman"/>
          <w:sz w:val="32"/>
          <w:szCs w:val="32"/>
          <w:lang w:val="en-US" w:eastAsia="zh-CN"/>
        </w:rPr>
      </w:pPr>
      <w:r>
        <w:rPr>
          <w:rFonts w:hint="eastAsia" w:ascii="仿宋_GB2312"/>
          <w:color w:val="000000"/>
          <w:spacing w:val="0"/>
          <w:sz w:val="32"/>
          <w:szCs w:val="32"/>
          <w:lang w:eastAsia="zh-CN"/>
        </w:rPr>
        <w:t>截止绩效自评日，</w:t>
      </w:r>
      <w:r>
        <w:rPr>
          <w:rFonts w:hint="eastAsia" w:ascii="仿宋_GB2312" w:hAnsi="Times New Roman"/>
          <w:sz w:val="32"/>
          <w:szCs w:val="32"/>
        </w:rPr>
        <w:t>项目</w:t>
      </w:r>
      <w:r>
        <w:rPr>
          <w:rFonts w:hint="eastAsia" w:ascii="仿宋_GB2312" w:hAnsi="Times New Roman"/>
          <w:sz w:val="32"/>
          <w:szCs w:val="32"/>
          <w:lang w:eastAsia="zh-CN"/>
        </w:rPr>
        <w:t>资金到位</w:t>
      </w:r>
      <w:r>
        <w:rPr>
          <w:rFonts w:hint="eastAsia" w:ascii="仿宋_GB2312" w:hAnsi="Times New Roman"/>
          <w:sz w:val="32"/>
          <w:szCs w:val="32"/>
          <w:lang w:val="en-US" w:eastAsia="zh-CN"/>
        </w:rPr>
        <w:t>100</w:t>
      </w:r>
      <w:r>
        <w:rPr>
          <w:rFonts w:hint="eastAsia" w:ascii="仿宋_GB2312" w:hAnsi="Times New Roman"/>
          <w:sz w:val="32"/>
          <w:szCs w:val="32"/>
        </w:rPr>
        <w:t>万元，</w:t>
      </w:r>
      <w:r>
        <w:rPr>
          <w:rFonts w:hint="eastAsia" w:ascii="仿宋_GB2312" w:hAnsi="Times New Roman"/>
          <w:sz w:val="32"/>
          <w:szCs w:val="32"/>
          <w:lang w:val="en-US" w:eastAsia="zh-CN"/>
        </w:rPr>
        <w:t>均为区级资金，</w:t>
      </w:r>
      <w:r>
        <w:rPr>
          <w:rFonts w:hint="eastAsia" w:ascii="仿宋_GB2312" w:hAnsi="Times New Roman"/>
          <w:sz w:val="32"/>
          <w:szCs w:val="32"/>
          <w:lang w:eastAsia="zh-CN"/>
        </w:rPr>
        <w:t>资金支出</w:t>
      </w:r>
      <w:r>
        <w:rPr>
          <w:rFonts w:hint="eastAsia" w:ascii="仿宋_GB2312" w:hAnsi="Times New Roman"/>
          <w:sz w:val="32"/>
          <w:szCs w:val="32"/>
          <w:lang w:val="en-US" w:eastAsia="zh-CN"/>
        </w:rPr>
        <w:t>80.63万元，资金结转19.37万元，结转率19.37%。</w:t>
      </w:r>
    </w:p>
    <w:p>
      <w:pPr>
        <w:spacing w:line="560" w:lineRule="exact"/>
        <w:ind w:firstLine="632" w:firstLineChars="200"/>
        <w:rPr>
          <w:rFonts w:hint="eastAsia" w:ascii="仿宋_GB2312"/>
          <w:highlight w:val="none"/>
        </w:rPr>
      </w:pPr>
      <w:r>
        <w:rPr>
          <w:rFonts w:hint="eastAsia" w:ascii="仿宋_GB2312"/>
          <w:highlight w:val="none"/>
          <w:lang w:val="en-US" w:eastAsia="zh-CN"/>
        </w:rPr>
        <w:t>4.</w:t>
      </w:r>
      <w:r>
        <w:rPr>
          <w:rFonts w:hint="eastAsia" w:ascii="仿宋_GB2312"/>
          <w:highlight w:val="none"/>
        </w:rPr>
        <w:t>组织和管理情况</w:t>
      </w:r>
    </w:p>
    <w:p>
      <w:pPr>
        <w:adjustRightInd w:val="0"/>
        <w:snapToGrid w:val="0"/>
        <w:spacing w:before="0" w:after="0" w:line="600" w:lineRule="exact"/>
        <w:ind w:left="632" w:leftChars="200"/>
        <w:outlineLvl w:val="9"/>
        <w:rPr>
          <w:rFonts w:hint="eastAsia" w:ascii="仿宋_GB2312" w:hAnsi="Times New Roman" w:eastAsia="仿宋_GB2312" w:cs="等线"/>
          <w:b w:val="0"/>
          <w:bCs w:val="0"/>
          <w:kern w:val="2"/>
          <w:sz w:val="32"/>
          <w:szCs w:val="32"/>
          <w:lang w:val="en-US" w:eastAsia="zh-CN" w:bidi="ar-SA"/>
        </w:rPr>
      </w:pPr>
      <w:bookmarkStart w:id="2" w:name="_Toc31289"/>
      <w:r>
        <w:rPr>
          <w:rFonts w:hint="eastAsia" w:ascii="仿宋_GB2312" w:hAnsi="Times New Roman" w:eastAsia="仿宋_GB2312" w:cs="等线"/>
          <w:b w:val="0"/>
          <w:bCs w:val="0"/>
          <w:kern w:val="2"/>
          <w:sz w:val="32"/>
          <w:szCs w:val="32"/>
          <w:highlight w:val="none"/>
          <w:lang w:val="en-US" w:eastAsia="zh-CN" w:bidi="ar-SA"/>
        </w:rPr>
        <w:t>东川分局2019年委托昆明</w:t>
      </w:r>
      <w:r>
        <w:rPr>
          <w:rFonts w:hint="eastAsia" w:ascii="仿宋_GB2312" w:hAnsi="Times New Roman" w:eastAsia="仿宋_GB2312" w:cs="等线"/>
          <w:b w:val="0"/>
          <w:bCs w:val="0"/>
          <w:kern w:val="2"/>
          <w:sz w:val="32"/>
          <w:szCs w:val="32"/>
          <w:lang w:val="en-US" w:eastAsia="zh-CN" w:bidi="ar-SA"/>
        </w:rPr>
        <w:t>市环境科学研究院通过园区企</w:t>
      </w:r>
    </w:p>
    <w:p>
      <w:pPr>
        <w:adjustRightInd w:val="0"/>
        <w:snapToGrid w:val="0"/>
        <w:spacing w:before="0" w:after="0" w:line="600" w:lineRule="exact"/>
        <w:outlineLvl w:val="9"/>
        <w:rPr>
          <w:rFonts w:hint="eastAsia" w:ascii="仿宋_GB2312" w:hAnsi="Times New Roman" w:eastAsia="仿宋_GB2312" w:cs="等线"/>
          <w:b w:val="0"/>
          <w:bCs w:val="0"/>
          <w:kern w:val="2"/>
          <w:sz w:val="32"/>
          <w:szCs w:val="32"/>
          <w:lang w:val="en-US" w:eastAsia="zh-CN" w:bidi="ar-SA"/>
        </w:rPr>
      </w:pPr>
      <w:r>
        <w:rPr>
          <w:rFonts w:hint="eastAsia" w:ascii="仿宋_GB2312" w:hAnsi="Times New Roman" w:eastAsia="仿宋_GB2312" w:cs="等线"/>
          <w:b w:val="0"/>
          <w:bCs w:val="0"/>
          <w:kern w:val="2"/>
          <w:sz w:val="32"/>
          <w:szCs w:val="32"/>
          <w:lang w:val="en-US" w:eastAsia="zh-CN" w:bidi="ar-SA"/>
        </w:rPr>
        <w:t>业固废堆存场所的实地调查、信息采集、资料收集，明确固废堆存场所存在问题、整治重点，提出整治目标、整改措施和要求，进一步提升园区工业固体废物环境监管水平，逐步构建工业固体废物长效管理机制，解决现有工业固体废物堆存场所环境污染问题，打好工业固体废物污染防治攻坚战。</w:t>
      </w:r>
    </w:p>
    <w:p>
      <w:pPr>
        <w:adjustRightInd w:val="0"/>
        <w:snapToGrid w:val="0"/>
        <w:spacing w:before="0" w:after="0" w:line="600" w:lineRule="exact"/>
        <w:ind w:firstLine="632" w:firstLineChars="200"/>
        <w:outlineLvl w:val="9"/>
        <w:rPr>
          <w:rFonts w:hint="eastAsia" w:ascii="仿宋_GB2312" w:hAnsi="Times New Roman" w:eastAsia="仿宋_GB2312" w:cs="等线"/>
          <w:b w:val="0"/>
          <w:bCs w:val="0"/>
          <w:kern w:val="2"/>
          <w:sz w:val="32"/>
          <w:szCs w:val="32"/>
          <w:lang w:val="en-US" w:eastAsia="zh-CN" w:bidi="ar-SA"/>
        </w:rPr>
      </w:pPr>
      <w:r>
        <w:rPr>
          <w:rFonts w:hint="eastAsia" w:ascii="仿宋_GB2312" w:hAnsi="Times New Roman" w:eastAsia="仿宋_GB2312" w:cs="等线"/>
          <w:b w:val="0"/>
          <w:bCs w:val="0"/>
          <w:kern w:val="2"/>
          <w:sz w:val="32"/>
          <w:szCs w:val="32"/>
          <w:lang w:val="en-US" w:eastAsia="zh-CN" w:bidi="ar-SA"/>
        </w:rPr>
        <w:t>在资料收集和与园区管委会进行充分沟通的基础上，确定调查范围涵盖东川区四方地碧谷产业园内的全部工业固废产生企业，包含园区公共区域内的固废堆存场所。首先制定企业分组调查清单，现场调查如有遗漏企业及时补充；按照调查清单进行分组调查，现场调查在企业环保管理人员、园区管委会工作人员配合下共同开展，对企业内固废堆存区域逐一摸排，并结合高清卫星影像，对企业地块内存在的堆存场所进行核实，针对企业内及周边的堆存场所，现场填报调查表，采集空间信息及照片，并向企业管理人员发放工业固废堆存场所基本情况信息表进行填报</w:t>
      </w:r>
      <w:r>
        <w:rPr>
          <w:rFonts w:hint="eastAsia" w:ascii="仿宋_GB2312" w:hAnsi="Times New Roman" w:cs="等线"/>
          <w:b w:val="0"/>
          <w:bCs w:val="0"/>
          <w:kern w:val="2"/>
          <w:sz w:val="32"/>
          <w:szCs w:val="32"/>
          <w:lang w:val="en-US" w:eastAsia="zh-CN" w:bidi="ar-SA"/>
        </w:rPr>
        <w:t>。</w:t>
      </w:r>
    </w:p>
    <w:p>
      <w:pPr>
        <w:pStyle w:val="3"/>
        <w:adjustRightInd w:val="0"/>
        <w:snapToGrid w:val="0"/>
        <w:spacing w:before="0" w:after="0" w:line="600" w:lineRule="exact"/>
        <w:ind w:left="632" w:leftChars="200"/>
        <w:rPr>
          <w:rFonts w:hint="eastAsia" w:ascii="楷体" w:hAnsi="楷体" w:eastAsia="楷体" w:cs="楷体"/>
          <w:b w:val="0"/>
          <w:bCs w:val="0"/>
        </w:rPr>
      </w:pPr>
      <w:r>
        <w:rPr>
          <w:rFonts w:hint="eastAsia" w:ascii="楷体" w:hAnsi="楷体" w:eastAsia="楷体" w:cs="楷体"/>
          <w:b w:val="0"/>
          <w:bCs w:val="0"/>
        </w:rPr>
        <w:t>（二）绩效目标</w:t>
      </w:r>
      <w:bookmarkEnd w:id="2"/>
    </w:p>
    <w:p>
      <w:pPr>
        <w:numPr>
          <w:ilvl w:val="0"/>
          <w:numId w:val="0"/>
        </w:numPr>
        <w:topLinePunct/>
        <w:adjustRightInd w:val="0"/>
        <w:snapToGrid w:val="0"/>
        <w:spacing w:line="600" w:lineRule="exact"/>
        <w:ind w:firstLine="632" w:firstLineChars="200"/>
        <w:rPr>
          <w:rFonts w:hint="eastAsia" w:ascii="仿宋_GB2312"/>
          <w:color w:val="000000"/>
          <w:szCs w:val="32"/>
          <w:highlight w:val="none"/>
        </w:rPr>
      </w:pPr>
      <w:r>
        <w:rPr>
          <w:rFonts w:hint="eastAsia" w:ascii="仿宋_GB2312"/>
          <w:color w:val="000000"/>
          <w:szCs w:val="32"/>
          <w:highlight w:val="none"/>
          <w:lang w:val="en-US" w:eastAsia="zh-CN"/>
        </w:rPr>
        <w:t>1.</w:t>
      </w:r>
      <w:r>
        <w:rPr>
          <w:rFonts w:hint="eastAsia" w:ascii="仿宋_GB2312"/>
          <w:color w:val="000000"/>
          <w:szCs w:val="32"/>
          <w:highlight w:val="none"/>
        </w:rPr>
        <w:t>绩效总目标</w:t>
      </w:r>
    </w:p>
    <w:p>
      <w:pPr>
        <w:numPr>
          <w:ilvl w:val="0"/>
          <w:numId w:val="0"/>
        </w:numPr>
        <w:adjustRightInd w:val="0"/>
        <w:snapToGrid w:val="0"/>
        <w:spacing w:line="600" w:lineRule="exact"/>
        <w:rPr>
          <w:rFonts w:hint="eastAsia"/>
          <w:color w:val="000000"/>
          <w:szCs w:val="22"/>
          <w:highlight w:val="none"/>
          <w:lang w:val="en-US" w:eastAsia="zh-CN"/>
        </w:rPr>
      </w:pPr>
      <w:r>
        <w:rPr>
          <w:rFonts w:hint="eastAsia" w:ascii="仿宋_GB2312"/>
          <w:szCs w:val="22"/>
          <w:lang w:val="en-US" w:eastAsia="zh-CN"/>
        </w:rPr>
        <w:t xml:space="preserve">    以《中华人民共和国固体废物污染环境防治法》和《中华人民共和国土壤污染防治法》为指导，依据《昆明市土壤污染防治工作方案》、《云南省工业固体废物堆存场所环境整治方案》，以中央环境保护督察“回头看”反馈问题整改为契机，对工业园区固体废物堆存场所的现存情况进行全面摸排和环境整治，积极推进园区工业固体废物污染防治，进一步提升园区工业固体废物环境监管水平，逐步构建工业固体废物长效管理机制，解决现有工业固体废物堆存场所环境污染问题，打好工业固体废物污染防治攻坚战。</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left"/>
        <w:textAlignment w:val="auto"/>
        <w:rPr>
          <w:rFonts w:hint="eastAsia"/>
          <w:color w:val="000000"/>
          <w:szCs w:val="22"/>
          <w:highlight w:val="none"/>
        </w:rPr>
      </w:pPr>
      <w:r>
        <w:rPr>
          <w:rFonts w:hint="eastAsia"/>
          <w:color w:val="000000"/>
          <w:szCs w:val="22"/>
          <w:highlight w:val="none"/>
          <w:lang w:val="en-US" w:eastAsia="zh-CN"/>
        </w:rPr>
        <w:t>2.</w:t>
      </w:r>
      <w:r>
        <w:rPr>
          <w:rFonts w:hint="eastAsia"/>
          <w:color w:val="000000"/>
          <w:szCs w:val="22"/>
          <w:highlight w:val="none"/>
        </w:rPr>
        <w:t>绩效年度目标</w:t>
      </w:r>
    </w:p>
    <w:p>
      <w:pPr>
        <w:numPr>
          <w:ilvl w:val="0"/>
          <w:numId w:val="0"/>
        </w:numPr>
        <w:adjustRightInd w:val="0"/>
        <w:snapToGrid w:val="0"/>
        <w:spacing w:line="600" w:lineRule="exact"/>
        <w:ind w:firstLine="632" w:firstLineChars="200"/>
        <w:rPr>
          <w:rFonts w:hint="eastAsia" w:ascii="仿宋_GB2312"/>
          <w:szCs w:val="22"/>
          <w:lang w:val="en-US" w:eastAsia="zh-CN"/>
        </w:rPr>
      </w:pPr>
      <w:bookmarkStart w:id="3" w:name="_Toc15420"/>
      <w:r>
        <w:rPr>
          <w:rFonts w:hint="eastAsia" w:ascii="仿宋_GB2312"/>
          <w:szCs w:val="22"/>
          <w:lang w:val="en-US" w:eastAsia="zh-CN"/>
        </w:rPr>
        <w:t>通过对园区企业固废堆存场所的实地调查、信息采集、资料收集，明确固废堆存场所存在问题、整治重点，提出整治目标、整改措施和要求，并保障东川分局正常开展相关工作。</w:t>
      </w:r>
    </w:p>
    <w:p>
      <w:pPr>
        <w:numPr>
          <w:ilvl w:val="0"/>
          <w:numId w:val="0"/>
        </w:numPr>
        <w:adjustRightInd w:val="0"/>
        <w:snapToGrid w:val="0"/>
        <w:spacing w:line="600" w:lineRule="exact"/>
        <w:ind w:firstLine="632" w:firstLineChars="200"/>
        <w:rPr>
          <w:rFonts w:ascii="黑体" w:eastAsia="黑体"/>
          <w:b w:val="0"/>
          <w:bCs w:val="0"/>
          <w:sz w:val="32"/>
          <w:szCs w:val="32"/>
        </w:rPr>
      </w:pPr>
      <w:r>
        <w:rPr>
          <w:rFonts w:hint="eastAsia" w:ascii="黑体" w:eastAsia="黑体"/>
          <w:b w:val="0"/>
          <w:bCs w:val="0"/>
          <w:sz w:val="32"/>
          <w:szCs w:val="32"/>
        </w:rPr>
        <w:t>二、绩效评价工作情况</w:t>
      </w:r>
      <w:bookmarkEnd w:id="3"/>
    </w:p>
    <w:p>
      <w:pPr>
        <w:pStyle w:val="3"/>
        <w:adjustRightInd w:val="0"/>
        <w:snapToGrid w:val="0"/>
        <w:spacing w:before="0" w:after="0" w:line="600" w:lineRule="exact"/>
        <w:ind w:firstLine="632" w:firstLineChars="200"/>
        <w:rPr>
          <w:rFonts w:hint="eastAsia" w:ascii="楷体" w:hAnsi="楷体" w:eastAsia="楷体" w:cs="楷体"/>
          <w:b w:val="0"/>
          <w:bCs w:val="0"/>
        </w:rPr>
      </w:pPr>
      <w:bookmarkStart w:id="4" w:name="_Toc19715"/>
      <w:r>
        <w:rPr>
          <w:rFonts w:hint="eastAsia" w:ascii="楷体" w:hAnsi="楷体" w:eastAsia="楷体" w:cs="楷体"/>
          <w:b w:val="0"/>
          <w:bCs w:val="0"/>
        </w:rPr>
        <w:t>（一）绩效评价目的</w:t>
      </w:r>
      <w:bookmarkEnd w:id="4"/>
    </w:p>
    <w:p>
      <w:pPr>
        <w:topLinePunct/>
        <w:adjustRightInd w:val="0"/>
        <w:snapToGrid w:val="0"/>
        <w:spacing w:line="600" w:lineRule="exact"/>
        <w:ind w:firstLine="632" w:firstLineChars="200"/>
        <w:rPr>
          <w:rFonts w:ascii="仿宋_GB2312"/>
          <w:b w:val="0"/>
          <w:bCs w:val="0"/>
          <w:szCs w:val="32"/>
        </w:rPr>
      </w:pPr>
      <w:r>
        <w:rPr>
          <w:rFonts w:hint="eastAsia" w:ascii="仿宋_GB2312"/>
          <w:szCs w:val="32"/>
        </w:rPr>
        <w:t>全面了解项目管理过程是否规范、产出目标是否完成以及效果目标是否实现等方面，总结经验，查找不足，为项目在以后年度的开展提供可行性参考建议。在此基础上，重点分析项目预算编制的合理性、成本支出的真实性和控制的有效性，评价财政资金的使用效率和效果，为以后年度编制项目预算、</w:t>
      </w:r>
      <w:r>
        <w:rPr>
          <w:rFonts w:hint="eastAsia" w:ascii="仿宋_GB2312"/>
          <w:b w:val="0"/>
          <w:bCs w:val="0"/>
          <w:szCs w:val="32"/>
        </w:rPr>
        <w:t>选择项目实施主体等提供参考依据。</w:t>
      </w:r>
    </w:p>
    <w:p>
      <w:pPr>
        <w:pStyle w:val="3"/>
        <w:adjustRightInd w:val="0"/>
        <w:snapToGrid w:val="0"/>
        <w:spacing w:before="0" w:after="0" w:line="600" w:lineRule="exact"/>
        <w:ind w:firstLine="632" w:firstLineChars="200"/>
        <w:rPr>
          <w:rFonts w:hint="eastAsia" w:ascii="楷体" w:hAnsi="楷体" w:eastAsia="楷体" w:cs="楷体"/>
          <w:b w:val="0"/>
          <w:bCs w:val="0"/>
        </w:rPr>
      </w:pPr>
      <w:bookmarkStart w:id="5" w:name="_Toc29423"/>
      <w:r>
        <w:rPr>
          <w:rFonts w:hint="eastAsia" w:ascii="楷体" w:hAnsi="楷体" w:eastAsia="楷体" w:cs="楷体"/>
          <w:b w:val="0"/>
          <w:bCs w:val="0"/>
        </w:rPr>
        <w:t>（二）绩效评价工作方案制定过程</w:t>
      </w:r>
      <w:bookmarkEnd w:id="5"/>
    </w:p>
    <w:p>
      <w:pPr>
        <w:topLinePunct/>
        <w:adjustRightInd w:val="0"/>
        <w:snapToGrid w:val="0"/>
        <w:spacing w:line="600" w:lineRule="exact"/>
        <w:ind w:firstLine="948" w:firstLineChars="300"/>
        <w:rPr>
          <w:rFonts w:hint="eastAsia" w:ascii="仿宋_GB2312"/>
          <w:szCs w:val="32"/>
        </w:rPr>
      </w:pPr>
      <w:r>
        <w:rPr>
          <w:rFonts w:hint="eastAsia" w:ascii="仿宋_GB2312"/>
          <w:szCs w:val="32"/>
        </w:rPr>
        <w:t>1.前期调研</w:t>
      </w:r>
    </w:p>
    <w:p>
      <w:pPr>
        <w:topLinePunct/>
        <w:adjustRightInd w:val="0"/>
        <w:snapToGrid w:val="0"/>
        <w:spacing w:line="600" w:lineRule="exact"/>
        <w:ind w:firstLine="632" w:firstLineChars="200"/>
        <w:rPr>
          <w:rFonts w:ascii="Times New Roman" w:hAnsi="Times New Roman"/>
          <w:sz w:val="32"/>
          <w:szCs w:val="32"/>
        </w:rPr>
      </w:pPr>
      <w:r>
        <w:rPr>
          <w:rFonts w:ascii="Times New Roman" w:hAnsi="Times New Roman"/>
          <w:sz w:val="32"/>
          <w:szCs w:val="32"/>
        </w:rPr>
        <w:t>成立绩效评价小组，实施绩效评价前期调查，拟定绩效评价方案；</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2.研究文件</w:t>
      </w:r>
    </w:p>
    <w:p>
      <w:pPr>
        <w:topLinePunct/>
        <w:adjustRightInd w:val="0"/>
        <w:snapToGrid w:val="0"/>
        <w:spacing w:line="600" w:lineRule="exact"/>
        <w:ind w:firstLine="632" w:firstLineChars="200"/>
        <w:rPr>
          <w:rFonts w:ascii="Times New Roman" w:hAnsi="Times New Roman"/>
          <w:sz w:val="32"/>
          <w:szCs w:val="32"/>
        </w:rPr>
      </w:pPr>
      <w:r>
        <w:rPr>
          <w:rFonts w:ascii="Times New Roman" w:hAnsi="Times New Roman"/>
          <w:sz w:val="32"/>
          <w:szCs w:val="32"/>
        </w:rPr>
        <w:t>成立绩效评价小组，实施绩效评价前期调查，拟定绩效评价方案；</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3.绩效评价指标体系及工作方案的设计</w:t>
      </w:r>
    </w:p>
    <w:p>
      <w:pPr>
        <w:topLinePunct/>
        <w:adjustRightInd w:val="0"/>
        <w:snapToGrid w:val="0"/>
        <w:spacing w:line="600" w:lineRule="exact"/>
        <w:ind w:firstLine="632" w:firstLineChars="200"/>
        <w:rPr>
          <w:rFonts w:hint="eastAsia" w:ascii="仿宋_GB2312"/>
          <w:szCs w:val="32"/>
          <w:highlight w:val="none"/>
        </w:rPr>
      </w:pPr>
      <w:r>
        <w:rPr>
          <w:rFonts w:hint="eastAsia" w:ascii="仿宋_GB2312"/>
          <w:szCs w:val="32"/>
          <w:highlight w:val="none"/>
        </w:rPr>
        <w:t>（1）绩效评价指标体系</w:t>
      </w:r>
    </w:p>
    <w:p>
      <w:pPr>
        <w:topLinePunct/>
        <w:adjustRightInd w:val="0"/>
        <w:snapToGrid w:val="0"/>
        <w:spacing w:line="600" w:lineRule="exact"/>
        <w:ind w:firstLine="632" w:firstLineChars="200"/>
        <w:rPr>
          <w:rFonts w:hint="eastAsia" w:ascii="仿宋_GB2312"/>
          <w:color w:val="000000"/>
          <w:szCs w:val="32"/>
          <w:highlight w:val="none"/>
        </w:rPr>
      </w:pPr>
      <w:r>
        <w:rPr>
          <w:rFonts w:hint="eastAsia" w:ascii="仿宋_GB2312"/>
          <w:color w:val="000000"/>
          <w:szCs w:val="32"/>
          <w:highlight w:val="none"/>
        </w:rPr>
        <w:t>绩效评价指标体系共设一级指标3个，分别为项目决策（</w:t>
      </w:r>
      <w:r>
        <w:rPr>
          <w:rFonts w:hint="eastAsia" w:ascii="仿宋_GB2312"/>
          <w:color w:val="000000"/>
          <w:szCs w:val="32"/>
          <w:highlight w:val="none"/>
          <w:lang w:val="en-US" w:eastAsia="zh-CN"/>
        </w:rPr>
        <w:t>23</w:t>
      </w:r>
      <w:r>
        <w:rPr>
          <w:rFonts w:hint="eastAsia" w:ascii="仿宋_GB2312"/>
          <w:color w:val="000000"/>
          <w:szCs w:val="32"/>
          <w:highlight w:val="none"/>
        </w:rPr>
        <w:t>%）、项目管理（</w:t>
      </w:r>
      <w:r>
        <w:rPr>
          <w:rFonts w:hint="eastAsia" w:ascii="仿宋_GB2312"/>
          <w:color w:val="000000"/>
          <w:szCs w:val="32"/>
          <w:highlight w:val="none"/>
          <w:lang w:val="en-US" w:eastAsia="zh-CN"/>
        </w:rPr>
        <w:t>30</w:t>
      </w:r>
      <w:r>
        <w:rPr>
          <w:rFonts w:hint="eastAsia" w:ascii="仿宋_GB2312"/>
          <w:color w:val="000000"/>
          <w:szCs w:val="32"/>
          <w:highlight w:val="none"/>
        </w:rPr>
        <w:t>%）、项目绩效（</w:t>
      </w:r>
      <w:r>
        <w:rPr>
          <w:rFonts w:hint="eastAsia" w:ascii="仿宋_GB2312"/>
          <w:color w:val="000000"/>
          <w:szCs w:val="32"/>
          <w:highlight w:val="none"/>
          <w:lang w:val="en-US" w:eastAsia="zh-CN"/>
        </w:rPr>
        <w:t>47</w:t>
      </w:r>
      <w:r>
        <w:rPr>
          <w:rFonts w:hint="eastAsia" w:ascii="仿宋_GB2312"/>
          <w:color w:val="000000"/>
          <w:szCs w:val="32"/>
          <w:highlight w:val="none"/>
        </w:rPr>
        <w:t>%）；项目决策设项目立项（8%）、项目目标（1</w:t>
      </w:r>
      <w:r>
        <w:rPr>
          <w:rFonts w:hint="eastAsia" w:ascii="仿宋_GB2312"/>
          <w:color w:val="000000"/>
          <w:szCs w:val="32"/>
          <w:highlight w:val="none"/>
          <w:lang w:val="en-US" w:eastAsia="zh-CN"/>
        </w:rPr>
        <w:t>5</w:t>
      </w:r>
      <w:r>
        <w:rPr>
          <w:rFonts w:hint="eastAsia" w:ascii="仿宋_GB2312"/>
          <w:color w:val="000000"/>
          <w:szCs w:val="32"/>
          <w:highlight w:val="none"/>
        </w:rPr>
        <w:t>%）二级指标2个，项目管理设投入管理（</w:t>
      </w:r>
      <w:r>
        <w:rPr>
          <w:rFonts w:hint="eastAsia" w:ascii="仿宋_GB2312"/>
          <w:color w:val="000000"/>
          <w:szCs w:val="32"/>
          <w:highlight w:val="none"/>
          <w:lang w:val="en-US" w:eastAsia="zh-CN"/>
        </w:rPr>
        <w:t>11</w:t>
      </w:r>
      <w:r>
        <w:rPr>
          <w:rFonts w:hint="eastAsia" w:ascii="仿宋_GB2312"/>
          <w:color w:val="000000"/>
          <w:szCs w:val="32"/>
          <w:highlight w:val="none"/>
        </w:rPr>
        <w:t>%）、财务管理（</w:t>
      </w:r>
      <w:r>
        <w:rPr>
          <w:rFonts w:hint="eastAsia" w:ascii="仿宋_GB2312"/>
          <w:color w:val="000000"/>
          <w:szCs w:val="32"/>
          <w:highlight w:val="none"/>
          <w:lang w:val="en-US" w:eastAsia="zh-CN"/>
        </w:rPr>
        <w:t>13</w:t>
      </w:r>
      <w:r>
        <w:rPr>
          <w:rFonts w:hint="eastAsia" w:ascii="仿宋_GB2312"/>
          <w:color w:val="000000"/>
          <w:szCs w:val="32"/>
          <w:highlight w:val="none"/>
        </w:rPr>
        <w:t>%）、项目实施（</w:t>
      </w:r>
      <w:r>
        <w:rPr>
          <w:rFonts w:hint="eastAsia" w:ascii="仿宋_GB2312"/>
          <w:color w:val="000000"/>
          <w:szCs w:val="32"/>
          <w:highlight w:val="none"/>
          <w:lang w:val="en-US" w:eastAsia="zh-CN"/>
        </w:rPr>
        <w:t>6</w:t>
      </w:r>
      <w:r>
        <w:rPr>
          <w:rFonts w:hint="eastAsia" w:ascii="仿宋_GB2312"/>
          <w:color w:val="000000"/>
          <w:szCs w:val="32"/>
          <w:highlight w:val="none"/>
        </w:rPr>
        <w:t>%）二级指标3个，项目绩效设项目产出（</w:t>
      </w:r>
      <w:r>
        <w:rPr>
          <w:rFonts w:hint="eastAsia" w:ascii="仿宋_GB2312"/>
          <w:color w:val="000000"/>
          <w:szCs w:val="32"/>
          <w:highlight w:val="none"/>
          <w:lang w:val="en-US" w:eastAsia="zh-CN"/>
        </w:rPr>
        <w:t>20</w:t>
      </w:r>
      <w:r>
        <w:rPr>
          <w:rFonts w:hint="eastAsia" w:ascii="仿宋_GB2312"/>
          <w:color w:val="000000"/>
          <w:szCs w:val="32"/>
          <w:highlight w:val="none"/>
        </w:rPr>
        <w:t>%）、项目效益（</w:t>
      </w:r>
      <w:r>
        <w:rPr>
          <w:rFonts w:hint="eastAsia" w:ascii="仿宋_GB2312"/>
          <w:color w:val="000000"/>
          <w:szCs w:val="32"/>
          <w:highlight w:val="none"/>
          <w:lang w:val="en-US" w:eastAsia="zh-CN"/>
        </w:rPr>
        <w:t>27</w:t>
      </w:r>
      <w:r>
        <w:rPr>
          <w:rFonts w:hint="eastAsia" w:ascii="仿宋_GB2312"/>
          <w:color w:val="000000"/>
          <w:szCs w:val="32"/>
          <w:highlight w:val="none"/>
        </w:rPr>
        <w:t>%）二级指标2个；二级指标再根据项目具体情况细化为三级指标及四级指标。</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（2）工作方案</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为进一步规范财政资金管理，强化财政支出绩效理念，加强部门责任意识，及时总结经验，分析存在问题及原因，采取切实措施进一步改进和加强财政专项资金管理，不断提高财政专项资金管理水平和使用效益。</w:t>
      </w:r>
      <w:r>
        <w:rPr>
          <w:rFonts w:hint="eastAsia" w:ascii="仿宋_GB2312"/>
          <w:szCs w:val="32"/>
          <w:lang w:eastAsia="zh-CN"/>
        </w:rPr>
        <w:t>东川分局</w:t>
      </w:r>
      <w:r>
        <w:rPr>
          <w:rFonts w:hint="eastAsia" w:ascii="仿宋_GB2312"/>
          <w:szCs w:val="32"/>
        </w:rPr>
        <w:t>成立绩效评价工作小组，组织布置本次项目资金使用的绩效自评工作，</w:t>
      </w:r>
      <w:r>
        <w:rPr>
          <w:rFonts w:hint="eastAsia" w:ascii="仿宋_GB2312"/>
          <w:szCs w:val="32"/>
          <w:lang w:val="en-US" w:eastAsia="zh-CN"/>
        </w:rPr>
        <w:t>向昆明亚太会计师事务所有限责任公司进行咨询并委托全程参与，</w:t>
      </w:r>
      <w:r>
        <w:rPr>
          <w:rFonts w:hint="eastAsia" w:ascii="仿宋_GB2312"/>
          <w:szCs w:val="32"/>
        </w:rPr>
        <w:t>收集整理、审查核实，汇总分析专项资金使用绩效评价基础信息和其他资料。并组织召开绩效评价会议，确定绩效评价重点，选取适合的绩效评价方式，客观、公正地对所有自评材料进行评审，并对出具的绩效评价报告的客观性、真实性负责。按照要求，制定绩效评价指标体系，明确绩效评价标准和评分标准，核查落实项目指标完成情况，对社会公众进行满意度调查，对产生的社会效益进行访谈，编制基础数据表，对成本效益进行分析，最终得出绩效自评评分，并形成绩效自评报告。</w:t>
      </w:r>
    </w:p>
    <w:p>
      <w:pPr>
        <w:pStyle w:val="3"/>
        <w:adjustRightInd w:val="0"/>
        <w:snapToGrid w:val="0"/>
        <w:spacing w:before="0" w:after="0" w:line="600" w:lineRule="exact"/>
        <w:ind w:firstLine="632" w:firstLineChars="200"/>
        <w:rPr>
          <w:rFonts w:hint="eastAsia" w:ascii="楷体" w:hAnsi="楷体" w:eastAsia="楷体" w:cs="楷体"/>
          <w:b w:val="0"/>
          <w:bCs w:val="0"/>
        </w:rPr>
      </w:pPr>
      <w:bookmarkStart w:id="6" w:name="_Toc8790"/>
      <w:r>
        <w:rPr>
          <w:rFonts w:hint="eastAsia" w:ascii="楷体" w:hAnsi="楷体" w:eastAsia="楷体" w:cs="楷体"/>
          <w:b w:val="0"/>
          <w:bCs w:val="0"/>
        </w:rPr>
        <w:t>（三）绩效评价原则、评价方法</w:t>
      </w:r>
      <w:bookmarkEnd w:id="6"/>
    </w:p>
    <w:p>
      <w:pPr>
        <w:topLinePunct/>
        <w:adjustRightInd w:val="0"/>
        <w:snapToGrid w:val="0"/>
        <w:spacing w:line="600" w:lineRule="exact"/>
        <w:ind w:firstLine="632" w:firstLineChars="200"/>
        <w:rPr>
          <w:rFonts w:hint="eastAsia" w:ascii="仿宋_GB2312"/>
          <w:szCs w:val="32"/>
        </w:rPr>
      </w:pPr>
      <w:r>
        <w:rPr>
          <w:rFonts w:hint="eastAsia" w:ascii="仿宋_GB2312"/>
          <w:szCs w:val="32"/>
        </w:rPr>
        <w:t>1.绩效评价原则。</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（1）经济性、效率性和有效性原则；</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（2）经济效益、社会效益和生态环境效益原则；</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（3）客观及公开、公正原则；</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（4）财政支出和产出绩效对应原则；</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（5）定量分析与定性分析相结合原则。</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2.绩效评价方法</w:t>
      </w:r>
    </w:p>
    <w:p>
      <w:pPr>
        <w:topLinePunct/>
        <w:adjustRightInd w:val="0"/>
        <w:snapToGrid w:val="0"/>
        <w:spacing w:line="600" w:lineRule="exact"/>
        <w:ind w:firstLine="632" w:firstLineChars="200"/>
        <w:rPr>
          <w:rFonts w:hint="eastAsia" w:ascii="仿宋_GB2312" w:eastAsia="仿宋_GB2312"/>
          <w:szCs w:val="32"/>
          <w:lang w:eastAsia="zh-CN"/>
        </w:rPr>
      </w:pPr>
      <w:bookmarkStart w:id="20" w:name="_GoBack"/>
      <w:bookmarkEnd w:id="20"/>
      <w:r>
        <w:rPr>
          <w:rFonts w:hint="eastAsia" w:ascii="仿宋_GB2312"/>
          <w:szCs w:val="32"/>
          <w:lang w:eastAsia="zh-CN"/>
        </w:rPr>
        <w:t>东川分局</w:t>
      </w:r>
      <w:r>
        <w:rPr>
          <w:rFonts w:hint="eastAsia" w:ascii="仿宋_GB2312"/>
          <w:szCs w:val="32"/>
        </w:rPr>
        <w:t>根据</w:t>
      </w:r>
      <w:r>
        <w:rPr>
          <w:rFonts w:hint="eastAsia" w:ascii="仿宋_GB2312"/>
          <w:szCs w:val="32"/>
          <w:lang w:eastAsia="zh-CN"/>
        </w:rPr>
        <w:t>《</w:t>
      </w:r>
      <w:r>
        <w:rPr>
          <w:rFonts w:hint="eastAsia" w:ascii="仿宋_GB2312"/>
          <w:szCs w:val="32"/>
        </w:rPr>
        <w:t>项目支出绩效评价管理办法》(财预[2020] 10号)《云南省财政厅关于做好2020年预算绩效管理工作的指导意见》(云财绩[2020]3号)、《东川区预算绩效管理结果应用暂行办法》(东政发[2017] 111号)、《东川区部门预算绩效自评管理暂行办法》(东政办发[2019]92号)</w:t>
      </w:r>
      <w:r>
        <w:rPr>
          <w:rFonts w:hint="eastAsia" w:ascii="仿宋_GB2312"/>
          <w:szCs w:val="32"/>
          <w:lang w:val="en-US" w:eastAsia="zh-CN"/>
        </w:rPr>
        <w:t>和《昆明市财政局关于报送2018年预算绩效自评项目计划的通知》（昆财绩〔2019〕31号）</w:t>
      </w:r>
      <w:r>
        <w:rPr>
          <w:rFonts w:hint="eastAsia" w:ascii="仿宋_GB2312"/>
          <w:szCs w:val="32"/>
        </w:rPr>
        <w:t>的要求，采用定量分析与定性分析相结合、运用比较分析的办法，</w:t>
      </w:r>
      <w:r>
        <w:rPr>
          <w:rFonts w:hint="eastAsia" w:ascii="仿宋_GB2312"/>
          <w:szCs w:val="32"/>
          <w:lang w:eastAsia="zh-CN"/>
        </w:rPr>
        <w:t>开展绩效评价。</w:t>
      </w:r>
    </w:p>
    <w:p>
      <w:pPr>
        <w:pStyle w:val="3"/>
        <w:adjustRightInd w:val="0"/>
        <w:snapToGrid w:val="0"/>
        <w:spacing w:before="0" w:after="0" w:line="600" w:lineRule="exact"/>
        <w:ind w:firstLine="632" w:firstLineChars="200"/>
        <w:rPr>
          <w:rFonts w:hint="eastAsia" w:ascii="楷体" w:hAnsi="楷体" w:eastAsia="楷体" w:cs="楷体"/>
          <w:b w:val="0"/>
          <w:bCs w:val="0"/>
        </w:rPr>
      </w:pPr>
      <w:bookmarkStart w:id="7" w:name="_Toc29392"/>
      <w:r>
        <w:rPr>
          <w:rFonts w:hint="eastAsia" w:ascii="楷体" w:hAnsi="楷体" w:eastAsia="楷体" w:cs="楷体"/>
          <w:b w:val="0"/>
          <w:bCs w:val="0"/>
        </w:rPr>
        <w:t>（四）绩效评价实施过程</w:t>
      </w:r>
      <w:bookmarkEnd w:id="7"/>
    </w:p>
    <w:p>
      <w:pPr>
        <w:topLinePunct/>
        <w:adjustRightInd w:val="0"/>
        <w:snapToGrid w:val="0"/>
        <w:spacing w:line="600" w:lineRule="exact"/>
        <w:ind w:firstLine="632" w:firstLineChars="200"/>
        <w:rPr>
          <w:rFonts w:hint="eastAsia" w:ascii="仿宋_GB2312"/>
          <w:szCs w:val="32"/>
        </w:rPr>
      </w:pPr>
      <w:r>
        <w:rPr>
          <w:rFonts w:hint="eastAsia" w:ascii="仿宋_GB2312"/>
          <w:szCs w:val="32"/>
        </w:rPr>
        <w:t>1.数据填报和采集</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本次绩效评价数据来源于</w:t>
      </w:r>
      <w:r>
        <w:rPr>
          <w:rFonts w:hint="eastAsia" w:ascii="仿宋_GB2312"/>
          <w:szCs w:val="32"/>
          <w:lang w:eastAsia="zh-CN"/>
        </w:rPr>
        <w:t>东川分局</w:t>
      </w:r>
      <w:r>
        <w:rPr>
          <w:rFonts w:hint="eastAsia" w:ascii="仿宋_GB2312"/>
          <w:szCs w:val="32"/>
        </w:rPr>
        <w:t>预算批复及明细、部门决算报表、绩效目标申报表、绩效目标完成情况、部门年度工作计划及工作总结、中长期规划等，根据上述资料进行分析汇总，形成绩效自评报告的基础数据。</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2.社会调查及项目效益访谈</w:t>
      </w:r>
    </w:p>
    <w:p>
      <w:pPr>
        <w:topLinePunct/>
        <w:adjustRightInd w:val="0"/>
        <w:snapToGrid w:val="0"/>
        <w:spacing w:line="600" w:lineRule="exact"/>
        <w:ind w:firstLine="632" w:firstLineChars="200"/>
        <w:rPr>
          <w:rFonts w:hint="eastAsia" w:ascii="仿宋_GB2312"/>
          <w:color w:val="000000"/>
          <w:szCs w:val="32"/>
        </w:rPr>
      </w:pPr>
      <w:r>
        <w:rPr>
          <w:rFonts w:hint="eastAsia" w:ascii="仿宋_GB2312"/>
          <w:szCs w:val="32"/>
          <w:lang w:eastAsia="zh-CN"/>
        </w:rPr>
        <w:t>东川分局</w:t>
      </w:r>
      <w:r>
        <w:rPr>
          <w:rFonts w:hint="eastAsia" w:ascii="仿宋_GB2312"/>
          <w:szCs w:val="32"/>
        </w:rPr>
        <w:t>绩效评价工作小组根据</w:t>
      </w:r>
      <w:r>
        <w:rPr>
          <w:rFonts w:hint="eastAsia" w:ascii="仿宋_GB2312"/>
          <w:szCs w:val="32"/>
          <w:lang w:eastAsia="zh-CN"/>
        </w:rPr>
        <w:t>项目情况设计调查问卷，设置</w:t>
      </w:r>
      <w:r>
        <w:rPr>
          <w:rFonts w:hint="eastAsia" w:ascii="仿宋_GB2312"/>
          <w:szCs w:val="32"/>
          <w:lang w:val="en-US" w:eastAsia="zh-CN"/>
        </w:rPr>
        <w:t>5个问题，共发放60份，收回50份，</w:t>
      </w:r>
      <w:r>
        <w:rPr>
          <w:rFonts w:hint="eastAsia" w:ascii="仿宋_GB2312"/>
          <w:color w:val="000000"/>
          <w:szCs w:val="32"/>
        </w:rPr>
        <w:t>我们对访谈结果进行整理分析，形成访谈分析报告，并结合项目实施情况、调查问卷，最终得出项目效益中的社会效益部分的自评得分。</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3.数据分析和撰写报告</w:t>
      </w:r>
    </w:p>
    <w:p>
      <w:pPr>
        <w:topLinePunct/>
        <w:adjustRightInd w:val="0"/>
        <w:snapToGrid w:val="0"/>
        <w:spacing w:line="600" w:lineRule="exact"/>
        <w:ind w:firstLine="632" w:firstLineChars="200"/>
        <w:rPr>
          <w:rFonts w:hint="eastAsia" w:ascii="仿宋_GB2312"/>
          <w:szCs w:val="32"/>
        </w:rPr>
      </w:pPr>
      <w:r>
        <w:rPr>
          <w:rFonts w:hint="eastAsia" w:ascii="仿宋_GB2312"/>
          <w:szCs w:val="32"/>
          <w:lang w:eastAsia="zh-CN"/>
        </w:rPr>
        <w:t>东川分局</w:t>
      </w:r>
      <w:r>
        <w:rPr>
          <w:rFonts w:hint="eastAsia" w:ascii="仿宋_GB2312"/>
          <w:szCs w:val="32"/>
        </w:rPr>
        <w:t>对</w:t>
      </w:r>
      <w:r>
        <w:rPr>
          <w:rFonts w:hint="eastAsia" w:ascii="仿宋_GB2312"/>
          <w:szCs w:val="32"/>
          <w:lang w:val="en-US" w:eastAsia="zh-CN"/>
        </w:rPr>
        <w:t>2019年涉重危废排查项目从</w:t>
      </w:r>
      <w:r>
        <w:rPr>
          <w:rFonts w:hint="eastAsia" w:ascii="仿宋_GB2312"/>
          <w:szCs w:val="32"/>
        </w:rPr>
        <w:t>项目决策、项目管理、项目绩效（包括产出和效益）三个方面对各项目数据进行分析评价，得出评价结论及自评得分，撰写绩效自评报告。</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项目决策方面，主要是评价绩效目标的设定情况，包括绩效目标设立的充分性、明确性、合理性以及细化程度，看绩效目标的设立是否符合客观实际，是否与部门履职相一致，绩效指标是否清晰、细化、可衡量。</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高效；项目制度包括项目管理制度、财务管理制度、资产管理制度和绩效跟踪管理措施以及制度措施的落实情况。</w:t>
      </w:r>
    </w:p>
    <w:p>
      <w:pPr>
        <w:topLinePunct/>
        <w:adjustRightInd w:val="0"/>
        <w:snapToGrid w:val="0"/>
        <w:spacing w:line="600" w:lineRule="exact"/>
        <w:ind w:firstLine="632" w:firstLineChars="200"/>
        <w:rPr>
          <w:rFonts w:hint="eastAsia" w:ascii="仿宋_GB2312"/>
          <w:szCs w:val="32"/>
        </w:rPr>
      </w:pPr>
      <w:r>
        <w:rPr>
          <w:rFonts w:hint="eastAsia" w:ascii="仿宋_GB2312"/>
          <w:szCs w:val="32"/>
        </w:rPr>
        <w:t>项目绩效方面，主要是绩效目标的实现程度和效果，绩效目标的实现程度包括产出数量、产出质量、产出时效和产出成本；效果包括社会效益、生态效益、服务对象满意度等。</w:t>
      </w:r>
    </w:p>
    <w:p>
      <w:pPr>
        <w:pStyle w:val="3"/>
        <w:adjustRightInd w:val="0"/>
        <w:snapToGrid w:val="0"/>
        <w:spacing w:before="0" w:after="0" w:line="600" w:lineRule="exact"/>
        <w:ind w:firstLine="632" w:firstLineChars="200"/>
        <w:rPr>
          <w:rFonts w:hint="eastAsia" w:ascii="楷体" w:hAnsi="楷体" w:eastAsia="楷体" w:cs="楷体"/>
          <w:b w:val="0"/>
          <w:bCs w:val="0"/>
        </w:rPr>
      </w:pPr>
      <w:bookmarkStart w:id="8" w:name="_Toc24260"/>
      <w:r>
        <w:rPr>
          <w:rFonts w:hint="eastAsia" w:ascii="楷体" w:hAnsi="楷体" w:eastAsia="楷体" w:cs="楷体"/>
          <w:b w:val="0"/>
          <w:bCs w:val="0"/>
        </w:rPr>
        <w:t>（五）本次绩效评价的局限性</w:t>
      </w:r>
      <w:bookmarkEnd w:id="8"/>
    </w:p>
    <w:p>
      <w:pPr>
        <w:spacing w:line="600" w:lineRule="exact"/>
        <w:jc w:val="left"/>
        <w:rPr>
          <w:rFonts w:hint="default" w:ascii="仿宋_GB2312"/>
          <w:color w:val="auto"/>
          <w:szCs w:val="32"/>
          <w:lang w:val="en-US" w:eastAsia="zh-CN"/>
        </w:rPr>
      </w:pPr>
      <w:r>
        <w:rPr>
          <w:rFonts w:hint="eastAsia" w:ascii="仿宋_GB2312"/>
          <w:szCs w:val="32"/>
          <w:lang w:val="en-US" w:eastAsia="zh-CN"/>
        </w:rPr>
        <w:t xml:space="preserve"> </w:t>
      </w:r>
      <w:r>
        <w:rPr>
          <w:rFonts w:hint="eastAsia" w:ascii="仿宋_GB2312"/>
          <w:color w:val="0000FF"/>
          <w:szCs w:val="32"/>
          <w:lang w:val="en-US" w:eastAsia="zh-CN"/>
        </w:rPr>
        <w:t xml:space="preserve">   </w:t>
      </w:r>
      <w:r>
        <w:rPr>
          <w:rFonts w:hint="eastAsia" w:ascii="仿宋_GB2312"/>
          <w:color w:val="auto"/>
          <w:szCs w:val="32"/>
          <w:lang w:val="en-US" w:eastAsia="zh-CN"/>
        </w:rPr>
        <w:t xml:space="preserve"> 涉重危废排查项目实施，主要工业园区工业固废堆存场所环境整治、固废污染防治工作和东川分局为开展该工作日常开支，因相关检查工作专业性较强，故在进行问卷调查时，社会公众对检查工作程序如何实施、检查范围、检查对象不了解程度不够。</w:t>
      </w:r>
    </w:p>
    <w:p>
      <w:pPr>
        <w:pStyle w:val="2"/>
        <w:adjustRightInd w:val="0"/>
        <w:snapToGrid w:val="0"/>
        <w:spacing w:before="0" w:after="0" w:line="600" w:lineRule="exact"/>
        <w:ind w:firstLine="632" w:firstLineChars="200"/>
        <w:rPr>
          <w:rFonts w:hint="eastAsia" w:ascii="黑体" w:eastAsia="黑体"/>
          <w:b w:val="0"/>
          <w:bCs w:val="0"/>
          <w:sz w:val="32"/>
          <w:szCs w:val="32"/>
        </w:rPr>
      </w:pPr>
      <w:bookmarkStart w:id="9" w:name="_Toc22132"/>
      <w:r>
        <w:rPr>
          <w:rFonts w:hint="eastAsia" w:ascii="黑体" w:eastAsia="黑体"/>
          <w:b w:val="0"/>
          <w:bCs w:val="0"/>
          <w:sz w:val="32"/>
          <w:szCs w:val="32"/>
        </w:rPr>
        <w:t>三、评价结论和绩效分析</w:t>
      </w:r>
      <w:bookmarkEnd w:id="9"/>
    </w:p>
    <w:p>
      <w:pPr>
        <w:pStyle w:val="3"/>
        <w:adjustRightInd w:val="0"/>
        <w:snapToGrid w:val="0"/>
        <w:spacing w:before="0" w:after="0" w:line="600" w:lineRule="exact"/>
        <w:ind w:left="632" w:leftChars="200"/>
        <w:rPr>
          <w:rFonts w:hint="eastAsia" w:ascii="楷体" w:hAnsi="楷体" w:eastAsia="楷体" w:cs="楷体"/>
          <w:b w:val="0"/>
          <w:bCs w:val="0"/>
          <w:sz w:val="32"/>
          <w:szCs w:val="32"/>
        </w:rPr>
      </w:pPr>
      <w:bookmarkStart w:id="10" w:name="_Toc430"/>
      <w:r>
        <w:rPr>
          <w:rFonts w:hint="eastAsia" w:ascii="楷体" w:hAnsi="楷体" w:eastAsia="楷体" w:cs="楷体"/>
          <w:b w:val="0"/>
          <w:bCs w:val="0"/>
          <w:sz w:val="32"/>
          <w:szCs w:val="32"/>
        </w:rPr>
        <w:t>（一）评价结论</w:t>
      </w:r>
      <w:bookmarkEnd w:id="10"/>
    </w:p>
    <w:p>
      <w:pPr>
        <w:topLinePunct/>
        <w:adjustRightInd w:val="0"/>
        <w:snapToGrid w:val="0"/>
        <w:spacing w:line="600" w:lineRule="exact"/>
        <w:ind w:firstLine="632" w:firstLineChars="200"/>
        <w:rPr>
          <w:rFonts w:hint="eastAsia" w:ascii="仿宋_GB2312"/>
          <w:color w:val="000000"/>
          <w:szCs w:val="32"/>
        </w:rPr>
      </w:pPr>
      <w:r>
        <w:rPr>
          <w:rFonts w:hint="eastAsia" w:ascii="仿宋_GB2312"/>
          <w:color w:val="000000"/>
          <w:szCs w:val="32"/>
        </w:rPr>
        <w:t>1.评价结果</w:t>
      </w:r>
    </w:p>
    <w:p>
      <w:pPr>
        <w:adjustRightInd w:val="0"/>
        <w:snapToGrid w:val="0"/>
        <w:spacing w:line="600" w:lineRule="exact"/>
        <w:ind w:firstLine="632" w:firstLineChars="200"/>
        <w:rPr>
          <w:rFonts w:hint="eastAsia" w:ascii="仿宋_GB2312"/>
          <w:color w:val="000000"/>
          <w:szCs w:val="32"/>
          <w:highlight w:val="none"/>
          <w:lang w:eastAsia="zh-CN"/>
        </w:rPr>
      </w:pPr>
      <w:r>
        <w:rPr>
          <w:rFonts w:hint="eastAsia" w:ascii="仿宋_GB2312"/>
          <w:color w:val="000000"/>
          <w:szCs w:val="32"/>
          <w:highlight w:val="none"/>
          <w:lang w:eastAsia="zh-CN"/>
        </w:rPr>
        <w:t>我们从项目决策、项目管理、项目绩效三个方面对</w:t>
      </w:r>
      <w:r>
        <w:rPr>
          <w:rFonts w:hint="eastAsia" w:ascii="仿宋_GB2312"/>
          <w:color w:val="000000"/>
          <w:szCs w:val="32"/>
          <w:highlight w:val="none"/>
          <w:lang w:val="en-US" w:eastAsia="zh-CN"/>
        </w:rPr>
        <w:t>涉重危废排查项目进行自评，涉重危废排查项目实施，对提高危险废物环境监管能力、利用处置能力和环境风险防范能力有着重要意义，切实维护生态环境安全和人民群众身体健康，东川分局2019年涉重危废排查项目实施有效，但存在绩效指标未量化、细化的问题，自评得分:80.5分，绩效评价等级：“良”</w:t>
      </w:r>
    </w:p>
    <w:p>
      <w:pPr>
        <w:numPr>
          <w:ilvl w:val="0"/>
          <w:numId w:val="2"/>
        </w:numPr>
        <w:topLinePunct/>
        <w:adjustRightInd w:val="0"/>
        <w:snapToGrid w:val="0"/>
        <w:spacing w:line="600" w:lineRule="exact"/>
        <w:ind w:firstLine="948" w:firstLineChars="300"/>
        <w:rPr>
          <w:rFonts w:hint="eastAsia" w:ascii="仿宋_GB2312"/>
          <w:color w:val="000000"/>
          <w:szCs w:val="32"/>
          <w:highlight w:val="none"/>
        </w:rPr>
      </w:pPr>
      <w:r>
        <w:rPr>
          <w:rFonts w:hint="eastAsia" w:ascii="仿宋_GB2312"/>
          <w:color w:val="000000"/>
          <w:szCs w:val="32"/>
          <w:highlight w:val="none"/>
        </w:rPr>
        <w:t>主要绩效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948" w:firstLineChars="300"/>
        <w:jc w:val="both"/>
        <w:textAlignment w:val="auto"/>
        <w:rPr>
          <w:rFonts w:hint="eastAsia" w:ascii="楷体_GB2312" w:eastAsia="楷体_GB2312"/>
          <w:b w:val="0"/>
          <w:bCs w:val="0"/>
          <w:highlight w:val="yellow"/>
        </w:rPr>
      </w:pPr>
      <w:r>
        <w:rPr>
          <w:rFonts w:hint="eastAsia" w:ascii="仿宋_GB2312"/>
          <w:color w:val="000000"/>
          <w:szCs w:val="32"/>
          <w:highlight w:val="none"/>
          <w:lang w:val="en-US" w:eastAsia="zh-CN"/>
        </w:rPr>
        <w:t>全面开展东川区四方地碧谷产业园区工业固体废物推存场所现状调查和环境整治工作，限期完成园区固废堆存场所环境整治任务；以化工、冶炼、矿采选等重点行业企业、工业固体废物环境污染问题突出企业为重点，分类、分策开展工业固体废物堆存场所环境污染综合整治，建设和完善工业固体废物堆存场所污染防治措施，健全工业固体废物管理制度，加强堆存场所环境监管，逐步构建园区工业固体废物长效管理机制，有利于环境生态保护，提高废置资源利用。</w:t>
      </w:r>
      <w:bookmarkStart w:id="11" w:name="_Toc14928"/>
    </w:p>
    <w:p>
      <w:pPr>
        <w:pStyle w:val="3"/>
        <w:adjustRightInd w:val="0"/>
        <w:snapToGrid w:val="0"/>
        <w:spacing w:before="0" w:after="0" w:line="600" w:lineRule="exact"/>
        <w:ind w:firstLine="632" w:firstLineChars="200"/>
        <w:rPr>
          <w:rFonts w:hint="eastAsia" w:ascii="楷体" w:hAnsi="楷体" w:eastAsia="楷体" w:cs="楷体"/>
          <w:b w:val="0"/>
          <w:bCs w:val="0"/>
          <w:highlight w:val="none"/>
        </w:rPr>
      </w:pPr>
      <w:r>
        <w:rPr>
          <w:rFonts w:hint="eastAsia" w:ascii="楷体" w:hAnsi="楷体" w:eastAsia="楷体" w:cs="楷体"/>
          <w:b w:val="0"/>
          <w:bCs w:val="0"/>
          <w:highlight w:val="none"/>
        </w:rPr>
        <w:t>（二）具体绩效分析</w:t>
      </w:r>
      <w:bookmarkEnd w:id="11"/>
    </w:p>
    <w:tbl>
      <w:tblPr>
        <w:tblStyle w:val="7"/>
        <w:tblW w:w="8326" w:type="dxa"/>
        <w:tblInd w:w="0" w:type="dxa"/>
        <w:tblLayout w:type="fixed"/>
        <w:tblCellMar>
          <w:top w:w="0" w:type="dxa"/>
          <w:left w:w="0" w:type="dxa"/>
          <w:bottom w:w="0" w:type="dxa"/>
          <w:right w:w="0" w:type="dxa"/>
        </w:tblCellMar>
      </w:tblPr>
      <w:tblGrid>
        <w:gridCol w:w="745"/>
        <w:gridCol w:w="189"/>
        <w:gridCol w:w="556"/>
        <w:gridCol w:w="600"/>
        <w:gridCol w:w="794"/>
        <w:gridCol w:w="795"/>
        <w:gridCol w:w="333"/>
        <w:gridCol w:w="436"/>
        <w:gridCol w:w="1102"/>
        <w:gridCol w:w="2776"/>
      </w:tblGrid>
      <w:tr>
        <w:tblPrEx>
          <w:tblLayout w:type="fixed"/>
          <w:tblCellMar>
            <w:top w:w="0" w:type="dxa"/>
            <w:left w:w="0" w:type="dxa"/>
            <w:bottom w:w="0" w:type="dxa"/>
            <w:right w:w="0" w:type="dxa"/>
          </w:tblCellMar>
        </w:tblPrEx>
        <w:trPr>
          <w:trHeight w:val="300" w:hRule="atLeast"/>
        </w:trPr>
        <w:tc>
          <w:tcPr>
            <w:tcW w:w="74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一级指标</w:t>
            </w: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二级指标</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三级指标</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1"/>
                <w:szCs w:val="21"/>
                <w:u w:val="none"/>
                <w:lang w:val="en-US" w:eastAsia="zh-CN" w:bidi="ar"/>
              </w:rPr>
            </w:pPr>
          </w:p>
        </w:tc>
        <w:tc>
          <w:tcPr>
            <w:tcW w:w="7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四级指标</w:t>
            </w:r>
          </w:p>
        </w:tc>
        <w:tc>
          <w:tcPr>
            <w:tcW w:w="3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分值</w:t>
            </w:r>
          </w:p>
        </w:tc>
        <w:tc>
          <w:tcPr>
            <w:tcW w:w="4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10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指标解释</w:t>
            </w:r>
          </w:p>
        </w:tc>
        <w:tc>
          <w:tcPr>
            <w:tcW w:w="27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评价情况</w:t>
            </w:r>
          </w:p>
        </w:tc>
      </w:tr>
      <w:tr>
        <w:tblPrEx>
          <w:tblLayout w:type="fixed"/>
          <w:tblCellMar>
            <w:top w:w="0" w:type="dxa"/>
            <w:left w:w="0" w:type="dxa"/>
            <w:bottom w:w="0" w:type="dxa"/>
            <w:right w:w="0" w:type="dxa"/>
          </w:tblCellMar>
        </w:tblPrEx>
        <w:trPr>
          <w:trHeight w:val="288"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1"/>
                <w:szCs w:val="21"/>
                <w:u w:val="none"/>
              </w:rPr>
            </w:pPr>
          </w:p>
        </w:tc>
        <w:tc>
          <w:tcPr>
            <w:tcW w:w="3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1"/>
                <w:szCs w:val="21"/>
                <w:u w:val="none"/>
              </w:rPr>
            </w:pPr>
          </w:p>
        </w:tc>
        <w:tc>
          <w:tcPr>
            <w:tcW w:w="4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1"/>
                <w:szCs w:val="21"/>
                <w:u w:val="none"/>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1"/>
                <w:szCs w:val="21"/>
                <w:u w:val="none"/>
              </w:rPr>
            </w:pPr>
          </w:p>
        </w:tc>
      </w:tr>
      <w:tr>
        <w:tblPrEx>
          <w:tblLayout w:type="fixed"/>
          <w:tblCellMar>
            <w:top w:w="0" w:type="dxa"/>
            <w:left w:w="0" w:type="dxa"/>
            <w:bottom w:w="0" w:type="dxa"/>
            <w:right w:w="0" w:type="dxa"/>
          </w:tblCellMar>
        </w:tblPrEx>
        <w:trPr>
          <w:trHeight w:val="940" w:hRule="atLeast"/>
        </w:trPr>
        <w:tc>
          <w:tcPr>
            <w:tcW w:w="74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A.项目决策（23%）</w:t>
            </w: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A1.项目立项（8%）</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A11.与政府中长期规划目标适应性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A111.与政府中长期规划目标匹配性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考察项目与政府中长期目标是否匹配</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与政府中长期目标匹配</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A12.立项依据充分性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A121.与部门相关规划、决策匹配性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考察项目是否符合部门中长期发展规划和政府决策</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符合部门中长期发展规划和政府决策</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A122.与部门职责适应性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考察项目是否与部门职责密切相关</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与部门职责密切相关</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A13.项目立项规范性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A131.立项程序规范性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考察项目的申请、设立过程是否符合相关要求</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项目的申请、设立过程符合相关要求</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A2.项目目标（15%）</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A21.绩效目标设定的合理性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A211.绩效目标相关性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考察设定的绩效目标是否与发展规划相关</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设定的绩效目标与发展规划相关</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A212.绩效目标完整性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考察设定的绩效目标是否完整地反应预期产出和效果</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绩效目标能完整地反应预期产出和效果</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A213.目标与预算的匹配性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0</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考察设定的绩效目标是否与年度预算相匹配</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设定的绩效目标与年度预算匹配程度低</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A22.绩效指标设定的明确性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A221.指标细化分解情况</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考察是否将绩效目标细化分解为清晰、可量化的绩效指标</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无清晰、可量化的绩效指标</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A222.指标与目标的匹配性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考察设定的绩效指标是否与年度工作任务相对应</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无绩效指标</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与年度工作任务相对应</w:t>
            </w:r>
          </w:p>
        </w:tc>
      </w:tr>
      <w:tr>
        <w:tblPrEx>
          <w:tblLayout w:type="fixed"/>
          <w:tblCellMar>
            <w:top w:w="0" w:type="dxa"/>
            <w:left w:w="0" w:type="dxa"/>
            <w:bottom w:w="0" w:type="dxa"/>
            <w:right w:w="0" w:type="dxa"/>
          </w:tblCellMar>
        </w:tblPrEx>
        <w:trPr>
          <w:trHeight w:val="940" w:hRule="atLeast"/>
        </w:trPr>
        <w:tc>
          <w:tcPr>
            <w:tcW w:w="745"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B.项目管理（30%）</w:t>
            </w:r>
          </w:p>
        </w:tc>
        <w:tc>
          <w:tcPr>
            <w:tcW w:w="745" w:type="dxa"/>
            <w:gridSpan w:val="2"/>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B1.投入管理（11%）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B11.预算编制合理性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B111.预算编制合理</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考察预算编制是否充分、合理的预计项目支出并完整反映</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预算编制合理</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B12.预算调整规范性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B121.预算调整程序执行规范性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考察存在预算调整时是否按照相关规定执行调整程序</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无调整手续</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B13.预算执行率</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B131.预算执行情况</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考察项目预算执行的进度。预算执行率=实际支出金额/项目预算金额×100%</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预算执行率80.63%</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B14.资金到位率</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B141.资金及时、足额到位</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考察资金及时、足额到位情况</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资金及时、足额到位</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B2.财务管理（13%）</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B21.资金管理</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B211.资金专账核算</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考察资金会计核算规范性，是否专账核算</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会计核算规范、专账核算</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B212.资金使用情况</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考察项目资金使用是否符合预算批复的用途，是否存在截留、挤占、挪用、虚列支出等情况</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未发现存在截留、挤占、挪用、虚列支出等情况</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B22.财务管理制度健全性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B221.建立健全财务管理制度</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考察项目的财务制度是否健全、完善、有效，有效执行</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项目的财务制度健全、完善、有效，有效执行</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B23.财务监控有效性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B231.资金拨付程序完整性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考察资金拨付是否具有完整的审批程序和手续，是否符合相关制度规定</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资金拨付申请、审批手续完整</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B232.财务制度执行有效性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考察是否存在违反相关财务管理制度的情况</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无违反相关财务管理制度的情况</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B233.资金拨付进行跟踪管理</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考察是否对资金拨付进行跟踪管理</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进行跟踪管理</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B3.项目实施（6%）</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B31.项目管理制度健全性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B311.项目管理制度健全性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为保障项目顺利实施制订的与项目直接相关的业务管理制度是否健全、完善和有效</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制订相关制度或采取措施</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B312.管理方监管措施健全性</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考察项目主管部门为保障项目顺利实施采取的监管措施是否明确，是否存在需要完善的风险控制环节</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监管措施明确、完善</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B32.项目管理制度执行有效性</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B321.项目管理制度执行情况</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考察项目实施单位制订的项目合同制；排查信息报送及时性。</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有效执行</w:t>
            </w:r>
          </w:p>
        </w:tc>
      </w:tr>
      <w:tr>
        <w:tblPrEx>
          <w:tblLayout w:type="fixed"/>
          <w:tblCellMar>
            <w:top w:w="0" w:type="dxa"/>
            <w:left w:w="0" w:type="dxa"/>
            <w:bottom w:w="0" w:type="dxa"/>
            <w:right w:w="0" w:type="dxa"/>
          </w:tblCellMar>
        </w:tblPrEx>
        <w:trPr>
          <w:trHeight w:val="940" w:hRule="atLeast"/>
        </w:trPr>
        <w:tc>
          <w:tcPr>
            <w:tcW w:w="74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C.项目绩效（47%）</w:t>
            </w:r>
          </w:p>
        </w:tc>
        <w:tc>
          <w:tcPr>
            <w:tcW w:w="745" w:type="dxa"/>
            <w:gridSpan w:val="2"/>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C1.项目产出（20%）</w:t>
            </w:r>
          </w:p>
        </w:tc>
        <w:tc>
          <w:tcPr>
            <w:tcW w:w="600"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C11.涉重危废排查项目完成情况</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C111.是否完成对辖内单位的排查</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按要求完成对辖区内单位的排查</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完成</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C112.排查出环境违法问题整改</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对排查出的违法问题是否整改</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完成</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C113.环境风险隐患排查</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排查的环境风险隐患是否消除</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完成</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C12.项目完成及时率</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C121.项目完成及时率</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项目完成及时率=(实际完成时间/计划完成时间）*100%</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项目完成及时</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C2.项目效益（27%）</w:t>
            </w:r>
          </w:p>
        </w:tc>
        <w:tc>
          <w:tcPr>
            <w:tcW w:w="60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C21.社会效益</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C211.周边居民生产、生活安全，维护社会稳定</w:t>
            </w:r>
          </w:p>
        </w:tc>
        <w:tc>
          <w:tcPr>
            <w:tcW w:w="33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102"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沿河周边居民生产、生活安全得以保障，维护社会稳定</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有明显效果5分</w:t>
            </w:r>
          </w:p>
        </w:tc>
      </w:tr>
      <w:tr>
        <w:tblPrEx>
          <w:tblLayout w:type="fixed"/>
          <w:tblCellMar>
            <w:top w:w="0" w:type="dxa"/>
            <w:left w:w="0" w:type="dxa"/>
            <w:bottom w:w="0" w:type="dxa"/>
            <w:right w:w="0" w:type="dxa"/>
          </w:tblCellMar>
        </w:tblPrEx>
        <w:trPr>
          <w:trHeight w:val="9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C22.生态效益</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C221.防范和遏制重特大环境事故发生</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2019年发生403事件</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未发生5分</w:t>
            </w:r>
          </w:p>
        </w:tc>
      </w:tr>
      <w:tr>
        <w:tblPrEx>
          <w:tblLayout w:type="fixed"/>
          <w:tblCellMar>
            <w:top w:w="0" w:type="dxa"/>
            <w:left w:w="0" w:type="dxa"/>
            <w:bottom w:w="0" w:type="dxa"/>
            <w:right w:w="0" w:type="dxa"/>
          </w:tblCellMar>
        </w:tblPrEx>
        <w:trPr>
          <w:trHeight w:val="18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C222.环境质量得到有效改善和提升</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环境指数达标，环境质量得到有效改善和提升</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环境质量持续达标，东川区8个地表水监测断面除新桥河未达地表水环境质量标准外，其余断面均达标，断面水质达标率为87.5%；空气环境质量稳定达标；东川区环境空气自动站应测304天，实测有效天数为301天，空气质量优173天，良好128天，全年度空气质量优良率为100%；总量减排工作有序推进</w:t>
            </w:r>
          </w:p>
        </w:tc>
      </w:tr>
      <w:tr>
        <w:tblPrEx>
          <w:tblLayout w:type="fixed"/>
          <w:tblCellMar>
            <w:top w:w="0" w:type="dxa"/>
            <w:left w:w="0" w:type="dxa"/>
            <w:bottom w:w="0" w:type="dxa"/>
            <w:right w:w="0" w:type="dxa"/>
          </w:tblCellMar>
        </w:tblPrEx>
        <w:trPr>
          <w:trHeight w:val="1840" w:hRule="atLeast"/>
        </w:trPr>
        <w:tc>
          <w:tcPr>
            <w:tcW w:w="74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745"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C23.满意度</w:t>
            </w:r>
          </w:p>
        </w:tc>
        <w:tc>
          <w:tcPr>
            <w:tcW w:w="7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C251满意度</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满意度=（满意与基本满意份数）/总调查问卷份数</w:t>
            </w: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以问卷调查、匿名填写的方式，每份问卷设置5个问题，发放60份，对收回的50份问卷进行统计、汇总、分析，了解社会公众对2019年涉重危废排查项目知晓率及满意度从数据显示，社会公众对2019年涉重危废排查项目</w:t>
            </w:r>
            <w:r>
              <w:rPr>
                <w:rFonts w:hint="eastAsia" w:ascii="仿宋_GB2312" w:hAnsi="仿宋_GB2312" w:cs="仿宋_GB2312"/>
                <w:i w:val="0"/>
                <w:color w:val="000000"/>
                <w:kern w:val="0"/>
                <w:sz w:val="21"/>
                <w:szCs w:val="21"/>
                <w:u w:val="none"/>
                <w:lang w:val="en-US" w:eastAsia="zh-CN" w:bidi="ar"/>
              </w:rPr>
              <w:t>问题的</w:t>
            </w:r>
            <w:r>
              <w:rPr>
                <w:rFonts w:hint="eastAsia" w:ascii="仿宋_GB2312" w:hAnsi="仿宋_GB2312" w:eastAsia="仿宋_GB2312" w:cs="仿宋_GB2312"/>
                <w:i w:val="0"/>
                <w:color w:val="000000"/>
                <w:kern w:val="0"/>
                <w:sz w:val="21"/>
                <w:szCs w:val="21"/>
                <w:u w:val="none"/>
                <w:lang w:val="en-US" w:eastAsia="zh-CN" w:bidi="ar"/>
              </w:rPr>
              <w:t>满意</w:t>
            </w:r>
            <w:r>
              <w:rPr>
                <w:rFonts w:hint="eastAsia" w:ascii="仿宋_GB2312" w:hAnsi="仿宋_GB2312" w:cs="仿宋_GB2312"/>
                <w:i w:val="0"/>
                <w:color w:val="000000"/>
                <w:kern w:val="0"/>
                <w:sz w:val="21"/>
                <w:szCs w:val="21"/>
                <w:u w:val="none"/>
                <w:lang w:val="en-US" w:eastAsia="zh-CN" w:bidi="ar"/>
              </w:rPr>
              <w:t>度个数为</w:t>
            </w:r>
            <w:r>
              <w:rPr>
                <w:rFonts w:hint="eastAsia" w:ascii="仿宋_GB2312" w:hAnsi="仿宋_GB2312" w:eastAsia="仿宋_GB2312" w:cs="仿宋_GB2312"/>
                <w:i w:val="0"/>
                <w:color w:val="000000"/>
                <w:kern w:val="0"/>
                <w:sz w:val="21"/>
                <w:szCs w:val="21"/>
                <w:u w:val="none"/>
                <w:lang w:val="en-US" w:eastAsia="zh-CN" w:bidi="ar"/>
              </w:rPr>
              <w:t>114</w:t>
            </w:r>
            <w:r>
              <w:rPr>
                <w:rFonts w:hint="eastAsia" w:ascii="仿宋_GB2312" w:hAnsi="仿宋_GB2312" w:cs="仿宋_GB2312"/>
                <w:i w:val="0"/>
                <w:color w:val="000000"/>
                <w:kern w:val="0"/>
                <w:sz w:val="21"/>
                <w:szCs w:val="21"/>
                <w:u w:val="none"/>
                <w:lang w:val="en-US" w:eastAsia="zh-CN" w:bidi="ar"/>
              </w:rPr>
              <w:t>个</w:t>
            </w:r>
            <w:r>
              <w:rPr>
                <w:rFonts w:hint="eastAsia" w:ascii="仿宋_GB2312" w:hAnsi="仿宋_GB2312" w:eastAsia="仿宋_GB2312" w:cs="仿宋_GB2312"/>
                <w:i w:val="0"/>
                <w:color w:val="000000"/>
                <w:kern w:val="0"/>
                <w:sz w:val="21"/>
                <w:szCs w:val="21"/>
                <w:u w:val="none"/>
                <w:lang w:val="en-US" w:eastAsia="zh-CN" w:bidi="ar"/>
              </w:rPr>
              <w:t>，占45.60%，基本满意93</w:t>
            </w:r>
            <w:r>
              <w:rPr>
                <w:rFonts w:hint="eastAsia" w:ascii="仿宋_GB2312" w:hAnsi="仿宋_GB2312" w:cs="仿宋_GB2312"/>
                <w:i w:val="0"/>
                <w:color w:val="000000"/>
                <w:kern w:val="0"/>
                <w:sz w:val="21"/>
                <w:szCs w:val="21"/>
                <w:u w:val="none"/>
                <w:lang w:val="en-US" w:eastAsia="zh-CN" w:bidi="ar"/>
              </w:rPr>
              <w:t>个</w:t>
            </w:r>
            <w:r>
              <w:rPr>
                <w:rFonts w:hint="eastAsia" w:ascii="仿宋_GB2312" w:hAnsi="仿宋_GB2312" w:eastAsia="仿宋_GB2312" w:cs="仿宋_GB2312"/>
                <w:i w:val="0"/>
                <w:color w:val="000000"/>
                <w:kern w:val="0"/>
                <w:sz w:val="21"/>
                <w:szCs w:val="21"/>
                <w:u w:val="none"/>
                <w:lang w:val="en-US" w:eastAsia="zh-CN" w:bidi="ar"/>
              </w:rPr>
              <w:t>，占37.20%，不满意及不清楚该项目仅有43</w:t>
            </w:r>
            <w:r>
              <w:rPr>
                <w:rFonts w:hint="eastAsia" w:ascii="仿宋_GB2312" w:hAnsi="仿宋_GB2312" w:cs="仿宋_GB2312"/>
                <w:i w:val="0"/>
                <w:color w:val="000000"/>
                <w:kern w:val="0"/>
                <w:sz w:val="21"/>
                <w:szCs w:val="21"/>
                <w:u w:val="none"/>
                <w:lang w:val="en-US" w:eastAsia="zh-CN" w:bidi="ar"/>
              </w:rPr>
              <w:t>个</w:t>
            </w:r>
            <w:r>
              <w:rPr>
                <w:rFonts w:hint="eastAsia" w:ascii="仿宋_GB2312" w:hAnsi="仿宋_GB2312" w:eastAsia="仿宋_GB2312" w:cs="仿宋_GB2312"/>
                <w:i w:val="0"/>
                <w:color w:val="000000"/>
                <w:kern w:val="0"/>
                <w:sz w:val="21"/>
                <w:szCs w:val="21"/>
                <w:u w:val="none"/>
                <w:lang w:val="en-US" w:eastAsia="zh-CN" w:bidi="ar"/>
              </w:rPr>
              <w:t>，社会公众对该项目了解程度不够。</w:t>
            </w:r>
          </w:p>
        </w:tc>
      </w:tr>
      <w:tr>
        <w:tblPrEx>
          <w:tblLayout w:type="fixed"/>
          <w:tblCellMar>
            <w:top w:w="0" w:type="dxa"/>
            <w:left w:w="0" w:type="dxa"/>
            <w:bottom w:w="0" w:type="dxa"/>
            <w:right w:w="0" w:type="dxa"/>
          </w:tblCellMar>
        </w:tblPrEx>
        <w:trPr>
          <w:trHeight w:val="570" w:hRule="atLeast"/>
        </w:trPr>
        <w:tc>
          <w:tcPr>
            <w:tcW w:w="93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74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合计</w:t>
            </w:r>
          </w:p>
        </w:tc>
        <w:tc>
          <w:tcPr>
            <w:tcW w:w="3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w:t>
            </w:r>
          </w:p>
        </w:tc>
        <w:tc>
          <w:tcPr>
            <w:tcW w:w="4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80.5</w:t>
            </w:r>
          </w:p>
        </w:tc>
        <w:tc>
          <w:tcPr>
            <w:tcW w:w="11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c>
          <w:tcPr>
            <w:tcW w:w="27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1"/>
                <w:szCs w:val="21"/>
                <w:u w:val="none"/>
              </w:rPr>
            </w:pPr>
          </w:p>
        </w:tc>
      </w:tr>
    </w:tbl>
    <w:p>
      <w:pPr>
        <w:pStyle w:val="2"/>
        <w:adjustRightInd w:val="0"/>
        <w:snapToGrid w:val="0"/>
        <w:spacing w:before="0" w:after="0" w:line="600" w:lineRule="exact"/>
        <w:ind w:firstLine="632" w:firstLineChars="200"/>
        <w:rPr>
          <w:rFonts w:hint="default" w:ascii="Times New Roman" w:hAnsi="Times New Roman" w:cs="Times New Roman"/>
          <w:b w:val="0"/>
          <w:bCs w:val="0"/>
          <w:sz w:val="32"/>
          <w:szCs w:val="32"/>
        </w:rPr>
      </w:pPr>
      <w:bookmarkStart w:id="12" w:name="_Toc19946"/>
      <w:r>
        <w:rPr>
          <w:rFonts w:hint="eastAsia" w:ascii="黑体" w:hAnsi="黑体" w:eastAsia="黑体" w:cs="黑体"/>
          <w:b w:val="0"/>
          <w:bCs w:val="0"/>
          <w:sz w:val="32"/>
          <w:szCs w:val="32"/>
        </w:rPr>
        <w:t>四、成本效益分析</w:t>
      </w:r>
      <w:bookmarkEnd w:id="12"/>
    </w:p>
    <w:p>
      <w:pPr>
        <w:pStyle w:val="3"/>
        <w:adjustRightInd w:val="0"/>
        <w:snapToGrid w:val="0"/>
        <w:spacing w:before="0" w:after="0" w:line="600" w:lineRule="exact"/>
        <w:ind w:firstLine="632" w:firstLineChars="200"/>
        <w:rPr>
          <w:rFonts w:hint="eastAsia" w:ascii="楷体" w:hAnsi="楷体" w:eastAsia="楷体" w:cs="楷体"/>
          <w:b w:val="0"/>
          <w:bCs w:val="0"/>
          <w:color w:val="000000"/>
          <w:sz w:val="32"/>
          <w:szCs w:val="32"/>
        </w:rPr>
      </w:pPr>
      <w:bookmarkStart w:id="13" w:name="_Toc21839"/>
      <w:r>
        <w:rPr>
          <w:rFonts w:hint="eastAsia" w:ascii="楷体" w:hAnsi="楷体" w:eastAsia="楷体" w:cs="楷体"/>
          <w:b w:val="0"/>
          <w:bCs w:val="0"/>
          <w:color w:val="000000"/>
          <w:sz w:val="32"/>
          <w:szCs w:val="32"/>
        </w:rPr>
        <w:t>（一）资金收入及支出结构、资金使用方向</w:t>
      </w:r>
      <w:bookmarkEnd w:id="13"/>
    </w:p>
    <w:p>
      <w:pPr>
        <w:spacing w:line="560" w:lineRule="exact"/>
        <w:ind w:firstLine="632" w:firstLineChars="200"/>
        <w:rPr>
          <w:rFonts w:hint="default" w:ascii="仿宋_GB2312" w:hAnsi="Times New Roman"/>
          <w:sz w:val="32"/>
          <w:szCs w:val="32"/>
          <w:lang w:val="en-US" w:eastAsia="zh-CN"/>
        </w:rPr>
      </w:pPr>
      <w:r>
        <w:rPr>
          <w:rFonts w:hint="eastAsia" w:ascii="仿宋_GB2312"/>
          <w:color w:val="000000"/>
          <w:spacing w:val="0"/>
          <w:sz w:val="32"/>
          <w:szCs w:val="32"/>
          <w:lang w:eastAsia="zh-CN"/>
        </w:rPr>
        <w:t>截止绩效自评日，</w:t>
      </w:r>
      <w:r>
        <w:rPr>
          <w:rFonts w:hint="eastAsia" w:ascii="仿宋_GB2312" w:hAnsi="Times New Roman"/>
          <w:sz w:val="32"/>
          <w:szCs w:val="32"/>
          <w:lang w:eastAsia="zh-CN"/>
        </w:rPr>
        <w:t>资金支出</w:t>
      </w:r>
      <w:r>
        <w:rPr>
          <w:rFonts w:hint="eastAsia" w:ascii="仿宋_GB2312" w:hAnsi="Times New Roman"/>
          <w:sz w:val="32"/>
          <w:szCs w:val="32"/>
          <w:lang w:val="en-US" w:eastAsia="zh-CN"/>
        </w:rPr>
        <w:t>80.63万元，其中：清理工作经费10万元、县域生态考核技术咨询费12.05万元、差旅费2.01万元、购置相关图书7.96万元、调查编制费40万元、一氧化碳传感器等设备8.32万元、一氧化碳干扰实验技术服务费0.29万元。</w:t>
      </w:r>
    </w:p>
    <w:p>
      <w:pPr>
        <w:pStyle w:val="3"/>
        <w:numPr>
          <w:ilvl w:val="0"/>
          <w:numId w:val="3"/>
        </w:numPr>
        <w:adjustRightInd w:val="0"/>
        <w:snapToGrid w:val="0"/>
        <w:spacing w:before="0" w:after="0" w:line="600" w:lineRule="exact"/>
        <w:ind w:firstLine="632" w:firstLineChars="200"/>
        <w:rPr>
          <w:rFonts w:hint="eastAsia" w:ascii="楷体" w:hAnsi="楷体" w:eastAsia="楷体" w:cs="楷体"/>
          <w:b w:val="0"/>
          <w:bCs w:val="0"/>
        </w:rPr>
      </w:pPr>
      <w:bookmarkStart w:id="14" w:name="_Toc18550"/>
      <w:r>
        <w:rPr>
          <w:rFonts w:hint="eastAsia" w:ascii="楷体" w:hAnsi="楷体" w:eastAsia="楷体" w:cs="楷体"/>
          <w:b w:val="0"/>
          <w:bCs w:val="0"/>
        </w:rPr>
        <w:t>项目和资金管理情况</w:t>
      </w:r>
      <w:bookmarkEnd w:id="14"/>
    </w:p>
    <w:p>
      <w:pPr>
        <w:spacing w:line="560" w:lineRule="exact"/>
        <w:ind w:firstLine="632" w:firstLineChars="200"/>
        <w:rPr>
          <w:rFonts w:hint="eastAsia" w:ascii="仿宋_GB2312" w:hAnsi="Times New Roman"/>
          <w:sz w:val="32"/>
          <w:szCs w:val="32"/>
          <w:lang w:val="en-US" w:eastAsia="zh-CN"/>
        </w:rPr>
      </w:pPr>
      <w:r>
        <w:rPr>
          <w:rFonts w:hint="eastAsia" w:ascii="仿宋_GB2312" w:hAnsi="Times New Roman"/>
          <w:sz w:val="32"/>
          <w:szCs w:val="32"/>
          <w:lang w:val="en-US" w:eastAsia="zh-CN"/>
        </w:rPr>
        <w:t xml:space="preserve"> 东川分局根据《中华人民共和国会计法》《中华人民共和国预算法》《行政单位会计制度》的规定，设立资金专户，实行封闭运行，</w:t>
      </w:r>
      <w:r>
        <w:rPr>
          <w:rFonts w:hint="eastAsia" w:ascii="仿宋_GB2312" w:hAnsi="Times New Roman"/>
          <w:sz w:val="32"/>
          <w:szCs w:val="32"/>
          <w:lang w:val="zh-CN" w:eastAsia="zh-CN"/>
        </w:rPr>
        <w:t>规定资金支付的审批流程，</w:t>
      </w:r>
      <w:r>
        <w:rPr>
          <w:rFonts w:hint="eastAsia" w:ascii="仿宋_GB2312" w:hAnsi="Times New Roman"/>
          <w:sz w:val="32"/>
          <w:szCs w:val="32"/>
          <w:lang w:val="en-US" w:eastAsia="zh-CN"/>
        </w:rPr>
        <w:t>资金审批程序完整，拨付手续基本完全，适时进行跟踪监控。</w:t>
      </w:r>
    </w:p>
    <w:p>
      <w:pPr>
        <w:pStyle w:val="3"/>
        <w:numPr>
          <w:ilvl w:val="0"/>
          <w:numId w:val="3"/>
        </w:numPr>
        <w:adjustRightInd w:val="0"/>
        <w:snapToGrid w:val="0"/>
        <w:spacing w:before="0" w:after="0" w:line="600" w:lineRule="exact"/>
        <w:ind w:left="0" w:leftChars="0" w:firstLine="632" w:firstLineChars="200"/>
        <w:rPr>
          <w:rFonts w:hint="eastAsia" w:ascii="楷体" w:hAnsi="楷体" w:eastAsia="楷体" w:cs="楷体"/>
          <w:b w:val="0"/>
          <w:bCs w:val="0"/>
        </w:rPr>
      </w:pPr>
      <w:bookmarkStart w:id="15" w:name="_Toc9005"/>
      <w:r>
        <w:rPr>
          <w:rFonts w:hint="eastAsia" w:ascii="楷体" w:hAnsi="楷体" w:eastAsia="楷体" w:cs="楷体"/>
          <w:b w:val="0"/>
          <w:bCs w:val="0"/>
        </w:rPr>
        <w:t>资金的节约性、资金使用效果</w:t>
      </w:r>
      <w:bookmarkEnd w:id="15"/>
    </w:p>
    <w:p>
      <w:pPr>
        <w:spacing w:line="560" w:lineRule="exact"/>
        <w:ind w:firstLine="632" w:firstLineChars="200"/>
        <w:rPr>
          <w:rFonts w:hint="eastAsia" w:ascii="仿宋_GB2312" w:hAnsi="Times New Roman"/>
          <w:sz w:val="32"/>
          <w:szCs w:val="32"/>
          <w:lang w:val="en-US" w:eastAsia="zh-CN"/>
        </w:rPr>
      </w:pPr>
      <w:r>
        <w:rPr>
          <w:rFonts w:hint="eastAsia" w:ascii="仿宋_GB2312"/>
          <w:color w:val="000000"/>
          <w:spacing w:val="0"/>
          <w:sz w:val="32"/>
          <w:szCs w:val="32"/>
          <w:lang w:eastAsia="zh-CN"/>
        </w:rPr>
        <w:t>截止绩效自评日，</w:t>
      </w:r>
      <w:r>
        <w:rPr>
          <w:rFonts w:hint="eastAsia" w:ascii="仿宋_GB2312" w:hAnsi="Times New Roman"/>
          <w:sz w:val="32"/>
          <w:szCs w:val="32"/>
        </w:rPr>
        <w:t>项目</w:t>
      </w:r>
      <w:r>
        <w:rPr>
          <w:rFonts w:hint="eastAsia" w:ascii="仿宋_GB2312" w:hAnsi="Times New Roman"/>
          <w:sz w:val="32"/>
          <w:szCs w:val="32"/>
          <w:lang w:eastAsia="zh-CN"/>
        </w:rPr>
        <w:t>资金到位</w:t>
      </w:r>
      <w:r>
        <w:rPr>
          <w:rFonts w:hint="eastAsia" w:ascii="仿宋_GB2312" w:hAnsi="Times New Roman"/>
          <w:sz w:val="32"/>
          <w:szCs w:val="32"/>
          <w:lang w:val="en-US" w:eastAsia="zh-CN"/>
        </w:rPr>
        <w:t>100</w:t>
      </w:r>
      <w:r>
        <w:rPr>
          <w:rFonts w:hint="eastAsia" w:ascii="仿宋_GB2312" w:hAnsi="Times New Roman"/>
          <w:sz w:val="32"/>
          <w:szCs w:val="32"/>
        </w:rPr>
        <w:t>万元，</w:t>
      </w:r>
      <w:r>
        <w:rPr>
          <w:rFonts w:hint="eastAsia" w:ascii="仿宋_GB2312" w:hAnsi="Times New Roman"/>
          <w:sz w:val="32"/>
          <w:szCs w:val="32"/>
          <w:lang w:eastAsia="zh-CN"/>
        </w:rPr>
        <w:t>资金支出</w:t>
      </w:r>
      <w:r>
        <w:rPr>
          <w:rFonts w:hint="eastAsia" w:ascii="仿宋_GB2312" w:hAnsi="Times New Roman"/>
          <w:sz w:val="32"/>
          <w:szCs w:val="32"/>
          <w:lang w:val="en-US" w:eastAsia="zh-CN"/>
        </w:rPr>
        <w:t>80.63万元，资金结转19.37万元，结转率19.37%。</w:t>
      </w:r>
    </w:p>
    <w:p>
      <w:pPr>
        <w:pStyle w:val="3"/>
        <w:adjustRightInd w:val="0"/>
        <w:snapToGrid w:val="0"/>
        <w:spacing w:before="0" w:after="0" w:line="600" w:lineRule="exact"/>
        <w:ind w:firstLine="632" w:firstLineChars="200"/>
        <w:rPr>
          <w:rFonts w:hint="eastAsia" w:ascii="楷体" w:hAnsi="楷体" w:eastAsia="楷体" w:cs="楷体"/>
          <w:b w:val="0"/>
          <w:bCs w:val="0"/>
        </w:rPr>
      </w:pPr>
      <w:bookmarkStart w:id="16" w:name="_Toc17906"/>
      <w:r>
        <w:rPr>
          <w:rFonts w:hint="eastAsia" w:ascii="楷体" w:hAnsi="楷体" w:eastAsia="楷体" w:cs="楷体"/>
          <w:b w:val="0"/>
          <w:bCs w:val="0"/>
        </w:rPr>
        <w:t>（四）变化趋势</w:t>
      </w:r>
      <w:bookmarkEnd w:id="16"/>
    </w:p>
    <w:p>
      <w:pPr>
        <w:tabs>
          <w:tab w:val="left" w:pos="6952"/>
        </w:tabs>
        <w:topLinePunct/>
        <w:adjustRightInd w:val="0"/>
        <w:snapToGrid w:val="0"/>
        <w:spacing w:line="600" w:lineRule="exact"/>
        <w:ind w:firstLine="632" w:firstLineChars="200"/>
        <w:rPr>
          <w:rFonts w:hint="eastAsia" w:ascii="仿宋_GB2312"/>
          <w:szCs w:val="32"/>
        </w:rPr>
      </w:pPr>
      <w:r>
        <w:rPr>
          <w:rFonts w:hint="eastAsia" w:ascii="仿宋_GB2312"/>
          <w:szCs w:val="32"/>
        </w:rPr>
        <w:t>1.资金来源变化趋势</w:t>
      </w:r>
    </w:p>
    <w:p>
      <w:pPr>
        <w:numPr>
          <w:ilvl w:val="0"/>
          <w:numId w:val="0"/>
        </w:numPr>
        <w:tabs>
          <w:tab w:val="left" w:pos="6952"/>
        </w:tabs>
        <w:topLinePunct/>
        <w:adjustRightInd w:val="0"/>
        <w:snapToGrid w:val="0"/>
        <w:spacing w:line="600" w:lineRule="exact"/>
        <w:ind w:leftChars="200"/>
        <w:rPr>
          <w:rFonts w:hint="default" w:ascii="仿宋_GB2312"/>
          <w:szCs w:val="32"/>
          <w:lang w:val="en-US" w:eastAsia="zh-CN"/>
        </w:rPr>
      </w:pPr>
      <w:r>
        <w:rPr>
          <w:rFonts w:hint="eastAsia" w:ascii="仿宋_GB2312"/>
          <w:szCs w:val="32"/>
          <w:lang w:val="en-US" w:eastAsia="zh-CN"/>
        </w:rPr>
        <w:t>该项目为2019年新增项目，资金来源区级。</w:t>
      </w:r>
    </w:p>
    <w:p>
      <w:pPr>
        <w:numPr>
          <w:ilvl w:val="0"/>
          <w:numId w:val="0"/>
        </w:numPr>
        <w:tabs>
          <w:tab w:val="left" w:pos="6952"/>
        </w:tabs>
        <w:topLinePunct/>
        <w:adjustRightInd w:val="0"/>
        <w:snapToGrid w:val="0"/>
        <w:spacing w:line="600" w:lineRule="exact"/>
        <w:ind w:leftChars="200"/>
        <w:rPr>
          <w:rFonts w:ascii="仿宋_GB2312"/>
          <w:szCs w:val="32"/>
        </w:rPr>
      </w:pPr>
      <w:r>
        <w:rPr>
          <w:rFonts w:hint="eastAsia" w:ascii="仿宋_GB2312"/>
          <w:szCs w:val="32"/>
          <w:lang w:val="en-US" w:eastAsia="zh-CN"/>
        </w:rPr>
        <w:t>2.</w:t>
      </w:r>
      <w:r>
        <w:rPr>
          <w:rFonts w:hint="eastAsia" w:ascii="仿宋_GB2312"/>
          <w:szCs w:val="32"/>
        </w:rPr>
        <w:t>预算收入</w:t>
      </w:r>
      <w:r>
        <w:rPr>
          <w:rFonts w:ascii="仿宋_GB2312"/>
          <w:szCs w:val="32"/>
        </w:rPr>
        <w:t>变化趋势</w:t>
      </w:r>
    </w:p>
    <w:p>
      <w:pPr>
        <w:numPr>
          <w:ilvl w:val="0"/>
          <w:numId w:val="0"/>
        </w:numPr>
        <w:tabs>
          <w:tab w:val="left" w:pos="6952"/>
        </w:tabs>
        <w:topLinePunct/>
        <w:adjustRightInd w:val="0"/>
        <w:snapToGrid w:val="0"/>
        <w:spacing w:line="600" w:lineRule="exact"/>
        <w:ind w:leftChars="200"/>
        <w:rPr>
          <w:rFonts w:hint="eastAsia" w:ascii="仿宋_GB2312"/>
          <w:szCs w:val="32"/>
          <w:lang w:val="en-US" w:eastAsia="zh-CN"/>
        </w:rPr>
      </w:pPr>
      <w:r>
        <w:rPr>
          <w:rFonts w:hint="eastAsia" w:ascii="仿宋_GB2312"/>
          <w:szCs w:val="32"/>
          <w:lang w:val="en-US" w:eastAsia="zh-CN"/>
        </w:rPr>
        <w:t>该项目为2019年新增项目，2019年项目决算收入100</w:t>
      </w:r>
    </w:p>
    <w:p>
      <w:pPr>
        <w:numPr>
          <w:ilvl w:val="0"/>
          <w:numId w:val="0"/>
        </w:numPr>
        <w:tabs>
          <w:tab w:val="left" w:pos="6952"/>
        </w:tabs>
        <w:topLinePunct/>
        <w:adjustRightInd w:val="0"/>
        <w:snapToGrid w:val="0"/>
        <w:spacing w:line="600" w:lineRule="exact"/>
        <w:rPr>
          <w:rFonts w:hint="default" w:ascii="仿宋_GB2312"/>
          <w:szCs w:val="32"/>
          <w:lang w:val="en-US" w:eastAsia="zh-CN"/>
        </w:rPr>
      </w:pPr>
      <w:r>
        <w:rPr>
          <w:rFonts w:hint="eastAsia" w:ascii="仿宋_GB2312"/>
          <w:szCs w:val="32"/>
          <w:lang w:val="en-US" w:eastAsia="zh-CN"/>
        </w:rPr>
        <w:t>万元。</w:t>
      </w:r>
    </w:p>
    <w:p>
      <w:pPr>
        <w:tabs>
          <w:tab w:val="left" w:pos="6952"/>
        </w:tabs>
        <w:topLinePunct/>
        <w:adjustRightInd w:val="0"/>
        <w:snapToGrid w:val="0"/>
        <w:spacing w:line="600" w:lineRule="exact"/>
        <w:ind w:firstLine="632" w:firstLineChars="200"/>
        <w:jc w:val="left"/>
        <w:rPr>
          <w:rFonts w:ascii="仿宋_GB2312"/>
          <w:szCs w:val="32"/>
        </w:rPr>
      </w:pPr>
      <w:r>
        <w:rPr>
          <w:rFonts w:hint="eastAsia" w:ascii="仿宋_GB2312"/>
          <w:szCs w:val="32"/>
        </w:rPr>
        <w:t>3.资金支出</w:t>
      </w:r>
      <w:r>
        <w:rPr>
          <w:rFonts w:ascii="仿宋_GB2312"/>
          <w:szCs w:val="32"/>
        </w:rPr>
        <w:t>变化趋势</w:t>
      </w:r>
    </w:p>
    <w:p>
      <w:pPr>
        <w:tabs>
          <w:tab w:val="left" w:pos="6952"/>
        </w:tabs>
        <w:topLinePunct/>
        <w:adjustRightInd w:val="0"/>
        <w:snapToGrid w:val="0"/>
        <w:spacing w:line="600" w:lineRule="exact"/>
        <w:ind w:firstLine="632" w:firstLineChars="200"/>
        <w:jc w:val="left"/>
        <w:rPr>
          <w:rFonts w:ascii="仿宋_GB2312"/>
          <w:szCs w:val="32"/>
        </w:rPr>
      </w:pPr>
      <w:r>
        <w:rPr>
          <w:rFonts w:hint="eastAsia" w:ascii="仿宋_GB2312"/>
          <w:szCs w:val="32"/>
          <w:lang w:val="en-US" w:eastAsia="zh-CN"/>
        </w:rPr>
        <w:t>该项目为2019年新增项目，</w:t>
      </w:r>
      <w:r>
        <w:rPr>
          <w:rFonts w:hint="eastAsia" w:ascii="仿宋_GB2312" w:hAnsi="Times New Roman"/>
          <w:sz w:val="32"/>
          <w:szCs w:val="32"/>
          <w:lang w:eastAsia="zh-CN"/>
        </w:rPr>
        <w:t>资金支出</w:t>
      </w:r>
      <w:r>
        <w:rPr>
          <w:rFonts w:hint="eastAsia" w:ascii="仿宋_GB2312" w:hAnsi="Times New Roman"/>
          <w:sz w:val="32"/>
          <w:szCs w:val="32"/>
          <w:lang w:val="en-US" w:eastAsia="zh-CN"/>
        </w:rPr>
        <w:t>80.63万元。</w:t>
      </w:r>
    </w:p>
    <w:p>
      <w:pPr>
        <w:pStyle w:val="2"/>
        <w:numPr>
          <w:ilvl w:val="0"/>
          <w:numId w:val="4"/>
        </w:numPr>
        <w:adjustRightInd w:val="0"/>
        <w:snapToGrid w:val="0"/>
        <w:spacing w:before="0" w:after="0" w:line="600" w:lineRule="exact"/>
        <w:ind w:firstLine="632" w:firstLineChars="200"/>
        <w:rPr>
          <w:rFonts w:hint="eastAsia" w:ascii="黑体" w:eastAsia="黑体"/>
          <w:b w:val="0"/>
          <w:bCs w:val="0"/>
          <w:sz w:val="32"/>
          <w:szCs w:val="32"/>
        </w:rPr>
      </w:pPr>
      <w:bookmarkStart w:id="17" w:name="_Toc5784"/>
      <w:r>
        <w:rPr>
          <w:rFonts w:hint="eastAsia" w:ascii="黑体" w:eastAsia="黑体"/>
          <w:b w:val="0"/>
          <w:bCs w:val="0"/>
          <w:sz w:val="32"/>
          <w:szCs w:val="32"/>
        </w:rPr>
        <w:t>主要经验及做法</w:t>
      </w:r>
      <w:bookmarkEnd w:id="17"/>
    </w:p>
    <w:p>
      <w:pPr>
        <w:numPr>
          <w:ilvl w:val="0"/>
          <w:numId w:val="0"/>
        </w:numPr>
        <w:rPr>
          <w:rFonts w:hint="default" w:eastAsia="仿宋_GB2312"/>
          <w:lang w:val="en-US" w:eastAsia="zh-CN"/>
        </w:rPr>
      </w:pPr>
      <w:r>
        <w:rPr>
          <w:rFonts w:hint="eastAsia"/>
          <w:lang w:val="en-US" w:eastAsia="zh-CN"/>
        </w:rPr>
        <w:t xml:space="preserve">    无</w:t>
      </w:r>
    </w:p>
    <w:p>
      <w:pPr>
        <w:pStyle w:val="2"/>
        <w:adjustRightInd w:val="0"/>
        <w:snapToGrid w:val="0"/>
        <w:spacing w:before="0" w:after="0" w:line="600" w:lineRule="exact"/>
        <w:ind w:firstLine="632" w:firstLineChars="200"/>
        <w:rPr>
          <w:rFonts w:hint="eastAsia" w:ascii="黑体" w:eastAsia="黑体"/>
          <w:b w:val="0"/>
          <w:bCs w:val="0"/>
          <w:sz w:val="32"/>
          <w:szCs w:val="32"/>
        </w:rPr>
      </w:pPr>
      <w:bookmarkStart w:id="18" w:name="_Toc17589"/>
      <w:r>
        <w:rPr>
          <w:rFonts w:hint="eastAsia" w:ascii="黑体" w:eastAsia="黑体"/>
          <w:b w:val="0"/>
          <w:bCs w:val="0"/>
          <w:sz w:val="32"/>
          <w:szCs w:val="32"/>
        </w:rPr>
        <w:t>六、存在的主要问题</w:t>
      </w:r>
      <w:bookmarkEnd w:id="18"/>
    </w:p>
    <w:p>
      <w:pPr>
        <w:spacing w:line="560" w:lineRule="exact"/>
        <w:ind w:firstLine="632" w:firstLineChars="200"/>
        <w:rPr>
          <w:rFonts w:hint="eastAsia"/>
          <w:lang w:val="en-US" w:eastAsia="zh-CN"/>
        </w:rPr>
      </w:pPr>
      <w:r>
        <w:rPr>
          <w:rFonts w:hint="eastAsia"/>
          <w:lang w:val="en-US" w:eastAsia="zh-CN"/>
        </w:rPr>
        <w:t>截至绩效评价日，</w:t>
      </w:r>
      <w:r>
        <w:rPr>
          <w:rFonts w:hint="eastAsia" w:ascii="仿宋_GB2312" w:hAnsi="Times New Roman"/>
          <w:sz w:val="32"/>
          <w:szCs w:val="32"/>
        </w:rPr>
        <w:t>项目</w:t>
      </w:r>
      <w:r>
        <w:rPr>
          <w:rFonts w:hint="eastAsia" w:ascii="仿宋_GB2312" w:hAnsi="Times New Roman"/>
          <w:sz w:val="32"/>
          <w:szCs w:val="32"/>
          <w:lang w:eastAsia="zh-CN"/>
        </w:rPr>
        <w:t>资金到位</w:t>
      </w:r>
      <w:r>
        <w:rPr>
          <w:rFonts w:hint="eastAsia" w:ascii="仿宋_GB2312" w:hAnsi="Times New Roman"/>
          <w:sz w:val="32"/>
          <w:szCs w:val="32"/>
          <w:lang w:val="en-US" w:eastAsia="zh-CN"/>
        </w:rPr>
        <w:t>100</w:t>
      </w:r>
      <w:r>
        <w:rPr>
          <w:rFonts w:hint="eastAsia" w:ascii="仿宋_GB2312" w:hAnsi="Times New Roman"/>
          <w:sz w:val="32"/>
          <w:szCs w:val="32"/>
        </w:rPr>
        <w:t>万元，</w:t>
      </w:r>
      <w:r>
        <w:rPr>
          <w:rFonts w:hint="eastAsia" w:ascii="仿宋_GB2312" w:hAnsi="Times New Roman"/>
          <w:sz w:val="32"/>
          <w:szCs w:val="32"/>
          <w:lang w:eastAsia="zh-CN"/>
        </w:rPr>
        <w:t>资金支出</w:t>
      </w:r>
      <w:r>
        <w:rPr>
          <w:rFonts w:hint="eastAsia" w:ascii="仿宋_GB2312" w:hAnsi="Times New Roman"/>
          <w:sz w:val="32"/>
          <w:szCs w:val="32"/>
          <w:lang w:val="en-US" w:eastAsia="zh-CN"/>
        </w:rPr>
        <w:t>80.63万元，资金结转19.37万元，结转率19.37%。项目绩效指标未细化、未量化。</w:t>
      </w:r>
    </w:p>
    <w:p>
      <w:pPr>
        <w:pStyle w:val="2"/>
        <w:adjustRightInd w:val="0"/>
        <w:snapToGrid w:val="0"/>
        <w:spacing w:before="0" w:after="0" w:line="600" w:lineRule="exact"/>
        <w:ind w:firstLine="632" w:firstLineChars="200"/>
        <w:rPr>
          <w:rFonts w:hint="eastAsia" w:ascii="黑体" w:eastAsia="黑体"/>
          <w:b w:val="0"/>
          <w:bCs w:val="0"/>
          <w:sz w:val="32"/>
          <w:szCs w:val="32"/>
        </w:rPr>
      </w:pPr>
      <w:bookmarkStart w:id="19" w:name="_Toc14692"/>
      <w:r>
        <w:rPr>
          <w:rFonts w:hint="eastAsia" w:ascii="黑体" w:eastAsia="黑体"/>
          <w:b w:val="0"/>
          <w:bCs w:val="0"/>
          <w:sz w:val="32"/>
          <w:szCs w:val="32"/>
        </w:rPr>
        <w:t>七、建议和改进措施</w:t>
      </w:r>
      <w:bookmarkEnd w:id="19"/>
    </w:p>
    <w:p>
      <w:pPr>
        <w:topLinePunct/>
        <w:adjustRightInd w:val="0"/>
        <w:snapToGrid w:val="0"/>
        <w:spacing w:line="600" w:lineRule="exact"/>
        <w:ind w:firstLine="825" w:firstLineChars="261"/>
        <w:rPr>
          <w:rFonts w:hint="eastAsia" w:ascii="仿宋_GB2312" w:hAnsi="Times New Roman"/>
          <w:sz w:val="32"/>
          <w:szCs w:val="32"/>
          <w:lang w:val="zh-CN"/>
        </w:rPr>
      </w:pPr>
      <w:r>
        <w:rPr>
          <w:rFonts w:hint="eastAsia" w:ascii="仿宋_GB2312" w:hAnsi="Times New Roman"/>
          <w:sz w:val="32"/>
          <w:szCs w:val="32"/>
          <w:lang w:val="zh-CN"/>
        </w:rPr>
        <w:t>建议规范强化项目建设管理，</w:t>
      </w:r>
      <w:r>
        <w:rPr>
          <w:rFonts w:hint="eastAsia" w:ascii="仿宋_GB2312" w:hAnsi="Times New Roman"/>
          <w:sz w:val="32"/>
          <w:szCs w:val="32"/>
          <w:lang w:val="en-US" w:eastAsia="zh-CN"/>
        </w:rPr>
        <w:t>加快资金使用进度，提高资金使用效率，并将项目绩效指标进行细化、量化。</w:t>
      </w:r>
    </w:p>
    <w:p>
      <w:pPr>
        <w:topLinePunct/>
        <w:adjustRightInd w:val="0"/>
        <w:snapToGrid w:val="0"/>
        <w:spacing w:line="600" w:lineRule="exact"/>
        <w:ind w:firstLine="825" w:firstLineChars="261"/>
        <w:rPr>
          <w:rFonts w:hint="eastAsia" w:ascii="仿宋_GB2312" w:hAnsi="Times New Roman"/>
          <w:sz w:val="32"/>
          <w:szCs w:val="32"/>
          <w:lang w:val="zh-CN"/>
        </w:rPr>
      </w:pPr>
    </w:p>
    <w:p>
      <w:pPr>
        <w:topLinePunct/>
        <w:adjustRightInd w:val="0"/>
        <w:snapToGrid w:val="0"/>
        <w:spacing w:line="600" w:lineRule="exact"/>
        <w:ind w:firstLine="825" w:firstLineChars="261"/>
        <w:rPr>
          <w:rFonts w:hint="eastAsia" w:ascii="仿宋_GB2312"/>
          <w:szCs w:val="32"/>
        </w:rPr>
      </w:pPr>
      <w:r>
        <w:rPr>
          <w:rFonts w:hint="eastAsia" w:ascii="仿宋_GB2312"/>
          <w:szCs w:val="32"/>
        </w:rPr>
        <w:t>附件1：</w:t>
      </w:r>
      <w:r>
        <w:rPr>
          <w:rFonts w:hint="eastAsia" w:ascii="仿宋_GB2312"/>
          <w:szCs w:val="32"/>
          <w:lang w:eastAsia="zh-CN"/>
        </w:rPr>
        <w:t>昆明市生态环境局东川分局</w:t>
      </w:r>
      <w:r>
        <w:rPr>
          <w:rFonts w:hint="eastAsia" w:ascii="仿宋_GB2312"/>
          <w:szCs w:val="32"/>
        </w:rPr>
        <w:t>2019年涉重危废排查资金项目支出绩效自评指标体系</w:t>
      </w:r>
    </w:p>
    <w:p>
      <w:pPr>
        <w:topLinePunct/>
        <w:adjustRightInd w:val="0"/>
        <w:snapToGrid w:val="0"/>
        <w:spacing w:line="600" w:lineRule="exact"/>
        <w:ind w:firstLine="825" w:firstLineChars="261"/>
        <w:rPr>
          <w:rFonts w:hint="eastAsia" w:ascii="仿宋_GB2312"/>
          <w:szCs w:val="32"/>
        </w:rPr>
      </w:pPr>
      <w:r>
        <w:rPr>
          <w:rFonts w:hint="eastAsia" w:ascii="仿宋_GB2312"/>
          <w:szCs w:val="32"/>
        </w:rPr>
        <w:t>附件</w:t>
      </w:r>
      <w:r>
        <w:rPr>
          <w:rFonts w:hint="eastAsia" w:ascii="仿宋_GB2312"/>
          <w:szCs w:val="32"/>
          <w:lang w:val="en-US" w:eastAsia="zh-CN"/>
        </w:rPr>
        <w:t>2</w:t>
      </w:r>
      <w:r>
        <w:rPr>
          <w:rFonts w:hint="eastAsia" w:ascii="仿宋_GB2312"/>
          <w:szCs w:val="32"/>
        </w:rPr>
        <w:t>：</w:t>
      </w:r>
      <w:r>
        <w:rPr>
          <w:rFonts w:hint="eastAsia" w:ascii="仿宋_GB2312"/>
          <w:szCs w:val="32"/>
          <w:lang w:eastAsia="zh-CN"/>
        </w:rPr>
        <w:t>昆明市生态环境局东川分局</w:t>
      </w:r>
      <w:r>
        <w:rPr>
          <w:rFonts w:hint="eastAsia" w:ascii="仿宋_GB2312"/>
          <w:szCs w:val="32"/>
        </w:rPr>
        <w:t>2019年涉重危废排查资金项目基础数据表</w:t>
      </w:r>
    </w:p>
    <w:p>
      <w:pPr>
        <w:topLinePunct/>
        <w:adjustRightInd w:val="0"/>
        <w:snapToGrid w:val="0"/>
        <w:spacing w:line="600" w:lineRule="exact"/>
        <w:ind w:firstLine="825" w:firstLineChars="261"/>
        <w:rPr>
          <w:rFonts w:hint="eastAsia" w:ascii="仿宋_GB2312"/>
          <w:szCs w:val="32"/>
        </w:rPr>
      </w:pPr>
      <w:r>
        <w:rPr>
          <w:rFonts w:hint="eastAsia" w:ascii="仿宋_GB2312"/>
          <w:szCs w:val="32"/>
          <w:lang w:eastAsia="zh-CN"/>
        </w:rPr>
        <w:t>附件</w:t>
      </w:r>
      <w:r>
        <w:rPr>
          <w:rFonts w:hint="eastAsia" w:ascii="仿宋_GB2312"/>
          <w:szCs w:val="32"/>
          <w:lang w:val="en-US" w:eastAsia="zh-CN"/>
        </w:rPr>
        <w:t>3：</w:t>
      </w:r>
      <w:r>
        <w:rPr>
          <w:rFonts w:hint="eastAsia" w:ascii="仿宋_GB2312"/>
          <w:szCs w:val="32"/>
        </w:rPr>
        <w:t>访谈分析报告</w:t>
      </w:r>
    </w:p>
    <w:p>
      <w:pPr>
        <w:topLinePunct/>
        <w:adjustRightInd w:val="0"/>
        <w:snapToGrid w:val="0"/>
        <w:spacing w:line="600" w:lineRule="exact"/>
        <w:ind w:firstLine="825" w:firstLineChars="261"/>
        <w:rPr>
          <w:rFonts w:hint="eastAsia" w:ascii="仿宋_GB2312"/>
          <w:szCs w:val="32"/>
          <w:highlight w:val="none"/>
        </w:rPr>
      </w:pPr>
      <w:r>
        <w:rPr>
          <w:rFonts w:hint="eastAsia" w:ascii="仿宋_GB2312"/>
          <w:szCs w:val="32"/>
          <w:highlight w:val="none"/>
        </w:rPr>
        <w:t>附件</w:t>
      </w:r>
      <w:r>
        <w:rPr>
          <w:rFonts w:hint="eastAsia" w:ascii="仿宋_GB2312"/>
          <w:szCs w:val="32"/>
          <w:highlight w:val="none"/>
          <w:lang w:val="en-US" w:eastAsia="zh-CN"/>
        </w:rPr>
        <w:t>4</w:t>
      </w:r>
      <w:r>
        <w:rPr>
          <w:rFonts w:hint="eastAsia" w:ascii="仿宋_GB2312"/>
          <w:szCs w:val="32"/>
          <w:highlight w:val="none"/>
        </w:rPr>
        <w:t>：社会调查问卷分析报告</w:t>
      </w:r>
    </w:p>
    <w:p>
      <w:pPr>
        <w:topLinePunct/>
        <w:adjustRightInd w:val="0"/>
        <w:snapToGrid w:val="0"/>
        <w:spacing w:line="600" w:lineRule="exact"/>
        <w:ind w:firstLine="825" w:firstLineChars="261"/>
        <w:rPr>
          <w:rFonts w:hint="eastAsia" w:ascii="仿宋_GB2312"/>
          <w:szCs w:val="32"/>
          <w:highlight w:val="none"/>
          <w:lang w:val="en-US" w:eastAsia="zh-CN"/>
        </w:rPr>
      </w:pPr>
      <w:r>
        <w:rPr>
          <w:rFonts w:hint="eastAsia" w:ascii="仿宋_GB2312"/>
          <w:szCs w:val="32"/>
          <w:highlight w:val="none"/>
          <w:lang w:eastAsia="zh-CN"/>
        </w:rPr>
        <w:t>附件</w:t>
      </w:r>
      <w:r>
        <w:rPr>
          <w:rFonts w:hint="eastAsia" w:ascii="仿宋_GB2312"/>
          <w:szCs w:val="32"/>
          <w:highlight w:val="none"/>
          <w:lang w:val="en-US" w:eastAsia="zh-CN"/>
        </w:rPr>
        <w:t xml:space="preserve">5：云南省生态环境厅关于开展危险废物环境风险排查治理的通知(云环通〔2019〕157号） </w:t>
      </w:r>
    </w:p>
    <w:p>
      <w:pPr>
        <w:topLinePunct/>
        <w:adjustRightInd w:val="0"/>
        <w:snapToGrid w:val="0"/>
        <w:spacing w:line="600" w:lineRule="exact"/>
        <w:ind w:firstLine="825" w:firstLineChars="261"/>
        <w:rPr>
          <w:rFonts w:hint="default" w:ascii="仿宋_GB2312" w:eastAsia="仿宋_GB2312"/>
          <w:szCs w:val="32"/>
          <w:highlight w:val="none"/>
          <w:lang w:val="en-US" w:eastAsia="zh-CN"/>
        </w:rPr>
      </w:pPr>
      <w:r>
        <w:rPr>
          <w:rFonts w:hint="eastAsia" w:ascii="仿宋_GB2312"/>
          <w:szCs w:val="32"/>
          <w:highlight w:val="none"/>
          <w:lang w:eastAsia="zh-CN"/>
        </w:rPr>
        <w:t>附件</w:t>
      </w:r>
      <w:r>
        <w:rPr>
          <w:rFonts w:hint="eastAsia" w:ascii="仿宋_GB2312"/>
          <w:szCs w:val="32"/>
          <w:highlight w:val="none"/>
          <w:lang w:val="en-US" w:eastAsia="zh-CN"/>
        </w:rPr>
        <w:t>6：昆明市生态环境局东川分局</w:t>
      </w:r>
      <w:r>
        <w:rPr>
          <w:rFonts w:hint="eastAsia" w:ascii="仿宋_GB2312"/>
          <w:szCs w:val="32"/>
        </w:rPr>
        <w:t>2019年涉重危废排查资金</w:t>
      </w:r>
      <w:r>
        <w:rPr>
          <w:rFonts w:hint="eastAsia" w:ascii="仿宋_GB2312"/>
          <w:szCs w:val="32"/>
          <w:highlight w:val="none"/>
          <w:lang w:val="en-US" w:eastAsia="zh-CN"/>
        </w:rPr>
        <w:t>项目支出工作底稿</w:t>
      </w:r>
    </w:p>
    <w:p>
      <w:pPr>
        <w:topLinePunct/>
        <w:spacing w:line="600" w:lineRule="exact"/>
        <w:rPr>
          <w:rFonts w:hint="eastAsia" w:ascii="仿宋_GB2312"/>
          <w:szCs w:val="32"/>
        </w:rPr>
      </w:pPr>
    </w:p>
    <w:p>
      <w:pPr>
        <w:topLinePunct/>
        <w:spacing w:line="600" w:lineRule="exact"/>
        <w:ind w:right="316" w:firstLine="632" w:firstLineChars="200"/>
        <w:jc w:val="right"/>
        <w:rPr>
          <w:rFonts w:hint="eastAsia" w:ascii="仿宋_GB2312"/>
          <w:szCs w:val="32"/>
        </w:rPr>
      </w:pPr>
    </w:p>
    <w:p>
      <w:pPr>
        <w:topLinePunct/>
        <w:spacing w:line="600" w:lineRule="exact"/>
        <w:ind w:firstLine="632" w:firstLineChars="200"/>
        <w:jc w:val="center"/>
        <w:rPr>
          <w:rFonts w:hint="eastAsia" w:ascii="仿宋_GB2312"/>
          <w:szCs w:val="32"/>
        </w:rPr>
      </w:pPr>
    </w:p>
    <w:p/>
    <w:sectPr>
      <w:footerReference r:id="rId5" w:type="default"/>
      <w:footerReference r:id="rId6" w:type="even"/>
      <w:pgSz w:w="11907" w:h="16840"/>
      <w:pgMar w:top="1440" w:right="1800" w:bottom="1440" w:left="1800" w:header="851" w:footer="1304" w:gutter="0"/>
      <w:pgNumType w:fmt="decimal"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Cambria" w:hAnsi="Cambr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41</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Cambria" w:hAnsi="Cambr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rPr>
                              <w:rFonts w:ascii="Cambria" w:hAnsi="Cambria"/>
                              <w:sz w:val="18"/>
                              <w:szCs w:val="18"/>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Cambria" w:hAnsi="Cambria"/>
                              <w:sz w:val="24"/>
                              <w:szCs w:val="24"/>
                              <w:lang w:val="zh-CN"/>
                            </w:rPr>
                            <w:t>40</w:t>
                          </w:r>
                          <w:r>
                            <w:rPr>
                              <w:sz w:val="24"/>
                              <w:szCs w:val="24"/>
                            </w:rPr>
                            <w:fldChar w:fldCharType="end"/>
                          </w:r>
                          <w:r>
                            <w:rPr>
                              <w:rFonts w:ascii="Cambria" w:hAnsi="Cambria"/>
                              <w:sz w:val="24"/>
                              <w:szCs w:val="24"/>
                              <w:lang w:val="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jc w:val="center"/>
                    </w:pPr>
                    <w:r>
                      <w:rPr>
                        <w:rFonts w:ascii="Cambria" w:hAnsi="Cambria"/>
                        <w:sz w:val="18"/>
                        <w:szCs w:val="18"/>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Cambria" w:hAnsi="Cambria"/>
                        <w:sz w:val="24"/>
                        <w:szCs w:val="24"/>
                        <w:lang w:val="zh-CN"/>
                      </w:rPr>
                      <w:t>40</w:t>
                    </w:r>
                    <w:r>
                      <w:rPr>
                        <w:sz w:val="24"/>
                        <w:szCs w:val="24"/>
                      </w:rPr>
                      <w:fldChar w:fldCharType="end"/>
                    </w:r>
                    <w:r>
                      <w:rPr>
                        <w:rFonts w:ascii="Cambria" w:hAnsi="Cambria"/>
                        <w:sz w:val="24"/>
                        <w:szCs w:val="24"/>
                        <w:lang w:val="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17D455"/>
    <w:multiLevelType w:val="singleLevel"/>
    <w:tmpl w:val="FC17D455"/>
    <w:lvl w:ilvl="0" w:tentative="0">
      <w:start w:val="2"/>
      <w:numFmt w:val="chineseCounting"/>
      <w:suff w:val="nothing"/>
      <w:lvlText w:val="（%1）"/>
      <w:lvlJc w:val="left"/>
      <w:rPr>
        <w:rFonts w:hint="eastAsia"/>
      </w:rPr>
    </w:lvl>
  </w:abstractNum>
  <w:abstractNum w:abstractNumId="1">
    <w:nsid w:val="2A152495"/>
    <w:multiLevelType w:val="singleLevel"/>
    <w:tmpl w:val="2A152495"/>
    <w:lvl w:ilvl="0" w:tentative="0">
      <w:start w:val="5"/>
      <w:numFmt w:val="chineseCounting"/>
      <w:suff w:val="nothing"/>
      <w:lvlText w:val="%1、"/>
      <w:lvlJc w:val="left"/>
      <w:rPr>
        <w:rFonts w:hint="eastAsia"/>
      </w:rPr>
    </w:lvl>
  </w:abstractNum>
  <w:abstractNum w:abstractNumId="2">
    <w:nsid w:val="34F0D2F7"/>
    <w:multiLevelType w:val="singleLevel"/>
    <w:tmpl w:val="34F0D2F7"/>
    <w:lvl w:ilvl="0" w:tentative="0">
      <w:start w:val="2"/>
      <w:numFmt w:val="decimal"/>
      <w:lvlText w:val="%1."/>
      <w:lvlJc w:val="left"/>
      <w:pPr>
        <w:tabs>
          <w:tab w:val="left" w:pos="312"/>
        </w:tabs>
      </w:pPr>
    </w:lvl>
  </w:abstractNum>
  <w:abstractNum w:abstractNumId="3">
    <w:nsid w:val="543BB22B"/>
    <w:multiLevelType w:val="singleLevel"/>
    <w:tmpl w:val="543BB22B"/>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E05B9"/>
    <w:rsid w:val="388C2D20"/>
    <w:rsid w:val="53EE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customStyle="1" w:styleId="9">
    <w:name w:val="正文1"/>
    <w:basedOn w:val="1"/>
    <w:qFormat/>
    <w:uiPriority w:val="0"/>
    <w:pPr>
      <w:autoSpaceDE w:val="0"/>
      <w:autoSpaceDN w:val="0"/>
      <w:adjustRightInd w:val="0"/>
      <w:snapToGrid w:val="0"/>
      <w:spacing w:line="600" w:lineRule="exact"/>
      <w:ind w:firstLine="624" w:firstLineChars="200"/>
    </w:pPr>
    <w:rPr>
      <w:rFonts w:ascii="宋体" w:hAnsi="宋体"/>
      <w:spacing w:val="6"/>
      <w:sz w:val="3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2020-08-13T09:20:00Z</dcterms:created>
  <dc:creator>紫雨</dc:creator>
  <cp:lastModifiedBy>紫雨</cp:lastModifiedBy>
  <dcterms:modified xsi:type="dcterms:W3CDTF">2020-08-13T10:20:25Z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