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7666" w:rsidRDefault="00527666">
      <w:pPr>
        <w:spacing w:line="580" w:lineRule="exact"/>
        <w:jc w:val="left"/>
        <w:rPr>
          <w:rFonts w:ascii="黑体" w:eastAsia="黑体"/>
          <w:szCs w:val="32"/>
        </w:rPr>
      </w:pPr>
    </w:p>
    <w:p w:rsidR="00527666" w:rsidRDefault="00AD067A">
      <w:pPr>
        <w:spacing w:line="560" w:lineRule="exact"/>
        <w:jc w:val="center"/>
        <w:rPr>
          <w:rFonts w:ascii="方正小标宋简体" w:eastAsia="方正小标宋简体" w:hAnsi="宋体" w:cs="宋体"/>
          <w:color w:val="000000"/>
          <w:kern w:val="0"/>
          <w:sz w:val="44"/>
          <w:szCs w:val="44"/>
        </w:rPr>
      </w:pPr>
      <w:r>
        <w:rPr>
          <w:rFonts w:ascii="方正小标宋简体" w:eastAsia="方正小标宋简体" w:hAnsi="宋体" w:cs="宋体" w:hint="eastAsia"/>
          <w:color w:val="000000"/>
          <w:kern w:val="0"/>
          <w:sz w:val="44"/>
          <w:szCs w:val="44"/>
        </w:rPr>
        <w:t>残疾人阳光家园计划项目支出绩效</w:t>
      </w:r>
    </w:p>
    <w:p w:rsidR="00527666" w:rsidRDefault="00AD067A">
      <w:pPr>
        <w:spacing w:line="560" w:lineRule="exact"/>
        <w:jc w:val="center"/>
        <w:rPr>
          <w:rFonts w:ascii="方正小标宋简体" w:eastAsia="方正小标宋简体" w:hAnsi="宋体"/>
          <w:sz w:val="44"/>
          <w:szCs w:val="44"/>
        </w:rPr>
      </w:pPr>
      <w:r>
        <w:rPr>
          <w:rFonts w:ascii="方正小标宋简体" w:eastAsia="方正小标宋简体" w:hAnsi="宋体" w:cs="宋体" w:hint="eastAsia"/>
          <w:color w:val="000000"/>
          <w:kern w:val="0"/>
          <w:sz w:val="44"/>
          <w:szCs w:val="44"/>
        </w:rPr>
        <w:t>评价报告</w:t>
      </w:r>
    </w:p>
    <w:p w:rsidR="00527666" w:rsidRDefault="00527666">
      <w:pPr>
        <w:spacing w:line="540" w:lineRule="exact"/>
        <w:ind w:firstLineChars="200" w:firstLine="640"/>
        <w:jc w:val="left"/>
        <w:rPr>
          <w:rFonts w:ascii="楷体" w:eastAsia="楷体" w:hAnsi="楷体"/>
          <w:szCs w:val="32"/>
        </w:rPr>
      </w:pPr>
    </w:p>
    <w:p w:rsidR="00527666" w:rsidRDefault="00AD067A">
      <w:pPr>
        <w:topLinePunct/>
        <w:spacing w:line="540" w:lineRule="exact"/>
        <w:ind w:firstLineChars="250" w:firstLine="800"/>
        <w:rPr>
          <w:rFonts w:ascii="黑体" w:eastAsia="黑体"/>
          <w:szCs w:val="32"/>
        </w:rPr>
      </w:pPr>
      <w:r>
        <w:rPr>
          <w:rFonts w:ascii="黑体" w:eastAsia="黑体" w:hint="eastAsia"/>
          <w:szCs w:val="32"/>
        </w:rPr>
        <w:t>一、项目基本情况</w:t>
      </w:r>
    </w:p>
    <w:p w:rsidR="00527666" w:rsidRDefault="00AD067A">
      <w:pPr>
        <w:topLinePunct/>
        <w:spacing w:line="540" w:lineRule="exact"/>
        <w:ind w:firstLineChars="250" w:firstLine="800"/>
        <w:rPr>
          <w:rFonts w:ascii="楷体" w:eastAsia="楷体" w:hAnsi="楷体"/>
          <w:szCs w:val="32"/>
        </w:rPr>
      </w:pPr>
      <w:r>
        <w:rPr>
          <w:rFonts w:ascii="楷体" w:eastAsia="楷体" w:hAnsi="楷体" w:hint="eastAsia"/>
          <w:szCs w:val="32"/>
        </w:rPr>
        <w:t>（一）项目概况</w:t>
      </w:r>
    </w:p>
    <w:p w:rsidR="00527666" w:rsidRDefault="00AD067A">
      <w:pPr>
        <w:topLinePunct/>
        <w:spacing w:line="540" w:lineRule="exact"/>
        <w:ind w:firstLineChars="250" w:firstLine="800"/>
        <w:rPr>
          <w:rFonts w:ascii="仿宋_GB2312" w:hAnsi="楷体"/>
          <w:szCs w:val="32"/>
        </w:rPr>
      </w:pPr>
      <w:r>
        <w:rPr>
          <w:rFonts w:ascii="仿宋_GB2312" w:hAnsi="楷体" w:hint="eastAsia"/>
          <w:szCs w:val="32"/>
        </w:rPr>
        <w:t>1.立项背景及目的</w:t>
      </w:r>
    </w:p>
    <w:p w:rsidR="00527666" w:rsidRDefault="00AD067A">
      <w:pPr>
        <w:pStyle w:val="a6"/>
        <w:spacing w:line="560" w:lineRule="exact"/>
        <w:ind w:firstLine="640"/>
        <w:rPr>
          <w:szCs w:val="32"/>
        </w:rPr>
      </w:pPr>
      <w:r>
        <w:rPr>
          <w:rFonts w:hint="eastAsia"/>
          <w:szCs w:val="32"/>
        </w:rPr>
        <w:t>2019</w:t>
      </w:r>
      <w:r>
        <w:rPr>
          <w:rFonts w:hint="eastAsia"/>
          <w:szCs w:val="32"/>
        </w:rPr>
        <w:t>年残疾人“阳光家园计划”是根据《昆明市</w:t>
      </w:r>
      <w:r>
        <w:rPr>
          <w:rFonts w:hint="eastAsia"/>
          <w:szCs w:val="32"/>
        </w:rPr>
        <w:t>2019</w:t>
      </w:r>
      <w:r>
        <w:rPr>
          <w:rFonts w:hint="eastAsia"/>
          <w:szCs w:val="32"/>
        </w:rPr>
        <w:t>年</w:t>
      </w:r>
      <w:r>
        <w:rPr>
          <w:rFonts w:hint="eastAsia"/>
          <w:szCs w:val="32"/>
        </w:rPr>
        <w:t xml:space="preserve"> </w:t>
      </w:r>
      <w:r>
        <w:rPr>
          <w:rFonts w:hint="eastAsia"/>
          <w:szCs w:val="32"/>
        </w:rPr>
        <w:t>“阳光家园计划”——智力、精神和重度肢体残疾人托养服务项目实施方案》的通知</w:t>
      </w:r>
      <w:r>
        <w:rPr>
          <w:rFonts w:hint="eastAsia"/>
          <w:color w:val="000000" w:themeColor="text1"/>
          <w:szCs w:val="32"/>
        </w:rPr>
        <w:t>（昆残联发</w:t>
      </w:r>
      <w:r>
        <w:rPr>
          <w:rFonts w:ascii="宋体" w:eastAsia="宋体" w:hAnsi="宋体" w:cs="宋体" w:hint="eastAsia"/>
          <w:color w:val="000000" w:themeColor="text1"/>
          <w:szCs w:val="32"/>
        </w:rPr>
        <w:t>﹝</w:t>
      </w:r>
      <w:r>
        <w:rPr>
          <w:rFonts w:hint="eastAsia"/>
          <w:color w:val="000000" w:themeColor="text1"/>
          <w:szCs w:val="32"/>
        </w:rPr>
        <w:t>2019</w:t>
      </w:r>
      <w:r>
        <w:rPr>
          <w:rFonts w:ascii="宋体" w:eastAsia="宋体" w:hAnsi="宋体" w:cs="宋体" w:hint="eastAsia"/>
          <w:color w:val="000000" w:themeColor="text1"/>
          <w:szCs w:val="32"/>
        </w:rPr>
        <w:t>﹞2</w:t>
      </w:r>
      <w:r>
        <w:rPr>
          <w:rFonts w:hint="eastAsia"/>
          <w:color w:val="000000" w:themeColor="text1"/>
          <w:szCs w:val="32"/>
        </w:rPr>
        <w:t>号）《关于开展</w:t>
      </w:r>
      <w:r>
        <w:rPr>
          <w:rFonts w:hint="eastAsia"/>
          <w:color w:val="000000" w:themeColor="text1"/>
          <w:szCs w:val="32"/>
        </w:rPr>
        <w:t>2019</w:t>
      </w:r>
      <w:r>
        <w:rPr>
          <w:rFonts w:hint="eastAsia"/>
          <w:color w:val="000000" w:themeColor="text1"/>
          <w:szCs w:val="32"/>
        </w:rPr>
        <w:t>年“阳光家园计划”——智力</w:t>
      </w:r>
      <w:r>
        <w:rPr>
          <w:rFonts w:hint="eastAsia"/>
          <w:color w:val="000000" w:themeColor="text1"/>
          <w:szCs w:val="32"/>
        </w:rPr>
        <w:t xml:space="preserve"> </w:t>
      </w:r>
      <w:r>
        <w:rPr>
          <w:rFonts w:hint="eastAsia"/>
          <w:color w:val="000000" w:themeColor="text1"/>
          <w:szCs w:val="32"/>
        </w:rPr>
        <w:t>精神和重度肢体残疾人托养服务项目（中央提前补助经费）工作（昆残联发</w:t>
      </w:r>
      <w:r>
        <w:rPr>
          <w:rFonts w:ascii="宋体" w:eastAsia="宋体" w:hAnsi="宋体" w:cs="宋体" w:hint="eastAsia"/>
          <w:color w:val="000000" w:themeColor="text1"/>
          <w:szCs w:val="32"/>
        </w:rPr>
        <w:t>﹝</w:t>
      </w:r>
      <w:r>
        <w:rPr>
          <w:rFonts w:hint="eastAsia"/>
          <w:color w:val="000000" w:themeColor="text1"/>
          <w:szCs w:val="32"/>
        </w:rPr>
        <w:t>2019</w:t>
      </w:r>
      <w:r>
        <w:rPr>
          <w:rFonts w:ascii="宋体" w:eastAsia="宋体" w:hAnsi="宋体" w:cs="宋体" w:hint="eastAsia"/>
          <w:color w:val="000000" w:themeColor="text1"/>
          <w:szCs w:val="32"/>
        </w:rPr>
        <w:t>﹞72</w:t>
      </w:r>
      <w:r>
        <w:rPr>
          <w:rFonts w:hint="eastAsia"/>
          <w:color w:val="000000" w:themeColor="text1"/>
          <w:szCs w:val="32"/>
        </w:rPr>
        <w:t>号）》</w:t>
      </w:r>
      <w:r>
        <w:rPr>
          <w:rFonts w:hint="eastAsia"/>
          <w:szCs w:val="32"/>
        </w:rPr>
        <w:t>要求，为</w:t>
      </w:r>
      <w:r>
        <w:rPr>
          <w:rFonts w:hint="eastAsia"/>
          <w:szCs w:val="32"/>
        </w:rPr>
        <w:t>100</w:t>
      </w:r>
      <w:r>
        <w:rPr>
          <w:rFonts w:hint="eastAsia"/>
          <w:szCs w:val="32"/>
        </w:rPr>
        <w:t>名东川区智力、精神和重度肢体残疾人托养服务的项目。这些残疾人都依靠亲属供养，长期需要专人照料，基本需求缺乏有效保障，家庭承受较大精神压力和经济负担，迫切希望政府和社会此项目特殊措施，提供托养服务，为其改善生活状况创造条件。</w:t>
      </w:r>
    </w:p>
    <w:p w:rsidR="00527666" w:rsidRDefault="00AD067A">
      <w:pPr>
        <w:topLinePunct/>
        <w:spacing w:line="540" w:lineRule="exact"/>
        <w:ind w:firstLineChars="250" w:firstLine="800"/>
        <w:rPr>
          <w:rFonts w:ascii="仿宋_GB2312" w:hAnsi="楷体"/>
          <w:szCs w:val="32"/>
        </w:rPr>
      </w:pPr>
      <w:r>
        <w:rPr>
          <w:rFonts w:ascii="仿宋_GB2312" w:hAnsi="楷体" w:hint="eastAsia"/>
          <w:szCs w:val="32"/>
        </w:rPr>
        <w:t>2.项目实施情况</w:t>
      </w:r>
    </w:p>
    <w:p w:rsidR="00527666" w:rsidRDefault="00AD067A">
      <w:pPr>
        <w:topLinePunct/>
        <w:spacing w:line="540" w:lineRule="exact"/>
        <w:ind w:firstLineChars="250" w:firstLine="800"/>
        <w:rPr>
          <w:rFonts w:ascii="仿宋_GB2312" w:hAnsi="楷体"/>
          <w:color w:val="000000" w:themeColor="text1"/>
          <w:szCs w:val="32"/>
        </w:rPr>
      </w:pPr>
      <w:r>
        <w:rPr>
          <w:rFonts w:ascii="仿宋_GB2312" w:hint="eastAsia"/>
          <w:color w:val="000000"/>
          <w:szCs w:val="32"/>
        </w:rPr>
        <w:t>依托</w:t>
      </w:r>
      <w:r>
        <w:rPr>
          <w:rFonts w:ascii="仿宋_GB2312" w:hint="eastAsia"/>
          <w:color w:val="000000"/>
          <w:szCs w:val="32"/>
          <w:shd w:val="clear" w:color="auto" w:fill="FFFFFF"/>
        </w:rPr>
        <w:t>区精神病医院以“全日</w:t>
      </w:r>
      <w:r>
        <w:rPr>
          <w:rFonts w:ascii="仿宋_GB2312" w:hint="eastAsia"/>
          <w:color w:val="000000"/>
          <w:szCs w:val="32"/>
        </w:rPr>
        <w:t>托养</w:t>
      </w:r>
      <w:r>
        <w:rPr>
          <w:rFonts w:ascii="仿宋_GB2312" w:hint="eastAsia"/>
          <w:color w:val="000000"/>
          <w:szCs w:val="32"/>
          <w:shd w:val="clear" w:color="auto" w:fill="FFFFFF"/>
        </w:rPr>
        <w:t>”方式</w:t>
      </w:r>
      <w:r>
        <w:rPr>
          <w:rFonts w:ascii="仿宋_GB2312" w:hint="eastAsia"/>
          <w:color w:val="000000"/>
          <w:szCs w:val="32"/>
        </w:rPr>
        <w:t>落实政府购买残疾</w:t>
      </w:r>
      <w:r>
        <w:rPr>
          <w:rFonts w:hint="eastAsia"/>
          <w:szCs w:val="32"/>
        </w:rPr>
        <w:t>人托养服务项目</w:t>
      </w:r>
      <w:r>
        <w:rPr>
          <w:rFonts w:hint="eastAsia"/>
          <w:color w:val="000000" w:themeColor="text1"/>
          <w:szCs w:val="32"/>
        </w:rPr>
        <w:t>100</w:t>
      </w:r>
      <w:r>
        <w:rPr>
          <w:rFonts w:hint="eastAsia"/>
          <w:color w:val="000000" w:themeColor="text1"/>
          <w:szCs w:val="32"/>
        </w:rPr>
        <w:t>人，经费为</w:t>
      </w:r>
      <w:r>
        <w:rPr>
          <w:rFonts w:hint="eastAsia"/>
          <w:color w:val="000000" w:themeColor="text1"/>
          <w:szCs w:val="32"/>
        </w:rPr>
        <w:t>15</w:t>
      </w:r>
      <w:r>
        <w:rPr>
          <w:rFonts w:hint="eastAsia"/>
          <w:color w:val="000000" w:themeColor="text1"/>
          <w:szCs w:val="32"/>
        </w:rPr>
        <w:t>万元，补助标准为</w:t>
      </w:r>
      <w:r>
        <w:rPr>
          <w:rFonts w:hint="eastAsia"/>
          <w:color w:val="000000" w:themeColor="text1"/>
          <w:szCs w:val="32"/>
        </w:rPr>
        <w:t>1500</w:t>
      </w:r>
      <w:r>
        <w:rPr>
          <w:rFonts w:hint="eastAsia"/>
          <w:color w:val="000000" w:themeColor="text1"/>
          <w:szCs w:val="32"/>
        </w:rPr>
        <w:t>元</w:t>
      </w:r>
      <w:r>
        <w:rPr>
          <w:rFonts w:hint="eastAsia"/>
          <w:color w:val="000000" w:themeColor="text1"/>
          <w:szCs w:val="32"/>
        </w:rPr>
        <w:t>/</w:t>
      </w:r>
      <w:r>
        <w:rPr>
          <w:rFonts w:hint="eastAsia"/>
          <w:color w:val="000000" w:themeColor="text1"/>
          <w:szCs w:val="32"/>
        </w:rPr>
        <w:t>人</w:t>
      </w:r>
      <w:r>
        <w:rPr>
          <w:rFonts w:hint="eastAsia"/>
          <w:color w:val="000000" w:themeColor="text1"/>
          <w:szCs w:val="32"/>
        </w:rPr>
        <w:t>/</w:t>
      </w:r>
      <w:r>
        <w:rPr>
          <w:rFonts w:hint="eastAsia"/>
          <w:color w:val="000000" w:themeColor="text1"/>
          <w:szCs w:val="32"/>
        </w:rPr>
        <w:t>年。</w:t>
      </w:r>
    </w:p>
    <w:p w:rsidR="00527666" w:rsidRDefault="00AD067A">
      <w:pPr>
        <w:topLinePunct/>
        <w:spacing w:line="540" w:lineRule="exact"/>
        <w:ind w:firstLineChars="250" w:firstLine="800"/>
        <w:rPr>
          <w:rFonts w:ascii="仿宋_GB2312" w:hAnsi="楷体"/>
          <w:szCs w:val="32"/>
        </w:rPr>
      </w:pPr>
      <w:r>
        <w:rPr>
          <w:rFonts w:ascii="仿宋_GB2312" w:hAnsi="楷体" w:hint="eastAsia"/>
          <w:szCs w:val="32"/>
        </w:rPr>
        <w:t>3.资金来源及使用情况</w:t>
      </w:r>
    </w:p>
    <w:p w:rsidR="00527666" w:rsidRDefault="00AD067A">
      <w:pPr>
        <w:topLinePunct/>
        <w:spacing w:line="540" w:lineRule="exact"/>
        <w:ind w:firstLineChars="250" w:firstLine="800"/>
        <w:rPr>
          <w:rFonts w:ascii="仿宋_GB2312" w:hAnsi="仿宋_GB2312" w:cs="仿宋_GB2312"/>
          <w:color w:val="000000" w:themeColor="text1"/>
          <w:szCs w:val="32"/>
        </w:rPr>
      </w:pPr>
      <w:r>
        <w:rPr>
          <w:rFonts w:ascii="仿宋_GB2312" w:hAnsi="楷体" w:hint="eastAsia"/>
          <w:szCs w:val="32"/>
        </w:rPr>
        <w:lastRenderedPageBreak/>
        <w:t>资金为国家“阳光家园计划”项目资金，是中央经费。已</w:t>
      </w:r>
      <w:r>
        <w:rPr>
          <w:rFonts w:ascii="仿宋_GB2312" w:hAnsi="楷体" w:hint="eastAsia"/>
          <w:color w:val="000000" w:themeColor="text1"/>
          <w:szCs w:val="32"/>
        </w:rPr>
        <w:t>于</w:t>
      </w:r>
      <w:r>
        <w:rPr>
          <w:color w:val="000000" w:themeColor="text1"/>
          <w:szCs w:val="32"/>
        </w:rPr>
        <w:t>201</w:t>
      </w:r>
      <w:r>
        <w:rPr>
          <w:rFonts w:hint="eastAsia"/>
          <w:color w:val="000000" w:themeColor="text1"/>
          <w:szCs w:val="32"/>
        </w:rPr>
        <w:t>9</w:t>
      </w:r>
      <w:r>
        <w:rPr>
          <w:color w:val="000000" w:themeColor="text1"/>
          <w:szCs w:val="32"/>
        </w:rPr>
        <w:t>年年底</w:t>
      </w:r>
      <w:r>
        <w:rPr>
          <w:rFonts w:hint="eastAsia"/>
          <w:color w:val="000000" w:themeColor="text1"/>
          <w:szCs w:val="32"/>
        </w:rPr>
        <w:t>前已全部兑付至</w:t>
      </w:r>
      <w:r>
        <w:rPr>
          <w:rFonts w:ascii="仿宋_GB2312" w:hAnsi="仿宋_GB2312" w:cs="仿宋_GB2312" w:hint="eastAsia"/>
          <w:color w:val="000000" w:themeColor="text1"/>
          <w:szCs w:val="32"/>
        </w:rPr>
        <w:t>昆明市东川区精神病院和昆明市东川区幸福家园老年公寓.</w:t>
      </w:r>
    </w:p>
    <w:p w:rsidR="00527666" w:rsidRDefault="00AD067A">
      <w:pPr>
        <w:topLinePunct/>
        <w:spacing w:line="540" w:lineRule="exact"/>
        <w:ind w:firstLineChars="250" w:firstLine="800"/>
        <w:rPr>
          <w:rFonts w:ascii="仿宋_GB2312" w:hAnsi="楷体"/>
          <w:szCs w:val="32"/>
        </w:rPr>
      </w:pPr>
      <w:r>
        <w:rPr>
          <w:rFonts w:ascii="仿宋_GB2312" w:hAnsi="楷体" w:hint="eastAsia"/>
          <w:szCs w:val="32"/>
        </w:rPr>
        <w:t>4.组织及管理情况</w:t>
      </w:r>
    </w:p>
    <w:p w:rsidR="00527666" w:rsidRDefault="00AD067A">
      <w:pPr>
        <w:topLinePunct/>
        <w:spacing w:line="540" w:lineRule="exact"/>
        <w:ind w:firstLineChars="250" w:firstLine="800"/>
        <w:rPr>
          <w:rFonts w:ascii="仿宋_GB2312" w:hAnsi="仿宋" w:cs="楷体_GB2312"/>
          <w:kern w:val="0"/>
          <w:szCs w:val="32"/>
        </w:rPr>
      </w:pPr>
      <w:r>
        <w:rPr>
          <w:rFonts w:ascii="仿宋_GB2312" w:hAnsi="仿宋" w:cs="楷体_GB2312" w:hint="eastAsia"/>
          <w:kern w:val="0"/>
          <w:szCs w:val="32"/>
        </w:rPr>
        <w:t>市、县两级残疾人联合会为托养项目购买服务的主体及项目的管理机构。县级残联承担本辖区内符合条件托养对象的认定工作，对托养机构的服务及托养服务协议的履行情况进行日常的管理和监督，并积极配合第三方机构对托养项目的检查、评估及结题验收工作。</w:t>
      </w:r>
    </w:p>
    <w:p w:rsidR="00527666" w:rsidRDefault="00AD067A">
      <w:pPr>
        <w:pStyle w:val="11"/>
        <w:spacing w:line="560" w:lineRule="exact"/>
        <w:ind w:firstLine="640"/>
        <w:rPr>
          <w:rFonts w:ascii="仿宋_GB2312" w:eastAsia="仿宋_GB2312" w:hAnsi="仿宋" w:cs="楷体_GB2312"/>
          <w:sz w:val="32"/>
          <w:szCs w:val="32"/>
        </w:rPr>
      </w:pPr>
      <w:r>
        <w:rPr>
          <w:rFonts w:ascii="仿宋_GB2312" w:eastAsia="仿宋_GB2312" w:hAnsi="仿宋" w:cs="楷体_GB2312" w:hint="eastAsia"/>
          <w:kern w:val="0"/>
          <w:sz w:val="32"/>
          <w:szCs w:val="32"/>
        </w:rPr>
        <w:t>为符合条件的托养对象提供基本生活照料和护理、生活自理能力训练、劳动技能训练和运动功能训练等方面社会服务，如：</w:t>
      </w:r>
      <w:r>
        <w:rPr>
          <w:rFonts w:ascii="仿宋_GB2312" w:eastAsia="仿宋_GB2312" w:hAnsi="仿宋" w:cs="楷体_GB2312" w:hint="eastAsia"/>
          <w:sz w:val="32"/>
          <w:szCs w:val="32"/>
        </w:rPr>
        <w:t>生活照料、康复护理、康体训练、精神慰藉、文化娱乐等。</w:t>
      </w:r>
    </w:p>
    <w:p w:rsidR="00527666" w:rsidRDefault="00AD067A">
      <w:pPr>
        <w:spacing w:line="560" w:lineRule="exact"/>
        <w:ind w:firstLineChars="200" w:firstLine="640"/>
        <w:rPr>
          <w:rFonts w:ascii="仿宋_GB2312" w:hAnsi="仿宋" w:cs="楷体_GB2312"/>
          <w:kern w:val="0"/>
          <w:szCs w:val="32"/>
        </w:rPr>
      </w:pPr>
      <w:r>
        <w:rPr>
          <w:rFonts w:ascii="仿宋_GB2312" w:hAnsi="黑体" w:cs="楷体_GB2312" w:hint="eastAsia"/>
          <w:kern w:val="0"/>
          <w:szCs w:val="32"/>
        </w:rPr>
        <w:t>机构托养服务对象范围</w:t>
      </w:r>
      <w:r>
        <w:rPr>
          <w:rFonts w:ascii="仿宋_GB2312" w:hAnsi="仿宋" w:cs="楷体_GB2312" w:hint="eastAsia"/>
          <w:kern w:val="0"/>
          <w:szCs w:val="32"/>
        </w:rPr>
        <w:t>:①</w:t>
      </w:r>
      <w:r>
        <w:rPr>
          <w:rFonts w:ascii="仿宋_GB2312" w:hAnsi="仿宋" w:hint="eastAsia"/>
          <w:szCs w:val="32"/>
        </w:rPr>
        <w:t>属于城乡最低生活保障对象，或符合当地政府规定标准的困难残疾人;</w:t>
      </w:r>
      <w:r>
        <w:rPr>
          <w:rFonts w:ascii="仿宋_GB2312" w:hAnsi="仿宋" w:cs="楷体_GB2312" w:hint="eastAsia"/>
          <w:kern w:val="0"/>
          <w:szCs w:val="32"/>
        </w:rPr>
        <w:t>②拥有昆明市户籍，持有昆明市残联核发的《中华人民共和国残疾人证》（第二代）的智力、精神和重度（一、二级）肢体残疾人，处于就业年龄（16—59周岁），且无业。</w:t>
      </w:r>
    </w:p>
    <w:p w:rsidR="00527666" w:rsidRDefault="00AD067A">
      <w:pPr>
        <w:spacing w:line="560" w:lineRule="exact"/>
        <w:ind w:firstLineChars="200" w:firstLine="640"/>
        <w:rPr>
          <w:rFonts w:ascii="仿宋_GB2312" w:hAnsi="仿宋" w:cs="楷体_GB2312"/>
          <w:szCs w:val="32"/>
        </w:rPr>
      </w:pPr>
      <w:r>
        <w:rPr>
          <w:rFonts w:ascii="仿宋_GB2312" w:hAnsi="黑体" w:cs="楷体_GB2312" w:hint="eastAsia"/>
          <w:kern w:val="0"/>
          <w:szCs w:val="32"/>
        </w:rPr>
        <w:t>承接（托养）项目机构要求</w:t>
      </w:r>
      <w:r>
        <w:rPr>
          <w:rFonts w:ascii="黑体" w:eastAsia="黑体" w:hAnsi="黑体" w:cs="楷体_GB2312" w:hint="eastAsia"/>
          <w:kern w:val="0"/>
          <w:szCs w:val="32"/>
        </w:rPr>
        <w:t>:</w:t>
      </w:r>
      <w:r>
        <w:rPr>
          <w:rFonts w:ascii="仿宋_GB2312" w:hAnsi="仿宋" w:cs="楷体_GB2312" w:hint="eastAsia"/>
          <w:kern w:val="0"/>
          <w:szCs w:val="32"/>
        </w:rPr>
        <w:t>①</w:t>
      </w:r>
      <w:r>
        <w:rPr>
          <w:rFonts w:ascii="仿宋_GB2312" w:hAnsi="仿宋" w:cs="楷体_GB2312" w:hint="eastAsia"/>
          <w:szCs w:val="32"/>
        </w:rPr>
        <w:t>依法在民政部门登记成立或经国务院批准免予登记的社会组织，以及依法在工商管理或行业主管部门登记成立的企业、机构等社会力量;</w:t>
      </w:r>
      <w:r>
        <w:rPr>
          <w:rFonts w:ascii="仿宋_GB2312" w:hAnsi="仿宋" w:cs="楷体_GB2312" w:hint="eastAsia"/>
          <w:kern w:val="0"/>
          <w:szCs w:val="32"/>
        </w:rPr>
        <w:t>②申报机构具备以提供托养服务内容相适应的设施设备和服务场所，具备与其业务范围相适应的管理人员、服务人员;</w:t>
      </w:r>
      <w:r>
        <w:rPr>
          <w:rFonts w:ascii="仿宋_GB2312" w:hAnsi="仿宋" w:cs="楷体_GB2312" w:hint="eastAsia"/>
          <w:szCs w:val="32"/>
        </w:rPr>
        <w:t>③</w:t>
      </w:r>
      <w:r>
        <w:rPr>
          <w:rFonts w:ascii="仿宋_GB2312" w:hAnsi="仿宋" w:cs="楷体_GB2312" w:hint="eastAsia"/>
          <w:kern w:val="0"/>
          <w:szCs w:val="32"/>
        </w:rPr>
        <w:t>申报机构有健全的规</w:t>
      </w:r>
      <w:r>
        <w:rPr>
          <w:rFonts w:ascii="仿宋_GB2312" w:hAnsi="仿宋" w:cs="楷体_GB2312" w:hint="eastAsia"/>
          <w:kern w:val="0"/>
          <w:szCs w:val="32"/>
        </w:rPr>
        <w:lastRenderedPageBreak/>
        <w:t>章管理制度。</w:t>
      </w:r>
    </w:p>
    <w:p w:rsidR="00527666" w:rsidRDefault="00AD067A">
      <w:pPr>
        <w:spacing w:line="560" w:lineRule="exact"/>
        <w:ind w:firstLineChars="200" w:firstLine="640"/>
        <w:rPr>
          <w:rFonts w:ascii="仿宋_GB2312" w:hAnsi="黑体" w:cs="楷体_GB2312"/>
          <w:kern w:val="0"/>
          <w:szCs w:val="32"/>
        </w:rPr>
      </w:pPr>
      <w:r>
        <w:rPr>
          <w:rFonts w:ascii="仿宋_GB2312" w:hAnsi="黑体" w:cs="楷体_GB2312" w:hint="eastAsia"/>
          <w:kern w:val="0"/>
          <w:szCs w:val="32"/>
        </w:rPr>
        <w:t>机构托养服务工作流程:</w:t>
      </w:r>
      <w:r>
        <w:rPr>
          <w:rFonts w:ascii="仿宋_GB2312" w:hAnsi="仿宋" w:cs="楷体_GB2312" w:hint="eastAsia"/>
          <w:szCs w:val="32"/>
        </w:rPr>
        <w:t>①初审；②专家组评审；③公示；④签订正式协议；⑤项目实施；⑥中期检查、评估；⑦结题验收。</w:t>
      </w:r>
    </w:p>
    <w:p w:rsidR="00527666" w:rsidRDefault="00AD067A">
      <w:pPr>
        <w:spacing w:line="560" w:lineRule="exact"/>
        <w:ind w:firstLine="600"/>
        <w:rPr>
          <w:rFonts w:ascii="仿宋_GB2312" w:hAnsi="仿宋" w:cs="楷体_GB2312"/>
          <w:szCs w:val="32"/>
        </w:rPr>
      </w:pPr>
      <w:r>
        <w:rPr>
          <w:rFonts w:ascii="仿宋_GB2312" w:hAnsi="楷体" w:hint="eastAsia"/>
          <w:szCs w:val="32"/>
        </w:rPr>
        <w:t>资金拨付流程:</w:t>
      </w:r>
      <w:r>
        <w:rPr>
          <w:rFonts w:ascii="仿宋_GB2312" w:hAnsi="仿宋" w:cs="楷体_GB2312" w:hint="eastAsia"/>
          <w:szCs w:val="32"/>
        </w:rPr>
        <w:t>公示期满具备承接托养项目资质的机构与县（市）区残联磋商并将意向签订合同的文本及承接机构名单报市残联备案，通过备案的县（市）区残联即可正式签订托养服务协议,同时支付合同金额的50%给承接机构。结题验收时市残联委托第三方机构对项目执行情况进行验收，形成验收结论，根据验收结论按照协议规定执行，支付协议金额的50%给承接机构。</w:t>
      </w:r>
    </w:p>
    <w:p w:rsidR="00527666" w:rsidRDefault="00AD067A">
      <w:pPr>
        <w:topLinePunct/>
        <w:spacing w:line="540" w:lineRule="exact"/>
        <w:ind w:firstLineChars="250" w:firstLine="800"/>
        <w:rPr>
          <w:rFonts w:ascii="楷体" w:eastAsia="楷体" w:hAnsi="楷体"/>
          <w:szCs w:val="32"/>
        </w:rPr>
      </w:pPr>
      <w:r>
        <w:rPr>
          <w:rFonts w:ascii="楷体" w:eastAsia="楷体" w:hAnsi="楷体" w:hint="eastAsia"/>
          <w:szCs w:val="32"/>
        </w:rPr>
        <w:t>（二）绩效目标</w:t>
      </w:r>
    </w:p>
    <w:p w:rsidR="00527666" w:rsidRDefault="00AD067A">
      <w:pPr>
        <w:spacing w:line="560" w:lineRule="exact"/>
        <w:ind w:firstLineChars="200" w:firstLine="640"/>
        <w:rPr>
          <w:rFonts w:ascii="仿宋_GB2312" w:hAnsi="楷体"/>
          <w:szCs w:val="32"/>
        </w:rPr>
      </w:pPr>
      <w:r>
        <w:rPr>
          <w:rFonts w:ascii="仿宋_GB2312" w:hAnsi="楷体" w:hint="eastAsia"/>
          <w:szCs w:val="32"/>
        </w:rPr>
        <w:t>1.总目标</w:t>
      </w:r>
    </w:p>
    <w:p w:rsidR="00527666" w:rsidRDefault="00AD067A">
      <w:pPr>
        <w:spacing w:line="560" w:lineRule="exact"/>
        <w:ind w:firstLineChars="200" w:firstLine="640"/>
        <w:rPr>
          <w:rFonts w:ascii="仿宋_GB2312"/>
          <w:color w:val="FF0000"/>
          <w:szCs w:val="32"/>
        </w:rPr>
      </w:pPr>
      <w:r>
        <w:rPr>
          <w:rFonts w:ascii="仿宋_GB2312" w:hint="eastAsia"/>
          <w:color w:val="333333"/>
          <w:szCs w:val="32"/>
          <w:shd w:val="clear" w:color="auto" w:fill="FFFFFF"/>
        </w:rPr>
        <w:t>通过该项目，资助100人次符合条件的智力、精神和重度肢体残疾人接受各种形式的托养服务。通过对项目绩效评价，督促项目实施单位加快项目实施进度，提升项目实施水平。一方面通过考核项目绩效目标的完成程度，增强项目实施单位对财政资金使用的责任感，规范资金管理，确保资金安全、使用效益明显。另一方面考核评价项目管理工作的运行绩效，考察和反映项目资金产生的实际效益，分析资金使用后对残疾人保障事业发展的影响，对后续项目建设提供及时、有效的信息和决策依据。</w:t>
      </w:r>
    </w:p>
    <w:p w:rsidR="00527666" w:rsidRDefault="00AD067A">
      <w:pPr>
        <w:topLinePunct/>
        <w:spacing w:line="540" w:lineRule="exact"/>
        <w:ind w:firstLineChars="250" w:firstLine="800"/>
        <w:rPr>
          <w:rFonts w:ascii="仿宋_GB2312" w:hAnsi="楷体"/>
          <w:szCs w:val="32"/>
        </w:rPr>
      </w:pPr>
      <w:r>
        <w:rPr>
          <w:rFonts w:ascii="仿宋_GB2312" w:hAnsi="楷体" w:hint="eastAsia"/>
          <w:szCs w:val="32"/>
        </w:rPr>
        <w:lastRenderedPageBreak/>
        <w:t>2.年度目标</w:t>
      </w:r>
    </w:p>
    <w:p w:rsidR="00527666" w:rsidRDefault="00AD067A">
      <w:pPr>
        <w:topLinePunct/>
        <w:spacing w:line="540" w:lineRule="exact"/>
        <w:ind w:firstLineChars="250" w:firstLine="800"/>
        <w:rPr>
          <w:rFonts w:ascii="仿宋_GB2312" w:hAnsi="楷体"/>
          <w:color w:val="000000" w:themeColor="text1"/>
          <w:szCs w:val="32"/>
        </w:rPr>
      </w:pPr>
      <w:r>
        <w:rPr>
          <w:rFonts w:ascii="仿宋_GB2312" w:hint="eastAsia"/>
          <w:color w:val="000000"/>
          <w:szCs w:val="32"/>
        </w:rPr>
        <w:t>残疾</w:t>
      </w:r>
      <w:r>
        <w:rPr>
          <w:rFonts w:ascii="仿宋_GB2312" w:hint="eastAsia"/>
          <w:szCs w:val="32"/>
        </w:rPr>
        <w:t>人托养服务项目</w:t>
      </w:r>
      <w:r>
        <w:rPr>
          <w:rFonts w:ascii="仿宋_GB2312" w:hint="eastAsia"/>
          <w:color w:val="000000" w:themeColor="text1"/>
          <w:szCs w:val="32"/>
        </w:rPr>
        <w:t>100人，经费为15万元，补助标准为1500元/人/年。</w:t>
      </w:r>
    </w:p>
    <w:p w:rsidR="00527666" w:rsidRDefault="00AD067A">
      <w:pPr>
        <w:topLinePunct/>
        <w:spacing w:line="540" w:lineRule="exact"/>
        <w:ind w:firstLineChars="250" w:firstLine="800"/>
        <w:rPr>
          <w:rFonts w:ascii="仿宋_GB2312" w:hAnsi="楷体"/>
          <w:szCs w:val="32"/>
        </w:rPr>
      </w:pPr>
      <w:r>
        <w:rPr>
          <w:rFonts w:ascii="仿宋_GB2312" w:hAnsi="楷体" w:hint="eastAsia"/>
          <w:szCs w:val="32"/>
        </w:rPr>
        <w:t>社会效益指标：改善托养服务条件，提高托养服务能力水平，使智力、精神和重度肢体残疾人得到更好的托养服务，帮助其增强生活信心，提升生活参与能力，提高生活质量。</w:t>
      </w:r>
    </w:p>
    <w:p w:rsidR="00527666" w:rsidRDefault="00AD067A">
      <w:pPr>
        <w:topLinePunct/>
        <w:spacing w:line="540" w:lineRule="exact"/>
        <w:ind w:firstLineChars="250" w:firstLine="800"/>
        <w:rPr>
          <w:rFonts w:ascii="仿宋_GB2312" w:hAnsi="楷体"/>
          <w:szCs w:val="32"/>
        </w:rPr>
      </w:pPr>
      <w:r>
        <w:rPr>
          <w:rFonts w:ascii="仿宋_GB2312" w:hAnsi="楷体" w:hint="eastAsia"/>
          <w:szCs w:val="32"/>
        </w:rPr>
        <w:t>可持续影响指标：宣传党和政府的真切关怀、残疾人及其亲属的真情实感、社会各界的真诚援助、托养服务机构和服务人员的真诚奉献，努力营造全社会关心、支持残疾人托养服务事业发展的良好氛围。</w:t>
      </w:r>
    </w:p>
    <w:p w:rsidR="00527666" w:rsidRDefault="00AD067A">
      <w:pPr>
        <w:topLinePunct/>
        <w:spacing w:line="540" w:lineRule="exact"/>
        <w:ind w:firstLineChars="250" w:firstLine="800"/>
        <w:rPr>
          <w:rFonts w:ascii="黑体" w:eastAsia="黑体" w:hAnsi="黑体"/>
          <w:szCs w:val="32"/>
        </w:rPr>
      </w:pPr>
      <w:r>
        <w:rPr>
          <w:rFonts w:ascii="黑体" w:eastAsia="黑体" w:hAnsi="黑体" w:hint="eastAsia"/>
          <w:szCs w:val="32"/>
        </w:rPr>
        <w:t>二、绩效评价工作情况</w:t>
      </w:r>
    </w:p>
    <w:p w:rsidR="00527666" w:rsidRDefault="00AD067A">
      <w:pPr>
        <w:spacing w:line="560" w:lineRule="exact"/>
        <w:ind w:firstLineChars="200" w:firstLine="640"/>
        <w:rPr>
          <w:szCs w:val="32"/>
        </w:rPr>
      </w:pPr>
      <w:r>
        <w:rPr>
          <w:rFonts w:ascii="楷体" w:eastAsia="楷体" w:hAnsi="楷体" w:hint="eastAsia"/>
          <w:szCs w:val="32"/>
        </w:rPr>
        <w:t>（一）绩效评价目的。</w:t>
      </w:r>
      <w:r>
        <w:rPr>
          <w:szCs w:val="32"/>
        </w:rPr>
        <w:t>掌握项目进展，资金使用，制度建设及执行情况，取得的成效；总结经验，找准问题，提出改进的意见和建议。通过绩效评价，完善制度、创新机制、加强管理、强化监督，保证项目资金使用管理的规范性、安全性和有效性；为指导预算编制、优化财政支出结构，提高公共服务水平提供基础数据，提高专项资金使用效益。评价结果将作为财政安排下年度项目支出预算的重要依据。</w:t>
      </w:r>
    </w:p>
    <w:p w:rsidR="00527666" w:rsidRDefault="00AD067A">
      <w:pPr>
        <w:spacing w:line="560" w:lineRule="exact"/>
        <w:ind w:firstLineChars="200" w:firstLine="640"/>
        <w:rPr>
          <w:szCs w:val="32"/>
        </w:rPr>
      </w:pPr>
      <w:r>
        <w:rPr>
          <w:rFonts w:hint="eastAsia"/>
          <w:szCs w:val="32"/>
        </w:rPr>
        <w:t>（二）绩效评价工作方案制定过程</w:t>
      </w:r>
    </w:p>
    <w:p w:rsidR="00527666" w:rsidRDefault="00AD067A">
      <w:pPr>
        <w:spacing w:line="560" w:lineRule="exact"/>
        <w:ind w:firstLineChars="200" w:firstLine="640"/>
        <w:rPr>
          <w:szCs w:val="32"/>
        </w:rPr>
      </w:pPr>
      <w:r>
        <w:rPr>
          <w:rFonts w:hint="eastAsia"/>
          <w:szCs w:val="32"/>
        </w:rPr>
        <w:t xml:space="preserve"> 1.</w:t>
      </w:r>
      <w:r>
        <w:rPr>
          <w:rFonts w:hint="eastAsia"/>
          <w:szCs w:val="32"/>
        </w:rPr>
        <w:t>研究文件：</w:t>
      </w:r>
      <w:r>
        <w:rPr>
          <w:rFonts w:hint="eastAsia"/>
          <w:szCs w:val="32"/>
        </w:rPr>
        <w:t>2019</w:t>
      </w:r>
      <w:r>
        <w:rPr>
          <w:rFonts w:hint="eastAsia"/>
          <w:szCs w:val="32"/>
        </w:rPr>
        <w:t>年残疾人“阳光家园计划”是根据《昆明市</w:t>
      </w:r>
      <w:r>
        <w:rPr>
          <w:rFonts w:hint="eastAsia"/>
          <w:szCs w:val="32"/>
        </w:rPr>
        <w:t>2019</w:t>
      </w:r>
      <w:r>
        <w:rPr>
          <w:rFonts w:hint="eastAsia"/>
          <w:szCs w:val="32"/>
        </w:rPr>
        <w:t>年</w:t>
      </w:r>
      <w:r>
        <w:rPr>
          <w:rFonts w:hint="eastAsia"/>
          <w:szCs w:val="32"/>
        </w:rPr>
        <w:t xml:space="preserve"> </w:t>
      </w:r>
      <w:r>
        <w:rPr>
          <w:rFonts w:hint="eastAsia"/>
          <w:szCs w:val="32"/>
        </w:rPr>
        <w:t>“阳光家园计划”——智力、精神和重度肢体残疾人托养服务项目实施方案》的通知</w:t>
      </w:r>
      <w:r>
        <w:rPr>
          <w:rFonts w:hint="eastAsia"/>
          <w:color w:val="000000" w:themeColor="text1"/>
          <w:szCs w:val="32"/>
        </w:rPr>
        <w:t>（昆残联发</w:t>
      </w:r>
      <w:r>
        <w:rPr>
          <w:rFonts w:ascii="宋体" w:eastAsia="宋体" w:hAnsi="宋体" w:cs="宋体" w:hint="eastAsia"/>
          <w:color w:val="000000" w:themeColor="text1"/>
          <w:szCs w:val="32"/>
        </w:rPr>
        <w:t>﹝</w:t>
      </w:r>
      <w:r>
        <w:rPr>
          <w:rFonts w:hint="eastAsia"/>
          <w:color w:val="000000" w:themeColor="text1"/>
          <w:szCs w:val="32"/>
        </w:rPr>
        <w:t>2019</w:t>
      </w:r>
      <w:r>
        <w:rPr>
          <w:rFonts w:ascii="宋体" w:eastAsia="宋体" w:hAnsi="宋体" w:cs="宋体" w:hint="eastAsia"/>
          <w:color w:val="000000" w:themeColor="text1"/>
          <w:szCs w:val="32"/>
        </w:rPr>
        <w:t>﹞2</w:t>
      </w:r>
      <w:r>
        <w:rPr>
          <w:rFonts w:hint="eastAsia"/>
          <w:color w:val="000000" w:themeColor="text1"/>
          <w:szCs w:val="32"/>
        </w:rPr>
        <w:t>号）《关</w:t>
      </w:r>
      <w:r>
        <w:rPr>
          <w:rFonts w:hint="eastAsia"/>
          <w:color w:val="000000" w:themeColor="text1"/>
          <w:szCs w:val="32"/>
        </w:rPr>
        <w:lastRenderedPageBreak/>
        <w:t>于开展</w:t>
      </w:r>
      <w:r>
        <w:rPr>
          <w:rFonts w:hint="eastAsia"/>
          <w:color w:val="000000" w:themeColor="text1"/>
          <w:szCs w:val="32"/>
        </w:rPr>
        <w:t>2019</w:t>
      </w:r>
      <w:r>
        <w:rPr>
          <w:rFonts w:hint="eastAsia"/>
          <w:color w:val="000000" w:themeColor="text1"/>
          <w:szCs w:val="32"/>
        </w:rPr>
        <w:t>年“阳光家园计划”——智力</w:t>
      </w:r>
      <w:r>
        <w:rPr>
          <w:rFonts w:hint="eastAsia"/>
          <w:color w:val="000000" w:themeColor="text1"/>
          <w:szCs w:val="32"/>
        </w:rPr>
        <w:t xml:space="preserve"> </w:t>
      </w:r>
      <w:r>
        <w:rPr>
          <w:rFonts w:hint="eastAsia"/>
          <w:color w:val="000000" w:themeColor="text1"/>
          <w:szCs w:val="32"/>
        </w:rPr>
        <w:t>精神和重度肢体残疾人托养服务项目（中央提前补助经费）工作（昆残联发</w:t>
      </w:r>
      <w:r>
        <w:rPr>
          <w:rFonts w:ascii="宋体" w:eastAsia="宋体" w:hAnsi="宋体" w:cs="宋体" w:hint="eastAsia"/>
          <w:color w:val="000000" w:themeColor="text1"/>
          <w:szCs w:val="32"/>
        </w:rPr>
        <w:t>﹝</w:t>
      </w:r>
      <w:r>
        <w:rPr>
          <w:rFonts w:hint="eastAsia"/>
          <w:color w:val="000000" w:themeColor="text1"/>
          <w:szCs w:val="32"/>
        </w:rPr>
        <w:t>2019</w:t>
      </w:r>
      <w:r>
        <w:rPr>
          <w:rFonts w:ascii="宋体" w:eastAsia="宋体" w:hAnsi="宋体" w:cs="宋体" w:hint="eastAsia"/>
          <w:color w:val="000000" w:themeColor="text1"/>
          <w:szCs w:val="32"/>
        </w:rPr>
        <w:t>﹞72</w:t>
      </w:r>
      <w:r>
        <w:rPr>
          <w:rFonts w:hint="eastAsia"/>
          <w:color w:val="000000" w:themeColor="text1"/>
          <w:szCs w:val="32"/>
        </w:rPr>
        <w:t>号）》及《</w:t>
      </w:r>
      <w:r>
        <w:rPr>
          <w:rFonts w:hint="eastAsia"/>
          <w:color w:val="000000" w:themeColor="text1"/>
          <w:szCs w:val="32"/>
        </w:rPr>
        <w:t>2019</w:t>
      </w:r>
      <w:r>
        <w:rPr>
          <w:rFonts w:hint="eastAsia"/>
          <w:color w:val="000000" w:themeColor="text1"/>
          <w:szCs w:val="32"/>
        </w:rPr>
        <w:t>年度昆明市残疾人机构托养服务项目申报指南》及绩效评价的相关依据。</w:t>
      </w:r>
    </w:p>
    <w:p w:rsidR="00527666" w:rsidRDefault="00AD067A">
      <w:pPr>
        <w:snapToGrid w:val="0"/>
        <w:spacing w:line="560" w:lineRule="exact"/>
        <w:ind w:firstLineChars="200" w:firstLine="640"/>
        <w:rPr>
          <w:szCs w:val="32"/>
        </w:rPr>
      </w:pPr>
      <w:r>
        <w:rPr>
          <w:rFonts w:hint="eastAsia"/>
          <w:szCs w:val="32"/>
        </w:rPr>
        <w:t>2.</w:t>
      </w:r>
      <w:r>
        <w:rPr>
          <w:szCs w:val="32"/>
        </w:rPr>
        <w:t>评价指标体系</w:t>
      </w:r>
      <w:r>
        <w:rPr>
          <w:rFonts w:hint="eastAsia"/>
          <w:szCs w:val="32"/>
        </w:rPr>
        <w:t>：</w:t>
      </w:r>
    </w:p>
    <w:p w:rsidR="00527666" w:rsidRDefault="00AD067A">
      <w:pPr>
        <w:spacing w:line="560" w:lineRule="exact"/>
        <w:rPr>
          <w:color w:val="000000" w:themeColor="text1"/>
          <w:szCs w:val="32"/>
        </w:rPr>
      </w:pPr>
      <w:r>
        <w:rPr>
          <w:color w:val="000000" w:themeColor="text1"/>
          <w:szCs w:val="32"/>
        </w:rPr>
        <w:t xml:space="preserve"> </w:t>
      </w:r>
      <w:r>
        <w:rPr>
          <w:color w:val="000000" w:themeColor="text1"/>
          <w:szCs w:val="32"/>
        </w:rPr>
        <w:t>本项目绩效评价，设立四级评价指标体系，具体构成如下：</w:t>
      </w:r>
    </w:p>
    <w:p w:rsidR="00527666" w:rsidRDefault="00AD067A">
      <w:pPr>
        <w:spacing w:line="560" w:lineRule="exact"/>
        <w:rPr>
          <w:szCs w:val="32"/>
        </w:rPr>
      </w:pPr>
      <w:r>
        <w:rPr>
          <w:color w:val="000000" w:themeColor="text1"/>
          <w:szCs w:val="32"/>
        </w:rPr>
        <w:t xml:space="preserve"> </w:t>
      </w:r>
      <w:r>
        <w:rPr>
          <w:color w:val="000000" w:themeColor="text1"/>
          <w:szCs w:val="32"/>
        </w:rPr>
        <w:t>一级指标由投入（占</w:t>
      </w:r>
      <w:r>
        <w:rPr>
          <w:color w:val="000000" w:themeColor="text1"/>
          <w:szCs w:val="32"/>
        </w:rPr>
        <w:t>6%</w:t>
      </w:r>
      <w:r>
        <w:rPr>
          <w:color w:val="000000" w:themeColor="text1"/>
          <w:szCs w:val="32"/>
        </w:rPr>
        <w:t>）、过程（占</w:t>
      </w:r>
      <w:r>
        <w:rPr>
          <w:color w:val="000000" w:themeColor="text1"/>
          <w:szCs w:val="32"/>
        </w:rPr>
        <w:t>40%</w:t>
      </w:r>
      <w:r>
        <w:rPr>
          <w:color w:val="000000" w:themeColor="text1"/>
          <w:szCs w:val="32"/>
        </w:rPr>
        <w:t>）、产出（占</w:t>
      </w:r>
      <w:r>
        <w:rPr>
          <w:color w:val="000000" w:themeColor="text1"/>
          <w:szCs w:val="32"/>
        </w:rPr>
        <w:t>40%</w:t>
      </w:r>
      <w:r>
        <w:rPr>
          <w:color w:val="000000" w:themeColor="text1"/>
          <w:szCs w:val="32"/>
        </w:rPr>
        <w:t>）、效益（占</w:t>
      </w:r>
      <w:r>
        <w:rPr>
          <w:color w:val="000000" w:themeColor="text1"/>
          <w:szCs w:val="32"/>
        </w:rPr>
        <w:t>14%</w:t>
      </w:r>
      <w:r>
        <w:rPr>
          <w:color w:val="000000" w:themeColor="text1"/>
          <w:szCs w:val="32"/>
        </w:rPr>
        <w:t>）</w:t>
      </w:r>
      <w:r>
        <w:rPr>
          <w:color w:val="000000" w:themeColor="text1"/>
          <w:szCs w:val="32"/>
        </w:rPr>
        <w:t>4</w:t>
      </w:r>
      <w:r>
        <w:rPr>
          <w:color w:val="000000" w:themeColor="text1"/>
          <w:szCs w:val="32"/>
        </w:rPr>
        <w:t>项，二级指标</w:t>
      </w:r>
      <w:r>
        <w:rPr>
          <w:color w:val="000000" w:themeColor="text1"/>
          <w:szCs w:val="32"/>
        </w:rPr>
        <w:t>7</w:t>
      </w:r>
      <w:r>
        <w:rPr>
          <w:color w:val="000000" w:themeColor="text1"/>
          <w:szCs w:val="32"/>
        </w:rPr>
        <w:t>项，三级指标</w:t>
      </w:r>
      <w:r>
        <w:rPr>
          <w:color w:val="000000" w:themeColor="text1"/>
          <w:szCs w:val="32"/>
        </w:rPr>
        <w:t>20</w:t>
      </w:r>
      <w:r>
        <w:rPr>
          <w:color w:val="000000" w:themeColor="text1"/>
          <w:szCs w:val="32"/>
        </w:rPr>
        <w:t>项，四级指标</w:t>
      </w:r>
      <w:r>
        <w:rPr>
          <w:color w:val="000000" w:themeColor="text1"/>
          <w:szCs w:val="32"/>
        </w:rPr>
        <w:t>31</w:t>
      </w:r>
      <w:r>
        <w:rPr>
          <w:color w:val="000000" w:themeColor="text1"/>
          <w:szCs w:val="32"/>
        </w:rPr>
        <w:t>项，满分</w:t>
      </w:r>
      <w:r>
        <w:rPr>
          <w:color w:val="000000" w:themeColor="text1"/>
          <w:szCs w:val="32"/>
        </w:rPr>
        <w:t>100</w:t>
      </w:r>
      <w:r>
        <w:rPr>
          <w:color w:val="000000" w:themeColor="text1"/>
          <w:szCs w:val="32"/>
        </w:rPr>
        <w:t>分。</w:t>
      </w:r>
    </w:p>
    <w:p w:rsidR="00527666" w:rsidRDefault="00AD067A">
      <w:pPr>
        <w:topLinePunct/>
        <w:spacing w:line="540" w:lineRule="exact"/>
        <w:ind w:firstLineChars="250" w:firstLine="800"/>
        <w:rPr>
          <w:rFonts w:ascii="楷体" w:eastAsia="楷体" w:hAnsi="楷体"/>
          <w:szCs w:val="32"/>
        </w:rPr>
      </w:pPr>
      <w:r>
        <w:rPr>
          <w:rFonts w:ascii="楷体" w:eastAsia="楷体" w:hAnsi="楷体" w:hint="eastAsia"/>
          <w:szCs w:val="32"/>
        </w:rPr>
        <w:t>（三）绩效评价原则、评价方法</w:t>
      </w:r>
    </w:p>
    <w:p w:rsidR="00527666" w:rsidRDefault="00AD067A">
      <w:pPr>
        <w:spacing w:line="560" w:lineRule="exact"/>
        <w:ind w:firstLineChars="200" w:firstLine="640"/>
        <w:rPr>
          <w:szCs w:val="32"/>
        </w:rPr>
      </w:pPr>
      <w:r>
        <w:rPr>
          <w:szCs w:val="32"/>
        </w:rPr>
        <w:t>1.</w:t>
      </w:r>
      <w:r>
        <w:rPr>
          <w:szCs w:val="32"/>
        </w:rPr>
        <w:t>评价指标体系制定遵循的原则</w:t>
      </w:r>
    </w:p>
    <w:p w:rsidR="00527666" w:rsidRDefault="00AD067A">
      <w:pPr>
        <w:spacing w:line="560" w:lineRule="exact"/>
        <w:rPr>
          <w:szCs w:val="32"/>
        </w:rPr>
      </w:pPr>
      <w:r>
        <w:rPr>
          <w:szCs w:val="32"/>
        </w:rPr>
        <w:t xml:space="preserve">    </w:t>
      </w:r>
      <w:r>
        <w:rPr>
          <w:szCs w:val="32"/>
        </w:rPr>
        <w:t>根据《昆明市东川区人民政府关于印发昆明市东川区预算绩效管理暂行办法》（东政发〔</w:t>
      </w:r>
      <w:r>
        <w:rPr>
          <w:szCs w:val="32"/>
        </w:rPr>
        <w:t>2015</w:t>
      </w:r>
      <w:r>
        <w:rPr>
          <w:szCs w:val="32"/>
        </w:rPr>
        <w:t>〕</w:t>
      </w:r>
      <w:r>
        <w:rPr>
          <w:szCs w:val="32"/>
        </w:rPr>
        <w:t>104</w:t>
      </w:r>
      <w:r>
        <w:rPr>
          <w:szCs w:val="32"/>
        </w:rPr>
        <w:t>号），本次评价指标体系制定遵循相关性原则、重要性原则、可比性原则、经济性原则和系统性原则。</w:t>
      </w:r>
    </w:p>
    <w:p w:rsidR="00527666" w:rsidRDefault="00AD067A">
      <w:pPr>
        <w:pStyle w:val="10"/>
        <w:spacing w:line="560" w:lineRule="exact"/>
        <w:ind w:firstLineChars="150" w:firstLine="480"/>
        <w:rPr>
          <w:rFonts w:ascii="Times New Roman" w:hAnsi="Times New Roman"/>
          <w:spacing w:val="0"/>
          <w:sz w:val="32"/>
          <w:szCs w:val="32"/>
        </w:rPr>
      </w:pPr>
      <w:r>
        <w:rPr>
          <w:rFonts w:ascii="Times New Roman" w:hAnsi="Times New Roman"/>
          <w:spacing w:val="0"/>
          <w:sz w:val="32"/>
          <w:szCs w:val="32"/>
        </w:rPr>
        <w:t xml:space="preserve"> 2.</w:t>
      </w:r>
      <w:r>
        <w:rPr>
          <w:rFonts w:ascii="Times New Roman" w:hAnsi="Times New Roman"/>
          <w:spacing w:val="0"/>
          <w:sz w:val="32"/>
          <w:szCs w:val="32"/>
        </w:rPr>
        <w:t>评价依据</w:t>
      </w:r>
    </w:p>
    <w:p w:rsidR="00527666" w:rsidRDefault="00AD067A" w:rsidP="00CD5160">
      <w:pPr>
        <w:autoSpaceDN w:val="0"/>
        <w:spacing w:line="560" w:lineRule="exact"/>
        <w:ind w:firstLineChars="174" w:firstLine="557"/>
        <w:rPr>
          <w:rFonts w:ascii="仿宋_GB2312"/>
          <w:szCs w:val="32"/>
        </w:rPr>
      </w:pPr>
      <w:r>
        <w:rPr>
          <w:rFonts w:ascii="仿宋_GB2312" w:hint="eastAsia"/>
          <w:szCs w:val="32"/>
        </w:rPr>
        <w:t>中华人民共和国预算法》、《东川区预算绩效管理暂行办法》（东政发</w:t>
      </w:r>
      <w:r w:rsidR="00555893">
        <w:rPr>
          <w:rFonts w:ascii="仿宋_GB2312" w:hint="eastAsia"/>
          <w:szCs w:val="32"/>
        </w:rPr>
        <w:fldChar w:fldCharType="begin" w:fldLock="1"/>
      </w:r>
      <w:r>
        <w:rPr>
          <w:rFonts w:ascii="仿宋_GB2312" w:hint="eastAsia"/>
          <w:szCs w:val="32"/>
        </w:rPr>
        <w:instrText xml:space="preserve"> fillin"输入发文性质"</w:instrText>
      </w:r>
      <w:r w:rsidR="00555893">
        <w:rPr>
          <w:rFonts w:ascii="仿宋_GB2312" w:hint="eastAsia"/>
          <w:szCs w:val="32"/>
        </w:rPr>
        <w:fldChar w:fldCharType="end"/>
      </w:r>
      <w:r>
        <w:rPr>
          <w:rFonts w:ascii="仿宋_GB2312" w:hint="eastAsia"/>
          <w:szCs w:val="32"/>
        </w:rPr>
        <w:t>〔2015〕104</w:t>
      </w:r>
      <w:r w:rsidR="00555893">
        <w:rPr>
          <w:rFonts w:ascii="仿宋_GB2312" w:hint="eastAsia"/>
          <w:szCs w:val="32"/>
        </w:rPr>
        <w:fldChar w:fldCharType="begin" w:fldLock="1"/>
      </w:r>
      <w:r>
        <w:rPr>
          <w:rFonts w:ascii="仿宋_GB2312" w:hint="eastAsia"/>
          <w:szCs w:val="32"/>
        </w:rPr>
        <w:instrText xml:space="preserve"> fillin"输入文件号"</w:instrText>
      </w:r>
      <w:r w:rsidR="00555893">
        <w:rPr>
          <w:rFonts w:ascii="仿宋_GB2312" w:hint="eastAsia"/>
          <w:szCs w:val="32"/>
        </w:rPr>
        <w:fldChar w:fldCharType="end"/>
      </w:r>
      <w:r>
        <w:rPr>
          <w:rFonts w:ascii="仿宋_GB2312" w:hint="eastAsia"/>
          <w:szCs w:val="32"/>
        </w:rPr>
        <w:t>号）、《昆明市东川区人民政府办公室关于印发全面推进预算绩效管理改革实施方案的通知》（东政办发〔2016〕169号）、《东川区预算绩效管理工作考核办法（试行）》（东政办发〔2017〕24号）、《东川区部门预算绩效目标管理办法》（东政发〔2017〕110号）《东川区预算</w:t>
      </w:r>
      <w:r>
        <w:rPr>
          <w:rFonts w:ascii="仿宋_GB2312" w:hint="eastAsia"/>
          <w:szCs w:val="32"/>
        </w:rPr>
        <w:lastRenderedPageBreak/>
        <w:t>绩效管理结果应用暂行办法》（东政发〔2017〕111号）、《昆明市本级部门预算绩效自评管理暂行办法》（</w:t>
      </w:r>
      <w:bookmarkStart w:id="0" w:name="文号"/>
      <w:r>
        <w:rPr>
          <w:rFonts w:ascii="仿宋_GB2312" w:hint="eastAsia"/>
          <w:szCs w:val="32"/>
        </w:rPr>
        <w:t>昆财绩〔2018〕60号</w:t>
      </w:r>
      <w:bookmarkEnd w:id="0"/>
      <w:r>
        <w:rPr>
          <w:rFonts w:ascii="仿宋_GB2312" w:hint="eastAsia"/>
          <w:szCs w:val="32"/>
        </w:rPr>
        <w:t>），部门（单位）2018年度部门预算绩效目标批复（含预算调整追加）文件，部门（单位）三定方案、年度工作任务目标及中长期规划，专项资金项目及资金管理办法，部门（单位）财务会计制度，中央、省、市、区相关政策规定等。</w:t>
      </w:r>
    </w:p>
    <w:p w:rsidR="00527666" w:rsidRDefault="00AD067A">
      <w:pPr>
        <w:spacing w:line="560" w:lineRule="exact"/>
        <w:rPr>
          <w:szCs w:val="32"/>
        </w:rPr>
      </w:pPr>
      <w:r>
        <w:rPr>
          <w:szCs w:val="32"/>
        </w:rPr>
        <w:t xml:space="preserve">    4.</w:t>
      </w:r>
      <w:r>
        <w:rPr>
          <w:szCs w:val="32"/>
        </w:rPr>
        <w:t>评价的方法</w:t>
      </w:r>
    </w:p>
    <w:p w:rsidR="00527666" w:rsidRDefault="00AD067A">
      <w:pPr>
        <w:spacing w:line="560" w:lineRule="exact"/>
        <w:rPr>
          <w:szCs w:val="32"/>
        </w:rPr>
      </w:pPr>
      <w:r>
        <w:rPr>
          <w:szCs w:val="32"/>
        </w:rPr>
        <w:t xml:space="preserve">    </w:t>
      </w:r>
      <w:r>
        <w:rPr>
          <w:szCs w:val="32"/>
        </w:rPr>
        <w:t>主要依据《昆明市东川区人民政府关于印发昆明市东川区预算绩效管理暂行办法》（东政发〔</w:t>
      </w:r>
      <w:r>
        <w:rPr>
          <w:szCs w:val="32"/>
        </w:rPr>
        <w:t>2015</w:t>
      </w:r>
      <w:r>
        <w:rPr>
          <w:szCs w:val="32"/>
        </w:rPr>
        <w:t>〕</w:t>
      </w:r>
      <w:r>
        <w:rPr>
          <w:szCs w:val="32"/>
        </w:rPr>
        <w:t>104</w:t>
      </w:r>
      <w:r>
        <w:rPr>
          <w:szCs w:val="32"/>
        </w:rPr>
        <w:t>号）、《昆明市东川区人民政府办公室关于印发东川区预算绩效管理工作考核办法（试行）》（东政办发〔</w:t>
      </w:r>
      <w:r>
        <w:rPr>
          <w:szCs w:val="32"/>
        </w:rPr>
        <w:t>2017</w:t>
      </w:r>
      <w:r>
        <w:rPr>
          <w:szCs w:val="32"/>
        </w:rPr>
        <w:t>〕</w:t>
      </w:r>
      <w:r>
        <w:rPr>
          <w:szCs w:val="32"/>
        </w:rPr>
        <w:t>24</w:t>
      </w:r>
      <w:r>
        <w:rPr>
          <w:szCs w:val="32"/>
        </w:rPr>
        <w:t>号），确定的绩效评价方法。在实施过程中，根据项目财政支出的具体情况，主要采用成本效益分析法、比较法、因素分析法和公众评判法等，了解本项目在资金使用管理、项目实施管理、项目产出以及产生的社会效益等情况，评价本项目绩效得分。</w:t>
      </w:r>
    </w:p>
    <w:p w:rsidR="00527666" w:rsidRDefault="00AD067A">
      <w:pPr>
        <w:topLinePunct/>
        <w:spacing w:line="540" w:lineRule="exact"/>
        <w:ind w:firstLineChars="250" w:firstLine="800"/>
        <w:rPr>
          <w:rFonts w:ascii="楷体" w:eastAsia="楷体" w:hAnsi="楷体"/>
          <w:szCs w:val="32"/>
        </w:rPr>
      </w:pPr>
      <w:r>
        <w:rPr>
          <w:rFonts w:ascii="楷体" w:eastAsia="楷体" w:hAnsi="楷体" w:hint="eastAsia"/>
          <w:szCs w:val="32"/>
        </w:rPr>
        <w:t>（三）绩效评价实施过程</w:t>
      </w:r>
    </w:p>
    <w:p w:rsidR="00527666" w:rsidRDefault="00AD067A">
      <w:pPr>
        <w:topLinePunct/>
        <w:spacing w:line="540" w:lineRule="exact"/>
        <w:ind w:firstLineChars="250" w:firstLine="800"/>
        <w:rPr>
          <w:rFonts w:ascii="仿宋_GB2312" w:hAnsi="楷体"/>
          <w:szCs w:val="32"/>
        </w:rPr>
      </w:pPr>
      <w:r>
        <w:rPr>
          <w:rFonts w:ascii="仿宋_GB2312" w:hAnsi="黑体" w:cs="楷体_GB2312" w:hint="eastAsia"/>
          <w:kern w:val="0"/>
          <w:szCs w:val="32"/>
        </w:rPr>
        <w:t>机构托养服务通过:</w:t>
      </w:r>
      <w:r>
        <w:rPr>
          <w:rFonts w:ascii="仿宋_GB2312" w:hAnsi="仿宋" w:cs="楷体_GB2312" w:hint="eastAsia"/>
          <w:szCs w:val="32"/>
        </w:rPr>
        <w:t>①初审；②专家组评审；③公示；④签订正式协议；⑤项目实施；⑥中期检查、评估；⑦结题验收的</w:t>
      </w:r>
      <w:r>
        <w:rPr>
          <w:rFonts w:ascii="仿宋_GB2312" w:hAnsi="黑体" w:cs="楷体_GB2312" w:hint="eastAsia"/>
          <w:kern w:val="0"/>
          <w:szCs w:val="32"/>
        </w:rPr>
        <w:t>工作流程进行</w:t>
      </w:r>
      <w:r>
        <w:rPr>
          <w:rFonts w:ascii="仿宋_GB2312" w:hAnsi="楷体" w:hint="eastAsia"/>
          <w:szCs w:val="32"/>
        </w:rPr>
        <w:t>数据填报和采集、社会调查及数据分析和撰写报告。</w:t>
      </w:r>
    </w:p>
    <w:p w:rsidR="00527666" w:rsidRDefault="00AD067A">
      <w:pPr>
        <w:spacing w:line="560" w:lineRule="exact"/>
        <w:ind w:firstLineChars="200" w:firstLine="640"/>
        <w:rPr>
          <w:kern w:val="0"/>
          <w:szCs w:val="32"/>
        </w:rPr>
      </w:pPr>
      <w:r>
        <w:rPr>
          <w:rFonts w:ascii="楷体" w:eastAsia="楷体" w:hAnsi="楷体" w:hint="eastAsia"/>
          <w:szCs w:val="32"/>
        </w:rPr>
        <w:t>（四）本次绩效评价的局限性。</w:t>
      </w:r>
      <w:r>
        <w:rPr>
          <w:szCs w:val="32"/>
        </w:rPr>
        <w:t>项目执行部门任务太重，人员少，管理难度大。</w:t>
      </w:r>
      <w:r>
        <w:rPr>
          <w:kern w:val="0"/>
          <w:szCs w:val="32"/>
        </w:rPr>
        <w:t>“</w:t>
      </w:r>
      <w:r>
        <w:rPr>
          <w:kern w:val="0"/>
          <w:szCs w:val="32"/>
        </w:rPr>
        <w:t>阳光家园计划</w:t>
      </w:r>
      <w:r>
        <w:rPr>
          <w:kern w:val="0"/>
          <w:szCs w:val="32"/>
        </w:rPr>
        <w:t>”</w:t>
      </w:r>
      <w:r>
        <w:rPr>
          <w:kern w:val="0"/>
          <w:szCs w:val="32"/>
        </w:rPr>
        <w:t>项目指标较少，无法满</w:t>
      </w:r>
      <w:r>
        <w:rPr>
          <w:kern w:val="0"/>
          <w:szCs w:val="32"/>
        </w:rPr>
        <w:lastRenderedPageBreak/>
        <w:t>足日益增长的残疾人托养服务补助的需求。</w:t>
      </w:r>
    </w:p>
    <w:p w:rsidR="00527666" w:rsidRDefault="00AD067A">
      <w:pPr>
        <w:topLinePunct/>
        <w:spacing w:line="540" w:lineRule="exact"/>
        <w:ind w:firstLineChars="250" w:firstLine="800"/>
        <w:rPr>
          <w:rFonts w:ascii="黑体" w:eastAsia="黑体" w:hAnsi="黑体"/>
          <w:szCs w:val="32"/>
        </w:rPr>
      </w:pPr>
      <w:r>
        <w:rPr>
          <w:rFonts w:ascii="黑体" w:eastAsia="黑体" w:hAnsi="黑体" w:hint="eastAsia"/>
          <w:szCs w:val="32"/>
        </w:rPr>
        <w:t>三、评价结论和绩效分析</w:t>
      </w:r>
    </w:p>
    <w:p w:rsidR="00527666" w:rsidRDefault="00AD067A">
      <w:pPr>
        <w:topLinePunct/>
        <w:spacing w:line="540" w:lineRule="exact"/>
        <w:ind w:firstLineChars="250" w:firstLine="800"/>
        <w:rPr>
          <w:rFonts w:ascii="楷体" w:eastAsia="楷体" w:hAnsi="楷体"/>
          <w:szCs w:val="32"/>
        </w:rPr>
      </w:pPr>
      <w:r>
        <w:rPr>
          <w:rFonts w:ascii="楷体" w:eastAsia="楷体" w:hAnsi="楷体" w:hint="eastAsia"/>
          <w:szCs w:val="32"/>
        </w:rPr>
        <w:t>（一）评价结论。</w:t>
      </w:r>
    </w:p>
    <w:p w:rsidR="00527666" w:rsidRDefault="00AD067A">
      <w:pPr>
        <w:topLinePunct/>
        <w:spacing w:line="540" w:lineRule="exact"/>
        <w:ind w:firstLineChars="250" w:firstLine="800"/>
        <w:rPr>
          <w:rFonts w:ascii="仿宋_GB2312" w:hAnsi="仿宋" w:cs="楷体_GB2312"/>
          <w:kern w:val="0"/>
          <w:szCs w:val="32"/>
        </w:rPr>
      </w:pPr>
      <w:r>
        <w:rPr>
          <w:rFonts w:ascii="仿宋" w:eastAsia="仿宋" w:hAnsi="仿宋" w:hint="eastAsia"/>
          <w:szCs w:val="32"/>
        </w:rPr>
        <w:t>1.评价结果。</w:t>
      </w:r>
      <w:r>
        <w:rPr>
          <w:rFonts w:ascii="仿宋_GB2312" w:hAnsi="仿宋" w:cs="楷体_GB2312" w:hint="eastAsia"/>
          <w:kern w:val="0"/>
          <w:szCs w:val="32"/>
        </w:rPr>
        <w:t>市、县两级残疾人联合会为托养项目购买服务的主体及项目的管理机构。县级残联承担本辖区内符合条件托养对象的认定工作，对托养机构的服务及托养服务协议的履行情况进行日常的管理和监督，并积极配合第三方机构对托养项目的检查、评估及结题验收工作。</w:t>
      </w:r>
    </w:p>
    <w:p w:rsidR="00527666" w:rsidRDefault="00AD067A">
      <w:pPr>
        <w:pStyle w:val="11"/>
        <w:spacing w:line="560" w:lineRule="exact"/>
        <w:ind w:firstLine="640"/>
        <w:rPr>
          <w:rFonts w:ascii="仿宋_GB2312" w:eastAsia="仿宋_GB2312" w:hAnsi="仿宋" w:cs="楷体_GB2312"/>
          <w:color w:val="000000" w:themeColor="text1"/>
          <w:sz w:val="32"/>
          <w:szCs w:val="32"/>
        </w:rPr>
      </w:pPr>
      <w:r>
        <w:rPr>
          <w:rFonts w:ascii="仿宋_GB2312" w:eastAsia="仿宋_GB2312" w:hAnsi="仿宋" w:cs="楷体_GB2312" w:hint="eastAsia"/>
          <w:color w:val="000000" w:themeColor="text1"/>
          <w:kern w:val="0"/>
          <w:sz w:val="32"/>
          <w:szCs w:val="32"/>
        </w:rPr>
        <w:t>为符合条件的托养对象提供基本生活照料和护理、生活自理能力训练、劳动技能训练和运动功能训练等方面社会服务，如：</w:t>
      </w:r>
      <w:r>
        <w:rPr>
          <w:rFonts w:ascii="仿宋_GB2312" w:eastAsia="仿宋_GB2312" w:hAnsi="仿宋" w:cs="楷体_GB2312" w:hint="eastAsia"/>
          <w:color w:val="000000" w:themeColor="text1"/>
          <w:sz w:val="32"/>
          <w:szCs w:val="32"/>
        </w:rPr>
        <w:t>生活照料、康复护理、康体训练、精神慰藉、文化娱乐等。</w:t>
      </w:r>
    </w:p>
    <w:p w:rsidR="00527666" w:rsidRDefault="00AD067A">
      <w:pPr>
        <w:snapToGrid w:val="0"/>
        <w:spacing w:line="560" w:lineRule="exact"/>
        <w:ind w:firstLineChars="200" w:firstLine="664"/>
        <w:rPr>
          <w:color w:val="000000" w:themeColor="text1"/>
          <w:spacing w:val="6"/>
          <w:szCs w:val="32"/>
        </w:rPr>
      </w:pPr>
      <w:r>
        <w:rPr>
          <w:color w:val="000000" w:themeColor="text1"/>
          <w:spacing w:val="6"/>
          <w:szCs w:val="32"/>
        </w:rPr>
        <w:t>总评价得分</w:t>
      </w:r>
      <w:r>
        <w:rPr>
          <w:rFonts w:hint="eastAsia"/>
          <w:color w:val="000000" w:themeColor="text1"/>
          <w:spacing w:val="6"/>
          <w:szCs w:val="32"/>
        </w:rPr>
        <w:t>295</w:t>
      </w:r>
      <w:r>
        <w:rPr>
          <w:color w:val="000000" w:themeColor="text1"/>
          <w:spacing w:val="6"/>
          <w:szCs w:val="32"/>
        </w:rPr>
        <w:t>分，</w:t>
      </w:r>
      <w:r>
        <w:rPr>
          <w:rFonts w:hint="eastAsia"/>
          <w:color w:val="000000" w:themeColor="text1"/>
          <w:spacing w:val="6"/>
          <w:szCs w:val="32"/>
        </w:rPr>
        <w:t>平均分为</w:t>
      </w:r>
      <w:r>
        <w:rPr>
          <w:rFonts w:hint="eastAsia"/>
          <w:color w:val="000000" w:themeColor="text1"/>
          <w:spacing w:val="6"/>
          <w:szCs w:val="32"/>
        </w:rPr>
        <w:t>9.83</w:t>
      </w:r>
      <w:r>
        <w:rPr>
          <w:rFonts w:hint="eastAsia"/>
          <w:color w:val="000000" w:themeColor="text1"/>
          <w:spacing w:val="6"/>
          <w:szCs w:val="32"/>
        </w:rPr>
        <w:t>分。</w:t>
      </w:r>
      <w:r>
        <w:rPr>
          <w:color w:val="000000" w:themeColor="text1"/>
          <w:spacing w:val="6"/>
          <w:szCs w:val="32"/>
        </w:rPr>
        <w:t>评价等级为</w:t>
      </w:r>
      <w:r>
        <w:rPr>
          <w:rFonts w:hint="eastAsia"/>
          <w:color w:val="000000" w:themeColor="text1"/>
          <w:spacing w:val="6"/>
          <w:szCs w:val="32"/>
        </w:rPr>
        <w:t>优</w:t>
      </w:r>
      <w:r>
        <w:rPr>
          <w:color w:val="000000" w:themeColor="text1"/>
          <w:spacing w:val="6"/>
          <w:szCs w:val="32"/>
        </w:rPr>
        <w:t xml:space="preserve"> </w:t>
      </w:r>
      <w:r>
        <w:rPr>
          <w:color w:val="000000" w:themeColor="text1"/>
          <w:spacing w:val="6"/>
          <w:szCs w:val="32"/>
        </w:rPr>
        <w:t>。</w:t>
      </w:r>
    </w:p>
    <w:p w:rsidR="00527666" w:rsidRDefault="00AD067A">
      <w:pPr>
        <w:topLinePunct/>
        <w:spacing w:line="540" w:lineRule="exact"/>
        <w:ind w:firstLineChars="250" w:firstLine="800"/>
        <w:rPr>
          <w:rFonts w:ascii="仿宋_GB2312" w:hAnsi="仿宋"/>
          <w:szCs w:val="32"/>
        </w:rPr>
      </w:pPr>
      <w:r>
        <w:rPr>
          <w:rFonts w:ascii="仿宋_GB2312" w:hAnsi="仿宋" w:hint="eastAsia"/>
          <w:szCs w:val="32"/>
        </w:rPr>
        <w:t>2.主要绩效。</w:t>
      </w:r>
      <w:r>
        <w:rPr>
          <w:rFonts w:ascii="仿宋_GB2312" w:hAnsi="宋体" w:hint="eastAsia"/>
          <w:kern w:val="0"/>
          <w:szCs w:val="32"/>
        </w:rPr>
        <w:t>“阳光家园计划”是为智力、精神和重度肢体残疾人提供专门服务的特色项目，</w:t>
      </w:r>
      <w:r>
        <w:rPr>
          <w:rFonts w:ascii="仿宋_GB2312" w:hAnsi="宋体" w:hint="eastAsia"/>
          <w:szCs w:val="32"/>
        </w:rPr>
        <w:t>立足长远，推动建立残疾人托养服务补贴制度。</w:t>
      </w:r>
    </w:p>
    <w:p w:rsidR="00527666" w:rsidRDefault="00AD067A">
      <w:pPr>
        <w:topLinePunct/>
        <w:spacing w:line="540" w:lineRule="exact"/>
        <w:ind w:firstLineChars="250" w:firstLine="800"/>
        <w:rPr>
          <w:rFonts w:ascii="仿宋_GB2312" w:hAnsi="楷体"/>
          <w:color w:val="000000" w:themeColor="text1"/>
          <w:szCs w:val="32"/>
        </w:rPr>
      </w:pPr>
      <w:r>
        <w:rPr>
          <w:rFonts w:ascii="楷体" w:eastAsia="楷体" w:hAnsi="楷体" w:hint="eastAsia"/>
          <w:szCs w:val="32"/>
        </w:rPr>
        <w:t>（二）具体绩效分析。</w:t>
      </w:r>
      <w:r>
        <w:rPr>
          <w:rFonts w:ascii="仿宋_GB2312" w:hint="eastAsia"/>
          <w:color w:val="000000"/>
          <w:szCs w:val="32"/>
        </w:rPr>
        <w:t>残疾</w:t>
      </w:r>
      <w:r>
        <w:rPr>
          <w:rFonts w:ascii="仿宋_GB2312" w:hint="eastAsia"/>
          <w:szCs w:val="32"/>
        </w:rPr>
        <w:t>人托养服务项目</w:t>
      </w:r>
      <w:r>
        <w:rPr>
          <w:rFonts w:ascii="仿宋_GB2312" w:hint="eastAsia"/>
          <w:color w:val="000000" w:themeColor="text1"/>
          <w:szCs w:val="32"/>
        </w:rPr>
        <w:t>100人，经费为15万元，补助标准为1500元/人/年。</w:t>
      </w:r>
    </w:p>
    <w:p w:rsidR="00527666" w:rsidRDefault="00AD067A">
      <w:pPr>
        <w:topLinePunct/>
        <w:spacing w:line="540" w:lineRule="exact"/>
        <w:ind w:firstLineChars="250" w:firstLine="800"/>
        <w:rPr>
          <w:rFonts w:ascii="仿宋_GB2312" w:hAnsi="楷体"/>
          <w:szCs w:val="32"/>
        </w:rPr>
      </w:pPr>
      <w:r>
        <w:rPr>
          <w:rFonts w:ascii="仿宋_GB2312" w:hAnsi="楷体" w:hint="eastAsia"/>
          <w:szCs w:val="32"/>
        </w:rPr>
        <w:t>社会效益指标：改善托养服务条件，提高托养服务能力水平，使智力、精神和重度肢体残疾人得到更好的托养服务，帮助其增强生活信心，提升生活参与能力，提高生活质量。</w:t>
      </w:r>
    </w:p>
    <w:p w:rsidR="00527666" w:rsidRDefault="00AD067A">
      <w:pPr>
        <w:topLinePunct/>
        <w:spacing w:line="540" w:lineRule="exact"/>
        <w:ind w:firstLineChars="250" w:firstLine="800"/>
        <w:rPr>
          <w:rFonts w:ascii="仿宋_GB2312" w:hAnsi="楷体"/>
          <w:szCs w:val="32"/>
        </w:rPr>
      </w:pPr>
      <w:r>
        <w:rPr>
          <w:rFonts w:ascii="仿宋_GB2312" w:hAnsi="楷体" w:hint="eastAsia"/>
          <w:szCs w:val="32"/>
        </w:rPr>
        <w:t>可持续影响指标：宣传党和政府的真切关怀、残疾人及其亲属的真情实感、社会各界的真诚援助、托养服务机构和服务人员的真诚奉献，努力营造全社会关心、支持残疾人托养服务</w:t>
      </w:r>
      <w:r>
        <w:rPr>
          <w:rFonts w:ascii="仿宋_GB2312" w:hAnsi="楷体" w:hint="eastAsia"/>
          <w:szCs w:val="32"/>
        </w:rPr>
        <w:lastRenderedPageBreak/>
        <w:t>事业发展的良好氛围。</w:t>
      </w:r>
    </w:p>
    <w:p w:rsidR="00527666" w:rsidRDefault="00AD067A">
      <w:pPr>
        <w:snapToGrid w:val="0"/>
        <w:spacing w:line="560" w:lineRule="exact"/>
        <w:ind w:firstLineChars="200" w:firstLine="640"/>
        <w:rPr>
          <w:rFonts w:ascii="仿宋_GB2312"/>
          <w:spacing w:val="6"/>
          <w:szCs w:val="32"/>
        </w:rPr>
      </w:pPr>
      <w:r>
        <w:rPr>
          <w:rFonts w:ascii="仿宋_GB2312" w:hAnsi="楷体" w:hint="eastAsia"/>
          <w:szCs w:val="32"/>
        </w:rPr>
        <w:t>残疾人“阳光家园计划”完成了预期的产出指标和效益指标，</w:t>
      </w:r>
      <w:r>
        <w:rPr>
          <w:rFonts w:ascii="仿宋_GB2312" w:hAnsi="楷体" w:hint="eastAsia"/>
          <w:color w:val="000000" w:themeColor="text1"/>
          <w:szCs w:val="32"/>
        </w:rPr>
        <w:t>托养服务残疾人增加人民群众幸福感满意度达到98.7%，</w:t>
      </w:r>
      <w:r>
        <w:rPr>
          <w:rFonts w:ascii="仿宋_GB2312" w:hint="eastAsia"/>
          <w:color w:val="000000" w:themeColor="text1"/>
          <w:spacing w:val="6"/>
          <w:szCs w:val="32"/>
        </w:rPr>
        <w:t>总评价得分296分，平均分为9.87分</w:t>
      </w:r>
      <w:r>
        <w:rPr>
          <w:rFonts w:ascii="仿宋_GB2312" w:hint="eastAsia"/>
          <w:spacing w:val="6"/>
          <w:szCs w:val="32"/>
        </w:rPr>
        <w:t>评价等级为优 。</w:t>
      </w:r>
    </w:p>
    <w:p w:rsidR="00527666" w:rsidRDefault="00AD067A">
      <w:pPr>
        <w:widowControl/>
        <w:spacing w:line="540" w:lineRule="exact"/>
        <w:ind w:firstLineChars="200" w:firstLine="640"/>
        <w:rPr>
          <w:rFonts w:ascii="黑体" w:eastAsia="黑体" w:hAnsi="黑体"/>
          <w:szCs w:val="32"/>
        </w:rPr>
      </w:pPr>
      <w:r>
        <w:rPr>
          <w:rFonts w:ascii="黑体" w:eastAsia="黑体" w:hAnsi="黑体" w:hint="eastAsia"/>
          <w:szCs w:val="32"/>
        </w:rPr>
        <w:t>四、成本效益分析</w:t>
      </w:r>
    </w:p>
    <w:p w:rsidR="00527666" w:rsidRDefault="00AD067A">
      <w:pPr>
        <w:widowControl/>
        <w:spacing w:line="540" w:lineRule="exact"/>
        <w:ind w:firstLineChars="200" w:firstLine="640"/>
        <w:rPr>
          <w:rFonts w:ascii="仿宋_GB2312" w:hAnsi="宋体"/>
          <w:szCs w:val="32"/>
        </w:rPr>
      </w:pPr>
      <w:r>
        <w:rPr>
          <w:rFonts w:ascii="仿宋_GB2312" w:hAnsi="宋体" w:hint="eastAsia"/>
          <w:szCs w:val="32"/>
        </w:rPr>
        <w:t>以组织实施“阳光家园计划”项目为契机，争取社会各界广泛支持，大力推进本地残疾人托养服务体系建设，引导和鼓励社会组织参与托养服务工作，建设一批有一定规模的托养服务骨干示范机构，培育一支业务强、素质高的残疾人托养服务队伍。着力推进残疾人托养服务标准和行业标准的制定、执行。民政部门要对符合条件的受助对象按规定落实医疗救助和临时救助政策。卫生计生部门要在智力、精神和重度肢体残疾人普查和医疗救治过程中给予相关优惠照顾。</w:t>
      </w:r>
    </w:p>
    <w:p w:rsidR="00527666" w:rsidRDefault="00AD067A">
      <w:pPr>
        <w:topLinePunct/>
        <w:spacing w:line="540" w:lineRule="exact"/>
        <w:ind w:firstLineChars="250" w:firstLine="800"/>
        <w:rPr>
          <w:rFonts w:ascii="黑体" w:eastAsia="黑体" w:hAnsi="黑体"/>
          <w:szCs w:val="32"/>
        </w:rPr>
      </w:pPr>
      <w:r>
        <w:rPr>
          <w:rFonts w:ascii="黑体" w:eastAsia="黑体" w:hAnsi="黑体" w:hint="eastAsia"/>
          <w:szCs w:val="32"/>
        </w:rPr>
        <w:t>五、主要经验及做法、存在的问题和建议</w:t>
      </w:r>
    </w:p>
    <w:p w:rsidR="00527666" w:rsidRDefault="00AD067A">
      <w:pPr>
        <w:topLinePunct/>
        <w:spacing w:line="540" w:lineRule="exact"/>
        <w:ind w:firstLineChars="250" w:firstLine="800"/>
        <w:rPr>
          <w:rFonts w:ascii="仿宋_GB2312" w:hAnsi="楷体"/>
          <w:szCs w:val="32"/>
        </w:rPr>
      </w:pPr>
      <w:r>
        <w:rPr>
          <w:rFonts w:ascii="仿宋_GB2312" w:hAnsi="楷体" w:hint="eastAsia"/>
          <w:szCs w:val="32"/>
        </w:rPr>
        <w:t>（一）存在的问题：东川区的托养机构少；区级没有配套经费导至托养服务时有限；东川的重度残疾人较多，市残联下达的任务指标少， 不能满足残疾人的需求。</w:t>
      </w:r>
    </w:p>
    <w:p w:rsidR="00527666" w:rsidRDefault="00AD067A">
      <w:pPr>
        <w:topLinePunct/>
        <w:spacing w:line="540" w:lineRule="exact"/>
        <w:ind w:firstLineChars="250" w:firstLine="800"/>
        <w:rPr>
          <w:rFonts w:ascii="仿宋_GB2312" w:hAnsi="楷体"/>
          <w:szCs w:val="32"/>
        </w:rPr>
      </w:pPr>
      <w:r>
        <w:rPr>
          <w:rFonts w:ascii="仿宋_GB2312" w:hAnsi="楷体" w:hint="eastAsia"/>
          <w:szCs w:val="32"/>
        </w:rPr>
        <w:t>（二）建议和改进措施：</w:t>
      </w:r>
    </w:p>
    <w:p w:rsidR="00527666" w:rsidRDefault="00AD067A">
      <w:pPr>
        <w:topLinePunct/>
        <w:spacing w:line="540" w:lineRule="exact"/>
        <w:ind w:firstLineChars="250" w:firstLine="800"/>
        <w:rPr>
          <w:rFonts w:ascii="仿宋_GB2312" w:hAnsi="楷体"/>
          <w:color w:val="000000" w:themeColor="text1"/>
          <w:szCs w:val="32"/>
        </w:rPr>
      </w:pPr>
      <w:r>
        <w:rPr>
          <w:rFonts w:ascii="仿宋_GB2312" w:hAnsi="楷体" w:hint="eastAsia"/>
          <w:color w:val="000000" w:themeColor="text1"/>
          <w:szCs w:val="32"/>
        </w:rPr>
        <w:t>1、加大全区残疾人托养项目调查宣传力度，特别是重度残疾人的调查宣传，鼓励重度残疾人参加托养服务，通过政府购买服务的方式，充分整合托养机构资源，为残疾人提供多元化托养服务，建议符合申报条件的机构多了解托养项目的优点，积极申报。</w:t>
      </w:r>
    </w:p>
    <w:p w:rsidR="00527666" w:rsidRDefault="00AD067A">
      <w:pPr>
        <w:topLinePunct/>
        <w:spacing w:line="540" w:lineRule="exact"/>
        <w:ind w:firstLineChars="250" w:firstLine="800"/>
        <w:rPr>
          <w:rFonts w:ascii="仿宋_GB2312" w:hAnsi="楷体"/>
          <w:szCs w:val="32"/>
        </w:rPr>
      </w:pPr>
      <w:r>
        <w:rPr>
          <w:rFonts w:ascii="仿宋_GB2312" w:hAnsi="楷体" w:hint="eastAsia"/>
          <w:szCs w:val="32"/>
        </w:rPr>
        <w:lastRenderedPageBreak/>
        <w:t>2、区级增加配套经费，使残疾人得到更多的托养照顾。减轻残疾人家庭的经济、精神负担，保障托养工作顺利实施。</w:t>
      </w:r>
    </w:p>
    <w:p w:rsidR="00527666" w:rsidRDefault="00527666">
      <w:pPr>
        <w:spacing w:line="540" w:lineRule="exact"/>
        <w:jc w:val="center"/>
        <w:rPr>
          <w:rFonts w:ascii="仿宋_GB2312"/>
        </w:rPr>
      </w:pPr>
    </w:p>
    <w:p w:rsidR="00527666" w:rsidRDefault="00527666">
      <w:pPr>
        <w:spacing w:line="540" w:lineRule="exact"/>
        <w:jc w:val="center"/>
        <w:rPr>
          <w:rFonts w:ascii="方正小标宋_GBK" w:eastAsia="方正小标宋_GBK"/>
        </w:rPr>
      </w:pPr>
    </w:p>
    <w:p w:rsidR="00527666" w:rsidRDefault="00527666">
      <w:pPr>
        <w:spacing w:line="540" w:lineRule="exact"/>
        <w:rPr>
          <w:rFonts w:ascii="方正小标宋_GBK" w:eastAsia="方正小标宋_GBK"/>
        </w:rPr>
      </w:pPr>
      <w:bookmarkStart w:id="1" w:name="_GoBack"/>
      <w:bookmarkEnd w:id="1"/>
    </w:p>
    <w:sectPr w:rsidR="00527666" w:rsidSect="00527666">
      <w:footerReference w:type="default" r:id="rId7"/>
      <w:pgSz w:w="11906" w:h="16838"/>
      <w:pgMar w:top="2098" w:right="1531" w:bottom="2098" w:left="1531" w:header="851" w:footer="992" w:gutter="0"/>
      <w:pgNumType w:fmt="numberInDash" w:start="1"/>
      <w:cols w:space="720"/>
      <w:docGrid w:type="linesAndChars" w:linePitch="30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5684" w:rsidRDefault="00DB5684" w:rsidP="00527666">
      <w:r>
        <w:separator/>
      </w:r>
    </w:p>
  </w:endnote>
  <w:endnote w:type="continuationSeparator" w:id="1">
    <w:p w:rsidR="00DB5684" w:rsidRDefault="00DB5684" w:rsidP="0052766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auto"/>
    <w:pitch w:val="default"/>
    <w:sig w:usb0="00000000"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_GB2312">
    <w:charset w:val="86"/>
    <w:family w:val="modern"/>
    <w:pitch w:val="default"/>
    <w:sig w:usb0="00000001" w:usb1="080E0000" w:usb2="00000000" w:usb3="00000000" w:csb0="00040000" w:csb1="00000000"/>
  </w:font>
  <w:font w:name="方正小标宋_GBK">
    <w:altName w:val="微软雅黑"/>
    <w:charset w:val="86"/>
    <w:family w:val="script"/>
    <w:pitch w:val="default"/>
    <w:sig w:usb0="00000000" w:usb1="0000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7666" w:rsidRDefault="00555893">
    <w:pPr>
      <w:pStyle w:val="a4"/>
    </w:pPr>
    <w:r>
      <w:pict>
        <v:shapetype id="_x0000_t202" coordsize="21600,21600" o:spt="202" path="m,l,21600r21600,l21600,xe">
          <v:stroke joinstyle="miter"/>
          <v:path gradientshapeok="t" o:connecttype="rect"/>
        </v:shapetype>
        <v:shape id="_x0000_s4097" type="#_x0000_t202" style="position:absolute;margin-left:208pt;margin-top:0;width:2in;height:2in;z-index:251658240;mso-wrap-style:none;mso-position-horizontal:outside;mso-position-horizontal-relative:margin" filled="f" stroked="f">
          <v:textbox style="mso-fit-shape-to-text:t" inset="0,0,0,0">
            <w:txbxContent>
              <w:p w:rsidR="00527666" w:rsidRDefault="00555893">
                <w:pPr>
                  <w:pStyle w:val="a4"/>
                  <w:rPr>
                    <w:rFonts w:asciiTheme="minorEastAsia" w:eastAsiaTheme="minorEastAsia" w:hAnsiTheme="minorEastAsia" w:cstheme="minorEastAsia"/>
                    <w:sz w:val="28"/>
                    <w:szCs w:val="28"/>
                  </w:rPr>
                </w:pPr>
                <w:r>
                  <w:rPr>
                    <w:rFonts w:asciiTheme="minorEastAsia" w:eastAsiaTheme="minorEastAsia" w:hAnsiTheme="minorEastAsia" w:cstheme="minorEastAsia" w:hint="eastAsia"/>
                    <w:sz w:val="28"/>
                    <w:szCs w:val="28"/>
                  </w:rPr>
                  <w:fldChar w:fldCharType="begin"/>
                </w:r>
                <w:r w:rsidR="00AD067A">
                  <w:rPr>
                    <w:rFonts w:asciiTheme="minorEastAsia" w:eastAsiaTheme="minorEastAsia" w:hAnsiTheme="minorEastAsia" w:cstheme="minorEastAsia" w:hint="eastAsia"/>
                    <w:sz w:val="28"/>
                    <w:szCs w:val="28"/>
                  </w:rPr>
                  <w:instrText xml:space="preserve"> PAGE  \* MERGEFORMAT </w:instrText>
                </w:r>
                <w:r>
                  <w:rPr>
                    <w:rFonts w:asciiTheme="minorEastAsia" w:eastAsiaTheme="minorEastAsia" w:hAnsiTheme="minorEastAsia" w:cstheme="minorEastAsia" w:hint="eastAsia"/>
                    <w:sz w:val="28"/>
                    <w:szCs w:val="28"/>
                  </w:rPr>
                  <w:fldChar w:fldCharType="separate"/>
                </w:r>
                <w:r w:rsidR="005E6637">
                  <w:rPr>
                    <w:rFonts w:asciiTheme="minorEastAsia" w:eastAsiaTheme="minorEastAsia" w:hAnsiTheme="minorEastAsia" w:cstheme="minorEastAsia"/>
                    <w:noProof/>
                    <w:sz w:val="28"/>
                    <w:szCs w:val="28"/>
                  </w:rPr>
                  <w:t>- 1 -</w:t>
                </w:r>
                <w:r>
                  <w:rPr>
                    <w:rFonts w:asciiTheme="minorEastAsia" w:eastAsiaTheme="minorEastAsia" w:hAnsiTheme="minorEastAsia" w:cstheme="minorEastAsia"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5684" w:rsidRDefault="00DB5684" w:rsidP="00527666">
      <w:r>
        <w:separator/>
      </w:r>
    </w:p>
  </w:footnote>
  <w:footnote w:type="continuationSeparator" w:id="1">
    <w:p w:rsidR="00DB5684" w:rsidRDefault="00DB5684" w:rsidP="0052766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8194"/>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C8736F"/>
    <w:rsid w:val="00042083"/>
    <w:rsid w:val="00073F47"/>
    <w:rsid w:val="0007567E"/>
    <w:rsid w:val="000A3431"/>
    <w:rsid w:val="000B10CE"/>
    <w:rsid w:val="001200B9"/>
    <w:rsid w:val="001373D9"/>
    <w:rsid w:val="00187C6C"/>
    <w:rsid w:val="001B175E"/>
    <w:rsid w:val="001F5F58"/>
    <w:rsid w:val="0023690D"/>
    <w:rsid w:val="00244ABD"/>
    <w:rsid w:val="003406AC"/>
    <w:rsid w:val="003646D9"/>
    <w:rsid w:val="00365462"/>
    <w:rsid w:val="003A4955"/>
    <w:rsid w:val="003B70E0"/>
    <w:rsid w:val="00417ACF"/>
    <w:rsid w:val="00453466"/>
    <w:rsid w:val="00472570"/>
    <w:rsid w:val="0047327D"/>
    <w:rsid w:val="004B7B17"/>
    <w:rsid w:val="004C59D7"/>
    <w:rsid w:val="00510FAC"/>
    <w:rsid w:val="00527666"/>
    <w:rsid w:val="00555893"/>
    <w:rsid w:val="00567488"/>
    <w:rsid w:val="00576A07"/>
    <w:rsid w:val="005B49C9"/>
    <w:rsid w:val="005C471C"/>
    <w:rsid w:val="005E6637"/>
    <w:rsid w:val="006708BF"/>
    <w:rsid w:val="0072170F"/>
    <w:rsid w:val="00754498"/>
    <w:rsid w:val="007A05A6"/>
    <w:rsid w:val="007C4987"/>
    <w:rsid w:val="007E6D88"/>
    <w:rsid w:val="008659F1"/>
    <w:rsid w:val="00874F36"/>
    <w:rsid w:val="0088164B"/>
    <w:rsid w:val="008855E4"/>
    <w:rsid w:val="00893B48"/>
    <w:rsid w:val="00906F1F"/>
    <w:rsid w:val="009E378F"/>
    <w:rsid w:val="009E5EA7"/>
    <w:rsid w:val="00A128D2"/>
    <w:rsid w:val="00A241C1"/>
    <w:rsid w:val="00A36EFC"/>
    <w:rsid w:val="00A5515B"/>
    <w:rsid w:val="00A81975"/>
    <w:rsid w:val="00A90DCE"/>
    <w:rsid w:val="00AC1CDB"/>
    <w:rsid w:val="00AD067A"/>
    <w:rsid w:val="00B17222"/>
    <w:rsid w:val="00B22785"/>
    <w:rsid w:val="00B305EE"/>
    <w:rsid w:val="00B741D6"/>
    <w:rsid w:val="00B7759B"/>
    <w:rsid w:val="00BA50FE"/>
    <w:rsid w:val="00BC433F"/>
    <w:rsid w:val="00BF598D"/>
    <w:rsid w:val="00C35CBF"/>
    <w:rsid w:val="00C8736F"/>
    <w:rsid w:val="00CD2F5B"/>
    <w:rsid w:val="00CD38DA"/>
    <w:rsid w:val="00CD5160"/>
    <w:rsid w:val="00D414BA"/>
    <w:rsid w:val="00D7491B"/>
    <w:rsid w:val="00D76A95"/>
    <w:rsid w:val="00DB5684"/>
    <w:rsid w:val="00DB619F"/>
    <w:rsid w:val="00DD4B05"/>
    <w:rsid w:val="00DF347F"/>
    <w:rsid w:val="00E00209"/>
    <w:rsid w:val="00E3058C"/>
    <w:rsid w:val="00E70B49"/>
    <w:rsid w:val="00EA5C09"/>
    <w:rsid w:val="00F01E7F"/>
    <w:rsid w:val="00F07A38"/>
    <w:rsid w:val="00FA0F25"/>
    <w:rsid w:val="00FD7B1A"/>
    <w:rsid w:val="00FE4037"/>
    <w:rsid w:val="00FF16A3"/>
    <w:rsid w:val="03CB3E7D"/>
    <w:rsid w:val="05860A95"/>
    <w:rsid w:val="062779E1"/>
    <w:rsid w:val="08214474"/>
    <w:rsid w:val="0D193038"/>
    <w:rsid w:val="0EF220D5"/>
    <w:rsid w:val="10CB4762"/>
    <w:rsid w:val="1532259A"/>
    <w:rsid w:val="1A5755BD"/>
    <w:rsid w:val="1C066585"/>
    <w:rsid w:val="220730E9"/>
    <w:rsid w:val="23D400B3"/>
    <w:rsid w:val="247B506A"/>
    <w:rsid w:val="2C6D3736"/>
    <w:rsid w:val="2CD3487E"/>
    <w:rsid w:val="30AE5AC1"/>
    <w:rsid w:val="32731015"/>
    <w:rsid w:val="331566E6"/>
    <w:rsid w:val="34817249"/>
    <w:rsid w:val="373C6A6C"/>
    <w:rsid w:val="3CB30393"/>
    <w:rsid w:val="40D410AB"/>
    <w:rsid w:val="447514E8"/>
    <w:rsid w:val="449C4766"/>
    <w:rsid w:val="44A12C73"/>
    <w:rsid w:val="47F71305"/>
    <w:rsid w:val="49653C09"/>
    <w:rsid w:val="4B142950"/>
    <w:rsid w:val="4C8E681B"/>
    <w:rsid w:val="513A0917"/>
    <w:rsid w:val="52D35D18"/>
    <w:rsid w:val="52E44330"/>
    <w:rsid w:val="52F06BE5"/>
    <w:rsid w:val="55FF18B1"/>
    <w:rsid w:val="567D1774"/>
    <w:rsid w:val="58AD26E2"/>
    <w:rsid w:val="5A0626FA"/>
    <w:rsid w:val="5AD30B02"/>
    <w:rsid w:val="62A23F4A"/>
    <w:rsid w:val="63D33F96"/>
    <w:rsid w:val="67A6391B"/>
    <w:rsid w:val="692260E1"/>
    <w:rsid w:val="69376B8A"/>
    <w:rsid w:val="69440841"/>
    <w:rsid w:val="6B5B6BFA"/>
    <w:rsid w:val="6C93571A"/>
    <w:rsid w:val="743E27D1"/>
    <w:rsid w:val="75B04987"/>
    <w:rsid w:val="78CE6B33"/>
    <w:rsid w:val="79622AB2"/>
    <w:rsid w:val="7DC91AC0"/>
    <w:rsid w:val="7E6D0A07"/>
    <w:rsid w:val="7F9F3B2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666"/>
    <w:pPr>
      <w:widowControl w:val="0"/>
      <w:jc w:val="both"/>
    </w:pPr>
    <w:rPr>
      <w:rFonts w:eastAsia="仿宋_GB2312"/>
      <w:kern w:val="2"/>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qFormat/>
    <w:rsid w:val="00527666"/>
    <w:pPr>
      <w:spacing w:after="120"/>
    </w:pPr>
    <w:rPr>
      <w:rFonts w:eastAsia="宋体"/>
      <w:sz w:val="21"/>
      <w:szCs w:val="24"/>
    </w:rPr>
  </w:style>
  <w:style w:type="paragraph" w:styleId="a4">
    <w:name w:val="footer"/>
    <w:basedOn w:val="a"/>
    <w:link w:val="Char0"/>
    <w:uiPriority w:val="99"/>
    <w:unhideWhenUsed/>
    <w:qFormat/>
    <w:rsid w:val="00527666"/>
    <w:pPr>
      <w:tabs>
        <w:tab w:val="center" w:pos="4153"/>
        <w:tab w:val="right" w:pos="8306"/>
      </w:tabs>
      <w:snapToGrid w:val="0"/>
      <w:jc w:val="left"/>
    </w:pPr>
    <w:rPr>
      <w:sz w:val="18"/>
      <w:szCs w:val="18"/>
    </w:rPr>
  </w:style>
  <w:style w:type="paragraph" w:styleId="a5">
    <w:name w:val="header"/>
    <w:basedOn w:val="a"/>
    <w:link w:val="Char1"/>
    <w:unhideWhenUsed/>
    <w:qFormat/>
    <w:rsid w:val="00527666"/>
    <w:pPr>
      <w:pBdr>
        <w:bottom w:val="single" w:sz="6" w:space="1" w:color="auto"/>
      </w:pBdr>
      <w:tabs>
        <w:tab w:val="center" w:pos="4153"/>
        <w:tab w:val="right" w:pos="8306"/>
      </w:tabs>
      <w:snapToGrid w:val="0"/>
      <w:jc w:val="center"/>
    </w:pPr>
    <w:rPr>
      <w:sz w:val="18"/>
      <w:szCs w:val="18"/>
    </w:rPr>
  </w:style>
  <w:style w:type="paragraph" w:styleId="1">
    <w:name w:val="toc 1"/>
    <w:basedOn w:val="a"/>
    <w:next w:val="a"/>
    <w:qFormat/>
    <w:rsid w:val="00527666"/>
    <w:pPr>
      <w:widowControl/>
      <w:overflowPunct w:val="0"/>
      <w:autoSpaceDE w:val="0"/>
      <w:autoSpaceDN w:val="0"/>
      <w:adjustRightInd w:val="0"/>
    </w:pPr>
    <w:rPr>
      <w:rFonts w:eastAsia="宋体"/>
      <w:kern w:val="0"/>
      <w:sz w:val="21"/>
    </w:rPr>
  </w:style>
  <w:style w:type="paragraph" w:styleId="a6">
    <w:name w:val="List Paragraph"/>
    <w:basedOn w:val="a"/>
    <w:uiPriority w:val="34"/>
    <w:qFormat/>
    <w:rsid w:val="00527666"/>
    <w:pPr>
      <w:ind w:firstLineChars="200" w:firstLine="420"/>
    </w:pPr>
  </w:style>
  <w:style w:type="character" w:customStyle="1" w:styleId="Char">
    <w:name w:val="正文文本 Char"/>
    <w:basedOn w:val="a0"/>
    <w:link w:val="a3"/>
    <w:qFormat/>
    <w:rsid w:val="00527666"/>
    <w:rPr>
      <w:rFonts w:ascii="Times New Roman" w:eastAsia="宋体" w:hAnsi="Times New Roman" w:cs="Times New Roman"/>
      <w:szCs w:val="24"/>
    </w:rPr>
  </w:style>
  <w:style w:type="paragraph" w:customStyle="1" w:styleId="11">
    <w:name w:val="列出段落11"/>
    <w:basedOn w:val="a"/>
    <w:uiPriority w:val="34"/>
    <w:qFormat/>
    <w:rsid w:val="00527666"/>
    <w:pPr>
      <w:ind w:firstLineChars="200" w:firstLine="420"/>
    </w:pPr>
    <w:rPr>
      <w:rFonts w:ascii="Calibri" w:eastAsia="宋体" w:hAnsi="Calibri"/>
      <w:sz w:val="21"/>
      <w:szCs w:val="22"/>
    </w:rPr>
  </w:style>
  <w:style w:type="character" w:customStyle="1" w:styleId="Char1">
    <w:name w:val="页眉 Char"/>
    <w:basedOn w:val="a0"/>
    <w:link w:val="a5"/>
    <w:qFormat/>
    <w:rsid w:val="00527666"/>
    <w:rPr>
      <w:rFonts w:ascii="Times New Roman" w:eastAsia="仿宋_GB2312" w:hAnsi="Times New Roman" w:cs="Times New Roman"/>
      <w:sz w:val="18"/>
      <w:szCs w:val="18"/>
    </w:rPr>
  </w:style>
  <w:style w:type="character" w:customStyle="1" w:styleId="Char0">
    <w:name w:val="页脚 Char"/>
    <w:basedOn w:val="a0"/>
    <w:link w:val="a4"/>
    <w:uiPriority w:val="99"/>
    <w:qFormat/>
    <w:rsid w:val="00527666"/>
    <w:rPr>
      <w:rFonts w:ascii="Times New Roman" w:eastAsia="仿宋_GB2312" w:hAnsi="Times New Roman" w:cs="Times New Roman"/>
      <w:sz w:val="18"/>
      <w:szCs w:val="18"/>
    </w:rPr>
  </w:style>
  <w:style w:type="character" w:customStyle="1" w:styleId="1CharChar">
    <w:name w:val="正文1 Char Char"/>
    <w:link w:val="10"/>
    <w:qFormat/>
    <w:rsid w:val="00527666"/>
    <w:rPr>
      <w:rFonts w:ascii="宋体" w:eastAsia="仿宋_GB2312" w:hAnsi="宋体"/>
      <w:spacing w:val="6"/>
      <w:sz w:val="30"/>
      <w:szCs w:val="24"/>
    </w:rPr>
  </w:style>
  <w:style w:type="paragraph" w:customStyle="1" w:styleId="10">
    <w:name w:val="正文1"/>
    <w:basedOn w:val="a"/>
    <w:link w:val="1CharChar"/>
    <w:qFormat/>
    <w:rsid w:val="00527666"/>
    <w:pPr>
      <w:autoSpaceDE w:val="0"/>
      <w:autoSpaceDN w:val="0"/>
      <w:adjustRightInd w:val="0"/>
      <w:snapToGrid w:val="0"/>
      <w:spacing w:line="600" w:lineRule="exact"/>
      <w:ind w:firstLineChars="200" w:firstLine="624"/>
    </w:pPr>
    <w:rPr>
      <w:rFonts w:ascii="宋体" w:hAnsi="宋体" w:cstheme="minorBidi"/>
      <w:spacing w:val="6"/>
      <w:sz w:val="30"/>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617</Words>
  <Characters>3520</Characters>
  <Application>Microsoft Office Word</Application>
  <DocSecurity>0</DocSecurity>
  <Lines>29</Lines>
  <Paragraphs>8</Paragraphs>
  <ScaleCrop>false</ScaleCrop>
  <Company>瀚森科技</Company>
  <LinksUpToDate>false</LinksUpToDate>
  <CharactersWithSpaces>4129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Dell</cp:lastModifiedBy>
  <cp:revision>6</cp:revision>
  <cp:lastPrinted>2020-08-11T03:08:00Z</cp:lastPrinted>
  <dcterms:created xsi:type="dcterms:W3CDTF">2019-07-20T01:42:00Z</dcterms:created>
  <dcterms:modified xsi:type="dcterms:W3CDTF">2020-08-11T03:08:00Z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