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eastAsia"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昆明市东川区</w:t>
      </w:r>
      <w:r>
        <w:rPr>
          <w:rFonts w:hint="eastAsia" w:ascii="黑体" w:hAnsi="黑体" w:eastAsia="黑体"/>
          <w:spacing w:val="-20"/>
          <w:sz w:val="44"/>
          <w:szCs w:val="44"/>
          <w:lang w:eastAsia="zh-CN"/>
        </w:rPr>
        <w:t>汤丹镇</w:t>
      </w:r>
      <w:r>
        <w:rPr>
          <w:rFonts w:hint="eastAsia" w:ascii="黑体" w:hAnsi="黑体" w:eastAsia="黑体"/>
          <w:spacing w:val="-20"/>
          <w:sz w:val="44"/>
          <w:szCs w:val="44"/>
        </w:rPr>
        <w:t>通村公路路基改造工程</w:t>
      </w:r>
    </w:p>
    <w:p>
      <w:pPr>
        <w:spacing w:line="540" w:lineRule="exact"/>
        <w:jc w:val="center"/>
        <w:outlineLvl w:val="0"/>
        <w:rPr>
          <w:rFonts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项目支出绩效评价报告</w:t>
      </w:r>
    </w:p>
    <w:p>
      <w:pPr>
        <w:topLinePunct/>
        <w:spacing w:line="540" w:lineRule="exact"/>
        <w:ind w:firstLine="790" w:firstLineChars="250"/>
        <w:rPr>
          <w:rFonts w:ascii="黑体" w:eastAsia="黑体"/>
          <w:szCs w:val="32"/>
        </w:rPr>
      </w:pPr>
    </w:p>
    <w:p>
      <w:pPr>
        <w:topLinePunct/>
        <w:spacing w:line="540" w:lineRule="exact"/>
        <w:ind w:firstLine="790" w:firstLineChars="25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40" w:lineRule="exact"/>
        <w:ind w:firstLine="790" w:firstLineChars="250"/>
        <w:outlineLvl w:val="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1、立项背景及目的。在十三五”脱贫攻坚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的大背景下，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通村公路路基改造工程项目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望厂村小水井(上山小组)公路通达工程建设项目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四棵树(下坪山小组)公路通达工程建设项目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汤丹镇脱贫攻坚4个行政村5个村民小组建房问题、产业发展问题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，打通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汤丹镇</w:t>
      </w:r>
      <w:r>
        <w:rPr>
          <w:rFonts w:hint="eastAsia" w:ascii="仿宋_GB2312" w:hAnsi="仿宋_GB2312" w:eastAsia="仿宋_GB2312" w:cs="仿宋_GB2312"/>
          <w:sz w:val="32"/>
          <w:szCs w:val="32"/>
        </w:rPr>
        <w:t>环线交通，改善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农村通村公路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outlineLvl w:val="9"/>
        <w:rPr>
          <w:rFonts w:hint="eastAsia" w:ascii="仿宋_GB2312" w:hAnsi="楷体"/>
          <w:szCs w:val="32"/>
          <w:lang w:eastAsia="zh-CN"/>
        </w:rPr>
      </w:pPr>
      <w:r>
        <w:rPr>
          <w:rFonts w:hint="eastAsia" w:ascii="仿宋_GB2312" w:hAnsi="楷体"/>
          <w:szCs w:val="32"/>
          <w:lang w:val="en-US" w:eastAsia="zh-CN"/>
        </w:rPr>
        <w:t>2、</w:t>
      </w:r>
      <w:r>
        <w:rPr>
          <w:rFonts w:hint="eastAsia" w:ascii="仿宋_GB2312" w:hAnsi="楷体"/>
          <w:szCs w:val="32"/>
          <w:lang w:eastAsia="zh-CN"/>
        </w:rPr>
        <w:t>项目实施情况。我镇在项目实施中，认真贯彻落实区财政的相关规定，合理规划实施情况，做到高速有效，让项目充分体现它的价值化。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outlineLvl w:val="9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仿宋_GB2312" w:hAnsi="楷体"/>
          <w:szCs w:val="32"/>
          <w:lang w:val="en-US" w:eastAsia="zh-CN"/>
        </w:rPr>
        <w:t>3、资金来源及使用情况。资金来源为区政府全额划拨，其中涉农资金198.375万元，项目总投资346.725万元。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outlineLvl w:val="9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仿宋_GB2312" w:hAnsi="楷体"/>
          <w:szCs w:val="32"/>
          <w:lang w:val="en-US" w:eastAsia="zh-CN"/>
        </w:rPr>
        <w:t>4、组织及管理情况。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outlineLvl w:val="9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仿宋_GB2312" w:hAnsi="楷体"/>
          <w:szCs w:val="32"/>
          <w:lang w:eastAsia="zh-CN"/>
        </w:rPr>
        <w:t>（</w:t>
      </w:r>
      <w:r>
        <w:rPr>
          <w:rFonts w:hint="eastAsia" w:ascii="仿宋_GB2312" w:hAnsi="楷体"/>
          <w:szCs w:val="32"/>
          <w:lang w:val="en-US" w:eastAsia="zh-CN"/>
        </w:rPr>
        <w:t>1）项目组织情况。通村公路路基改造工程项目由汤丹镇人民政府负责牵头实施。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outlineLvl w:val="9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仿宋_GB2312" w:hAnsi="楷体"/>
          <w:szCs w:val="32"/>
          <w:lang w:val="en-US" w:eastAsia="zh-CN"/>
        </w:rPr>
        <w:t>（2）项目管理情况。项目的主管单位、责任单位均为汤丹镇人民政府，实施单位通过比选招投标确定。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outlineLvl w:val="9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仿宋_GB2312" w:hAnsi="楷体"/>
          <w:szCs w:val="32"/>
          <w:lang w:eastAsia="zh-CN"/>
        </w:rPr>
        <w:t>（</w:t>
      </w:r>
      <w:r>
        <w:rPr>
          <w:rFonts w:hint="eastAsia" w:ascii="仿宋_GB2312" w:hAnsi="楷体"/>
          <w:szCs w:val="32"/>
          <w:lang w:val="en-US" w:eastAsia="zh-CN"/>
        </w:rPr>
        <w:t>3）项目资金拨付。资金严格按照规范程序申请、管理、使用，资金支付范围、支付标准、支付进度、支付依据合规合法、与预算相符。</w:t>
      </w:r>
    </w:p>
    <w:p>
      <w:pPr>
        <w:topLinePunct/>
        <w:spacing w:line="540" w:lineRule="exact"/>
        <w:ind w:firstLine="790" w:firstLineChars="250"/>
        <w:outlineLvl w:val="0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（二）绩效目标。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1.总目标。贯彻落实中央和省</w:t>
      </w:r>
      <w:r>
        <w:rPr>
          <w:rFonts w:hint="eastAsia" w:ascii="仿宋_GB2312" w:hAnsi="楷体"/>
          <w:szCs w:val="32"/>
          <w:lang w:eastAsia="zh-CN"/>
        </w:rPr>
        <w:t>、市、区各级政</w:t>
      </w:r>
      <w:r>
        <w:rPr>
          <w:rFonts w:hint="eastAsia" w:ascii="仿宋_GB2312" w:hAnsi="楷体"/>
          <w:szCs w:val="32"/>
        </w:rPr>
        <w:t>府关于全面建成小康社会的决策部署，切实改善全</w:t>
      </w:r>
      <w:r>
        <w:rPr>
          <w:rFonts w:hint="eastAsia" w:ascii="仿宋_GB2312" w:hAnsi="楷体"/>
          <w:szCs w:val="32"/>
          <w:lang w:eastAsia="zh-CN"/>
        </w:rPr>
        <w:t>镇</w:t>
      </w:r>
      <w:r>
        <w:rPr>
          <w:rFonts w:hint="eastAsia" w:ascii="仿宋_GB2312" w:hAnsi="楷体"/>
          <w:szCs w:val="32"/>
        </w:rPr>
        <w:t>农村地区交通条件，更好地助推精准扶贫，加快贫困地区脱贫致富步伐，实现良好的社会效益和生态效益。</w:t>
      </w:r>
    </w:p>
    <w:p>
      <w:pPr>
        <w:topLinePunct/>
        <w:spacing w:line="540" w:lineRule="exact"/>
        <w:ind w:firstLine="790" w:firstLineChars="250"/>
        <w:rPr>
          <w:rFonts w:hint="eastAsia" w:ascii="楷体" w:hAnsi="楷体" w:eastAsia="楷体"/>
          <w:szCs w:val="32"/>
          <w:lang w:val="en-US" w:eastAsia="zh-CN"/>
        </w:rPr>
      </w:pPr>
      <w:r>
        <w:rPr>
          <w:rFonts w:hint="eastAsia" w:ascii="仿宋_GB2312" w:hAnsi="楷体"/>
          <w:szCs w:val="32"/>
        </w:rPr>
        <w:t>2.年度目标。</w:t>
      </w:r>
      <w:r>
        <w:rPr>
          <w:rFonts w:hint="eastAsia" w:ascii="仿宋_GB2312" w:hAnsi="楷体"/>
          <w:szCs w:val="32"/>
          <w:lang w:eastAsia="zh-CN"/>
        </w:rPr>
        <w:t>汤丹镇通村公路路基改造工程计划完成脱贫攻坚</w:t>
      </w:r>
      <w:r>
        <w:rPr>
          <w:rFonts w:hint="eastAsia" w:ascii="仿宋_GB2312" w:hAnsi="楷体"/>
          <w:szCs w:val="32"/>
        </w:rPr>
        <w:t>的农村</w:t>
      </w:r>
      <w:r>
        <w:rPr>
          <w:rFonts w:hint="eastAsia" w:ascii="仿宋_GB2312" w:hAnsi="楷体"/>
          <w:szCs w:val="32"/>
          <w:lang w:eastAsia="zh-CN"/>
        </w:rPr>
        <w:t>通达</w:t>
      </w:r>
      <w:r>
        <w:rPr>
          <w:rFonts w:hint="eastAsia" w:ascii="仿宋_GB2312" w:hAnsi="楷体"/>
          <w:szCs w:val="32"/>
        </w:rPr>
        <w:t>23.113公里</w:t>
      </w:r>
      <w:r>
        <w:rPr>
          <w:rFonts w:hint="eastAsia" w:ascii="仿宋_GB2312" w:hAnsi="楷体"/>
          <w:szCs w:val="32"/>
          <w:lang w:eastAsia="zh-CN"/>
        </w:rPr>
        <w:t>。</w:t>
      </w:r>
    </w:p>
    <w:p>
      <w:pPr>
        <w:numPr>
          <w:ilvl w:val="0"/>
          <w:numId w:val="1"/>
        </w:numPr>
        <w:topLinePunct/>
        <w:spacing w:line="540" w:lineRule="exact"/>
        <w:ind w:firstLine="632" w:firstLineChars="200"/>
        <w:rPr>
          <w:rFonts w:hint="eastAsia" w:ascii="楷体" w:hAnsi="楷体" w:eastAsia="楷体"/>
          <w:szCs w:val="32"/>
        </w:rPr>
      </w:pPr>
      <w:r>
        <w:rPr>
          <w:rFonts w:hint="eastAsia" w:ascii="黑体" w:hAnsi="黑体" w:eastAsia="黑体"/>
          <w:szCs w:val="32"/>
        </w:rPr>
        <w:t>绩效评价工作情况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楷体" w:hAnsi="楷体" w:eastAsia="楷体"/>
          <w:szCs w:val="32"/>
        </w:rPr>
        <w:t>（一）绩效评价目的。</w:t>
      </w:r>
      <w:r>
        <w:rPr>
          <w:rFonts w:hint="eastAsia" w:ascii="仿宋_GB2312" w:hAnsi="楷体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（二）绩效评价工作方案制定过程。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  <w:lang w:eastAsia="zh-CN"/>
        </w:rPr>
      </w:pPr>
      <w:r>
        <w:rPr>
          <w:rFonts w:hint="eastAsia" w:ascii="仿宋_GB2312" w:hAnsi="楷体"/>
          <w:szCs w:val="32"/>
        </w:rPr>
        <w:t>1.前期调研。</w:t>
      </w:r>
      <w:r>
        <w:rPr>
          <w:rFonts w:hint="eastAsia" w:ascii="仿宋_GB2312" w:hAnsi="楷体"/>
          <w:szCs w:val="32"/>
          <w:lang w:eastAsia="zh-CN"/>
        </w:rPr>
        <w:t>汤丹镇成立了以镇长罗雄为组长，党委副书记李文瑞为副组长，丁俊（交安办主任）、申丹(财政所副所长)为成员的项目领导小组，下设办公室在汤丹镇交安办，由丁俊任办公室主任，负责日常事务。领导小组负责解决项目实施过程中遇到的困难和问题、协调部门之间的工作,办公室负责对工程进度、工程质量和资金管理。并将工程项目全过程的实施与管理，及时向领导小组报告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2.研究文件。</w:t>
      </w:r>
      <w:r>
        <w:rPr>
          <w:rFonts w:hint="eastAsia" w:ascii="仿宋_GB2312" w:hAnsi="楷体"/>
          <w:szCs w:val="32"/>
          <w:lang w:eastAsia="zh-CN"/>
        </w:rPr>
        <w:t>根据</w:t>
      </w:r>
      <w:r>
        <w:rPr>
          <w:rFonts w:hint="eastAsia" w:ascii="仿宋_GB2312" w:hAnsi="楷体"/>
          <w:szCs w:val="32"/>
        </w:rPr>
        <w:t>《关</w:t>
      </w:r>
      <w:r>
        <w:rPr>
          <w:rFonts w:hint="eastAsia" w:ascii="仿宋_GB2312" w:hAnsi="楷体"/>
          <w:szCs w:val="32"/>
          <w:lang w:eastAsia="zh-CN"/>
        </w:rPr>
        <w:t>于</w:t>
      </w:r>
      <w:r>
        <w:rPr>
          <w:rFonts w:hint="eastAsia" w:ascii="仿宋_GB2312" w:hAnsi="楷体"/>
          <w:szCs w:val="32"/>
        </w:rPr>
        <w:t>东川区人民政府扶贫开发办公室 东川区财政局关于下达2018年第十四批整合使用财政涉农资金的通知》(东扶联发〔2018〕17号)的</w:t>
      </w:r>
      <w:r>
        <w:rPr>
          <w:rFonts w:hint="eastAsia" w:ascii="仿宋_GB2312" w:hAnsi="楷体"/>
          <w:szCs w:val="32"/>
          <w:lang w:eastAsia="zh-CN"/>
        </w:rPr>
        <w:t>要求</w:t>
      </w:r>
      <w:r>
        <w:rPr>
          <w:rFonts w:hint="eastAsia" w:ascii="仿宋_GB2312" w:hAnsi="楷体"/>
          <w:szCs w:val="32"/>
        </w:rPr>
        <w:t>。我单位负责做好项目的自评报告、资料、数据的收集整理、汇总，</w:t>
      </w:r>
      <w:r>
        <w:rPr>
          <w:rFonts w:hint="eastAsia" w:ascii="仿宋_GB2312" w:hAnsi="楷体"/>
          <w:szCs w:val="32"/>
          <w:lang w:eastAsia="zh-CN"/>
        </w:rPr>
        <w:t>并按要求提交。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3.绩效评价指标体系及工作方案的设计。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（三）绩效评价原则、评价方法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1.绩效评价原则。我单位此次自评秉承科学规范、公正公开、分级分类、绩效相关的评价原则</w:t>
      </w:r>
      <w:r>
        <w:rPr>
          <w:rFonts w:hint="eastAsia" w:ascii="仿宋_GB2312" w:hAnsi="楷体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绩效评价方法。包括指标评价、数据采集和社会调查中所采用的方法。制定评价方案和评价指标体系，收集被评价项目的相关资料，对数据进行计算复核。在形成评价结论后，按照绩效评价工作要求认真、严谨、细致撰写绩效评价报告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（四）绩效评价实施过程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1.数据填报和采集。此次评价之前向各科室采集数据，收集</w:t>
      </w:r>
      <w:bookmarkStart w:id="0" w:name="_GoBack"/>
      <w:bookmarkEnd w:id="0"/>
      <w:r>
        <w:rPr>
          <w:rFonts w:hint="eastAsia" w:ascii="仿宋_GB2312" w:hAnsi="楷体"/>
          <w:szCs w:val="32"/>
        </w:rPr>
        <w:t>通村公路路基改造工程项目的相关资料，由</w:t>
      </w:r>
      <w:r>
        <w:rPr>
          <w:rFonts w:hint="eastAsia" w:ascii="仿宋_GB2312" w:hAnsi="楷体"/>
          <w:szCs w:val="32"/>
          <w:lang w:eastAsia="zh-CN"/>
        </w:rPr>
        <w:t>交安办</w:t>
      </w:r>
      <w:r>
        <w:rPr>
          <w:rFonts w:hint="eastAsia" w:ascii="仿宋_GB2312" w:hAnsi="楷体"/>
          <w:szCs w:val="32"/>
        </w:rPr>
        <w:t>汇总分类。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2.社会调查。</w:t>
      </w:r>
      <w:r>
        <w:rPr>
          <w:rFonts w:hint="eastAsia" w:ascii="仿宋_GB2312" w:hAnsi="楷体"/>
          <w:szCs w:val="32"/>
          <w:lang w:eastAsia="zh-CN"/>
        </w:rPr>
        <w:t>汤丹镇收集、整理、分析社会调查问卷。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3.数据分析和撰写报告。在完成以上两个数据采集和分析以后，我单位展开自评并撰写报告。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三、评价结论和绩效分析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（一）评价结论。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1.评价结果。经过评价小组对该项目绩效情况进行综合打分，评价总分为</w:t>
      </w:r>
      <w:r>
        <w:rPr>
          <w:rFonts w:hint="eastAsia" w:ascii="仿宋_GB2312" w:hAnsi="仿宋_GB2312" w:cs="仿宋_GB231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Cs w:val="32"/>
        </w:rPr>
        <w:t>分，评价得分为</w:t>
      </w:r>
      <w:r>
        <w:rPr>
          <w:rFonts w:hint="eastAsia" w:ascii="仿宋_GB2312" w:hAnsi="仿宋_GB2312" w:cs="仿宋_GB231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Cs w:val="32"/>
        </w:rPr>
        <w:t>分，评价等级为优秀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2.主要绩效。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项目的效益性分析。按照项目计划要求，及时保质保量地完成各项工作任务及目标。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项目的可持续性分析。本项目实施后，为汤丹的经济、社会发展提供了强有力保障。本项目年度工作的开展，是以后每年都要正常开展的工作，未来工作仍需要在国家政策、资金的支持下继续开展。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楷体" w:hAnsi="楷体" w:eastAsia="楷体"/>
          <w:szCs w:val="32"/>
        </w:rPr>
        <w:t>具体绩效分析。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自评小组</w:t>
      </w:r>
      <w:r>
        <w:rPr>
          <w:rFonts w:hint="eastAsia" w:ascii="仿宋_GB2312" w:hAnsi="仿宋_GB2312" w:eastAsia="仿宋_GB2312" w:cs="仿宋_GB2312"/>
          <w:szCs w:val="32"/>
        </w:rPr>
        <w:t>对照绩效评价指标体系逐项进行分析、评价并打分。</w:t>
      </w:r>
    </w:p>
    <w:p>
      <w:pPr>
        <w:numPr>
          <w:ilvl w:val="0"/>
          <w:numId w:val="0"/>
        </w:numPr>
        <w:topLinePunct/>
        <w:spacing w:line="540" w:lineRule="exact"/>
        <w:ind w:firstLine="632" w:firstLineChars="200"/>
        <w:rPr>
          <w:rFonts w:hint="eastAsia" w:ascii="仿宋_GB2312" w:hAnsi="仿宋"/>
        </w:rPr>
      </w:pPr>
      <w:r>
        <w:rPr>
          <w:rFonts w:hint="eastAsia" w:ascii="黑体" w:hAnsi="黑体" w:eastAsia="黑体"/>
          <w:szCs w:val="32"/>
          <w:lang w:eastAsia="zh-CN"/>
        </w:rPr>
        <w:t>四、</w:t>
      </w:r>
      <w:r>
        <w:rPr>
          <w:rFonts w:hint="eastAsia" w:ascii="黑体" w:hAnsi="黑体" w:eastAsia="黑体"/>
          <w:szCs w:val="32"/>
        </w:rPr>
        <w:t>成本效益分析。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资</w:t>
      </w:r>
      <w:r>
        <w:rPr>
          <w:rFonts w:hint="eastAsia" w:ascii="楷体_GB2312" w:hAnsi="楷体_GB2312" w:eastAsia="楷体_GB2312" w:cs="楷体_GB2312"/>
        </w:rPr>
        <w:t>金使用方向、资金收入和支出结构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ascii="仿宋_GB2312" w:hAnsi="仿宋"/>
          <w:szCs w:val="32"/>
          <w:lang w:eastAsia="zh-CN"/>
        </w:rPr>
        <w:t>资金在年初下达，属于区级财政涉农资金,一般公共服务拨款。支出一律专款专用。用于基础设施建设的工作经费。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（二）项目和资金管理情况。通村公路路基改造工程项目资金收支管理由汤丹镇财政所统一管理，严格按照东扶联发〔2018〕17号的规定调整和变更。严格执行《东川区统筹整合使用财政涉农资金管理办法（暂行）》（东政办发〔2017〕111号），加强资金管理，不得虚报、冒领、截留、挤占、挪用财政涉农资金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五、主要经验及做法、存在的问题和建议</w:t>
      </w:r>
    </w:p>
    <w:p>
      <w:pPr>
        <w:topLinePunct/>
        <w:spacing w:line="540" w:lineRule="exact"/>
        <w:ind w:firstLine="790" w:firstLineChars="250"/>
        <w:rPr>
          <w:rFonts w:hint="eastAsia" w:ascii="楷体" w:hAnsi="楷体" w:eastAsia="楷体"/>
          <w:szCs w:val="32"/>
          <w:lang w:eastAsia="zh-CN"/>
        </w:rPr>
      </w:pPr>
      <w:r>
        <w:rPr>
          <w:rFonts w:hint="eastAsia" w:ascii="楷体" w:hAnsi="楷体" w:eastAsia="楷体"/>
          <w:szCs w:val="32"/>
        </w:rPr>
        <w:t>（一）主要经验及做法；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汤丹镇作为主管单位，责任单位，通过比选招投标，确定实施单位，监理单位负责全程监管。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楷体" w:hAnsi="楷体" w:eastAsia="楷体"/>
          <w:szCs w:val="32"/>
        </w:rPr>
        <w:t>（二）存在的问题；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资金补助少，项目建设要求高，项目实施地环境恶劣。</w:t>
      </w:r>
    </w:p>
    <w:p>
      <w:pPr>
        <w:spacing w:line="540" w:lineRule="exact"/>
        <w:jc w:val="both"/>
        <w:rPr>
          <w:rFonts w:ascii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35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3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>—</w:t>
    </w:r>
  </w:p>
  <w:p>
    <w:pPr>
      <w:pStyle w:val="5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35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4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>—</w:t>
    </w:r>
  </w:p>
  <w:p>
    <w:pPr>
      <w:pStyle w:val="5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41A90"/>
    <w:multiLevelType w:val="singleLevel"/>
    <w:tmpl w:val="9B641A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EFF2DE4"/>
    <w:multiLevelType w:val="singleLevel"/>
    <w:tmpl w:val="9EFF2D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evenAndOddHeaders w:val="1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F"/>
    <w:rsid w:val="00002E28"/>
    <w:rsid w:val="0001706E"/>
    <w:rsid w:val="00031386"/>
    <w:rsid w:val="00061B34"/>
    <w:rsid w:val="00085C25"/>
    <w:rsid w:val="000C6A55"/>
    <w:rsid w:val="000D0079"/>
    <w:rsid w:val="000E4635"/>
    <w:rsid w:val="000E57AE"/>
    <w:rsid w:val="000F0DDC"/>
    <w:rsid w:val="000F2D14"/>
    <w:rsid w:val="000F2E4E"/>
    <w:rsid w:val="00112694"/>
    <w:rsid w:val="0013625A"/>
    <w:rsid w:val="00155091"/>
    <w:rsid w:val="00167969"/>
    <w:rsid w:val="00171B5D"/>
    <w:rsid w:val="001776A1"/>
    <w:rsid w:val="00185A5A"/>
    <w:rsid w:val="00197124"/>
    <w:rsid w:val="001B5425"/>
    <w:rsid w:val="001D2295"/>
    <w:rsid w:val="002021EA"/>
    <w:rsid w:val="002164BD"/>
    <w:rsid w:val="00232238"/>
    <w:rsid w:val="00236F6F"/>
    <w:rsid w:val="00260330"/>
    <w:rsid w:val="0027333E"/>
    <w:rsid w:val="00280BDE"/>
    <w:rsid w:val="0028678C"/>
    <w:rsid w:val="00294EE5"/>
    <w:rsid w:val="00301902"/>
    <w:rsid w:val="00304EEE"/>
    <w:rsid w:val="003209BE"/>
    <w:rsid w:val="00320A77"/>
    <w:rsid w:val="003721CE"/>
    <w:rsid w:val="00386252"/>
    <w:rsid w:val="0039440A"/>
    <w:rsid w:val="003B609C"/>
    <w:rsid w:val="003B651F"/>
    <w:rsid w:val="003D3F92"/>
    <w:rsid w:val="003F15F1"/>
    <w:rsid w:val="003F7768"/>
    <w:rsid w:val="00441E1F"/>
    <w:rsid w:val="00443AFE"/>
    <w:rsid w:val="0044547C"/>
    <w:rsid w:val="00463CBD"/>
    <w:rsid w:val="0048484B"/>
    <w:rsid w:val="004B7A2C"/>
    <w:rsid w:val="004E5EBC"/>
    <w:rsid w:val="005456D8"/>
    <w:rsid w:val="00547454"/>
    <w:rsid w:val="00547D91"/>
    <w:rsid w:val="0055335F"/>
    <w:rsid w:val="0055784C"/>
    <w:rsid w:val="00587D66"/>
    <w:rsid w:val="00596EAF"/>
    <w:rsid w:val="005B05E9"/>
    <w:rsid w:val="005C1E91"/>
    <w:rsid w:val="005C3612"/>
    <w:rsid w:val="005D1F7C"/>
    <w:rsid w:val="00623770"/>
    <w:rsid w:val="00634A37"/>
    <w:rsid w:val="0067583F"/>
    <w:rsid w:val="00684F23"/>
    <w:rsid w:val="00691838"/>
    <w:rsid w:val="006A6EB6"/>
    <w:rsid w:val="006B11BB"/>
    <w:rsid w:val="0070331B"/>
    <w:rsid w:val="00711838"/>
    <w:rsid w:val="007347E8"/>
    <w:rsid w:val="00752484"/>
    <w:rsid w:val="00767A70"/>
    <w:rsid w:val="007740E0"/>
    <w:rsid w:val="007E48FF"/>
    <w:rsid w:val="007F24E4"/>
    <w:rsid w:val="007F5BD0"/>
    <w:rsid w:val="0080354F"/>
    <w:rsid w:val="008273F9"/>
    <w:rsid w:val="008452A9"/>
    <w:rsid w:val="0086384F"/>
    <w:rsid w:val="00885932"/>
    <w:rsid w:val="00896C1C"/>
    <w:rsid w:val="008D4DFD"/>
    <w:rsid w:val="008F3154"/>
    <w:rsid w:val="009156B6"/>
    <w:rsid w:val="009511E2"/>
    <w:rsid w:val="00960202"/>
    <w:rsid w:val="00971ACC"/>
    <w:rsid w:val="00984AA9"/>
    <w:rsid w:val="009B1D6B"/>
    <w:rsid w:val="009C2E24"/>
    <w:rsid w:val="009E07A7"/>
    <w:rsid w:val="00A032C7"/>
    <w:rsid w:val="00A449C0"/>
    <w:rsid w:val="00A45A91"/>
    <w:rsid w:val="00AB6099"/>
    <w:rsid w:val="00B1591B"/>
    <w:rsid w:val="00B268F0"/>
    <w:rsid w:val="00B6766E"/>
    <w:rsid w:val="00B8171D"/>
    <w:rsid w:val="00BA1A64"/>
    <w:rsid w:val="00BC60B5"/>
    <w:rsid w:val="00BC7CC4"/>
    <w:rsid w:val="00BD1B59"/>
    <w:rsid w:val="00BD7DE4"/>
    <w:rsid w:val="00BF7471"/>
    <w:rsid w:val="00C01F37"/>
    <w:rsid w:val="00C126D1"/>
    <w:rsid w:val="00C145B3"/>
    <w:rsid w:val="00C21CDB"/>
    <w:rsid w:val="00C40EC7"/>
    <w:rsid w:val="00C647AA"/>
    <w:rsid w:val="00CD2387"/>
    <w:rsid w:val="00D16944"/>
    <w:rsid w:val="00D20768"/>
    <w:rsid w:val="00D4728C"/>
    <w:rsid w:val="00D60CF2"/>
    <w:rsid w:val="00D611EB"/>
    <w:rsid w:val="00D77134"/>
    <w:rsid w:val="00D87244"/>
    <w:rsid w:val="00DA3649"/>
    <w:rsid w:val="00DD46DD"/>
    <w:rsid w:val="00E0768F"/>
    <w:rsid w:val="00E124FB"/>
    <w:rsid w:val="00E219E0"/>
    <w:rsid w:val="00E355E2"/>
    <w:rsid w:val="00E44E53"/>
    <w:rsid w:val="00E60A47"/>
    <w:rsid w:val="00E627D0"/>
    <w:rsid w:val="00E75F2E"/>
    <w:rsid w:val="00EB1222"/>
    <w:rsid w:val="00EB5E95"/>
    <w:rsid w:val="00F40020"/>
    <w:rsid w:val="00F525BE"/>
    <w:rsid w:val="00F613AB"/>
    <w:rsid w:val="00F8179E"/>
    <w:rsid w:val="00FB0339"/>
    <w:rsid w:val="01924DB4"/>
    <w:rsid w:val="01BB2B35"/>
    <w:rsid w:val="02247160"/>
    <w:rsid w:val="02C733BD"/>
    <w:rsid w:val="0319703B"/>
    <w:rsid w:val="03C45D53"/>
    <w:rsid w:val="04B76B77"/>
    <w:rsid w:val="056C0729"/>
    <w:rsid w:val="059D1A8C"/>
    <w:rsid w:val="05B370CD"/>
    <w:rsid w:val="069F0AAA"/>
    <w:rsid w:val="06C805CD"/>
    <w:rsid w:val="074419CB"/>
    <w:rsid w:val="07600C2F"/>
    <w:rsid w:val="079F1DA0"/>
    <w:rsid w:val="07BC27DF"/>
    <w:rsid w:val="080F5FFD"/>
    <w:rsid w:val="08A10836"/>
    <w:rsid w:val="09506DE3"/>
    <w:rsid w:val="0AC211B6"/>
    <w:rsid w:val="0B0D2B64"/>
    <w:rsid w:val="0B266856"/>
    <w:rsid w:val="0BB74195"/>
    <w:rsid w:val="0C4963E8"/>
    <w:rsid w:val="0C5B2E61"/>
    <w:rsid w:val="0CFF63B1"/>
    <w:rsid w:val="0D2F3067"/>
    <w:rsid w:val="0E0406FD"/>
    <w:rsid w:val="101B43A0"/>
    <w:rsid w:val="10390C18"/>
    <w:rsid w:val="10416C43"/>
    <w:rsid w:val="104D6F52"/>
    <w:rsid w:val="10711D4B"/>
    <w:rsid w:val="10D83FAF"/>
    <w:rsid w:val="10DF0FDE"/>
    <w:rsid w:val="10F02430"/>
    <w:rsid w:val="113F51B4"/>
    <w:rsid w:val="12DF3010"/>
    <w:rsid w:val="131D7FF6"/>
    <w:rsid w:val="134E14C3"/>
    <w:rsid w:val="167B6D0C"/>
    <w:rsid w:val="16D448E1"/>
    <w:rsid w:val="16F77547"/>
    <w:rsid w:val="177A4C22"/>
    <w:rsid w:val="17D72B75"/>
    <w:rsid w:val="17D86D7B"/>
    <w:rsid w:val="17F0423A"/>
    <w:rsid w:val="180F1FA9"/>
    <w:rsid w:val="183C3CFC"/>
    <w:rsid w:val="19BD7FEB"/>
    <w:rsid w:val="1AF42F1C"/>
    <w:rsid w:val="1BC1479C"/>
    <w:rsid w:val="1D495A9D"/>
    <w:rsid w:val="1E086EDA"/>
    <w:rsid w:val="1EC06893"/>
    <w:rsid w:val="1ED754ED"/>
    <w:rsid w:val="1EDD2A48"/>
    <w:rsid w:val="1F061DCD"/>
    <w:rsid w:val="1F2A359F"/>
    <w:rsid w:val="1F843AA3"/>
    <w:rsid w:val="1F8D1AAD"/>
    <w:rsid w:val="20632125"/>
    <w:rsid w:val="21B95BB9"/>
    <w:rsid w:val="22451437"/>
    <w:rsid w:val="23731F23"/>
    <w:rsid w:val="23D23271"/>
    <w:rsid w:val="24C14377"/>
    <w:rsid w:val="25522ECA"/>
    <w:rsid w:val="25C13232"/>
    <w:rsid w:val="25FD5578"/>
    <w:rsid w:val="272B4BF2"/>
    <w:rsid w:val="28380729"/>
    <w:rsid w:val="28BE7239"/>
    <w:rsid w:val="2A911BE7"/>
    <w:rsid w:val="2B9C1972"/>
    <w:rsid w:val="2C194ECC"/>
    <w:rsid w:val="2D0E0286"/>
    <w:rsid w:val="2D986BF5"/>
    <w:rsid w:val="2EBB0B39"/>
    <w:rsid w:val="2EEE25AB"/>
    <w:rsid w:val="2EFB69EF"/>
    <w:rsid w:val="2F1561B9"/>
    <w:rsid w:val="3070678D"/>
    <w:rsid w:val="30795CCA"/>
    <w:rsid w:val="31100BAB"/>
    <w:rsid w:val="31B625A0"/>
    <w:rsid w:val="33020331"/>
    <w:rsid w:val="334E72D2"/>
    <w:rsid w:val="344204B6"/>
    <w:rsid w:val="35782F7F"/>
    <w:rsid w:val="35AD2D92"/>
    <w:rsid w:val="35B90C46"/>
    <w:rsid w:val="367A4327"/>
    <w:rsid w:val="371D747B"/>
    <w:rsid w:val="374D461E"/>
    <w:rsid w:val="38031D6D"/>
    <w:rsid w:val="38CE5EDA"/>
    <w:rsid w:val="390F5AA1"/>
    <w:rsid w:val="397403D9"/>
    <w:rsid w:val="3AFA4B31"/>
    <w:rsid w:val="3BCA4F11"/>
    <w:rsid w:val="3C0951C0"/>
    <w:rsid w:val="3C8E22BA"/>
    <w:rsid w:val="3E79514B"/>
    <w:rsid w:val="3EA23A79"/>
    <w:rsid w:val="3EE978B4"/>
    <w:rsid w:val="40A15BF0"/>
    <w:rsid w:val="40C70D1F"/>
    <w:rsid w:val="41477D4B"/>
    <w:rsid w:val="44F82D93"/>
    <w:rsid w:val="45574044"/>
    <w:rsid w:val="45B0438E"/>
    <w:rsid w:val="45B340BA"/>
    <w:rsid w:val="477C14A3"/>
    <w:rsid w:val="47BE401C"/>
    <w:rsid w:val="48457C75"/>
    <w:rsid w:val="48625DB0"/>
    <w:rsid w:val="49A631B3"/>
    <w:rsid w:val="4B6C74B0"/>
    <w:rsid w:val="4B7D70CB"/>
    <w:rsid w:val="4BF17B74"/>
    <w:rsid w:val="4C047AD1"/>
    <w:rsid w:val="4C3039A4"/>
    <w:rsid w:val="4CCE2E83"/>
    <w:rsid w:val="4E47697A"/>
    <w:rsid w:val="4E73118A"/>
    <w:rsid w:val="4EB01069"/>
    <w:rsid w:val="4EB300DA"/>
    <w:rsid w:val="4EBE19D3"/>
    <w:rsid w:val="4EF22247"/>
    <w:rsid w:val="4F7370ED"/>
    <w:rsid w:val="4FB02522"/>
    <w:rsid w:val="50081568"/>
    <w:rsid w:val="50126C4C"/>
    <w:rsid w:val="50305F97"/>
    <w:rsid w:val="515F0B46"/>
    <w:rsid w:val="544266EA"/>
    <w:rsid w:val="54FC06F6"/>
    <w:rsid w:val="564B7BA6"/>
    <w:rsid w:val="56C42A1B"/>
    <w:rsid w:val="57165DFE"/>
    <w:rsid w:val="57264D89"/>
    <w:rsid w:val="578D02B6"/>
    <w:rsid w:val="57914189"/>
    <w:rsid w:val="58821F24"/>
    <w:rsid w:val="5A4F5799"/>
    <w:rsid w:val="5A961350"/>
    <w:rsid w:val="5ACF13E7"/>
    <w:rsid w:val="5B6144B0"/>
    <w:rsid w:val="5BDF0D26"/>
    <w:rsid w:val="5C2B6746"/>
    <w:rsid w:val="5D0C2A1D"/>
    <w:rsid w:val="5D8D56CD"/>
    <w:rsid w:val="5D990989"/>
    <w:rsid w:val="5DD233FF"/>
    <w:rsid w:val="5E293DA7"/>
    <w:rsid w:val="5E387182"/>
    <w:rsid w:val="5E914308"/>
    <w:rsid w:val="5E956DFF"/>
    <w:rsid w:val="5F0079F6"/>
    <w:rsid w:val="60B76682"/>
    <w:rsid w:val="614E6016"/>
    <w:rsid w:val="62535F34"/>
    <w:rsid w:val="626648C8"/>
    <w:rsid w:val="62BA0D6A"/>
    <w:rsid w:val="63C218AE"/>
    <w:rsid w:val="644A35CF"/>
    <w:rsid w:val="64A46B76"/>
    <w:rsid w:val="65AE130F"/>
    <w:rsid w:val="65DC53B1"/>
    <w:rsid w:val="65F36CA0"/>
    <w:rsid w:val="67271B30"/>
    <w:rsid w:val="68DB2A0F"/>
    <w:rsid w:val="68EF2E77"/>
    <w:rsid w:val="69604DF0"/>
    <w:rsid w:val="69701BED"/>
    <w:rsid w:val="69814D72"/>
    <w:rsid w:val="6A0A00C6"/>
    <w:rsid w:val="6A8C4AE0"/>
    <w:rsid w:val="6AD8582F"/>
    <w:rsid w:val="6B6531D7"/>
    <w:rsid w:val="6BB865FD"/>
    <w:rsid w:val="6C816B72"/>
    <w:rsid w:val="6D996AC9"/>
    <w:rsid w:val="6E7F263D"/>
    <w:rsid w:val="6E9C7AC9"/>
    <w:rsid w:val="6EAF24B0"/>
    <w:rsid w:val="701E14D0"/>
    <w:rsid w:val="708E22C1"/>
    <w:rsid w:val="709F27AE"/>
    <w:rsid w:val="70BA2008"/>
    <w:rsid w:val="720853F5"/>
    <w:rsid w:val="72BA6BBF"/>
    <w:rsid w:val="72D65FC7"/>
    <w:rsid w:val="73BF6A55"/>
    <w:rsid w:val="73D77A71"/>
    <w:rsid w:val="75337B10"/>
    <w:rsid w:val="75726968"/>
    <w:rsid w:val="75841509"/>
    <w:rsid w:val="759C7153"/>
    <w:rsid w:val="76083D9D"/>
    <w:rsid w:val="7616690F"/>
    <w:rsid w:val="76C750CD"/>
    <w:rsid w:val="773C59F4"/>
    <w:rsid w:val="7773422F"/>
    <w:rsid w:val="77A479BB"/>
    <w:rsid w:val="78A60168"/>
    <w:rsid w:val="798963A1"/>
    <w:rsid w:val="7B104C27"/>
    <w:rsid w:val="7B2753CB"/>
    <w:rsid w:val="7BCD5114"/>
    <w:rsid w:val="7CC648A9"/>
    <w:rsid w:val="7D0876B6"/>
    <w:rsid w:val="7D9A66FC"/>
    <w:rsid w:val="7DD17083"/>
    <w:rsid w:val="7E743B19"/>
    <w:rsid w:val="7E7B1EED"/>
    <w:rsid w:val="7F5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ind w:firstLine="632" w:firstLineChars="200"/>
    </w:p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脚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日期 Char"/>
    <w:link w:val="4"/>
    <w:semiHidden/>
    <w:qFormat/>
    <w:uiPriority w:val="99"/>
    <w:rPr>
      <w:rFonts w:eastAsia="仿宋_GB2312"/>
      <w:sz w:val="32"/>
      <w:szCs w:val="20"/>
    </w:rPr>
  </w:style>
  <w:style w:type="character" w:customStyle="1" w:styleId="14">
    <w:name w:val="正文文本缩进 Char"/>
    <w:link w:val="3"/>
    <w:semiHidden/>
    <w:qFormat/>
    <w:uiPriority w:val="99"/>
    <w:rPr>
      <w:rFonts w:eastAsia="仿宋_GB2312"/>
      <w:sz w:val="32"/>
      <w:szCs w:val="20"/>
    </w:rPr>
  </w:style>
  <w:style w:type="paragraph" w:customStyle="1" w:styleId="15">
    <w:name w:val="Char Char Char Char Char Char"/>
    <w:basedOn w:val="1"/>
    <w:qFormat/>
    <w:uiPriority w:val="99"/>
    <w:pPr>
      <w:adjustRightInd w:val="0"/>
    </w:pPr>
    <w:rPr>
      <w:rFonts w:ascii="Tahoma" w:hAnsi="Tahoma" w:eastAsia="宋体"/>
      <w:sz w:val="24"/>
    </w:rPr>
  </w:style>
  <w:style w:type="character" w:customStyle="1" w:styleId="16">
    <w:name w:val="标题 1 Char"/>
    <w:link w:val="2"/>
    <w:qFormat/>
    <w:uiPriority w:val="99"/>
    <w:rPr>
      <w:rFonts w:ascii="Calibri" w:hAnsi="Calibri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68;&#20010;&#21333;&#20301;&#25991;&#20214;&#65288;201412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一个单位文件（201412）</Template>
  <Company>家用电脑</Company>
  <Pages>10</Pages>
  <Words>355</Words>
  <Characters>2026</Characters>
  <Lines>16</Lines>
  <Paragraphs>4</Paragraphs>
  <TotalTime>11</TotalTime>
  <ScaleCrop>false</ScaleCrop>
  <LinksUpToDate>false</LinksUpToDate>
  <CharactersWithSpaces>2377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2016-02-18T07:51:00Z</dcterms:created>
  <dc:creator>y</dc:creator>
  <cp:lastModifiedBy>奋斗的小鹿</cp:lastModifiedBy>
  <cp:lastPrinted>2015-07-03T03:13:00Z</cp:lastPrinted>
  <dcterms:modified xsi:type="dcterms:W3CDTF">2020-08-11T07:02:05Z</dcterms:modified>
  <dc:title>益财会〔2002〕4号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