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jc w:val="center"/>
        <w:textAlignment w:val="auto"/>
        <w:outlineLvl w:val="0"/>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汤丹镇种养殖循环一体化项目高山蔬菜基地基础</w:t>
      </w:r>
    </w:p>
    <w:p>
      <w:pPr>
        <w:keepNext w:val="0"/>
        <w:keepLines w:val="0"/>
        <w:pageBreakBefore w:val="0"/>
        <w:widowControl w:val="0"/>
        <w:kinsoku/>
        <w:wordWrap/>
        <w:overflowPunct/>
        <w:autoSpaceDE/>
        <w:autoSpaceDN/>
        <w:bidi w:val="0"/>
        <w:adjustRightInd/>
        <w:snapToGrid/>
        <w:spacing w:line="560" w:lineRule="exact"/>
        <w:jc w:val="center"/>
        <w:textAlignment w:val="auto"/>
        <w:outlineLvl w:val="0"/>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设施建设项目支出绩效评价报告</w:t>
      </w:r>
    </w:p>
    <w:p>
      <w:pPr>
        <w:keepNext w:val="0"/>
        <w:keepLines w:val="0"/>
        <w:pageBreakBefore w:val="0"/>
        <w:widowControl w:val="0"/>
        <w:kinsoku/>
        <w:wordWrap/>
        <w:overflowPunct/>
        <w:autoSpaceDE/>
        <w:autoSpaceDN/>
        <w:bidi w:val="0"/>
        <w:adjustRightInd/>
        <w:snapToGrid/>
        <w:spacing w:line="560" w:lineRule="exact"/>
        <w:jc w:val="center"/>
        <w:textAlignment w:val="auto"/>
        <w:outlineLvl w:val="0"/>
        <w:rPr>
          <w:rFonts w:hint="eastAsia" w:ascii="方正小标宋简体" w:eastAsia="方正小标宋简体"/>
          <w:sz w:val="40"/>
          <w:szCs w:val="40"/>
          <w:lang w:eastAsia="zh-CN"/>
        </w:rPr>
      </w:pP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0" w:firstLineChars="200"/>
        <w:textAlignment w:val="auto"/>
        <w:outlineLvl w:val="0"/>
        <w:rPr>
          <w:rFonts w:hint="eastAsia" w:ascii="黑体" w:eastAsia="黑体"/>
          <w:szCs w:val="32"/>
        </w:rPr>
      </w:pPr>
      <w:r>
        <w:rPr>
          <w:rFonts w:hint="eastAsia" w:ascii="黑体" w:eastAsia="黑体"/>
          <w:szCs w:val="32"/>
        </w:rPr>
        <w:t>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outlineLvl w:val="0"/>
        <w:rPr>
          <w:rFonts w:hint="eastAsia" w:ascii="仿宋_GB2312"/>
          <w:szCs w:val="32"/>
          <w:lang w:val="en-US" w:eastAsia="zh-CN"/>
        </w:rPr>
      </w:pPr>
      <w:r>
        <w:rPr>
          <w:rFonts w:hint="eastAsia" w:ascii="仿宋_GB2312"/>
          <w:szCs w:val="32"/>
          <w:lang w:eastAsia="zh-CN"/>
        </w:rPr>
        <w:t>汤丹镇种养殖循环一体化项目高山蔬菜基地基础设施建设项目位于东川区汤丹镇海子村民委员会及大地坡村民委员会，该项目的建设有利于合理利用水资源，提高水资源利用效率，机耕道路的建设可改善农业生产条件及提高农业机械化作业，可提高当地农户的种植技术，为农业生产的现代化打下一个良好的基础。现已完成</w:t>
      </w:r>
      <w:r>
        <w:rPr>
          <w:rFonts w:hint="eastAsia" w:ascii="仿宋_GB2312"/>
          <w:szCs w:val="32"/>
          <w:lang w:val="en-US" w:eastAsia="zh-CN"/>
        </w:rPr>
        <w:t>全部项目建设内容，总投入资金290万元，现已使用资金232.119万元，剩余尾款待验收审计后，进行拨付。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0"/>
        <w:rPr>
          <w:rFonts w:ascii="黑体" w:eastAsia="黑体"/>
          <w:szCs w:val="32"/>
        </w:rPr>
      </w:pPr>
      <w:r>
        <w:rPr>
          <w:rFonts w:hint="eastAsia" w:ascii="黑体" w:eastAsia="黑体"/>
          <w:szCs w:val="32"/>
        </w:rPr>
        <w:t>二、</w:t>
      </w:r>
      <w:r>
        <w:rPr>
          <w:rFonts w:hint="eastAsia" w:ascii="黑体" w:hAnsi="黑体" w:eastAsia="黑体"/>
          <w:szCs w:val="32"/>
        </w:rPr>
        <w:t>绩效评价工作情况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outlineLvl w:val="1"/>
        <w:rPr>
          <w:rFonts w:hint="eastAsia" w:ascii="楷体_GB2312" w:eastAsia="楷体_GB2312"/>
          <w:szCs w:val="32"/>
        </w:rPr>
      </w:pPr>
      <w:r>
        <w:rPr>
          <w:rFonts w:hint="eastAsia" w:ascii="仿宋_GB2312"/>
          <w:szCs w:val="32"/>
        </w:rPr>
        <w:t>（一）</w:t>
      </w:r>
      <w:r>
        <w:rPr>
          <w:rFonts w:hint="eastAsia" w:ascii="楷体_GB2312" w:eastAsia="楷体_GB2312"/>
          <w:szCs w:val="32"/>
        </w:rPr>
        <w:t>绩效评价的目的</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rPr>
      </w:pPr>
      <w:r>
        <w:rPr>
          <w:rFonts w:hint="eastAsia"/>
          <w:snapToGrid w:val="0"/>
          <w:szCs w:val="2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outlineLvl w:val="1"/>
        <w:rPr>
          <w:rFonts w:hint="eastAsia" w:ascii="楷体_GB2312" w:eastAsia="楷体_GB2312"/>
          <w:szCs w:val="32"/>
        </w:rPr>
      </w:pPr>
      <w:r>
        <w:rPr>
          <w:rFonts w:hint="eastAsia" w:ascii="楷体_GB2312" w:eastAsia="楷体_GB2312"/>
          <w:szCs w:val="32"/>
        </w:rPr>
        <w:t>（二）项目资金使用情况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lang w:val="en-US" w:eastAsia="zh-CN"/>
        </w:rPr>
      </w:pPr>
      <w:r>
        <w:rPr>
          <w:rFonts w:hint="eastAsia"/>
          <w:snapToGrid w:val="0"/>
          <w:szCs w:val="22"/>
          <w:lang w:val="en-US" w:eastAsia="zh-CN"/>
        </w:rPr>
        <w:t>汤丹镇种养殖循环一体化项目高山蔬菜基地基础设施建设项目总投资为：290万元，其中：建安工程费276.52万元，勘测设计费8.7万元，工程监理费4.78万元。现已使用资金232.119万元，剩余尾款待验收审计后，进行拨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eastAsia" w:ascii="楷体_GB2312" w:eastAsia="楷体_GB2312"/>
          <w:szCs w:val="32"/>
        </w:rPr>
      </w:pPr>
      <w:r>
        <w:rPr>
          <w:rFonts w:hint="eastAsia" w:ascii="楷体_GB2312" w:eastAsia="楷体_GB2312"/>
          <w:szCs w:val="32"/>
        </w:rPr>
        <w:t>（三）项目组织管理情况</w:t>
      </w:r>
    </w:p>
    <w:p>
      <w:pPr>
        <w:ind w:firstLine="640" w:firstLineChars="200"/>
        <w:rPr>
          <w:rFonts w:hint="eastAsia" w:ascii="Times New Roman" w:hAnsi="Times New Roman" w:eastAsia="仿宋_GB2312" w:cs="Times New Roman"/>
          <w:snapToGrid w:val="0"/>
          <w:kern w:val="2"/>
          <w:sz w:val="32"/>
          <w:szCs w:val="22"/>
          <w:lang w:val="en-US" w:eastAsia="zh-CN" w:bidi="ar-SA"/>
        </w:rPr>
      </w:pPr>
      <w:r>
        <w:rPr>
          <w:rFonts w:hint="eastAsia" w:ascii="Times New Roman" w:hAnsi="Times New Roman" w:eastAsia="仿宋_GB2312" w:cs="Times New Roman"/>
          <w:snapToGrid w:val="0"/>
          <w:kern w:val="2"/>
          <w:sz w:val="32"/>
          <w:szCs w:val="22"/>
          <w:lang w:val="en-US" w:eastAsia="zh-CN" w:bidi="ar-SA"/>
        </w:rPr>
        <w:t>东川区汤丹镇人民政府高度重视蔬菜基地建设示范工程工作，成立由汤丹镇分管领导任组长，镇兽医、林业、国土、农科、安全环保、水务、村委会等负责人为成员的项目建设工作领导小组，负责项目的规划设计、统筹协调、实施监管、收益分配等相关工作。</w:t>
      </w:r>
    </w:p>
    <w:p>
      <w:pPr>
        <w:widowControl/>
        <w:adjustRightInd w:val="0"/>
        <w:snapToGrid w:val="0"/>
        <w:spacing w:line="360" w:lineRule="auto"/>
        <w:ind w:firstLine="800" w:firstLineChars="250"/>
        <w:rPr>
          <w:rFonts w:hint="eastAsia" w:ascii="Times New Roman" w:hAnsi="Times New Roman" w:eastAsia="仿宋_GB2312" w:cs="Times New Roman"/>
          <w:snapToGrid w:val="0"/>
          <w:kern w:val="2"/>
          <w:sz w:val="32"/>
          <w:szCs w:val="22"/>
          <w:lang w:val="en-US" w:eastAsia="zh-CN" w:bidi="ar-SA"/>
        </w:rPr>
      </w:pPr>
      <w:r>
        <w:rPr>
          <w:rFonts w:hint="eastAsia" w:ascii="Times New Roman" w:hAnsi="Times New Roman" w:eastAsia="仿宋_GB2312" w:cs="Times New Roman"/>
          <w:snapToGrid w:val="0"/>
          <w:kern w:val="2"/>
          <w:sz w:val="32"/>
          <w:szCs w:val="22"/>
          <w:lang w:val="en-US" w:eastAsia="zh-CN" w:bidi="ar-SA"/>
        </w:rPr>
        <w:t>领导小组成员充分发挥部门职能，协调联动，积极配合，认真履行职责。项目实行目标考核管理责任制。项目一经批准，由汤丹镇人民政府签订合同书和责任状，实行目标考核管理，坚持当年建设，当年受益，当年发挥示范作用。</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ascii="黑体" w:hAnsi="黑体" w:eastAsia="黑体"/>
          <w:szCs w:val="32"/>
        </w:rPr>
      </w:pPr>
      <w:r>
        <w:rPr>
          <w:rFonts w:hint="eastAsia" w:ascii="黑体" w:hAnsi="黑体" w:eastAsia="黑体"/>
          <w:szCs w:val="32"/>
        </w:rPr>
        <w:t>三、评价结论和绩效分析</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ascii="楷体" w:hAnsi="楷体" w:eastAsia="楷体"/>
          <w:szCs w:val="32"/>
        </w:rPr>
      </w:pPr>
      <w:r>
        <w:rPr>
          <w:rFonts w:hint="eastAsia" w:ascii="楷体" w:hAnsi="楷体" w:eastAsia="楷体"/>
          <w:szCs w:val="32"/>
        </w:rPr>
        <w:t>（一）评价结论。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1.评价结果。经过评价小组对该项目绩效情况进行综合打分，评价总分为</w:t>
      </w:r>
      <w:r>
        <w:rPr>
          <w:rFonts w:hint="eastAsia" w:ascii="仿宋_GB2312" w:eastAsia="仿宋_GB2312"/>
          <w:sz w:val="32"/>
          <w:szCs w:val="32"/>
          <w:lang w:val="en-US" w:eastAsia="zh-CN"/>
        </w:rPr>
        <w:t>100</w:t>
      </w:r>
      <w:r>
        <w:rPr>
          <w:rFonts w:hint="eastAsia" w:ascii="仿宋_GB2312" w:eastAsia="仿宋_GB2312"/>
          <w:sz w:val="32"/>
          <w:szCs w:val="32"/>
        </w:rPr>
        <w:t>分，评价得分为</w:t>
      </w:r>
      <w:r>
        <w:rPr>
          <w:rFonts w:hint="eastAsia" w:ascii="仿宋_GB2312" w:eastAsia="仿宋_GB2312"/>
          <w:sz w:val="32"/>
          <w:szCs w:val="32"/>
          <w:lang w:val="en-US" w:eastAsia="zh-CN"/>
        </w:rPr>
        <w:t>94</w:t>
      </w:r>
      <w:r>
        <w:rPr>
          <w:rFonts w:hint="eastAsia" w:ascii="仿宋_GB2312" w:eastAsia="仿宋_GB2312"/>
          <w:sz w:val="32"/>
          <w:szCs w:val="32"/>
        </w:rPr>
        <w:t>分，评价等级为优秀</w:t>
      </w:r>
      <w:r>
        <w:rPr>
          <w:rFonts w:hint="eastAsia" w:ascii="仿宋_GB2312" w:eastAsia="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2.主要绩效。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项目实施后，项目区灌溉条件得到明显改善后，各作物产量和品质明显提高</w:t>
      </w:r>
      <w:bookmarkStart w:id="0" w:name="_GoBack"/>
      <w:bookmarkEnd w:id="0"/>
      <w:r>
        <w:rPr>
          <w:rFonts w:hint="eastAsia" w:ascii="仿宋_GB2312" w:eastAsia="仿宋_GB2312"/>
          <w:sz w:val="32"/>
          <w:szCs w:val="32"/>
        </w:rPr>
        <w:t>，项目实施后项目区年增加总效益302.68万元，项目区有2334人，项目实施后项目区农民年人均收入增加1296.84元。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蔬菜基地建设示范工程具有区域性、综合性的优势，有利于统筹规划生态环境建设，不断提高生态环境治理的综合效益。通过对资源的有序开发和合理利用，降低资源的消耗和减少环境污染，将更加有效地保护和改善农业生态环境，维护生态平衡，促进农业的可持续发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sz w:val="32"/>
          <w:szCs w:val="32"/>
          <w:lang w:eastAsia="zh-CN"/>
        </w:rPr>
        <w:t>（二）</w:t>
      </w:r>
      <w:r>
        <w:rPr>
          <w:rFonts w:hint="eastAsia" w:ascii="仿宋_GB2312" w:eastAsia="仿宋_GB2312"/>
          <w:sz w:val="32"/>
          <w:szCs w:val="32"/>
          <w:lang w:eastAsia="zh-CN"/>
        </w:rPr>
        <w:t>项目的可持续性分析。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本项目持续时间为</w:t>
      </w:r>
      <w:r>
        <w:rPr>
          <w:rFonts w:hint="eastAsia" w:ascii="仿宋_GB2312" w:eastAsia="仿宋_GB2312"/>
          <w:sz w:val="32"/>
          <w:szCs w:val="32"/>
          <w:lang w:val="en-US" w:eastAsia="zh-CN"/>
        </w:rPr>
        <w:t>10年，</w:t>
      </w:r>
      <w:r>
        <w:rPr>
          <w:rFonts w:hint="eastAsia" w:ascii="仿宋_GB2312" w:eastAsia="仿宋_GB2312"/>
          <w:sz w:val="32"/>
          <w:szCs w:val="32"/>
        </w:rPr>
        <w:t>蔬菜基地建设示范工程具有区域性、综合性的优势，有利于统筹规划生态环境建设，不断提高生态环境治理的综合效益。通过对资源的有序开发和合理利用，降低资源的消耗和减少环境污染，将更加有效地保护和改善农业生态环境，维护生态平衡，促进农业的可持续发展</w:t>
      </w:r>
      <w:r>
        <w:rPr>
          <w:rFonts w:hint="eastAsia" w:ascii="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（三）具体绩效分析。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960" w:firstLineChars="3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1.产出指标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灌溉用水覆盖面积1000亩，机耕路修建公里12公里，机耕路验收合格率90%，机耕路覆盖3500亩计平均成本343元/亩，灌溉用水覆盖1000亩平均成本1700元/亩。</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960" w:firstLineChars="3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2.效益指标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 xml:space="preserve">    带动建档立卡贫困人口脱贫数1394人，收益建档立卡贫困人口数1394人，项目未完成验收，还未投入使用，没有产生效益，待验收完成后和租用方签订租用协议，在租用期间每年支付村集体经济收益15万元。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960" w:firstLineChars="3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3.满意度指标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仿宋_GB2312" w:cs="仿宋_GB2312"/>
          <w:szCs w:val="32"/>
          <w:lang w:val="en-US" w:eastAsia="zh-CN"/>
        </w:rPr>
      </w:pPr>
      <w:r>
        <w:rPr>
          <w:rFonts w:hint="default" w:ascii="仿宋_GB2312" w:hAnsi="仿宋_GB2312" w:cs="仿宋_GB2312"/>
          <w:szCs w:val="32"/>
          <w:lang w:val="en-US" w:eastAsia="zh-CN"/>
        </w:rPr>
        <w:t>覆盖土地面积农户满意度</w:t>
      </w:r>
      <w:r>
        <w:rPr>
          <w:rFonts w:hint="eastAsia" w:ascii="仿宋_GB2312" w:hAnsi="仿宋_GB2312" w:cs="仿宋_GB2312"/>
          <w:szCs w:val="32"/>
          <w:lang w:val="en-US" w:eastAsia="zh-CN"/>
        </w:rPr>
        <w:t>达</w:t>
      </w:r>
      <w:r>
        <w:rPr>
          <w:rFonts w:hint="default" w:ascii="仿宋_GB2312" w:hAnsi="仿宋_GB2312" w:cs="仿宋_GB2312"/>
          <w:szCs w:val="32"/>
          <w:lang w:val="en-US" w:eastAsia="zh-CN"/>
        </w:rPr>
        <w:t>90%</w:t>
      </w:r>
      <w:r>
        <w:rPr>
          <w:rFonts w:hint="eastAsia" w:ascii="仿宋_GB2312" w:hAnsi="仿宋_GB2312" w:cs="仿宋_GB231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
        </w:rPr>
      </w:pPr>
      <w:r>
        <w:rPr>
          <w:rFonts w:hint="eastAsia" w:ascii="黑体" w:hAnsi="黑体" w:eastAsia="黑体"/>
          <w:szCs w:val="32"/>
          <w:lang w:eastAsia="zh-CN"/>
        </w:rPr>
        <w:t>四、</w:t>
      </w:r>
      <w:r>
        <w:rPr>
          <w:rFonts w:hint="eastAsia" w:ascii="黑体" w:hAnsi="黑体" w:eastAsia="黑体"/>
          <w:szCs w:val="32"/>
        </w:rPr>
        <w:t>成本效益分析。</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szCs w:val="32"/>
        </w:rPr>
      </w:pPr>
      <w:r>
        <w:rPr>
          <w:rFonts w:hint="eastAsia" w:ascii="仿宋_GB2312" w:hAnsi="仿宋"/>
          <w:szCs w:val="32"/>
          <w:lang w:eastAsia="zh-CN"/>
        </w:rPr>
        <w:t>项目资金由汤丹镇财政所统一管理，严格执行《东川区统筹整合使用财政涉农资金管理办法（暂行）》（东政办发〔2017〕111号），加强资金管理，不得虚报、冒领、截留、挤占、挪用财政涉农资金。</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五、主要经验及做法、存在的问题和建议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lang w:eastAsia="zh-CN"/>
        </w:rPr>
      </w:pPr>
      <w:r>
        <w:rPr>
          <w:rFonts w:hint="eastAsia" w:ascii="仿宋_GB2312" w:hAnsi="仿宋_GB2312" w:eastAsia="仿宋_GB2312" w:cs="仿宋_GB2312"/>
          <w:szCs w:val="32"/>
          <w:lang w:eastAsia="zh-CN"/>
        </w:rPr>
        <w:t>汤丹镇作为主管单位，责任单位，通过比选招投标，确定实施单位，监理单位负责全程监管。</w:t>
      </w:r>
    </w:p>
    <w:p>
      <w:pPr>
        <w:keepNext w:val="0"/>
        <w:keepLines w:val="0"/>
        <w:pageBreakBefore w:val="0"/>
        <w:widowControl w:val="0"/>
        <w:kinsoku/>
        <w:wordWrap/>
        <w:overflowPunct/>
        <w:topLinePunct/>
        <w:autoSpaceDE/>
        <w:autoSpaceDN/>
        <w:bidi w:val="0"/>
        <w:adjustRightInd/>
        <w:snapToGrid/>
        <w:spacing w:line="560" w:lineRule="exact"/>
        <w:textAlignment w:val="auto"/>
        <w:rPr>
          <w:rFonts w:ascii="仿宋_GB2312"/>
          <w:szCs w:val="32"/>
        </w:rPr>
      </w:pPr>
      <w:r>
        <w:rPr>
          <w:rFonts w:hint="eastAsia" w:ascii="仿宋_GB2312"/>
          <w:szCs w:val="32"/>
        </w:rPr>
        <w:t xml:space="preserve">                         </w:t>
      </w:r>
    </w:p>
    <w:p>
      <w:pPr>
        <w:keepNext w:val="0"/>
        <w:keepLines w:val="0"/>
        <w:pageBreakBefore w:val="0"/>
        <w:widowControl w:val="0"/>
        <w:kinsoku/>
        <w:wordWrap/>
        <w:overflowPunct/>
        <w:autoSpaceDE/>
        <w:autoSpaceDN/>
        <w:bidi w:val="0"/>
        <w:adjustRightInd/>
        <w:snapToGrid/>
        <w:spacing w:line="560" w:lineRule="exact"/>
        <w:ind w:right="640" w:firstLine="4640" w:firstLineChars="1450"/>
        <w:textAlignment w:val="auto"/>
        <w:rPr>
          <w:rFonts w:ascii="仿宋_GB2312"/>
          <w:szCs w:val="32"/>
        </w:rPr>
      </w:pPr>
      <w:r>
        <w:rPr>
          <w:rFonts w:hint="eastAsia" w:ascii="仿宋_GB2312"/>
          <w:szCs w:val="32"/>
        </w:rPr>
        <w:t xml:space="preserve">                     </w:t>
      </w:r>
    </w:p>
    <w:p>
      <w:pPr>
        <w:keepNext w:val="0"/>
        <w:keepLines w:val="0"/>
        <w:pageBreakBefore w:val="0"/>
        <w:widowControl w:val="0"/>
        <w:kinsoku/>
        <w:wordWrap/>
        <w:overflowPunct/>
        <w:autoSpaceDE/>
        <w:autoSpaceDN/>
        <w:bidi w:val="0"/>
        <w:adjustRightInd/>
        <w:snapToGrid/>
        <w:spacing w:line="560" w:lineRule="exact"/>
        <w:jc w:val="right"/>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textAlignment w:val="auto"/>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8506"/>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1291"/>
    <w:multiLevelType w:val="singleLevel"/>
    <w:tmpl w:val="20B512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0"/>
    <w:rsid w:val="00054C6A"/>
    <w:rsid w:val="000841CB"/>
    <w:rsid w:val="00086515"/>
    <w:rsid w:val="000C01DF"/>
    <w:rsid w:val="00125270"/>
    <w:rsid w:val="00222D46"/>
    <w:rsid w:val="002C3BB8"/>
    <w:rsid w:val="002E6FAC"/>
    <w:rsid w:val="003246C4"/>
    <w:rsid w:val="00326DB1"/>
    <w:rsid w:val="00370D7D"/>
    <w:rsid w:val="003907BA"/>
    <w:rsid w:val="00393C64"/>
    <w:rsid w:val="003D21F8"/>
    <w:rsid w:val="004918BA"/>
    <w:rsid w:val="00496BAB"/>
    <w:rsid w:val="004A1F68"/>
    <w:rsid w:val="004B1A68"/>
    <w:rsid w:val="004C523A"/>
    <w:rsid w:val="00535A44"/>
    <w:rsid w:val="00540F9B"/>
    <w:rsid w:val="00575D8D"/>
    <w:rsid w:val="005867A9"/>
    <w:rsid w:val="005C3710"/>
    <w:rsid w:val="005D4EE4"/>
    <w:rsid w:val="00616C77"/>
    <w:rsid w:val="006337B1"/>
    <w:rsid w:val="0069000A"/>
    <w:rsid w:val="006B786A"/>
    <w:rsid w:val="006C2FDE"/>
    <w:rsid w:val="00772336"/>
    <w:rsid w:val="007F44F2"/>
    <w:rsid w:val="00816617"/>
    <w:rsid w:val="0082177A"/>
    <w:rsid w:val="00941BE2"/>
    <w:rsid w:val="009836A0"/>
    <w:rsid w:val="009B3426"/>
    <w:rsid w:val="00A0388C"/>
    <w:rsid w:val="00A105D5"/>
    <w:rsid w:val="00AD45DF"/>
    <w:rsid w:val="00B308CE"/>
    <w:rsid w:val="00BB7ADC"/>
    <w:rsid w:val="00C11940"/>
    <w:rsid w:val="00C12774"/>
    <w:rsid w:val="00C175B2"/>
    <w:rsid w:val="00C97A01"/>
    <w:rsid w:val="00D00BFE"/>
    <w:rsid w:val="00D25F90"/>
    <w:rsid w:val="00D31E38"/>
    <w:rsid w:val="00DB291C"/>
    <w:rsid w:val="00DE1165"/>
    <w:rsid w:val="00E27CCA"/>
    <w:rsid w:val="00E8543D"/>
    <w:rsid w:val="00ED3AAB"/>
    <w:rsid w:val="048F35C1"/>
    <w:rsid w:val="0B565F73"/>
    <w:rsid w:val="150D2A5B"/>
    <w:rsid w:val="18330DA6"/>
    <w:rsid w:val="23C21593"/>
    <w:rsid w:val="24551289"/>
    <w:rsid w:val="2A182E9F"/>
    <w:rsid w:val="365F690F"/>
    <w:rsid w:val="36ED7CF8"/>
    <w:rsid w:val="3B2C4025"/>
    <w:rsid w:val="492B744C"/>
    <w:rsid w:val="4BCE66BA"/>
    <w:rsid w:val="4E1F6D60"/>
    <w:rsid w:val="57BC7CB4"/>
    <w:rsid w:val="60944333"/>
    <w:rsid w:val="66BD1847"/>
    <w:rsid w:val="68271D88"/>
    <w:rsid w:val="6AFA6268"/>
    <w:rsid w:val="76980735"/>
    <w:rsid w:val="78BE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3"/>
    <w:basedOn w:val="1"/>
    <w:next w:val="1"/>
    <w:qFormat/>
    <w:uiPriority w:val="0"/>
    <w:pPr>
      <w:keepNext/>
      <w:keepLines/>
      <w:adjustRightInd w:val="0"/>
      <w:snapToGrid w:val="0"/>
      <w:spacing w:line="360" w:lineRule="auto"/>
      <w:outlineLvl w:val="2"/>
    </w:pPr>
    <w:rPr>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样式 表头 + 段前: 1 行"/>
    <w:basedOn w:val="1"/>
    <w:qFormat/>
    <w:uiPriority w:val="0"/>
    <w:pPr>
      <w:autoSpaceDE w:val="0"/>
      <w:autoSpaceDN w:val="0"/>
      <w:adjustRightInd w:val="0"/>
      <w:spacing w:before="50" w:beforeLines="50"/>
      <w:jc w:val="center"/>
    </w:pPr>
    <w:rPr>
      <w:rFonts w:ascii="黑体" w:eastAsia="黑体" w:cs="宋体"/>
      <w:color w:val="000000"/>
      <w:sz w:val="28"/>
      <w:szCs w:val="20"/>
    </w:rPr>
  </w:style>
  <w:style w:type="paragraph" w:customStyle="1" w:styleId="10">
    <w:name w:val="p0"/>
    <w:basedOn w:val="1"/>
    <w:uiPriority w:val="0"/>
    <w:pPr>
      <w:widowControl/>
      <w:adjustRightInd w:val="0"/>
      <w:snapToGrid w:val="0"/>
      <w:spacing w:line="365" w:lineRule="atLeast"/>
      <w:ind w:left="1" w:firstLine="200" w:firstLineChars="200"/>
      <w:textAlignment w:val="bottom"/>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753</Characters>
  <Lines>6</Lines>
  <Paragraphs>1</Paragraphs>
  <TotalTime>13</TotalTime>
  <ScaleCrop>false</ScaleCrop>
  <LinksUpToDate>false</LinksUpToDate>
  <CharactersWithSpaces>883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2018-05-02T03:22:00Z</dcterms:created>
  <dc:creator>user</dc:creator>
  <cp:lastModifiedBy>奋斗的小鹿</cp:lastModifiedBy>
  <dcterms:modified xsi:type="dcterms:W3CDTF">2020-08-11T02:24:43Z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