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eastAsia="方正小标宋简体"/>
          <w:sz w:val="40"/>
          <w:szCs w:val="40"/>
          <w:lang w:eastAsia="zh-CN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汤丹镇木瓜种植水基础设施建设项目支出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eastAsia="方正小标宋简体"/>
          <w:sz w:val="40"/>
          <w:szCs w:val="40"/>
          <w:lang w:eastAsia="zh-CN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eastAsia="方正小标宋简体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  <w:lang w:eastAsia="zh-CN"/>
        </w:rPr>
        <w:t>一、</w:t>
      </w:r>
      <w:r>
        <w:rPr>
          <w:rFonts w:hint="eastAsia" w:ascii="黑体" w:eastAsia="黑体"/>
          <w:szCs w:val="32"/>
        </w:rPr>
        <w:t>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</w:rPr>
        <w:t>根据《东川区人民政府扶贫开发办公室东川区财政局 东川区农业农村局关于下达2019年第八批整合使用财政涉农资金的通知》（东扶联发〔2019〕12号）文件，</w:t>
      </w:r>
      <w:r>
        <w:rPr>
          <w:rFonts w:hint="eastAsia" w:ascii="仿宋_GB2312"/>
          <w:szCs w:val="32"/>
          <w:lang w:eastAsia="zh-CN"/>
        </w:rPr>
        <w:t>共下达资金</w:t>
      </w:r>
      <w:r>
        <w:rPr>
          <w:rFonts w:hint="eastAsia" w:ascii="仿宋_GB2312"/>
          <w:szCs w:val="32"/>
          <w:lang w:val="en-US" w:eastAsia="zh-CN"/>
        </w:rPr>
        <w:t>261.4万元，主要用于：发展汤丹镇洒海村木瓜种植产业。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eastAsia="zh-CN"/>
        </w:rPr>
        <w:t>已完成</w:t>
      </w:r>
      <w:r>
        <w:rPr>
          <w:rFonts w:hint="eastAsia" w:ascii="仿宋_GB2312"/>
          <w:szCs w:val="32"/>
          <w:lang w:val="en-US" w:eastAsia="zh-CN"/>
        </w:rPr>
        <w:t>全部项目建设内容，总投入资金261.4万元，现已使用资金221.12万元，剩余尾款40.28万元，待验收审计后，进行拨付。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hAnsi="黑体" w:eastAsia="黑体"/>
          <w:szCs w:val="32"/>
        </w:rPr>
        <w:t>绩效评价工作情况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楷体_GB2312" w:eastAsia="楷体_GB2312"/>
          <w:szCs w:val="32"/>
        </w:rPr>
      </w:pPr>
      <w:r>
        <w:rPr>
          <w:rFonts w:hint="eastAsia" w:ascii="仿宋_GB2312"/>
          <w:szCs w:val="32"/>
        </w:rPr>
        <w:t>（一）</w:t>
      </w:r>
      <w:r>
        <w:rPr>
          <w:rFonts w:hint="eastAsia" w:ascii="楷体_GB2312" w:eastAsia="楷体_GB2312"/>
          <w:szCs w:val="32"/>
        </w:rPr>
        <w:t>绩效评价的目的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napToGrid w:val="0"/>
          <w:szCs w:val="22"/>
        </w:rPr>
      </w:pPr>
      <w:r>
        <w:rPr>
          <w:rFonts w:hint="eastAsia"/>
          <w:snapToGrid w:val="0"/>
          <w:szCs w:val="22"/>
        </w:rPr>
        <w:t>全面了解项目管理过程是否规范、产出目标是否完成以及效果目标是否实现等方面的内容，总结经验，查找不足，为项目在以后年度的开展提供可行性参考建议。在此基础上，重点分析项目预算编制的合理性、成本支出的真实性和控制有效性，评价财政资金的使用效率和效果，为以后年度编制项目预算、选择项目实施主体等提供参考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（二）项目资金使用情况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val="en-US" w:eastAsia="zh-CN"/>
        </w:rPr>
        <w:t>总投入资金261.4万元，</w:t>
      </w:r>
      <w:r>
        <w:rPr>
          <w:rFonts w:hint="eastAsia" w:ascii="仿宋_GB2312"/>
          <w:szCs w:val="32"/>
          <w:lang w:eastAsia="zh-CN"/>
        </w:rPr>
        <w:t>完成DN50镀锌钢管供水主管建设20条，长8946.16m；新建调节水池6个，为50立方米定型水池；铺设滴灌管860亩。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（三）项目组织管理情况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严格按照</w:t>
      </w:r>
      <w:r>
        <w:rPr>
          <w:rFonts w:hint="eastAsia" w:ascii="仿宋_GB2312"/>
          <w:sz w:val="32"/>
          <w:szCs w:val="32"/>
          <w:lang w:eastAsia="zh-CN"/>
        </w:rPr>
        <w:t>资金使用规范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/>
          <w:szCs w:val="32"/>
        </w:rPr>
        <w:t>制定了镇实施方案、村实施方案及资金管理方案，各个环节严格按照文件要求进行操作，资金拨付及时，未出现截留、挪用的现象。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三、评价结论和绩效分析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（一）评价结论。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Cs w:val="32"/>
        </w:rPr>
        <w:t>1.评价结果。经过评价小组对该项目绩效情况进行综合打分，评价总分为</w:t>
      </w:r>
      <w:r>
        <w:rPr>
          <w:rFonts w:hint="eastAsia" w:ascii="仿宋_GB2312" w:hAnsi="仿宋_GB2312" w:cs="仿宋_GB231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Cs w:val="32"/>
        </w:rPr>
        <w:t>分，评价得分为</w:t>
      </w:r>
      <w:r>
        <w:rPr>
          <w:rFonts w:hint="eastAsia" w:ascii="仿宋_GB2312" w:hAnsi="仿宋_GB2312" w:cs="仿宋_GB2312"/>
          <w:szCs w:val="32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szCs w:val="32"/>
        </w:rPr>
        <w:t>分，评价等级为优秀</w:t>
      </w:r>
      <w:r>
        <w:rPr>
          <w:rFonts w:hint="eastAsia" w:ascii="仿宋_GB2312" w:hAnsi="仿宋_GB2312" w:cs="仿宋_GB231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2.主要绩效。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bookmarkStart w:id="0" w:name="_Toc259008756"/>
      <w:r>
        <w:rPr>
          <w:rFonts w:hint="eastAsia"/>
          <w:snapToGrid w:val="0"/>
          <w:szCs w:val="22"/>
          <w:lang w:val="en-US" w:eastAsia="zh-CN"/>
        </w:rPr>
        <w:t>项目实施后，项目区灌溉条件得到明显改善后，各作物产量和品质明显提高。木瓜基地建设示范工程具有区域性、综合性的优势，有利于统筹规划生态环境建设，不断提高生态环境治理的综合效益。通过对资源的有序开发和合理利用，降低资源的消耗和减少环境污染，将更加有效地保护和改善农业生态环境，维护生态平衡，促进农业的可持续发展。</w:t>
      </w:r>
      <w:r>
        <w:rPr>
          <w:rFonts w:hint="eastAsia" w:ascii="仿宋_GB2312" w:hAnsi="仿宋_GB2312" w:eastAsia="仿宋_GB2312" w:cs="仿宋_GB2312"/>
          <w:szCs w:val="32"/>
        </w:rPr>
        <w:t>项目实施后项目区涉及的灌溉及交通效益为62.98万元。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"/>
          <w:szCs w:val="32"/>
          <w:lang w:eastAsia="zh-CN"/>
        </w:rPr>
      </w:pPr>
      <w:r>
        <w:rPr>
          <w:rFonts w:hint="eastAsia" w:ascii="仿宋_GB2312" w:hAnsi="仿宋"/>
          <w:szCs w:val="32"/>
          <w:lang w:eastAsia="zh-CN"/>
        </w:rPr>
        <w:t>项目的可持续性分析。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Cs w:val="32"/>
          <w:lang w:eastAsia="zh-CN"/>
        </w:rPr>
      </w:pPr>
      <w:r>
        <w:rPr>
          <w:rFonts w:hint="eastAsia" w:ascii="仿宋_GB2312" w:hAnsi="仿宋"/>
          <w:szCs w:val="32"/>
          <w:lang w:eastAsia="zh-CN"/>
        </w:rPr>
        <w:t>本项目持续时间为</w:t>
      </w:r>
      <w:r>
        <w:rPr>
          <w:rFonts w:hint="eastAsia" w:ascii="仿宋_GB2312" w:hAnsi="仿宋"/>
          <w:szCs w:val="32"/>
          <w:lang w:val="en-US" w:eastAsia="zh-CN"/>
        </w:rPr>
        <w:t>6年，</w:t>
      </w:r>
      <w:r>
        <w:rPr>
          <w:rFonts w:hint="eastAsia" w:ascii="仿宋_GB2312" w:hAnsi="仿宋"/>
          <w:szCs w:val="32"/>
          <w:lang w:eastAsia="zh-CN"/>
        </w:rPr>
        <w:t>为汤丹的经济、社会发展提供了强有力保障。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default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楷体" w:hAnsi="楷体" w:eastAsia="楷体"/>
          <w:szCs w:val="32"/>
        </w:rPr>
        <w:t>具体绩效分析。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1.产出指标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贫困地区贫困人口加入合作社、村集体经济组织人数1183人，完成DN50镀锌钢管供水主管建设20条，长8946.16m，新建调节水池6个，为50立方米定型水池，铺设滴灌管860亩，参与扶贫就业车间人数50人，木瓜种植成活率95%；木瓜种植基地建设成本3040元/亩，供水管网架设成本115元/米，滴管建设每亩成本1500元/亩，水池建设成本50000元/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2.效益指标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实现</w:t>
      </w:r>
      <w:r>
        <w:rPr>
          <w:rFonts w:hint="default" w:ascii="仿宋_GB2312" w:hAnsi="仿宋_GB2312" w:cs="仿宋_GB2312"/>
          <w:szCs w:val="32"/>
          <w:lang w:val="en-US" w:eastAsia="zh-CN"/>
        </w:rPr>
        <w:t>资产股权年收益率</w:t>
      </w:r>
      <w:r>
        <w:rPr>
          <w:rFonts w:hint="eastAsia" w:ascii="仿宋_GB2312" w:hAnsi="仿宋_GB2312" w:cs="仿宋_GB2312"/>
          <w:szCs w:val="32"/>
          <w:lang w:val="en-US" w:eastAsia="zh-CN"/>
        </w:rPr>
        <w:t>5%，村集体经济年收入13万元，带动增加贫困人口全年总收入91万元，带动建档立卡贫困人口脱贫数1183人。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3.满意度指标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default" w:ascii="仿宋_GB2312" w:hAnsi="仿宋_GB2312" w:cs="仿宋_GB2312"/>
          <w:szCs w:val="32"/>
          <w:lang w:val="en-US" w:eastAsia="zh-CN"/>
        </w:rPr>
        <w:t>资产入股贫困人口满意度</w:t>
      </w:r>
      <w:r>
        <w:rPr>
          <w:rFonts w:hint="eastAsia" w:ascii="仿宋_GB2312" w:hAnsi="仿宋_GB2312" w:cs="仿宋_GB2312"/>
          <w:szCs w:val="32"/>
          <w:lang w:val="en-US" w:eastAsia="zh-CN"/>
        </w:rPr>
        <w:t>达</w:t>
      </w:r>
      <w:r>
        <w:rPr>
          <w:rFonts w:hint="default" w:ascii="仿宋_GB2312" w:hAnsi="仿宋_GB2312" w:cs="仿宋_GB2312"/>
          <w:szCs w:val="32"/>
          <w:lang w:val="en-US" w:eastAsia="zh-CN"/>
        </w:rPr>
        <w:t>90%</w:t>
      </w:r>
      <w:r>
        <w:rPr>
          <w:rFonts w:hint="eastAsia" w:ascii="仿宋_GB2312" w:hAnsi="仿宋_GB2312" w:cs="仿宋_GB231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/>
        </w:rPr>
      </w:pPr>
      <w:r>
        <w:rPr>
          <w:rFonts w:hint="eastAsia" w:ascii="黑体" w:hAnsi="黑体" w:eastAsia="黑体"/>
          <w:szCs w:val="32"/>
          <w:lang w:eastAsia="zh-CN"/>
        </w:rPr>
        <w:t>四、</w:t>
      </w:r>
      <w:r>
        <w:rPr>
          <w:rFonts w:hint="eastAsia" w:ascii="黑体" w:hAnsi="黑体" w:eastAsia="黑体"/>
          <w:szCs w:val="32"/>
        </w:rPr>
        <w:t>成本效益分析。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/>
          <w:szCs w:val="32"/>
        </w:rPr>
      </w:pPr>
      <w:bookmarkStart w:id="1" w:name="_GoBack"/>
      <w:bookmarkEnd w:id="1"/>
      <w:r>
        <w:rPr>
          <w:rFonts w:hint="eastAsia" w:ascii="仿宋_GB2312" w:hAnsi="仿宋"/>
          <w:szCs w:val="32"/>
          <w:lang w:eastAsia="zh-CN"/>
        </w:rPr>
        <w:t>木瓜种植水基础设施建设项目资金由汤丹镇财政所统一管理，严格执行《东川区统筹整合使用财政涉农资金管理办法（暂行）》（东政办发〔2017〕111号），加强资金管理，不得虚报、冒领、截留、挤占、挪用财政涉农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五、主要经验及做法、存在的问题和建议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/>
          <w:szCs w:val="32"/>
          <w:lang w:eastAsia="zh-CN"/>
        </w:rPr>
      </w:pPr>
      <w:r>
        <w:rPr>
          <w:rFonts w:hint="eastAsia" w:ascii="楷体" w:hAnsi="楷体" w:eastAsia="楷体"/>
          <w:szCs w:val="32"/>
        </w:rPr>
        <w:t>（一）主要经验及做法；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汤丹镇作为主管单位，责任单位，通过比选招投标，确定实施单位，监理单位负责全程监管。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/>
          <w:szCs w:val="32"/>
        </w:rPr>
      </w:pPr>
      <w:r>
        <w:rPr>
          <w:rFonts w:hint="eastAsia" w:ascii="楷体" w:hAnsi="楷体" w:eastAsia="楷体"/>
          <w:szCs w:val="32"/>
        </w:rPr>
        <w:t>（二）存在的问题；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资金补助少，项目建设要求高，项目实施地环境恶劣。</w:t>
      </w:r>
      <w:r>
        <w:rPr>
          <w:rFonts w:hint="eastAsia" w:ascii="仿宋_GB2312"/>
          <w:szCs w:val="32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58506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641A90"/>
    <w:multiLevelType w:val="singleLevel"/>
    <w:tmpl w:val="9B641A9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9205F1D"/>
    <w:multiLevelType w:val="singleLevel"/>
    <w:tmpl w:val="79205F1D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40"/>
    <w:rsid w:val="00054C6A"/>
    <w:rsid w:val="000841CB"/>
    <w:rsid w:val="00086515"/>
    <w:rsid w:val="000C01DF"/>
    <w:rsid w:val="00125270"/>
    <w:rsid w:val="00222D46"/>
    <w:rsid w:val="002C3BB8"/>
    <w:rsid w:val="002E6FAC"/>
    <w:rsid w:val="003246C4"/>
    <w:rsid w:val="00326DB1"/>
    <w:rsid w:val="00370D7D"/>
    <w:rsid w:val="003907BA"/>
    <w:rsid w:val="00393C64"/>
    <w:rsid w:val="003D21F8"/>
    <w:rsid w:val="004918BA"/>
    <w:rsid w:val="00496BAB"/>
    <w:rsid w:val="004A1F68"/>
    <w:rsid w:val="004B1A68"/>
    <w:rsid w:val="004C523A"/>
    <w:rsid w:val="00535A44"/>
    <w:rsid w:val="00540F9B"/>
    <w:rsid w:val="00575D8D"/>
    <w:rsid w:val="005867A9"/>
    <w:rsid w:val="005C3710"/>
    <w:rsid w:val="005D4EE4"/>
    <w:rsid w:val="00616C77"/>
    <w:rsid w:val="006337B1"/>
    <w:rsid w:val="0069000A"/>
    <w:rsid w:val="006B786A"/>
    <w:rsid w:val="006C2FDE"/>
    <w:rsid w:val="00772336"/>
    <w:rsid w:val="007F44F2"/>
    <w:rsid w:val="00816617"/>
    <w:rsid w:val="0082177A"/>
    <w:rsid w:val="00941BE2"/>
    <w:rsid w:val="009836A0"/>
    <w:rsid w:val="009B3426"/>
    <w:rsid w:val="00A0388C"/>
    <w:rsid w:val="00A105D5"/>
    <w:rsid w:val="00AD45DF"/>
    <w:rsid w:val="00B308CE"/>
    <w:rsid w:val="00BB7ADC"/>
    <w:rsid w:val="00C11940"/>
    <w:rsid w:val="00C12774"/>
    <w:rsid w:val="00C175B2"/>
    <w:rsid w:val="00C97A01"/>
    <w:rsid w:val="00D00BFE"/>
    <w:rsid w:val="00D25F90"/>
    <w:rsid w:val="00D31E38"/>
    <w:rsid w:val="00DB291C"/>
    <w:rsid w:val="00DE1165"/>
    <w:rsid w:val="00E27CCA"/>
    <w:rsid w:val="00E8543D"/>
    <w:rsid w:val="00ED3AAB"/>
    <w:rsid w:val="0B565F73"/>
    <w:rsid w:val="1B501E3F"/>
    <w:rsid w:val="23C21593"/>
    <w:rsid w:val="24551289"/>
    <w:rsid w:val="2A182E9F"/>
    <w:rsid w:val="36ED7CF8"/>
    <w:rsid w:val="376E4F5B"/>
    <w:rsid w:val="3B2C4025"/>
    <w:rsid w:val="492B744C"/>
    <w:rsid w:val="49D215D4"/>
    <w:rsid w:val="4E1F6D60"/>
    <w:rsid w:val="57BC7CB4"/>
    <w:rsid w:val="66BD1847"/>
    <w:rsid w:val="68271D88"/>
    <w:rsid w:val="69072984"/>
    <w:rsid w:val="6AFA6268"/>
    <w:rsid w:val="7206268E"/>
    <w:rsid w:val="72EE3C72"/>
    <w:rsid w:val="7698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outlineLvl w:val="2"/>
    </w:pPr>
    <w:rPr>
      <w:b/>
      <w:bCs/>
      <w:kern w:val="0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样式 表头 + 段前: 1 行"/>
    <w:basedOn w:val="1"/>
    <w:qFormat/>
    <w:uiPriority w:val="0"/>
    <w:pPr>
      <w:autoSpaceDE w:val="0"/>
      <w:autoSpaceDN w:val="0"/>
      <w:adjustRightInd w:val="0"/>
      <w:spacing w:before="50" w:beforeLines="50"/>
      <w:jc w:val="center"/>
    </w:pPr>
    <w:rPr>
      <w:rFonts w:ascii="黑体" w:eastAsia="黑体" w:cs="宋体"/>
      <w:color w:val="000000"/>
      <w:sz w:val="28"/>
      <w:szCs w:val="20"/>
    </w:rPr>
  </w:style>
  <w:style w:type="paragraph" w:customStyle="1" w:styleId="10">
    <w:name w:val="p0"/>
    <w:basedOn w:val="1"/>
    <w:qFormat/>
    <w:uiPriority w:val="0"/>
    <w:pPr>
      <w:widowControl/>
      <w:adjustRightInd w:val="0"/>
      <w:snapToGrid w:val="0"/>
      <w:spacing w:line="365" w:lineRule="atLeast"/>
      <w:ind w:left="1" w:firstLine="200" w:firstLineChars="200"/>
      <w:textAlignment w:val="bottom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131</Words>
  <Characters>753</Characters>
  <Lines>6</Lines>
  <Paragraphs>1</Paragraphs>
  <TotalTime>30</TotalTime>
  <ScaleCrop>false</ScaleCrop>
  <LinksUpToDate>false</LinksUpToDate>
  <CharactersWithSpaces>883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2018-05-02T03:22:00Z</dcterms:created>
  <dc:creator>user</dc:creator>
  <cp:lastModifiedBy>奋斗的小鹿</cp:lastModifiedBy>
  <dcterms:modified xsi:type="dcterms:W3CDTF">2020-08-11T03:21:28Z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