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845"/>
        </w:tabs>
        <w:jc w:val="center"/>
        <w:rPr>
          <w:rFonts w:hint="eastAsia" w:ascii="宋体" w:hAnsi="宋体" w:eastAsia="仿宋_GB2312"/>
          <w:sz w:val="24"/>
          <w:lang w:val="en-US" w:eastAsia="zh-CN"/>
        </w:rPr>
      </w:pPr>
      <w:r>
        <w:rPr>
          <w:rFonts w:hint="eastAsia" w:ascii="方正小标宋简体" w:hAnsi="方正小标宋简体" w:eastAsia="方正小标宋简体" w:cs="方正小标宋简体"/>
          <w:sz w:val="32"/>
          <w:szCs w:val="32"/>
          <w:lang w:val="en-US" w:eastAsia="zh-CN"/>
        </w:rPr>
        <w:t>目   录</w:t>
      </w:r>
      <w:bookmarkStart w:id="87" w:name="_GoBack"/>
      <w:bookmarkEnd w:id="87"/>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sz w:val="24"/>
          <w:lang w:val="en-US" w:eastAsia="zh-CN"/>
        </w:rPr>
        <w:fldChar w:fldCharType="begin"/>
      </w:r>
      <w:r>
        <w:rPr>
          <w:rFonts w:hint="eastAsia" w:ascii="宋体" w:hAnsi="宋体" w:eastAsia="仿宋_GB2312"/>
          <w:sz w:val="24"/>
          <w:lang w:val="en-US" w:eastAsia="zh-CN"/>
        </w:rPr>
        <w:instrText xml:space="preserve">TOC \o "1-3" \h \u </w:instrText>
      </w:r>
      <w:r>
        <w:rPr>
          <w:rFonts w:hint="eastAsia" w:ascii="宋体" w:hAnsi="宋体" w:eastAsia="仿宋_GB2312"/>
          <w:sz w:val="24"/>
          <w:lang w:val="en-US" w:eastAsia="zh-CN"/>
        </w:rPr>
        <w:fldChar w:fldCharType="separate"/>
      </w: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_Toc9319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方正小标宋简体"/>
          <w:kern w:val="2"/>
          <w:sz w:val="24"/>
          <w:lang w:val="en-US" w:eastAsia="zh-CN" w:bidi="ar-SA"/>
        </w:rPr>
        <w:t>摘  要</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_Toc9319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1</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_Toc8407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一、项目基本情况</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_Toc8407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3</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_Toc7535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（一）项目概况</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_Toc7535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3</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_Toc20450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（二）组织及管理情况</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_Toc20450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3</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_Toc1542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（三）绩效目标</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_Toc1542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5</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_Toc26770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二、绩效评价工作情况</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_Toc26770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5</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_Toc10672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（一）绩效评价目的</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_Toc10672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5</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_Toc1282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（二）绩效评价工作方案制定过程</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_Toc1282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5</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_Toc19513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（三）绩效评价原则、评价方法</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_Toc19513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6</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_Toc2942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（四）绩效评价实施过程</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_Toc2942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6</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_Toc28071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（五）本次绩效评价的局限性</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_Toc28071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7</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_Toc2865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三、评价结论和绩效分析</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_Toc2865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7</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_Toc15022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（一）评价结论</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_Toc15022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7</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_Toc22360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（二）具体绩效分析</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_Toc22360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7</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_Toc30117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四、成本效益分析</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_Toc30117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8</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4"/>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_Toc7375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五、主要经验及做法、存在的问题和建议</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_Toc7375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9</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_Toc17491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（一）主要经验及做法</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_Toc17491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9</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_Toc19758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（二）存在的问题</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_Toc19758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9</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pStyle w:val="17"/>
        <w:tabs>
          <w:tab w:val="right" w:leader="dot" w:pos="8845"/>
        </w:tabs>
        <w:rPr>
          <w:rFonts w:ascii="宋体" w:hAnsi="宋体" w:eastAsia="仿宋_GB2312" w:cs="Times New Roman"/>
          <w:kern w:val="2"/>
          <w:sz w:val="24"/>
          <w:lang w:val="en-US" w:eastAsia="zh-CN" w:bidi="ar-SA"/>
        </w:rPr>
      </w:pPr>
      <w:r>
        <w:rPr>
          <w:rFonts w:hint="eastAsia" w:ascii="宋体" w:hAnsi="宋体" w:eastAsia="仿宋_GB2312" w:cs="Times New Roman"/>
          <w:kern w:val="2"/>
          <w:sz w:val="24"/>
          <w:lang w:val="en-US" w:eastAsia="zh-CN" w:bidi="ar-SA"/>
        </w:rPr>
        <w:fldChar w:fldCharType="begin"/>
      </w:r>
      <w:r>
        <w:rPr>
          <w:rFonts w:hint="eastAsia" w:ascii="宋体" w:hAnsi="宋体" w:eastAsia="仿宋_GB2312" w:cs="Times New Roman"/>
          <w:kern w:val="2"/>
          <w:sz w:val="24"/>
          <w:lang w:val="en-US" w:eastAsia="zh-CN" w:bidi="ar-SA"/>
        </w:rPr>
        <w:instrText xml:space="preserve"> HYPERLINK \l _Toc28950 </w:instrText>
      </w:r>
      <w:r>
        <w:rPr>
          <w:rFonts w:hint="eastAsia" w:ascii="宋体" w:hAnsi="宋体" w:eastAsia="仿宋_GB2312" w:cs="Times New Roman"/>
          <w:kern w:val="2"/>
          <w:sz w:val="24"/>
          <w:lang w:val="en-US" w:eastAsia="zh-CN" w:bidi="ar-SA"/>
        </w:rPr>
        <w:fldChar w:fldCharType="separate"/>
      </w:r>
      <w:r>
        <w:rPr>
          <w:rFonts w:hint="eastAsia" w:ascii="宋体" w:hAnsi="宋体" w:eastAsia="仿宋_GB2312" w:cs="Times New Roman"/>
          <w:kern w:val="2"/>
          <w:sz w:val="24"/>
          <w:lang w:val="en-US" w:eastAsia="zh-CN" w:bidi="ar-SA"/>
        </w:rPr>
        <w:t>（三）改进的措施及建议</w:t>
      </w:r>
      <w:r>
        <w:rPr>
          <w:rFonts w:ascii="宋体" w:hAnsi="宋体" w:eastAsia="仿宋_GB2312" w:cs="Times New Roman"/>
          <w:kern w:val="2"/>
          <w:sz w:val="24"/>
          <w:lang w:val="en-US" w:eastAsia="zh-CN" w:bidi="ar-SA"/>
        </w:rPr>
        <w:tab/>
      </w:r>
      <w:r>
        <w:rPr>
          <w:rFonts w:ascii="宋体" w:hAnsi="宋体" w:eastAsia="仿宋_GB2312" w:cs="Times New Roman"/>
          <w:kern w:val="2"/>
          <w:sz w:val="24"/>
          <w:lang w:val="en-US" w:eastAsia="zh-CN" w:bidi="ar-SA"/>
        </w:rPr>
        <w:fldChar w:fldCharType="begin"/>
      </w:r>
      <w:r>
        <w:rPr>
          <w:rFonts w:ascii="宋体" w:hAnsi="宋体" w:eastAsia="仿宋_GB2312" w:cs="Times New Roman"/>
          <w:kern w:val="2"/>
          <w:sz w:val="24"/>
          <w:lang w:val="en-US" w:eastAsia="zh-CN" w:bidi="ar-SA"/>
        </w:rPr>
        <w:instrText xml:space="preserve"> PAGEREF _Toc28950 </w:instrText>
      </w:r>
      <w:r>
        <w:rPr>
          <w:rFonts w:ascii="宋体" w:hAnsi="宋体" w:eastAsia="仿宋_GB2312" w:cs="Times New Roman"/>
          <w:kern w:val="2"/>
          <w:sz w:val="24"/>
          <w:lang w:val="en-US" w:eastAsia="zh-CN" w:bidi="ar-SA"/>
        </w:rPr>
        <w:fldChar w:fldCharType="separate"/>
      </w:r>
      <w:r>
        <w:rPr>
          <w:rFonts w:ascii="宋体" w:hAnsi="宋体" w:eastAsia="仿宋_GB2312" w:cs="Times New Roman"/>
          <w:kern w:val="2"/>
          <w:sz w:val="24"/>
          <w:lang w:val="en-US" w:eastAsia="zh-CN" w:bidi="ar-SA"/>
        </w:rPr>
        <w:t>10</w:t>
      </w:r>
      <w:r>
        <w:rPr>
          <w:rFonts w:ascii="宋体" w:hAnsi="宋体" w:eastAsia="仿宋_GB2312" w:cs="Times New Roman"/>
          <w:kern w:val="2"/>
          <w:sz w:val="24"/>
          <w:lang w:val="en-US" w:eastAsia="zh-CN" w:bidi="ar-SA"/>
        </w:rPr>
        <w:fldChar w:fldCharType="end"/>
      </w:r>
      <w:r>
        <w:rPr>
          <w:rFonts w:hint="eastAsia" w:ascii="宋体" w:hAnsi="宋体" w:eastAsia="仿宋_GB2312" w:cs="Times New Roman"/>
          <w:kern w:val="2"/>
          <w:sz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仿宋_GB2312"/>
          <w:sz w:val="24"/>
          <w:lang w:val="en-US" w:eastAsia="zh-CN"/>
        </w:rPr>
        <w:sectPr>
          <w:footerReference r:id="rId4" w:type="default"/>
          <w:headerReference r:id="rId3" w:type="even"/>
          <w:footerReference r:id="rId5" w:type="even"/>
          <w:pgSz w:w="11907" w:h="16840"/>
          <w:pgMar w:top="2041" w:right="1531" w:bottom="1871" w:left="1531" w:header="851" w:footer="1304" w:gutter="0"/>
          <w:pgNumType w:fmt="decimal" w:start="1"/>
          <w:cols w:space="720" w:num="1"/>
          <w:docGrid w:type="linesAndChars" w:linePitch="587" w:charSpace="-842"/>
        </w:sectPr>
      </w:pPr>
      <w:r>
        <w:rPr>
          <w:rFonts w:hint="eastAsia" w:ascii="宋体" w:hAnsi="宋体" w:eastAsia="仿宋_GB2312" w:cs="Times New Roman"/>
          <w:kern w:val="2"/>
          <w:sz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sz w:val="44"/>
          <w:lang w:val="en-US" w:eastAsia="zh-CN"/>
        </w:rPr>
      </w:pPr>
      <w:r>
        <w:rPr>
          <w:rFonts w:hint="eastAsia" w:ascii="宋体" w:hAnsi="宋体" w:eastAsia="方正小标宋简体"/>
          <w:sz w:val="44"/>
          <w:lang w:val="en-US" w:eastAsia="zh-CN"/>
        </w:rPr>
        <w:t>2019年城市照明电费及维护项目支出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sz w:val="44"/>
          <w:lang w:val="en-US" w:eastAsia="zh-CN"/>
        </w:rPr>
      </w:pPr>
      <w:bookmarkStart w:id="0" w:name="_Toc9206"/>
      <w:r>
        <w:rPr>
          <w:rFonts w:hint="eastAsia" w:ascii="宋体" w:hAnsi="宋体" w:eastAsia="方正小标宋简体"/>
          <w:sz w:val="44"/>
          <w:lang w:val="en-US" w:eastAsia="zh-CN"/>
        </w:rPr>
        <w:t>绩效评价报告</w:t>
      </w:r>
      <w:bookmarkEnd w:id="0"/>
    </w:p>
    <w:p>
      <w:pPr>
        <w:pStyle w:val="3"/>
        <w:rPr>
          <w:rFonts w:hint="eastAsia" w:ascii="宋体" w:hAnsi="宋体"/>
          <w:lang w:eastAsia="zh-CN"/>
        </w:rPr>
      </w:pPr>
    </w:p>
    <w:p>
      <w:pPr>
        <w:pStyle w:val="3"/>
        <w:jc w:val="center"/>
        <w:rPr>
          <w:rFonts w:hint="eastAsia" w:ascii="方正小标宋简体" w:hAnsi="方正小标宋简体" w:eastAsia="方正小标宋简体" w:cs="方正小标宋简体"/>
          <w:lang w:val="en-US" w:eastAsia="zh-CN"/>
        </w:rPr>
      </w:pPr>
      <w:bookmarkStart w:id="1" w:name="_Toc17335"/>
      <w:bookmarkStart w:id="2" w:name="_Toc1789"/>
      <w:bookmarkStart w:id="3" w:name="_Toc165"/>
      <w:bookmarkStart w:id="4" w:name="_Toc9319"/>
      <w:r>
        <w:rPr>
          <w:rFonts w:hint="eastAsia" w:ascii="方正小标宋简体" w:hAnsi="方正小标宋简体" w:eastAsia="方正小标宋简体" w:cs="方正小标宋简体"/>
          <w:lang w:val="en-US" w:eastAsia="zh-CN"/>
        </w:rPr>
        <w:t>摘  要</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黑体" w:cs="黑体"/>
        </w:rPr>
      </w:pPr>
      <w:bookmarkStart w:id="5" w:name="_Toc6993"/>
      <w:bookmarkStart w:id="6" w:name="_Toc4059"/>
      <w:r>
        <w:rPr>
          <w:rFonts w:hint="eastAsia" w:ascii="宋体" w:hAnsi="宋体" w:eastAsia="黑体" w:cs="黑体"/>
          <w:lang w:eastAsia="zh-CN"/>
        </w:rPr>
        <w:t>一、</w:t>
      </w:r>
      <w:r>
        <w:rPr>
          <w:rFonts w:hint="eastAsia" w:ascii="宋体" w:hAnsi="宋体" w:eastAsia="黑体" w:cs="黑体"/>
        </w:rPr>
        <w:t>项目概况</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rPr>
        <w:t>根据《昆明市东川区人民政府办公室关于印发2015年质量强区工作目标的通知》（东政办发【2015】154号）、《</w:t>
      </w:r>
      <w:r>
        <w:rPr>
          <w:rFonts w:hint="eastAsia" w:ascii="宋体" w:hAnsi="宋体"/>
          <w:lang w:eastAsia="zh-CN"/>
        </w:rPr>
        <w:t>昆明市市容环境整治提升行动方案（</w:t>
      </w:r>
      <w:r>
        <w:rPr>
          <w:rFonts w:hint="eastAsia" w:ascii="宋体" w:hAnsi="宋体"/>
          <w:lang w:val="en-US" w:eastAsia="zh-CN"/>
        </w:rPr>
        <w:t>2019-2020年</w:t>
      </w:r>
      <w:r>
        <w:rPr>
          <w:rFonts w:hint="eastAsia" w:ascii="宋体" w:hAnsi="宋体"/>
          <w:lang w:eastAsia="zh-CN"/>
        </w:rPr>
        <w:t>）</w:t>
      </w:r>
      <w:r>
        <w:rPr>
          <w:rFonts w:hint="eastAsia" w:ascii="宋体" w:hAnsi="宋体"/>
        </w:rPr>
        <w:t>》（</w:t>
      </w:r>
      <w:r>
        <w:rPr>
          <w:rFonts w:hint="eastAsia" w:ascii="宋体" w:hAnsi="宋体"/>
          <w:lang w:eastAsia="zh-CN"/>
        </w:rPr>
        <w:t>市委</w:t>
      </w:r>
      <w:r>
        <w:rPr>
          <w:rFonts w:hint="eastAsia" w:ascii="宋体" w:hAnsi="宋体"/>
        </w:rPr>
        <w:t>办〔2019〕</w:t>
      </w:r>
      <w:r>
        <w:rPr>
          <w:rFonts w:hint="eastAsia" w:ascii="宋体" w:hAnsi="宋体"/>
          <w:lang w:val="en-US" w:eastAsia="zh-CN"/>
        </w:rPr>
        <w:t>47</w:t>
      </w:r>
      <w:r>
        <w:rPr>
          <w:rFonts w:hint="eastAsia" w:ascii="宋体" w:hAnsi="宋体"/>
        </w:rPr>
        <w:t>号）文件要</w:t>
      </w:r>
      <w:r>
        <w:rPr>
          <w:rFonts w:hint="eastAsia" w:ascii="宋体" w:hAnsi="宋体"/>
          <w:lang w:eastAsia="zh-CN"/>
        </w:rPr>
        <w:t>求，加强城市照明设施管理维护，及时修理被盗、被损的亮化设施，确保东川区主城区主次干道、背街小巷装灯率达到100%、亮灯率达到95%以上，设施完好率达100%。</w:t>
      </w:r>
      <w:r>
        <w:rPr>
          <w:rFonts w:hint="eastAsia" w:ascii="宋体" w:hAnsi="宋体"/>
        </w:rPr>
        <w:t>根据东财预【</w:t>
      </w:r>
      <w:r>
        <w:rPr>
          <w:rFonts w:hint="eastAsia" w:ascii="宋体" w:hAnsi="宋体"/>
          <w:lang w:val="en-US" w:eastAsia="zh-CN"/>
        </w:rPr>
        <w:t>2019</w:t>
      </w:r>
      <w:r>
        <w:rPr>
          <w:rFonts w:hint="eastAsia" w:ascii="宋体" w:hAnsi="宋体"/>
        </w:rPr>
        <w:t>】1号文件预算</w:t>
      </w:r>
      <w:r>
        <w:rPr>
          <w:rFonts w:hint="eastAsia" w:ascii="宋体" w:hAnsi="宋体"/>
          <w:lang w:val="en-US" w:eastAsia="zh-CN"/>
        </w:rPr>
        <w:t>安</w:t>
      </w:r>
      <w:r>
        <w:rPr>
          <w:rFonts w:hint="eastAsia" w:ascii="宋体" w:hAnsi="宋体"/>
        </w:rPr>
        <w:t>排</w:t>
      </w:r>
      <w:r>
        <w:rPr>
          <w:rFonts w:hint="eastAsia" w:ascii="宋体" w:hAnsi="宋体"/>
          <w:lang w:val="en-US" w:eastAsia="zh-CN"/>
        </w:rPr>
        <w:t>区级预算资金50</w:t>
      </w:r>
      <w:r>
        <w:rPr>
          <w:rFonts w:hint="eastAsia" w:ascii="宋体" w:hAnsi="宋体"/>
        </w:rPr>
        <w:t>万元用于该项目支出，项目资金主要用于</w:t>
      </w:r>
      <w:r>
        <w:rPr>
          <w:rFonts w:hint="eastAsia" w:ascii="宋体" w:hAnsi="宋体"/>
          <w:lang w:val="en-US" w:eastAsia="zh-CN"/>
        </w:rPr>
        <w:t>按月支付</w:t>
      </w:r>
      <w:r>
        <w:rPr>
          <w:rFonts w:hint="eastAsia" w:ascii="宋体" w:hAnsi="宋体"/>
          <w:lang w:eastAsia="zh-CN"/>
        </w:rPr>
        <w:t>城市照明电费及维护</w:t>
      </w:r>
      <w:r>
        <w:rPr>
          <w:rFonts w:hint="eastAsia" w:ascii="宋体" w:hAnsi="宋体"/>
          <w:lang w:val="en-US" w:eastAsia="zh-CN"/>
        </w:rPr>
        <w:t>费</w:t>
      </w:r>
      <w:r>
        <w:rPr>
          <w:rFonts w:hint="eastAsia" w:ascii="宋体" w:hAnsi="宋体"/>
        </w:rPr>
        <w:t>，</w:t>
      </w:r>
      <w:r>
        <w:rPr>
          <w:rFonts w:hint="eastAsia" w:ascii="宋体" w:hAnsi="宋体"/>
          <w:lang w:eastAsia="zh-CN"/>
        </w:rPr>
        <w:t>目前全部支付完毕。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黑体" w:cs="黑体"/>
        </w:rPr>
      </w:pPr>
      <w:bookmarkStart w:id="7" w:name="_Toc24596"/>
      <w:bookmarkStart w:id="8" w:name="_Toc26732"/>
      <w:r>
        <w:rPr>
          <w:rFonts w:hint="eastAsia" w:ascii="宋体" w:hAnsi="宋体" w:eastAsia="黑体" w:cs="黑体"/>
          <w:lang w:eastAsia="zh-CN"/>
        </w:rPr>
        <w:t>二、评价结论</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依据《2019年城市维护费绩效自评指标体系》，2019年城市维护经费自评得分98分，评价等级为优。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黑体" w:cs="黑体"/>
        </w:rPr>
      </w:pPr>
      <w:bookmarkStart w:id="9" w:name="_Toc4776"/>
      <w:bookmarkStart w:id="10" w:name="_Toc10798"/>
      <w:r>
        <w:rPr>
          <w:rFonts w:hint="eastAsia" w:ascii="宋体" w:hAnsi="宋体" w:eastAsia="黑体" w:cs="黑体"/>
        </w:rPr>
        <w:t>三、经验、问题和建议</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楷体_GB2312" w:cs="楷体_GB2312"/>
          <w:lang w:eastAsia="zh-CN"/>
        </w:rPr>
      </w:pPr>
      <w:bookmarkStart w:id="11" w:name="_Toc15158"/>
      <w:r>
        <w:rPr>
          <w:rFonts w:hint="eastAsia" w:ascii="宋体" w:hAnsi="宋体" w:eastAsia="楷体_GB2312" w:cs="楷体_GB2312"/>
          <w:lang w:eastAsia="zh-CN"/>
        </w:rPr>
        <w:t>（一）</w:t>
      </w:r>
      <w:r>
        <w:rPr>
          <w:rFonts w:hint="eastAsia" w:ascii="宋体" w:hAnsi="宋体" w:eastAsia="楷体_GB2312" w:cs="楷体_GB2312"/>
        </w:rPr>
        <w:t>主要经验及做法</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eastAsia="zh-CN"/>
        </w:rPr>
      </w:pPr>
      <w:r>
        <w:rPr>
          <w:rFonts w:hint="eastAsia" w:ascii="宋体" w:hAnsi="宋体"/>
          <w:lang w:val="en-US" w:eastAsia="zh-CN"/>
        </w:rPr>
        <w:t>该项目资金由东川区城市管理局计划财务科管理，使用过程中严格按照资金管理规定实行“专款专用”严格列支，无挤占挪用情况发生。在项目实施过程中，目标明确，强化组织管理，组织架构明晰。形成了一套完整的管理制度和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楷体_GB2312" w:cs="楷体_GB2312"/>
          <w:lang w:eastAsia="zh-CN"/>
        </w:rPr>
      </w:pPr>
      <w:bookmarkStart w:id="12" w:name="_Toc6950"/>
      <w:r>
        <w:rPr>
          <w:rFonts w:hint="eastAsia" w:ascii="宋体" w:hAnsi="宋体" w:eastAsia="楷体_GB2312" w:cs="楷体_GB2312"/>
          <w:lang w:eastAsia="zh-CN"/>
        </w:rPr>
        <w:t>（二）存在的问题</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b/>
          <w:bCs/>
          <w:lang w:val="en-US" w:eastAsia="zh-CN"/>
        </w:rPr>
        <w:t>1.</w:t>
      </w:r>
      <w:r>
        <w:rPr>
          <w:rFonts w:hint="eastAsia" w:ascii="宋体" w:hAnsi="宋体"/>
          <w:lang w:val="en-US" w:eastAsia="zh-CN"/>
        </w:rPr>
        <w:t>管理维护经费严重不足。随着东川照明提质改造亮化项目的推进，照明设施在增长，现我区路灯已有6700盏，电费、维护费等管理成本大幅度提高。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b/>
          <w:bCs/>
          <w:lang w:val="en-US" w:eastAsia="zh-CN"/>
        </w:rPr>
        <w:t>2.</w:t>
      </w:r>
      <w:r>
        <w:rPr>
          <w:rFonts w:hint="eastAsia" w:ascii="宋体" w:hAnsi="宋体"/>
          <w:lang w:val="en-US" w:eastAsia="zh-CN"/>
        </w:rPr>
        <w:t>专业人员少、技术力量薄弱。线路维护作业专业性强，能熟练胜任路灯检修、施工安装的工作人员少，长期面临技术断层，给及时准确处理路灯故障和日常维护检修带来了困难。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b/>
          <w:bCs/>
          <w:lang w:val="en-US" w:eastAsia="zh-CN"/>
        </w:rPr>
        <w:t>3.</w:t>
      </w:r>
      <w:r>
        <w:rPr>
          <w:rFonts w:hint="eastAsia" w:ascii="宋体" w:hAnsi="宋体"/>
          <w:lang w:val="en-US" w:eastAsia="zh-CN"/>
        </w:rPr>
        <w:t xml:space="preserve">生态照明有待加强。随着城市发展的现代化，城市照明成为城市景观空间环境的一部分，因缺乏有效的规划管理和技术支撑，带来了一定程度上的污染，现及需对一些光污染照明设施进行改造。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楷体_GB2312" w:cs="楷体_GB2312"/>
          <w:lang w:val="en-US" w:eastAsia="zh-CN"/>
        </w:rPr>
      </w:pPr>
      <w:bookmarkStart w:id="13" w:name="_Toc16490"/>
      <w:r>
        <w:rPr>
          <w:rFonts w:hint="eastAsia" w:ascii="宋体" w:hAnsi="宋体" w:eastAsia="楷体_GB2312" w:cs="楷体_GB2312"/>
          <w:lang w:eastAsia="zh-CN"/>
        </w:rPr>
        <w:t>（三）改进措施及建议</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b/>
          <w:bCs/>
          <w:lang w:val="en-US" w:eastAsia="zh-CN"/>
        </w:rPr>
        <w:t>1.</w:t>
      </w:r>
      <w:r>
        <w:rPr>
          <w:rFonts w:hint="eastAsia" w:ascii="宋体" w:hAnsi="宋体"/>
          <w:lang w:val="en-US" w:eastAsia="zh-CN"/>
        </w:rPr>
        <w:t>提高经费保障力度，建立经费保障机制，加大财政预算。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b/>
          <w:bCs/>
          <w:lang w:val="en-US" w:eastAsia="zh-CN"/>
        </w:rPr>
        <w:t>2.</w:t>
      </w:r>
      <w:r>
        <w:rPr>
          <w:rFonts w:hint="eastAsia" w:ascii="宋体" w:hAnsi="宋体"/>
        </w:rPr>
        <w:t>加强队伍管理，强化员工素质教育，引进专业技术人才。不断引进技术人员，充实队伍</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rPr>
      </w:pPr>
      <w:r>
        <w:rPr>
          <w:rFonts w:hint="eastAsia" w:ascii="宋体" w:hAnsi="宋体"/>
          <w:b/>
          <w:bCs/>
          <w:lang w:val="en-US" w:eastAsia="zh-CN"/>
        </w:rPr>
        <w:t>3.</w:t>
      </w:r>
      <w:r>
        <w:rPr>
          <w:rFonts w:hint="eastAsia" w:ascii="宋体" w:hAnsi="宋体"/>
        </w:rPr>
        <w:t>做好节电节能工作，推进绿色照明节能改造。为加快推进城市绿色照明改造工作，在对老旧路灯进行改造时，严格按照《城市夜景照明设计规范》进行设计，被照对象照度、亮度、照明均匀度及限制光污染指标等要均达到规范要求，逐步引进低碳环保、高效节能、安全舒适的新型光源led路灯，提高了城市照明节能效率，减少了维护成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bCs/>
          <w:sz w:val="32"/>
          <w:szCs w:val="44"/>
          <w:lang w:val="en-US" w:eastAsia="zh-CN"/>
        </w:rPr>
      </w:pPr>
    </w:p>
    <w:p>
      <w:pPr>
        <w:pStyle w:val="2"/>
        <w:keepNext w:val="0"/>
        <w:keepLines w:val="0"/>
        <w:pageBreakBefore w:val="0"/>
        <w:widowControl w:val="0"/>
        <w:kinsoku/>
        <w:wordWrap/>
        <w:overflowPunct/>
        <w:topLinePunct w:val="0"/>
        <w:bidi w:val="0"/>
        <w:spacing w:line="560" w:lineRule="exact"/>
        <w:ind w:left="0" w:leftChars="0" w:firstLine="872" w:firstLineChars="200"/>
        <w:jc w:val="both"/>
        <w:textAlignment w:val="auto"/>
        <w:outlineLvl w:val="9"/>
        <w:rPr>
          <w:rFonts w:hint="eastAsia" w:ascii="宋体" w:hAnsi="宋体" w:eastAsia="仿宋_GB2312"/>
          <w:b w:val="0"/>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sz w:val="44"/>
          <w:szCs w:val="44"/>
        </w:rPr>
      </w:pPr>
      <w:bookmarkStart w:id="14" w:name="_Toc18134"/>
      <w:r>
        <w:rPr>
          <w:rFonts w:hint="eastAsia" w:ascii="宋体" w:hAnsi="宋体" w:eastAsia="方正小标宋简体"/>
          <w:sz w:val="44"/>
          <w:szCs w:val="44"/>
          <w:lang w:val="en-US" w:eastAsia="zh-CN"/>
        </w:rPr>
        <w:t>2019年城市照明电费及维护</w:t>
      </w:r>
      <w:r>
        <w:rPr>
          <w:rFonts w:hint="eastAsia" w:ascii="宋体" w:hAnsi="宋体" w:eastAsia="方正小标宋简体"/>
          <w:sz w:val="44"/>
          <w:szCs w:val="44"/>
        </w:rPr>
        <w:t>项目支出</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sz w:val="44"/>
          <w:szCs w:val="44"/>
        </w:rPr>
      </w:pPr>
      <w:bookmarkStart w:id="15" w:name="_Toc16537"/>
      <w:r>
        <w:rPr>
          <w:rFonts w:hint="eastAsia" w:ascii="宋体" w:hAnsi="宋体" w:eastAsia="方正小标宋简体"/>
          <w:sz w:val="44"/>
          <w:szCs w:val="44"/>
        </w:rPr>
        <w:t>绩效评价报告</w:t>
      </w:r>
      <w:bookmarkEnd w:id="15"/>
    </w:p>
    <w:p>
      <w:pPr>
        <w:pStyle w:val="3"/>
        <w:rPr>
          <w:rFonts w:hint="eastAsia"/>
        </w:rPr>
      </w:pPr>
    </w:p>
    <w:p>
      <w:pPr>
        <w:pStyle w:val="3"/>
        <w:rPr>
          <w:rFonts w:hint="eastAsia"/>
        </w:rPr>
      </w:pPr>
      <w:bookmarkStart w:id="16" w:name="_Toc7466"/>
      <w:bookmarkStart w:id="17" w:name="_Toc31428"/>
      <w:bookmarkStart w:id="18" w:name="_Toc30497"/>
      <w:bookmarkStart w:id="19" w:name="_Toc8407"/>
      <w:r>
        <w:rPr>
          <w:rFonts w:hint="eastAsia"/>
        </w:rPr>
        <w:t>一、项目基本情况</w:t>
      </w:r>
      <w:bookmarkEnd w:id="16"/>
      <w:bookmarkEnd w:id="17"/>
      <w:bookmarkEnd w:id="18"/>
      <w:bookmarkEnd w:id="19"/>
    </w:p>
    <w:p>
      <w:pPr>
        <w:pStyle w:val="4"/>
        <w:rPr>
          <w:rFonts w:hint="eastAsia"/>
        </w:rPr>
      </w:pPr>
      <w:bookmarkStart w:id="20" w:name="_Toc31643"/>
      <w:bookmarkStart w:id="21" w:name="_Toc26619"/>
      <w:bookmarkStart w:id="22" w:name="_Toc5913"/>
      <w:bookmarkStart w:id="23" w:name="_Toc7535"/>
      <w:r>
        <w:rPr>
          <w:rFonts w:hint="eastAsia"/>
        </w:rPr>
        <w:t>（一）项目概况</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rPr>
        <w:t>根据《昆明市东川区人民政府办公室关于印发2015年质量强区工作目标的通知》（东政办发【2015】154号）、《</w:t>
      </w:r>
      <w:r>
        <w:rPr>
          <w:rFonts w:hint="eastAsia" w:ascii="宋体" w:hAnsi="宋体" w:eastAsia="仿宋_GB2312" w:cs="仿宋"/>
          <w:b w:val="0"/>
          <w:sz w:val="32"/>
          <w:szCs w:val="32"/>
          <w:lang w:eastAsia="zh-CN"/>
        </w:rPr>
        <w:t>昆明市市容环境整治提升行动方案（</w:t>
      </w:r>
      <w:r>
        <w:rPr>
          <w:rFonts w:hint="eastAsia" w:ascii="宋体" w:hAnsi="宋体" w:eastAsia="仿宋_GB2312" w:cs="仿宋"/>
          <w:b w:val="0"/>
          <w:sz w:val="32"/>
          <w:szCs w:val="32"/>
          <w:lang w:val="en-US" w:eastAsia="zh-CN"/>
        </w:rPr>
        <w:t>2019-2020年</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rPr>
        <w:t>》（</w:t>
      </w:r>
      <w:r>
        <w:rPr>
          <w:rFonts w:hint="eastAsia" w:ascii="宋体" w:hAnsi="宋体" w:eastAsia="仿宋_GB2312" w:cs="仿宋"/>
          <w:b w:val="0"/>
          <w:sz w:val="32"/>
          <w:szCs w:val="32"/>
          <w:lang w:eastAsia="zh-CN"/>
        </w:rPr>
        <w:t>市委</w:t>
      </w:r>
      <w:r>
        <w:rPr>
          <w:rFonts w:hint="eastAsia" w:ascii="宋体" w:hAnsi="宋体" w:eastAsia="仿宋_GB2312" w:cs="仿宋"/>
          <w:b w:val="0"/>
          <w:sz w:val="32"/>
          <w:szCs w:val="32"/>
        </w:rPr>
        <w:t>办〔2019〕</w:t>
      </w:r>
      <w:r>
        <w:rPr>
          <w:rFonts w:hint="eastAsia" w:ascii="宋体" w:hAnsi="宋体" w:eastAsia="仿宋_GB2312" w:cs="仿宋"/>
          <w:b w:val="0"/>
          <w:sz w:val="32"/>
          <w:szCs w:val="32"/>
          <w:lang w:val="en-US" w:eastAsia="zh-CN"/>
        </w:rPr>
        <w:t>47</w:t>
      </w:r>
      <w:r>
        <w:rPr>
          <w:rFonts w:hint="eastAsia" w:ascii="宋体" w:hAnsi="宋体" w:eastAsia="仿宋_GB2312" w:cs="仿宋"/>
          <w:b w:val="0"/>
          <w:sz w:val="32"/>
          <w:szCs w:val="32"/>
        </w:rPr>
        <w:t>号）文件要</w:t>
      </w:r>
      <w:r>
        <w:rPr>
          <w:rFonts w:hint="eastAsia" w:ascii="宋体" w:hAnsi="宋体" w:eastAsia="仿宋_GB2312" w:cs="仿宋"/>
          <w:b w:val="0"/>
          <w:sz w:val="32"/>
          <w:szCs w:val="32"/>
          <w:lang w:eastAsia="zh-CN"/>
        </w:rPr>
        <w:t>求，加强城市照明设施管理维护，及时修理被盗、被损的亮化设施，确保东川区主城区主次干道、背街小巷装灯率达到100%、亮灯率达到95%以上，设施完好率达100%。</w:t>
      </w:r>
      <w:r>
        <w:rPr>
          <w:rFonts w:hint="eastAsia" w:ascii="宋体" w:hAnsi="宋体" w:eastAsia="仿宋_GB2312" w:cs="仿宋"/>
          <w:b w:val="0"/>
          <w:sz w:val="32"/>
          <w:szCs w:val="32"/>
        </w:rPr>
        <w:t>根据东财预【</w:t>
      </w:r>
      <w:r>
        <w:rPr>
          <w:rFonts w:hint="eastAsia" w:ascii="宋体" w:hAnsi="宋体" w:eastAsia="仿宋_GB2312" w:cs="仿宋"/>
          <w:b w:val="0"/>
          <w:sz w:val="32"/>
          <w:szCs w:val="32"/>
          <w:lang w:val="en-US" w:eastAsia="zh-CN"/>
        </w:rPr>
        <w:t>2019</w:t>
      </w:r>
      <w:r>
        <w:rPr>
          <w:rFonts w:hint="eastAsia" w:ascii="宋体" w:hAnsi="宋体" w:eastAsia="仿宋_GB2312" w:cs="仿宋"/>
          <w:b w:val="0"/>
          <w:sz w:val="32"/>
          <w:szCs w:val="32"/>
        </w:rPr>
        <w:t>】1号文件预算</w:t>
      </w:r>
      <w:r>
        <w:rPr>
          <w:rFonts w:hint="eastAsia" w:ascii="宋体" w:hAnsi="宋体" w:eastAsia="仿宋_GB2312" w:cs="仿宋"/>
          <w:b w:val="0"/>
          <w:sz w:val="32"/>
          <w:szCs w:val="32"/>
          <w:lang w:val="en-US" w:eastAsia="zh-CN"/>
        </w:rPr>
        <w:t>安</w:t>
      </w:r>
      <w:r>
        <w:rPr>
          <w:rFonts w:hint="eastAsia" w:ascii="宋体" w:hAnsi="宋体" w:eastAsia="仿宋_GB2312" w:cs="仿宋"/>
          <w:b w:val="0"/>
          <w:color w:val="auto"/>
          <w:sz w:val="32"/>
          <w:szCs w:val="32"/>
        </w:rPr>
        <w:t>排</w:t>
      </w:r>
      <w:r>
        <w:rPr>
          <w:rFonts w:hint="eastAsia" w:ascii="宋体" w:hAnsi="宋体" w:eastAsia="仿宋_GB2312" w:cs="仿宋"/>
          <w:b w:val="0"/>
          <w:color w:val="auto"/>
          <w:sz w:val="32"/>
          <w:szCs w:val="32"/>
          <w:lang w:val="en-US" w:eastAsia="zh-CN"/>
        </w:rPr>
        <w:t>区级预算资金50</w:t>
      </w:r>
      <w:r>
        <w:rPr>
          <w:rFonts w:hint="eastAsia" w:ascii="宋体" w:hAnsi="宋体" w:eastAsia="仿宋_GB2312" w:cs="仿宋"/>
          <w:b w:val="0"/>
          <w:color w:val="auto"/>
          <w:sz w:val="32"/>
          <w:szCs w:val="32"/>
        </w:rPr>
        <w:t>万元用</w:t>
      </w:r>
      <w:r>
        <w:rPr>
          <w:rFonts w:hint="eastAsia" w:ascii="宋体" w:hAnsi="宋体" w:eastAsia="仿宋_GB2312" w:cs="仿宋"/>
          <w:b w:val="0"/>
          <w:sz w:val="32"/>
          <w:szCs w:val="32"/>
        </w:rPr>
        <w:t>于该项目支出，项目资金主要用于</w:t>
      </w:r>
      <w:r>
        <w:rPr>
          <w:rFonts w:hint="eastAsia" w:ascii="宋体" w:hAnsi="宋体" w:eastAsia="仿宋_GB2312" w:cs="仿宋"/>
          <w:b w:val="0"/>
          <w:sz w:val="32"/>
          <w:szCs w:val="32"/>
          <w:lang w:val="en-US" w:eastAsia="zh-CN"/>
        </w:rPr>
        <w:t>按月支付</w:t>
      </w:r>
      <w:r>
        <w:rPr>
          <w:rFonts w:hint="eastAsia" w:ascii="宋体" w:hAnsi="宋体" w:eastAsia="仿宋_GB2312" w:cs="仿宋"/>
          <w:b w:val="0"/>
          <w:sz w:val="32"/>
          <w:szCs w:val="32"/>
          <w:lang w:eastAsia="zh-CN"/>
        </w:rPr>
        <w:t>城市照明电费及维护</w:t>
      </w:r>
      <w:r>
        <w:rPr>
          <w:rFonts w:hint="eastAsia" w:ascii="宋体" w:hAnsi="宋体" w:eastAsia="仿宋_GB2312" w:cs="仿宋"/>
          <w:b w:val="0"/>
          <w:sz w:val="32"/>
          <w:szCs w:val="32"/>
          <w:lang w:val="en-US" w:eastAsia="zh-CN"/>
        </w:rPr>
        <w:t>费</w:t>
      </w:r>
      <w:r>
        <w:rPr>
          <w:rFonts w:hint="eastAsia" w:ascii="宋体" w:hAnsi="宋体" w:eastAsia="仿宋_GB2312" w:cs="仿宋"/>
          <w:b w:val="0"/>
          <w:sz w:val="32"/>
          <w:szCs w:val="32"/>
        </w:rPr>
        <w:t>，</w:t>
      </w:r>
      <w:r>
        <w:rPr>
          <w:rFonts w:hint="eastAsia" w:ascii="宋体" w:hAnsi="宋体" w:cs="仿宋"/>
          <w:b w:val="0"/>
          <w:sz w:val="32"/>
          <w:szCs w:val="32"/>
          <w:lang w:eastAsia="zh-CN"/>
        </w:rPr>
        <w:t>目前全部支付完毕</w:t>
      </w:r>
      <w:r>
        <w:rPr>
          <w:rFonts w:hint="eastAsia" w:ascii="宋体" w:hAnsi="宋体" w:eastAsia="仿宋_GB2312" w:cs="仿宋"/>
          <w:b w:val="0"/>
          <w:sz w:val="32"/>
          <w:szCs w:val="32"/>
          <w:lang w:eastAsia="zh-CN"/>
        </w:rPr>
        <w:t>。</w:t>
      </w:r>
    </w:p>
    <w:p>
      <w:pPr>
        <w:pStyle w:val="4"/>
        <w:rPr>
          <w:rFonts w:hint="eastAsia"/>
        </w:rPr>
      </w:pPr>
      <w:bookmarkStart w:id="24" w:name="_Toc25472"/>
      <w:bookmarkStart w:id="25" w:name="_Toc20450"/>
      <w:bookmarkStart w:id="26" w:name="_Toc29008"/>
      <w:bookmarkStart w:id="27" w:name="_Toc29394"/>
      <w:r>
        <w:rPr>
          <w:rFonts w:hint="eastAsia"/>
          <w:lang w:eastAsia="zh-CN"/>
        </w:rPr>
        <w:t>（二）</w:t>
      </w:r>
      <w:r>
        <w:rPr>
          <w:rFonts w:hint="eastAsia"/>
        </w:rPr>
        <w:t>组织及管理情况</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1.组织结构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为保障项目的正常运行，东川区城市管理局成立了2019年</w:t>
      </w:r>
      <w:r>
        <w:rPr>
          <w:rFonts w:hint="eastAsia" w:ascii="宋体" w:hAnsi="宋体" w:eastAsia="仿宋_GB2312" w:cs="仿宋"/>
          <w:b w:val="0"/>
          <w:sz w:val="32"/>
          <w:szCs w:val="32"/>
        </w:rPr>
        <w:t>成立区城管局绩效评价工作领导小组</w:t>
      </w:r>
      <w:r>
        <w:rPr>
          <w:rFonts w:hint="eastAsia" w:ascii="宋体" w:hAnsi="宋体" w:eastAsia="仿宋_GB2312" w:cs="仿宋"/>
          <w:b w:val="0"/>
          <w:sz w:val="32"/>
          <w:szCs w:val="32"/>
          <w:lang w:val="en-US" w:eastAsia="zh-CN"/>
        </w:rPr>
        <w:t>。成员如下：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组</w:t>
      </w:r>
      <w:r>
        <w:rPr>
          <w:rFonts w:hint="eastAsia" w:ascii="宋体" w:hAnsi="宋体" w:eastAsia="仿宋_GB2312" w:cs="仿宋"/>
          <w:b w:val="0"/>
          <w:sz w:val="32"/>
          <w:szCs w:val="32"/>
          <w:lang w:val="en-US" w:eastAsia="zh-CN"/>
        </w:rPr>
        <w:t xml:space="preserve">  </w:t>
      </w:r>
      <w:r>
        <w:rPr>
          <w:rFonts w:hint="eastAsia" w:ascii="宋体" w:hAnsi="宋体" w:eastAsia="仿宋_GB2312" w:cs="仿宋"/>
          <w:b w:val="0"/>
          <w:sz w:val="32"/>
          <w:szCs w:val="32"/>
        </w:rPr>
        <w:t xml:space="preserve">长： </w:t>
      </w:r>
      <w:r>
        <w:rPr>
          <w:rFonts w:hint="eastAsia" w:ascii="宋体" w:hAnsi="宋体" w:eastAsia="仿宋_GB2312" w:cs="仿宋"/>
          <w:b w:val="0"/>
          <w:sz w:val="32"/>
          <w:szCs w:val="32"/>
          <w:lang w:val="en-US" w:eastAsia="zh-CN"/>
        </w:rPr>
        <w:t xml:space="preserve"> </w:t>
      </w:r>
      <w:r>
        <w:rPr>
          <w:rFonts w:hint="eastAsia" w:ascii="宋体" w:hAnsi="宋体" w:eastAsia="仿宋_GB2312" w:cs="仿宋"/>
          <w:b w:val="0"/>
          <w:sz w:val="32"/>
          <w:szCs w:val="32"/>
        </w:rPr>
        <w:t>何关权     区城管局局长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副组长：</w:t>
      </w:r>
      <w:r>
        <w:rPr>
          <w:rFonts w:hint="eastAsia" w:ascii="宋体" w:hAnsi="宋体" w:eastAsia="仿宋_GB2312" w:cs="仿宋"/>
          <w:b w:val="0"/>
          <w:sz w:val="32"/>
          <w:szCs w:val="32"/>
          <w:lang w:val="en-US" w:eastAsia="zh-CN"/>
        </w:rPr>
        <w:t xml:space="preserve"> </w:t>
      </w:r>
      <w:r>
        <w:rPr>
          <w:rFonts w:hint="eastAsia" w:ascii="宋体" w:hAnsi="宋体" w:eastAsia="仿宋_GB2312" w:cs="仿宋"/>
          <w:b w:val="0"/>
          <w:sz w:val="32"/>
          <w:szCs w:val="32"/>
        </w:rPr>
        <w:t xml:space="preserve"> 王  斌    区城管局副局长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 xml:space="preserve">茶俊魁    区城管局副局长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陈  猛    区城管局副局长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陈永鹏    区城管局副局长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成  员：</w:t>
      </w:r>
      <w:r>
        <w:rPr>
          <w:rFonts w:hint="eastAsia" w:ascii="宋体" w:hAnsi="宋体" w:eastAsia="仿宋_GB2312" w:cs="仿宋"/>
          <w:b w:val="0"/>
          <w:sz w:val="32"/>
          <w:szCs w:val="32"/>
          <w:lang w:val="en-US" w:eastAsia="zh-CN"/>
        </w:rPr>
        <w:t xml:space="preserve">  </w:t>
      </w:r>
      <w:r>
        <w:rPr>
          <w:rFonts w:hint="eastAsia" w:ascii="宋体" w:hAnsi="宋体" w:eastAsia="仿宋_GB2312" w:cs="仿宋"/>
          <w:b w:val="0"/>
          <w:sz w:val="32"/>
          <w:szCs w:val="32"/>
        </w:rPr>
        <w:t>彭  斌    区城管局办公室主任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杨绍五    区城管局人事科长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唐  燕    区城管局财务科长</w:t>
      </w:r>
    </w:p>
    <w:p>
      <w:pPr>
        <w:keepNext w:val="0"/>
        <w:keepLines w:val="0"/>
        <w:pageBreakBefore w:val="0"/>
        <w:widowControl w:val="0"/>
        <w:kinsoku/>
        <w:wordWrap/>
        <w:overflowPunct/>
        <w:topLinePunct w:val="0"/>
        <w:autoSpaceDE/>
        <w:autoSpaceDN/>
        <w:bidi w:val="0"/>
        <w:adjustRightInd/>
        <w:snapToGrid/>
        <w:spacing w:line="560" w:lineRule="exact"/>
        <w:ind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谷培丽    区城管局园林绿化站副站长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吴丽萍    区城管局市政市容科科长</w:t>
      </w:r>
    </w:p>
    <w:p>
      <w:pPr>
        <w:keepNext w:val="0"/>
        <w:keepLines w:val="0"/>
        <w:pageBreakBefore w:val="0"/>
        <w:widowControl w:val="0"/>
        <w:kinsoku/>
        <w:wordWrap/>
        <w:overflowPunct/>
        <w:topLinePunct w:val="0"/>
        <w:autoSpaceDE/>
        <w:autoSpaceDN/>
        <w:bidi w:val="0"/>
        <w:adjustRightInd/>
        <w:snapToGrid/>
        <w:spacing w:line="560" w:lineRule="exact"/>
        <w:ind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洪榕昌    区城管局监察大队队长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张  勤    区城管局城市照明站站长</w:t>
      </w:r>
    </w:p>
    <w:p>
      <w:pPr>
        <w:keepNext w:val="0"/>
        <w:keepLines w:val="0"/>
        <w:pageBreakBefore w:val="0"/>
        <w:widowControl w:val="0"/>
        <w:kinsoku/>
        <w:wordWrap/>
        <w:overflowPunct/>
        <w:topLinePunct w:val="0"/>
        <w:autoSpaceDE/>
        <w:autoSpaceDN/>
        <w:bidi w:val="0"/>
        <w:adjustRightInd/>
        <w:snapToGrid/>
        <w:spacing w:line="560" w:lineRule="exact"/>
        <w:ind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李品兰    区城管局项目办科长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李  明    区城管局数管科科长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任太能    区城管局公园管理科科长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徐开华    区环卫站站长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12" w:firstLineChars="7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rPr>
        <w:t>范锦绣    区城管局财务科科员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2</w:t>
      </w:r>
      <w:r>
        <w:rPr>
          <w:rFonts w:hint="eastAsia" w:ascii="宋体" w:hAnsi="宋体" w:cs="仿宋"/>
          <w:b/>
          <w:bCs/>
          <w:sz w:val="32"/>
          <w:szCs w:val="32"/>
          <w:lang w:val="en-US" w:eastAsia="zh-CN"/>
        </w:rPr>
        <w:t>.</w:t>
      </w:r>
      <w:r>
        <w:rPr>
          <w:rFonts w:hint="eastAsia" w:ascii="宋体" w:hAnsi="宋体" w:eastAsia="仿宋_GB2312" w:cs="仿宋"/>
          <w:b/>
          <w:bCs/>
          <w:sz w:val="32"/>
          <w:szCs w:val="32"/>
          <w:lang w:val="en-US" w:eastAsia="zh-CN"/>
        </w:rPr>
        <w:t>资金拨付情况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highlight w:val="yellow"/>
          <w:lang w:val="en-US" w:eastAsia="zh-CN"/>
        </w:rPr>
      </w:pPr>
      <w:r>
        <w:rPr>
          <w:rFonts w:hint="eastAsia" w:ascii="宋体" w:hAnsi="宋体" w:eastAsia="仿宋_GB2312" w:cs="仿宋"/>
          <w:b w:val="0"/>
          <w:color w:val="auto"/>
          <w:sz w:val="32"/>
          <w:szCs w:val="32"/>
          <w:highlight w:val="none"/>
          <w:lang w:val="en-US" w:eastAsia="zh-CN"/>
        </w:rPr>
        <w:t>根据《2019年东川区财政局行财科部门预算下达通知书》下达城市照明电费及管理维护资金50万元，作为</w:t>
      </w:r>
      <w:r>
        <w:rPr>
          <w:rFonts w:hint="eastAsia" w:ascii="宋体" w:hAnsi="宋体" w:eastAsia="仿宋_GB2312" w:cs="仿宋"/>
          <w:b w:val="0"/>
          <w:color w:val="auto"/>
          <w:sz w:val="32"/>
          <w:szCs w:val="32"/>
          <w:highlight w:val="none"/>
        </w:rPr>
        <w:t>2019年</w:t>
      </w:r>
      <w:r>
        <w:rPr>
          <w:rFonts w:hint="eastAsia" w:ascii="宋体" w:hAnsi="宋体" w:eastAsia="仿宋_GB2312" w:cs="仿宋"/>
          <w:b w:val="0"/>
          <w:color w:val="auto"/>
          <w:sz w:val="32"/>
          <w:szCs w:val="32"/>
          <w:highlight w:val="none"/>
          <w:lang w:eastAsia="zh-CN"/>
        </w:rPr>
        <w:t>城市道路照明电费及维护</w:t>
      </w:r>
      <w:r>
        <w:rPr>
          <w:rFonts w:hint="eastAsia" w:ascii="宋体" w:hAnsi="宋体" w:eastAsia="仿宋_GB2312" w:cs="仿宋"/>
          <w:b w:val="0"/>
          <w:color w:val="auto"/>
          <w:sz w:val="32"/>
          <w:szCs w:val="32"/>
          <w:highlight w:val="none"/>
        </w:rPr>
        <w:t>经费</w:t>
      </w:r>
      <w:r>
        <w:rPr>
          <w:rFonts w:hint="eastAsia" w:ascii="宋体" w:hAnsi="宋体" w:eastAsia="仿宋_GB2312" w:cs="仿宋"/>
          <w:b w:val="0"/>
          <w:color w:val="auto"/>
          <w:sz w:val="32"/>
          <w:szCs w:val="32"/>
          <w:highlight w:val="none"/>
          <w:lang w:eastAsia="zh-CN"/>
        </w:rPr>
        <w:t>，</w:t>
      </w:r>
      <w:r>
        <w:rPr>
          <w:rFonts w:hint="eastAsia" w:ascii="宋体" w:hAnsi="宋体" w:eastAsia="仿宋_GB2312" w:cs="仿宋"/>
          <w:b w:val="0"/>
          <w:color w:val="auto"/>
          <w:sz w:val="32"/>
          <w:szCs w:val="32"/>
          <w:highlight w:val="none"/>
          <w:lang w:val="en-US" w:eastAsia="zh-CN"/>
        </w:rPr>
        <w:t>现已拨付50万元，全部支付完毕。该项目资金由东川区城管局计财科管理，按投资计划，对项目资金进行单独核算，在项目资金管理过程中实行“专款专用”，未出现挤占挪用现象。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3</w:t>
      </w:r>
      <w:r>
        <w:rPr>
          <w:rFonts w:hint="eastAsia" w:ascii="宋体" w:hAnsi="宋体" w:cs="仿宋"/>
          <w:b/>
          <w:bCs/>
          <w:sz w:val="32"/>
          <w:szCs w:val="32"/>
          <w:lang w:val="en-US" w:eastAsia="zh-CN"/>
        </w:rPr>
        <w:t>.</w:t>
      </w:r>
      <w:r>
        <w:rPr>
          <w:rFonts w:hint="eastAsia" w:ascii="宋体" w:hAnsi="宋体" w:eastAsia="仿宋_GB2312" w:cs="仿宋"/>
          <w:b w:val="0"/>
          <w:sz w:val="32"/>
          <w:szCs w:val="32"/>
          <w:lang w:val="en-US" w:eastAsia="zh-CN"/>
        </w:rPr>
        <w:t xml:space="preserve">项目管理情况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eastAsia="zh-CN"/>
        </w:rPr>
      </w:pPr>
      <w:r>
        <w:rPr>
          <w:rFonts w:hint="eastAsia" w:ascii="宋体" w:hAnsi="宋体" w:eastAsia="仿宋_GB2312" w:cs="仿宋"/>
          <w:b w:val="0"/>
          <w:sz w:val="32"/>
          <w:szCs w:val="32"/>
          <w:lang w:val="en-US" w:eastAsia="zh-CN"/>
        </w:rPr>
        <w:t>本项目采取项目工作领导小组负责制，业务科室全体成员积极配合、通力合作。业务科室负责组织项目实施、进行项目监管。在项目管理全过程强化监督，项目的正常实施以监督检查为保障，项目工作领导小组和业务科室定期或不定期对项目进行现场检查和监督，及时发现、解决、上报问题，以保证项目质量。</w:t>
      </w:r>
    </w:p>
    <w:p>
      <w:pPr>
        <w:pStyle w:val="4"/>
        <w:rPr>
          <w:rFonts w:hint="eastAsia"/>
        </w:rPr>
      </w:pPr>
      <w:bookmarkStart w:id="28" w:name="_Toc22981"/>
      <w:bookmarkStart w:id="29" w:name="_Toc8855"/>
      <w:bookmarkStart w:id="30" w:name="_Toc1542"/>
      <w:r>
        <w:rPr>
          <w:rFonts w:hint="eastAsia"/>
        </w:rPr>
        <w:t>（</w:t>
      </w:r>
      <w:r>
        <w:rPr>
          <w:rFonts w:hint="eastAsia"/>
          <w:lang w:val="en-US" w:eastAsia="zh-CN"/>
        </w:rPr>
        <w:t>三</w:t>
      </w:r>
      <w:r>
        <w:rPr>
          <w:rFonts w:hint="eastAsia"/>
        </w:rPr>
        <w:t>）绩效目标</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eastAsia="zh-CN"/>
        </w:rPr>
      </w:pPr>
      <w:r>
        <w:rPr>
          <w:rFonts w:hint="eastAsia" w:ascii="宋体" w:hAnsi="宋体" w:eastAsia="仿宋_GB2312" w:cs="仿宋"/>
          <w:b/>
          <w:bCs/>
          <w:sz w:val="32"/>
          <w:szCs w:val="32"/>
        </w:rPr>
        <w:t>1.</w:t>
      </w:r>
      <w:r>
        <w:rPr>
          <w:rFonts w:hint="eastAsia" w:ascii="宋体" w:hAnsi="宋体" w:eastAsia="仿宋_GB2312" w:cs="仿宋"/>
          <w:b w:val="0"/>
          <w:sz w:val="32"/>
          <w:szCs w:val="32"/>
        </w:rPr>
        <w:t>总目标</w:t>
      </w:r>
      <w:r>
        <w:rPr>
          <w:rFonts w:hint="eastAsia" w:ascii="宋体" w:hAnsi="宋体" w:eastAsia="仿宋_GB2312" w:cs="仿宋"/>
          <w:b w:val="0"/>
          <w:sz w:val="32"/>
          <w:szCs w:val="32"/>
          <w:lang w:eastAsia="zh-CN"/>
        </w:rPr>
        <w:t>：加强道路照明设施管理维护，及时修理被盗、被损的亮化设施，确保东川区主城区主次干道、背街小巷装灯率达到100%、亮灯率达到95%以上，设施完好率达100%。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bCs/>
          <w:sz w:val="32"/>
          <w:szCs w:val="32"/>
        </w:rPr>
        <w:t>2.</w:t>
      </w:r>
      <w:r>
        <w:rPr>
          <w:rFonts w:hint="eastAsia" w:ascii="宋体" w:hAnsi="宋体" w:eastAsia="仿宋_GB2312" w:cs="仿宋"/>
          <w:b w:val="0"/>
          <w:sz w:val="32"/>
          <w:szCs w:val="32"/>
        </w:rPr>
        <w:t>年度目标。</w:t>
      </w:r>
      <w:r>
        <w:rPr>
          <w:rFonts w:hint="eastAsia" w:ascii="宋体" w:hAnsi="宋体" w:eastAsia="仿宋_GB2312" w:cs="仿宋"/>
          <w:b w:val="0"/>
          <w:sz w:val="32"/>
          <w:szCs w:val="32"/>
          <w:lang w:eastAsia="zh-CN"/>
        </w:rPr>
        <w:t>加强</w:t>
      </w:r>
      <w:r>
        <w:rPr>
          <w:rFonts w:hint="eastAsia" w:ascii="宋体" w:hAnsi="宋体" w:eastAsia="仿宋_GB2312" w:cs="仿宋"/>
          <w:b w:val="0"/>
          <w:sz w:val="32"/>
          <w:szCs w:val="32"/>
          <w:lang w:val="en-US" w:eastAsia="zh-CN"/>
        </w:rPr>
        <w:t>2019年度</w:t>
      </w:r>
      <w:r>
        <w:rPr>
          <w:rFonts w:hint="eastAsia" w:ascii="宋体" w:hAnsi="宋体" w:eastAsia="仿宋_GB2312" w:cs="仿宋"/>
          <w:b w:val="0"/>
          <w:sz w:val="32"/>
          <w:szCs w:val="32"/>
          <w:lang w:eastAsia="zh-CN"/>
        </w:rPr>
        <w:t>道路照明设施管理维护，及时修理被盗、被损的亮化设施，确保东川区主城区主次干道、背街小巷装灯率达到100%、亮灯率达到95%以上，设施完好率达100</w:t>
      </w:r>
      <w:r>
        <w:rPr>
          <w:rFonts w:hint="eastAsia" w:ascii="宋体" w:hAnsi="宋体" w:eastAsia="仿宋_GB2312" w:cs="仿宋"/>
          <w:b w:val="0"/>
          <w:sz w:val="32"/>
          <w:szCs w:val="32"/>
          <w:lang w:val="en-US" w:eastAsia="zh-CN"/>
        </w:rPr>
        <w:t>%</w:t>
      </w:r>
      <w:r>
        <w:rPr>
          <w:rFonts w:hint="eastAsia" w:ascii="宋体" w:hAnsi="宋体" w:eastAsia="仿宋_GB2312" w:cs="仿宋"/>
          <w:b w:val="0"/>
          <w:sz w:val="32"/>
          <w:szCs w:val="32"/>
          <w:lang w:eastAsia="zh-CN"/>
        </w:rPr>
        <w:t>。</w:t>
      </w:r>
    </w:p>
    <w:p>
      <w:pPr>
        <w:pStyle w:val="3"/>
        <w:rPr>
          <w:rFonts w:hint="eastAsia"/>
        </w:rPr>
      </w:pPr>
      <w:bookmarkStart w:id="31" w:name="_Toc29314"/>
      <w:bookmarkStart w:id="32" w:name="_Toc17439"/>
      <w:bookmarkStart w:id="33" w:name="_Toc26770"/>
      <w:bookmarkStart w:id="34" w:name="_Toc27333"/>
      <w:r>
        <w:rPr>
          <w:rFonts w:hint="eastAsia"/>
        </w:rPr>
        <w:t>二、绩效评价工作情况</w:t>
      </w:r>
      <w:bookmarkEnd w:id="31"/>
      <w:bookmarkEnd w:id="32"/>
      <w:bookmarkEnd w:id="33"/>
      <w:bookmarkEnd w:id="34"/>
    </w:p>
    <w:p>
      <w:pPr>
        <w:pStyle w:val="4"/>
        <w:rPr>
          <w:rFonts w:hint="eastAsia"/>
        </w:rPr>
      </w:pPr>
      <w:bookmarkStart w:id="35" w:name="_Toc19388"/>
      <w:bookmarkStart w:id="36" w:name="_Toc10201"/>
      <w:bookmarkStart w:id="37" w:name="_Toc23950"/>
      <w:bookmarkStart w:id="38" w:name="_Toc10672"/>
      <w:r>
        <w:rPr>
          <w:rFonts w:hint="eastAsia"/>
        </w:rPr>
        <w:t>（一）绩效评价目的</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pStyle w:val="4"/>
        <w:rPr>
          <w:rFonts w:hint="eastAsia"/>
        </w:rPr>
      </w:pPr>
      <w:bookmarkStart w:id="39" w:name="_Toc10855"/>
      <w:bookmarkStart w:id="40" w:name="_Toc23322"/>
      <w:bookmarkStart w:id="41" w:name="_Toc28972"/>
      <w:bookmarkStart w:id="42" w:name="_Toc1282"/>
      <w:r>
        <w:rPr>
          <w:rFonts w:hint="eastAsia"/>
        </w:rPr>
        <w:t>（二）绩效评价工作方案制定过程</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根据《昆明市财政局关于印发&lt;昆明市本级部门预算绩效自评管理暂行办法&gt;》（昆财绩〔2018〕60号）确认的评价范围、内容、评价时间及要求，我</w:t>
      </w:r>
      <w:r>
        <w:rPr>
          <w:rFonts w:hint="eastAsia" w:ascii="宋体" w:hAnsi="宋体" w:eastAsia="仿宋_GB2312" w:cs="仿宋"/>
          <w:b w:val="0"/>
          <w:sz w:val="32"/>
          <w:szCs w:val="32"/>
          <w:lang w:eastAsia="zh-CN"/>
        </w:rPr>
        <w:t>局</w:t>
      </w:r>
      <w:r>
        <w:rPr>
          <w:rFonts w:hint="eastAsia" w:ascii="宋体" w:hAnsi="宋体" w:eastAsia="仿宋_GB2312" w:cs="仿宋"/>
          <w:b w:val="0"/>
          <w:sz w:val="32"/>
          <w:szCs w:val="32"/>
        </w:rPr>
        <w:t>成立了绩效评价工作小组，通过</w:t>
      </w:r>
      <w:r>
        <w:rPr>
          <w:rFonts w:hint="eastAsia" w:ascii="宋体" w:hAnsi="宋体" w:eastAsia="仿宋_GB2312" w:cs="仿宋"/>
          <w:b w:val="0"/>
          <w:sz w:val="32"/>
          <w:szCs w:val="32"/>
          <w:lang w:eastAsia="zh-CN"/>
        </w:rPr>
        <w:t>区城市管理</w:t>
      </w:r>
      <w:r>
        <w:rPr>
          <w:rFonts w:hint="eastAsia" w:ascii="宋体" w:hAnsi="宋体" w:eastAsia="仿宋_GB2312" w:cs="仿宋"/>
          <w:b w:val="0"/>
          <w:sz w:val="32"/>
          <w:szCs w:val="32"/>
        </w:rPr>
        <w:t>局提供的相关资料，初步了解项目实施内容和实施情况，在此基础上拟定项目实施单位需要提交的资料清单。根据项目相关管理制度，结合项目</w:t>
      </w:r>
      <w:r>
        <w:rPr>
          <w:rFonts w:hint="eastAsia" w:ascii="宋体" w:hAnsi="宋体" w:eastAsia="仿宋_GB2312" w:cs="仿宋"/>
          <w:b w:val="0"/>
          <w:sz w:val="32"/>
          <w:szCs w:val="32"/>
          <w:lang w:val="en-US" w:eastAsia="zh-CN"/>
        </w:rPr>
        <w:t>实施过程</w:t>
      </w:r>
      <w:r>
        <w:rPr>
          <w:rFonts w:hint="eastAsia" w:ascii="宋体" w:hAnsi="宋体" w:eastAsia="仿宋_GB2312" w:cs="仿宋"/>
          <w:b w:val="0"/>
          <w:sz w:val="32"/>
          <w:szCs w:val="32"/>
        </w:rPr>
        <w:t>中召开的相关会议资料，对项目目前</w:t>
      </w:r>
      <w:r>
        <w:rPr>
          <w:rFonts w:hint="eastAsia" w:ascii="宋体" w:hAnsi="宋体" w:eastAsia="仿宋_GB2312" w:cs="仿宋"/>
          <w:b w:val="0"/>
          <w:sz w:val="32"/>
          <w:szCs w:val="32"/>
          <w:lang w:val="en-US" w:eastAsia="zh-CN"/>
        </w:rPr>
        <w:t>的实施情况</w:t>
      </w:r>
      <w:r>
        <w:rPr>
          <w:rFonts w:hint="eastAsia" w:ascii="宋体" w:hAnsi="宋体" w:eastAsia="仿宋_GB2312" w:cs="仿宋"/>
          <w:b w:val="0"/>
          <w:sz w:val="32"/>
          <w:szCs w:val="32"/>
        </w:rPr>
        <w:t>进行初步了解</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lang w:val="en-US" w:eastAsia="zh-CN"/>
        </w:rPr>
        <w:t>找出了</w:t>
      </w:r>
      <w:r>
        <w:rPr>
          <w:rFonts w:hint="eastAsia" w:ascii="宋体" w:hAnsi="宋体" w:eastAsia="仿宋_GB2312" w:cs="仿宋"/>
          <w:b w:val="0"/>
          <w:sz w:val="32"/>
          <w:szCs w:val="32"/>
        </w:rPr>
        <w:t>存在的问题</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rPr>
        <w:t>根据项目特点设置个性指标，通过与</w:t>
      </w:r>
      <w:r>
        <w:rPr>
          <w:rFonts w:hint="eastAsia" w:ascii="宋体" w:hAnsi="宋体" w:eastAsia="仿宋_GB2312" w:cs="仿宋"/>
          <w:b w:val="0"/>
          <w:sz w:val="32"/>
          <w:szCs w:val="32"/>
          <w:lang w:val="en-US" w:eastAsia="zh-CN"/>
        </w:rPr>
        <w:t>局绩效自评工作领导小组</w:t>
      </w:r>
      <w:r>
        <w:rPr>
          <w:rFonts w:hint="eastAsia" w:ascii="宋体" w:hAnsi="宋体" w:eastAsia="仿宋_GB2312" w:cs="仿宋"/>
          <w:b w:val="0"/>
          <w:sz w:val="32"/>
          <w:szCs w:val="32"/>
        </w:rPr>
        <w:t>进行沟通和讨论后修改完善指标，作为后期评价工作开展的重要依据。</w:t>
      </w:r>
    </w:p>
    <w:p>
      <w:pPr>
        <w:pStyle w:val="4"/>
        <w:rPr>
          <w:rFonts w:hint="eastAsia"/>
        </w:rPr>
      </w:pPr>
      <w:bookmarkStart w:id="43" w:name="_Toc20910"/>
      <w:bookmarkStart w:id="44" w:name="_Toc23341"/>
      <w:bookmarkStart w:id="45" w:name="_Toc17790"/>
      <w:bookmarkStart w:id="46" w:name="_Toc19513"/>
      <w:r>
        <w:rPr>
          <w:rFonts w:hint="eastAsia"/>
        </w:rPr>
        <w:t>（三）绩效评价原则、评价方法</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pStyle w:val="4"/>
        <w:rPr>
          <w:rFonts w:hint="eastAsia"/>
        </w:rPr>
      </w:pPr>
      <w:bookmarkStart w:id="47" w:name="_Toc2942"/>
      <w:bookmarkStart w:id="48" w:name="_Toc3446"/>
      <w:bookmarkStart w:id="49" w:name="_Toc1320"/>
      <w:bookmarkStart w:id="50" w:name="_Toc18470"/>
      <w:r>
        <w:rPr>
          <w:rFonts w:hint="eastAsia"/>
        </w:rPr>
        <w:t>（四）绩效评价实施过程</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rPr>
        <w:t>绩效评价工作小组根据拟定</w:t>
      </w:r>
      <w:r>
        <w:rPr>
          <w:rFonts w:hint="eastAsia" w:ascii="宋体" w:hAnsi="宋体" w:eastAsia="仿宋_GB2312" w:cs="仿宋"/>
          <w:b w:val="0"/>
          <w:sz w:val="32"/>
          <w:szCs w:val="32"/>
          <w:lang w:val="en-US" w:eastAsia="zh-CN"/>
        </w:rPr>
        <w:t>的</w:t>
      </w:r>
      <w:r>
        <w:rPr>
          <w:rFonts w:hint="eastAsia" w:ascii="宋体" w:hAnsi="宋体" w:eastAsia="仿宋_GB2312" w:cs="仿宋"/>
          <w:b w:val="0"/>
          <w:sz w:val="32"/>
          <w:szCs w:val="32"/>
        </w:rPr>
        <w:t>绩效</w:t>
      </w:r>
      <w:r>
        <w:rPr>
          <w:rFonts w:hint="eastAsia" w:ascii="宋体" w:hAnsi="宋体" w:eastAsia="仿宋_GB2312" w:cs="仿宋"/>
          <w:b w:val="0"/>
          <w:sz w:val="32"/>
          <w:szCs w:val="32"/>
          <w:lang w:val="en-US" w:eastAsia="zh-CN"/>
        </w:rPr>
        <w:t>自评</w:t>
      </w:r>
      <w:r>
        <w:rPr>
          <w:rFonts w:hint="eastAsia" w:ascii="宋体" w:hAnsi="宋体" w:eastAsia="仿宋_GB2312" w:cs="仿宋"/>
          <w:b w:val="0"/>
          <w:sz w:val="32"/>
          <w:szCs w:val="32"/>
        </w:rPr>
        <w:t>实施方案和绩效指标考评体系</w:t>
      </w:r>
      <w:r>
        <w:rPr>
          <w:rFonts w:hint="eastAsia" w:ascii="宋体" w:hAnsi="宋体" w:eastAsia="仿宋_GB2312" w:cs="仿宋"/>
          <w:b w:val="0"/>
          <w:sz w:val="32"/>
          <w:szCs w:val="32"/>
          <w:lang w:val="en-US" w:eastAsia="zh-CN"/>
        </w:rPr>
        <w:t>，召开项目评价小组工作会议对项目资料</w:t>
      </w:r>
      <w:r>
        <w:rPr>
          <w:rFonts w:hint="eastAsia" w:ascii="宋体" w:hAnsi="宋体" w:eastAsia="仿宋_GB2312" w:cs="仿宋"/>
          <w:b w:val="0"/>
          <w:sz w:val="32"/>
          <w:szCs w:val="32"/>
        </w:rPr>
        <w:t>进行核实、复核及初步分析，设置</w:t>
      </w:r>
      <w:r>
        <w:rPr>
          <w:rFonts w:hint="eastAsia" w:ascii="宋体" w:hAnsi="宋体" w:eastAsia="仿宋_GB2312" w:cs="仿宋"/>
          <w:b w:val="0"/>
          <w:sz w:val="32"/>
          <w:szCs w:val="32"/>
          <w:lang w:val="en-US" w:eastAsia="zh-CN"/>
        </w:rPr>
        <w:t>了</w:t>
      </w:r>
      <w:r>
        <w:rPr>
          <w:rFonts w:hint="eastAsia" w:ascii="宋体" w:hAnsi="宋体" w:eastAsia="仿宋_GB2312" w:cs="仿宋"/>
          <w:b w:val="0"/>
          <w:sz w:val="32"/>
          <w:szCs w:val="32"/>
        </w:rPr>
        <w:t>符合项目特点的绩效评价指标体系，</w:t>
      </w:r>
      <w:r>
        <w:rPr>
          <w:rFonts w:hint="eastAsia" w:ascii="宋体" w:hAnsi="宋体" w:eastAsia="仿宋_GB2312" w:cs="仿宋"/>
          <w:b w:val="0"/>
          <w:sz w:val="32"/>
          <w:szCs w:val="32"/>
          <w:lang w:val="en-US" w:eastAsia="zh-CN"/>
        </w:rPr>
        <w:t>并对访谈分析报告和社会调查问卷设置重点进行了明确。按照项目评价小组工作会议要求，工作人员梳理了材料清单、设置了社会调查问卷和访谈提纲。2020年3月底至4月初，项目自评工作组分步骤、分批次进行了多层次多维度的社会调查和自评访谈，共发放和收回社会调查问卷20份、访谈提纲3份。依据对项目调查问卷、访谈记录和指标体系打分结果的分析，撰写了2019年度城市照用电费及维护经费自评报告。</w:t>
      </w:r>
    </w:p>
    <w:p>
      <w:pPr>
        <w:pStyle w:val="4"/>
        <w:rPr>
          <w:rFonts w:hint="eastAsia"/>
        </w:rPr>
      </w:pPr>
      <w:bookmarkStart w:id="51" w:name="_Toc29701"/>
      <w:bookmarkStart w:id="52" w:name="_Toc20440"/>
      <w:bookmarkStart w:id="53" w:name="_Toc28071"/>
      <w:bookmarkStart w:id="54" w:name="_Toc10865"/>
      <w:r>
        <w:rPr>
          <w:rFonts w:hint="eastAsia"/>
          <w:lang w:eastAsia="zh-CN"/>
        </w:rPr>
        <w:t>（</w:t>
      </w:r>
      <w:r>
        <w:rPr>
          <w:rFonts w:hint="eastAsia"/>
          <w:lang w:val="en-US" w:eastAsia="zh-CN"/>
        </w:rPr>
        <w:t>五</w:t>
      </w:r>
      <w:r>
        <w:rPr>
          <w:rFonts w:hint="eastAsia"/>
          <w:lang w:eastAsia="zh-CN"/>
        </w:rPr>
        <w:t>）</w:t>
      </w:r>
      <w:r>
        <w:rPr>
          <w:rFonts w:hint="eastAsia"/>
        </w:rPr>
        <w:t>本次绩效评价的局限性</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rPr>
        <w:t>我们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pStyle w:val="3"/>
        <w:rPr>
          <w:rFonts w:hint="eastAsia"/>
        </w:rPr>
      </w:pPr>
      <w:bookmarkStart w:id="55" w:name="_Toc32602"/>
      <w:bookmarkStart w:id="56" w:name="_Toc10096"/>
      <w:bookmarkStart w:id="57" w:name="_Toc18773"/>
      <w:bookmarkStart w:id="58" w:name="_Toc2865"/>
      <w:r>
        <w:rPr>
          <w:rFonts w:hint="eastAsia"/>
        </w:rPr>
        <w:t>三、评价结论和绩效分析</w:t>
      </w:r>
      <w:bookmarkEnd w:id="55"/>
      <w:bookmarkEnd w:id="56"/>
      <w:bookmarkEnd w:id="57"/>
      <w:bookmarkEnd w:id="58"/>
    </w:p>
    <w:p>
      <w:pPr>
        <w:pStyle w:val="4"/>
        <w:rPr>
          <w:rFonts w:hint="eastAsia"/>
          <w:lang w:val="en-US" w:eastAsia="zh-CN"/>
        </w:rPr>
      </w:pPr>
      <w:bookmarkStart w:id="59" w:name="_Toc27226"/>
      <w:bookmarkStart w:id="60" w:name="_Toc15247"/>
      <w:bookmarkStart w:id="61" w:name="_Toc15022"/>
      <w:bookmarkStart w:id="62" w:name="_Toc26369"/>
      <w:r>
        <w:rPr>
          <w:rFonts w:hint="eastAsia"/>
          <w:lang w:eastAsia="zh-CN"/>
        </w:rPr>
        <w:t>（</w:t>
      </w:r>
      <w:r>
        <w:rPr>
          <w:rFonts w:hint="eastAsia"/>
          <w:lang w:val="en-US" w:eastAsia="zh-CN"/>
        </w:rPr>
        <w:t>一</w:t>
      </w:r>
      <w:r>
        <w:rPr>
          <w:rFonts w:hint="eastAsia"/>
          <w:lang w:eastAsia="zh-CN"/>
        </w:rPr>
        <w:t>）</w:t>
      </w:r>
      <w:r>
        <w:rPr>
          <w:rFonts w:hint="eastAsia"/>
          <w:lang w:val="en-US" w:eastAsia="zh-CN"/>
        </w:rPr>
        <w:t>评价结论</w:t>
      </w:r>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1.评价结果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依据《2019年城市维护费绩效自评指标体系》，2019年城市照明电费及维护经费自评得分98分，评价等级为优。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2</w:t>
      </w:r>
      <w:r>
        <w:rPr>
          <w:rFonts w:hint="eastAsia" w:ascii="宋体" w:hAnsi="宋体" w:cs="仿宋"/>
          <w:b/>
          <w:bCs/>
          <w:sz w:val="32"/>
          <w:szCs w:val="32"/>
          <w:lang w:val="en-US" w:eastAsia="zh-CN"/>
        </w:rPr>
        <w:t>.</w:t>
      </w:r>
      <w:r>
        <w:rPr>
          <w:rFonts w:hint="eastAsia" w:ascii="宋体" w:hAnsi="宋体" w:eastAsia="仿宋_GB2312" w:cs="仿宋"/>
          <w:b/>
          <w:bCs/>
          <w:sz w:val="32"/>
          <w:szCs w:val="32"/>
          <w:lang w:val="en-US" w:eastAsia="zh-CN"/>
        </w:rPr>
        <w:t>主要绩效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2019年城市照明电费及维护经费</w:t>
      </w:r>
      <w:r>
        <w:rPr>
          <w:rFonts w:hint="eastAsia" w:ascii="宋体" w:hAnsi="宋体" w:eastAsia="仿宋_GB2312" w:cs="仿宋"/>
          <w:b w:val="0"/>
          <w:sz w:val="32"/>
          <w:szCs w:val="32"/>
        </w:rPr>
        <w:t>已按原定目标完成</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lang w:val="en-US" w:eastAsia="zh-CN"/>
        </w:rPr>
        <w:t>经过</w:t>
      </w:r>
      <w:r>
        <w:rPr>
          <w:rFonts w:hint="eastAsia" w:ascii="宋体" w:hAnsi="宋体" w:eastAsia="仿宋_GB2312" w:cs="仿宋"/>
          <w:b w:val="0"/>
          <w:sz w:val="32"/>
          <w:szCs w:val="32"/>
          <w:lang w:eastAsia="zh-CN"/>
        </w:rPr>
        <w:t>城市照明路灯维护及电费的支付</w:t>
      </w:r>
      <w:r>
        <w:rPr>
          <w:rFonts w:hint="eastAsia" w:ascii="宋体" w:hAnsi="宋体" w:eastAsia="仿宋_GB2312" w:cs="仿宋"/>
          <w:b w:val="0"/>
          <w:sz w:val="32"/>
          <w:szCs w:val="32"/>
          <w:lang w:val="en-US" w:eastAsia="zh-CN"/>
        </w:rPr>
        <w:t>，加强了我区</w:t>
      </w:r>
      <w:r>
        <w:rPr>
          <w:rFonts w:hint="eastAsia" w:ascii="宋体" w:hAnsi="宋体" w:eastAsia="仿宋_GB2312" w:cs="仿宋"/>
          <w:b w:val="0"/>
          <w:sz w:val="32"/>
          <w:szCs w:val="32"/>
          <w:lang w:eastAsia="zh-CN"/>
        </w:rPr>
        <w:t>道路照明和景观照明设施管理维护，及时修理被盗、被损的亮化设施，确保东川区主城区主次干道、背街小巷装灯率达到100%、亮灯率达到95%以上，设施完好率达100</w:t>
      </w:r>
      <w:r>
        <w:rPr>
          <w:rFonts w:hint="eastAsia" w:ascii="宋体" w:hAnsi="宋体" w:eastAsia="仿宋_GB2312" w:cs="仿宋"/>
          <w:b w:val="0"/>
          <w:sz w:val="32"/>
          <w:szCs w:val="32"/>
          <w:lang w:val="en-US" w:eastAsia="zh-CN"/>
        </w:rPr>
        <w:t>%</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lang w:val="en-US" w:eastAsia="zh-CN"/>
        </w:rPr>
        <w:t>提升我区城市形象，促进社会和谐。形成了一套完善的城市管理体系，为维护整洁有序的城市环境提供了有力保障，为进一步优化我区营商环境创造了更加有利的硬件条件。</w:t>
      </w:r>
    </w:p>
    <w:p>
      <w:pPr>
        <w:pStyle w:val="4"/>
        <w:rPr>
          <w:rFonts w:hint="eastAsia"/>
          <w:lang w:val="en-US" w:eastAsia="zh-CN"/>
        </w:rPr>
      </w:pPr>
      <w:bookmarkStart w:id="63" w:name="_Toc14759"/>
      <w:bookmarkStart w:id="64" w:name="_Toc7900"/>
      <w:bookmarkStart w:id="65" w:name="_Toc22360"/>
      <w:bookmarkStart w:id="66" w:name="_Toc12444"/>
      <w:r>
        <w:rPr>
          <w:rFonts w:hint="eastAsia"/>
          <w:lang w:val="en-US" w:eastAsia="zh-CN"/>
        </w:rPr>
        <w:t>（二）具体绩效分析</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1</w:t>
      </w:r>
      <w:r>
        <w:rPr>
          <w:rFonts w:hint="eastAsia" w:ascii="宋体" w:hAnsi="宋体" w:cs="仿宋"/>
          <w:b/>
          <w:bCs/>
          <w:sz w:val="32"/>
          <w:szCs w:val="32"/>
          <w:lang w:val="en-US" w:eastAsia="zh-CN"/>
        </w:rPr>
        <w:t>.</w:t>
      </w:r>
      <w:r>
        <w:rPr>
          <w:rFonts w:hint="eastAsia" w:ascii="宋体" w:hAnsi="宋体" w:eastAsia="仿宋_GB2312" w:cs="仿宋"/>
          <w:b/>
          <w:bCs/>
          <w:sz w:val="32"/>
          <w:szCs w:val="32"/>
          <w:lang w:val="en-US" w:eastAsia="zh-CN"/>
        </w:rPr>
        <w:t>项目决策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项目立项与部门中长期规划目标匹配度达100%，立项依据充分，立项规范；绩效目标设定合理、绩效指标设定明确。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2.项目管理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项目预算编制合理、调整规范、执行率高；资金使用规范、财务管理制度健全、财务监督有效；项目管理制度健全、执行有效、采购项目和程序规范。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bCs/>
          <w:sz w:val="32"/>
          <w:szCs w:val="32"/>
          <w:lang w:val="en-US" w:eastAsia="zh-CN"/>
        </w:rPr>
      </w:pPr>
      <w:r>
        <w:rPr>
          <w:rFonts w:hint="eastAsia" w:ascii="宋体" w:hAnsi="宋体" w:eastAsia="仿宋_GB2312" w:cs="仿宋"/>
          <w:b/>
          <w:bCs/>
          <w:sz w:val="32"/>
          <w:szCs w:val="32"/>
          <w:lang w:val="en-US" w:eastAsia="zh-CN"/>
        </w:rPr>
        <w:t>3</w:t>
      </w:r>
      <w:r>
        <w:rPr>
          <w:rFonts w:hint="eastAsia" w:ascii="宋体" w:hAnsi="宋体" w:cs="仿宋"/>
          <w:b/>
          <w:bCs/>
          <w:sz w:val="32"/>
          <w:szCs w:val="32"/>
          <w:lang w:val="en-US" w:eastAsia="zh-CN"/>
        </w:rPr>
        <w:t>.</w:t>
      </w:r>
      <w:r>
        <w:rPr>
          <w:rFonts w:hint="eastAsia" w:ascii="宋体" w:hAnsi="宋体" w:eastAsia="仿宋_GB2312" w:cs="仿宋"/>
          <w:b/>
          <w:bCs/>
          <w:sz w:val="32"/>
          <w:szCs w:val="32"/>
          <w:lang w:val="en-US" w:eastAsia="zh-CN"/>
        </w:rPr>
        <w:t>项目绩效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rPr>
      </w:pPr>
      <w:r>
        <w:rPr>
          <w:rFonts w:hint="eastAsia" w:ascii="宋体" w:hAnsi="宋体" w:eastAsia="仿宋_GB2312" w:cs="仿宋"/>
          <w:b w:val="0"/>
          <w:sz w:val="32"/>
          <w:szCs w:val="32"/>
          <w:lang w:eastAsia="zh-CN"/>
        </w:rPr>
        <w:t>确保东川区主城区主次干道、背街小巷装灯率达到100%、亮灯率达到95%以上，设施完好率达100</w:t>
      </w:r>
      <w:r>
        <w:rPr>
          <w:rFonts w:hint="eastAsia" w:ascii="宋体" w:hAnsi="宋体" w:eastAsia="仿宋_GB2312" w:cs="仿宋"/>
          <w:b w:val="0"/>
          <w:sz w:val="32"/>
          <w:szCs w:val="32"/>
          <w:lang w:val="en-US" w:eastAsia="zh-CN"/>
        </w:rPr>
        <w:t>%</w:t>
      </w:r>
      <w:r>
        <w:rPr>
          <w:rFonts w:hint="eastAsia" w:ascii="宋体" w:hAnsi="宋体" w:eastAsia="仿宋_GB2312" w:cs="仿宋"/>
          <w:b w:val="0"/>
          <w:sz w:val="32"/>
          <w:szCs w:val="32"/>
          <w:lang w:eastAsia="zh-CN"/>
        </w:rPr>
        <w:t>。</w:t>
      </w:r>
      <w:r>
        <w:rPr>
          <w:rFonts w:hint="eastAsia" w:ascii="宋体" w:hAnsi="宋体" w:eastAsia="仿宋_GB2312" w:cs="仿宋"/>
          <w:b w:val="0"/>
          <w:sz w:val="32"/>
          <w:szCs w:val="32"/>
          <w:lang w:val="en-US" w:eastAsia="zh-CN"/>
        </w:rPr>
        <w:t>群众满意度高、生态效益明显。</w:t>
      </w:r>
    </w:p>
    <w:p>
      <w:pPr>
        <w:pStyle w:val="3"/>
        <w:rPr>
          <w:rFonts w:hint="eastAsia"/>
        </w:rPr>
      </w:pPr>
      <w:bookmarkStart w:id="67" w:name="_Toc32084"/>
      <w:bookmarkStart w:id="68" w:name="_Toc30117"/>
      <w:bookmarkStart w:id="69" w:name="_Toc1287"/>
      <w:bookmarkStart w:id="70" w:name="_Toc11889"/>
      <w:r>
        <w:rPr>
          <w:rFonts w:hint="eastAsia"/>
          <w:lang w:eastAsia="zh-CN"/>
        </w:rPr>
        <w:t>四、</w:t>
      </w:r>
      <w:r>
        <w:rPr>
          <w:rFonts w:hint="eastAsia"/>
        </w:rPr>
        <w:t>成本效益分析</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rPr>
        <w:t>据东财预【</w:t>
      </w:r>
      <w:r>
        <w:rPr>
          <w:rFonts w:hint="eastAsia" w:ascii="宋体" w:hAnsi="宋体" w:eastAsia="仿宋_GB2312" w:cs="仿宋"/>
          <w:b w:val="0"/>
          <w:sz w:val="32"/>
          <w:szCs w:val="32"/>
          <w:lang w:val="en-US" w:eastAsia="zh-CN"/>
        </w:rPr>
        <w:t>2019</w:t>
      </w:r>
      <w:r>
        <w:rPr>
          <w:rFonts w:hint="eastAsia" w:ascii="宋体" w:hAnsi="宋体" w:eastAsia="仿宋_GB2312" w:cs="仿宋"/>
          <w:b w:val="0"/>
          <w:sz w:val="32"/>
          <w:szCs w:val="32"/>
        </w:rPr>
        <w:t>】1号文件预算</w:t>
      </w:r>
      <w:r>
        <w:rPr>
          <w:rFonts w:hint="eastAsia" w:ascii="宋体" w:hAnsi="宋体" w:eastAsia="仿宋_GB2312" w:cs="仿宋"/>
          <w:b w:val="0"/>
          <w:sz w:val="32"/>
          <w:szCs w:val="32"/>
          <w:lang w:val="en-US" w:eastAsia="zh-CN"/>
        </w:rPr>
        <w:t>安</w:t>
      </w:r>
      <w:r>
        <w:rPr>
          <w:rFonts w:hint="eastAsia" w:ascii="宋体" w:hAnsi="宋体" w:eastAsia="仿宋_GB2312" w:cs="仿宋"/>
          <w:b w:val="0"/>
          <w:color w:val="auto"/>
          <w:sz w:val="32"/>
          <w:szCs w:val="32"/>
        </w:rPr>
        <w:t>排</w:t>
      </w:r>
      <w:r>
        <w:rPr>
          <w:rFonts w:hint="eastAsia" w:ascii="宋体" w:hAnsi="宋体" w:eastAsia="仿宋_GB2312" w:cs="仿宋"/>
          <w:b w:val="0"/>
          <w:color w:val="auto"/>
          <w:sz w:val="32"/>
          <w:szCs w:val="32"/>
          <w:lang w:val="en-US" w:eastAsia="zh-CN"/>
        </w:rPr>
        <w:t>区级预算资金50</w:t>
      </w:r>
      <w:r>
        <w:rPr>
          <w:rFonts w:hint="eastAsia" w:ascii="宋体" w:hAnsi="宋体" w:eastAsia="仿宋_GB2312" w:cs="仿宋"/>
          <w:b w:val="0"/>
          <w:color w:val="auto"/>
          <w:sz w:val="32"/>
          <w:szCs w:val="32"/>
        </w:rPr>
        <w:t>万元用</w:t>
      </w:r>
      <w:r>
        <w:rPr>
          <w:rFonts w:hint="eastAsia" w:ascii="宋体" w:hAnsi="宋体" w:eastAsia="仿宋_GB2312" w:cs="仿宋"/>
          <w:b w:val="0"/>
          <w:sz w:val="32"/>
          <w:szCs w:val="32"/>
        </w:rPr>
        <w:t>于该项目支出，项目资金主要用于</w:t>
      </w:r>
      <w:r>
        <w:rPr>
          <w:rFonts w:hint="eastAsia" w:ascii="宋体" w:hAnsi="宋体" w:eastAsia="仿宋_GB2312" w:cs="仿宋"/>
          <w:b w:val="0"/>
          <w:sz w:val="32"/>
          <w:szCs w:val="32"/>
          <w:lang w:val="en-US" w:eastAsia="zh-CN"/>
        </w:rPr>
        <w:t>按月支付</w:t>
      </w:r>
      <w:r>
        <w:rPr>
          <w:rFonts w:hint="eastAsia" w:ascii="宋体" w:hAnsi="宋体" w:eastAsia="仿宋_GB2312" w:cs="仿宋"/>
          <w:b w:val="0"/>
          <w:sz w:val="32"/>
          <w:szCs w:val="32"/>
          <w:lang w:eastAsia="zh-CN"/>
        </w:rPr>
        <w:t>城市照明电费及维护</w:t>
      </w:r>
      <w:r>
        <w:rPr>
          <w:rFonts w:hint="eastAsia" w:ascii="宋体" w:hAnsi="宋体" w:eastAsia="仿宋_GB2312" w:cs="仿宋"/>
          <w:b w:val="0"/>
          <w:sz w:val="32"/>
          <w:szCs w:val="32"/>
          <w:lang w:val="en-US" w:eastAsia="zh-CN"/>
        </w:rPr>
        <w:t>费</w:t>
      </w:r>
      <w:r>
        <w:rPr>
          <w:rFonts w:hint="eastAsia" w:ascii="宋体" w:hAnsi="宋体" w:eastAsia="仿宋_GB2312" w:cs="仿宋"/>
          <w:b w:val="0"/>
          <w:sz w:val="32"/>
          <w:szCs w:val="32"/>
        </w:rPr>
        <w:t>，</w:t>
      </w:r>
      <w:r>
        <w:rPr>
          <w:rFonts w:hint="eastAsia" w:ascii="宋体" w:hAnsi="宋体" w:cs="仿宋"/>
          <w:b w:val="0"/>
          <w:sz w:val="32"/>
          <w:szCs w:val="32"/>
          <w:lang w:eastAsia="zh-CN"/>
        </w:rPr>
        <w:t>目前全部支付完毕，</w:t>
      </w:r>
      <w:r>
        <w:rPr>
          <w:rFonts w:hint="eastAsia" w:ascii="宋体" w:hAnsi="宋体" w:eastAsia="仿宋_GB2312" w:cs="仿宋"/>
          <w:b w:val="0"/>
          <w:sz w:val="32"/>
          <w:szCs w:val="32"/>
          <w:lang w:val="en-US" w:eastAsia="zh-CN"/>
        </w:rPr>
        <w:t>主要用于支付城市照明电费及照明设施管理维护费。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区城管局从组织、项目、资金等多方面制定一系列保障制度。形成了业务科室区城市照明管理站实施管理项目，局财务科核算管理项目资金的高效程序。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在资金管理方面，区城市照明管理站负责全区路灯用电管理和核实，核实无误后进</w:t>
      </w:r>
      <w:r>
        <w:rPr>
          <w:rFonts w:hint="eastAsia" w:ascii="宋体" w:hAnsi="宋体" w:cs="仿宋"/>
          <w:b w:val="0"/>
          <w:sz w:val="32"/>
          <w:szCs w:val="32"/>
          <w:lang w:val="en-US" w:eastAsia="zh-CN"/>
        </w:rPr>
        <w:t>行</w:t>
      </w:r>
      <w:r>
        <w:rPr>
          <w:rFonts w:hint="eastAsia" w:ascii="宋体" w:hAnsi="宋体" w:eastAsia="仿宋_GB2312" w:cs="仿宋"/>
          <w:b w:val="0"/>
          <w:sz w:val="32"/>
          <w:szCs w:val="32"/>
          <w:lang w:val="en-US" w:eastAsia="zh-CN"/>
        </w:rPr>
        <w:t>缴纳，确保资金使用的</w:t>
      </w:r>
      <w:r>
        <w:rPr>
          <w:rFonts w:hint="eastAsia" w:ascii="宋体" w:hAnsi="宋体" w:cs="仿宋"/>
          <w:b w:val="0"/>
          <w:sz w:val="32"/>
          <w:szCs w:val="32"/>
          <w:lang w:val="en-US" w:eastAsia="zh-CN"/>
        </w:rPr>
        <w:t>准确性</w:t>
      </w:r>
      <w:r>
        <w:rPr>
          <w:rFonts w:hint="eastAsia" w:ascii="宋体" w:hAnsi="宋体" w:eastAsia="仿宋_GB2312" w:cs="仿宋"/>
          <w:b w:val="0"/>
          <w:sz w:val="32"/>
          <w:szCs w:val="32"/>
          <w:lang w:val="en-US" w:eastAsia="zh-CN"/>
        </w:rPr>
        <w:t>。东川区城管局计财科严格按照项目资金管理规定和投资计划，对项目资金进行单独核算，在项目资金管理过程中实行“专款专用”，未出现挤占挪用现象。</w:t>
      </w:r>
      <w:r>
        <w:rPr>
          <w:rFonts w:hint="eastAsia" w:ascii="宋体" w:hAnsi="宋体" w:eastAsia="仿宋_GB2312" w:cs="仿宋"/>
          <w:b w:val="0"/>
          <w:sz w:val="32"/>
          <w:szCs w:val="32"/>
          <w:lang w:val="en-US" w:eastAsia="zh-CN"/>
        </w:rPr>
        <w:br w:type="textWrapping"/>
      </w:r>
      <w:r>
        <w:rPr>
          <w:rFonts w:hint="eastAsia" w:ascii="宋体" w:hAnsi="宋体" w:eastAsia="仿宋_GB2312" w:cs="仿宋"/>
          <w:b w:val="0"/>
          <w:sz w:val="32"/>
          <w:szCs w:val="32"/>
          <w:lang w:val="en-US" w:eastAsia="zh-CN"/>
        </w:rPr>
        <w:t xml:space="preserve">    在节支增效方面，严格执行《东川区城市管理局项目节支增效措施》等相关规定，不得扩大范围，有效保证财政资金效益的最大化，对每一笔支出结合项目绩效目标要求，厉行节约，力求实现项目资金使用的效益最大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default"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该项目实施有着重要意义，不仅满足了居民的需求，还完善了城市的功能；不仅可以美化城市，展示城市形象，对改善居住和投资环境，促进和带动相关产业的发展起到积极作用。随着城市生态照明、提质亮化改造、照明功能完善的需求，城市照明管理工作面临着管理维护和照明设施改造经费严重不足、专业人员少、技术薄弱等问题，将来该项目资金需求将大幅度提高。</w:t>
      </w:r>
    </w:p>
    <w:p>
      <w:pPr>
        <w:pStyle w:val="3"/>
        <w:rPr>
          <w:rFonts w:hint="eastAsia"/>
        </w:rPr>
      </w:pPr>
      <w:bookmarkStart w:id="71" w:name="_Toc23231"/>
      <w:bookmarkStart w:id="72" w:name="_Toc7375"/>
      <w:bookmarkStart w:id="73" w:name="_Toc9822"/>
      <w:bookmarkStart w:id="74" w:name="_Toc26511"/>
      <w:r>
        <w:rPr>
          <w:rFonts w:hint="eastAsia"/>
        </w:rPr>
        <w:t>五、主要经验及做法、存在的问题和建议</w:t>
      </w:r>
      <w:bookmarkEnd w:id="71"/>
      <w:bookmarkEnd w:id="72"/>
      <w:bookmarkEnd w:id="73"/>
      <w:bookmarkEnd w:id="74"/>
    </w:p>
    <w:p>
      <w:pPr>
        <w:pStyle w:val="4"/>
        <w:rPr>
          <w:rFonts w:hint="eastAsia"/>
        </w:rPr>
      </w:pPr>
      <w:bookmarkStart w:id="75" w:name="_Toc29854"/>
      <w:bookmarkStart w:id="76" w:name="_Toc27809"/>
      <w:bookmarkStart w:id="77" w:name="_Toc1969"/>
      <w:bookmarkStart w:id="78" w:name="_Toc17491"/>
      <w:r>
        <w:rPr>
          <w:rFonts w:hint="eastAsia"/>
          <w:lang w:val="en-US" w:eastAsia="zh-CN"/>
        </w:rPr>
        <w:t>（一）</w:t>
      </w:r>
      <w:r>
        <w:rPr>
          <w:rFonts w:hint="eastAsia"/>
        </w:rPr>
        <w:t>主要经验及做法</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val="0"/>
          <w:sz w:val="32"/>
          <w:szCs w:val="32"/>
          <w:lang w:val="en-US" w:eastAsia="zh-CN"/>
        </w:rPr>
        <w:t xml:space="preserve"> 该项目资金由城市管理局计划财务科管理，使用过程中严格按照资金管理规定实行“专款专用”严格列支，无挤占挪用情况发生。在项目实施过程中，目标明确，强化组织管理，组织架构明晰。形成了一套完整的管理制度和体系。</w:t>
      </w:r>
    </w:p>
    <w:p>
      <w:pPr>
        <w:pStyle w:val="4"/>
        <w:rPr>
          <w:rFonts w:hint="eastAsia"/>
          <w:lang w:val="en-US" w:eastAsia="zh-CN"/>
        </w:rPr>
      </w:pPr>
      <w:bookmarkStart w:id="79" w:name="_Toc15050"/>
      <w:bookmarkStart w:id="80" w:name="_Toc2295"/>
      <w:bookmarkStart w:id="81" w:name="_Toc20229"/>
      <w:bookmarkStart w:id="82" w:name="_Toc19758"/>
      <w:r>
        <w:rPr>
          <w:rFonts w:hint="eastAsia"/>
          <w:lang w:val="en-US" w:eastAsia="zh-CN"/>
        </w:rPr>
        <w:t>（二）存在的问题</w:t>
      </w:r>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1</w:t>
      </w:r>
      <w:r>
        <w:rPr>
          <w:rFonts w:hint="eastAsia" w:ascii="宋体" w:hAnsi="宋体" w:cs="仿宋"/>
          <w:b/>
          <w:bCs/>
          <w:sz w:val="32"/>
          <w:szCs w:val="32"/>
          <w:lang w:val="en-US" w:eastAsia="zh-CN"/>
        </w:rPr>
        <w:t>.</w:t>
      </w:r>
      <w:r>
        <w:rPr>
          <w:rFonts w:hint="eastAsia" w:ascii="宋体" w:hAnsi="宋体" w:eastAsia="仿宋_GB2312" w:cs="仿宋"/>
          <w:b w:val="0"/>
          <w:sz w:val="32"/>
          <w:szCs w:val="32"/>
          <w:lang w:val="en-US" w:eastAsia="zh-CN"/>
        </w:rPr>
        <w:t>管理维护经费严重不足。随着东川照明提质改造亮化项目的推进，照明设施在增长，现我区路灯已有6700盏，电费、维护费等管理成本大幅度提高。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2</w:t>
      </w:r>
      <w:r>
        <w:rPr>
          <w:rFonts w:hint="eastAsia" w:ascii="宋体" w:hAnsi="宋体" w:cs="仿宋"/>
          <w:b/>
          <w:bCs/>
          <w:sz w:val="32"/>
          <w:szCs w:val="32"/>
          <w:lang w:val="en-US" w:eastAsia="zh-CN"/>
        </w:rPr>
        <w:t>.</w:t>
      </w:r>
      <w:r>
        <w:rPr>
          <w:rFonts w:hint="eastAsia" w:ascii="宋体" w:hAnsi="宋体" w:eastAsia="仿宋_GB2312" w:cs="仿宋"/>
          <w:b w:val="0"/>
          <w:sz w:val="32"/>
          <w:szCs w:val="32"/>
          <w:lang w:val="en-US" w:eastAsia="zh-CN"/>
        </w:rPr>
        <w:t>专业人员少、技术力量薄弱。线路维护作业专业性强，能熟练胜任路灯检修、施工安装的工作人员少，长期面临技术断层，给及时准确处理路灯故障和日常维护检修带来了困难。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3</w:t>
      </w:r>
      <w:r>
        <w:rPr>
          <w:rFonts w:hint="eastAsia" w:ascii="宋体" w:hAnsi="宋体" w:cs="仿宋"/>
          <w:b/>
          <w:bCs/>
          <w:sz w:val="32"/>
          <w:szCs w:val="32"/>
          <w:lang w:val="en-US" w:eastAsia="zh-CN"/>
        </w:rPr>
        <w:t>.</w:t>
      </w:r>
      <w:r>
        <w:rPr>
          <w:rFonts w:hint="eastAsia" w:ascii="宋体" w:hAnsi="宋体" w:eastAsia="仿宋_GB2312" w:cs="仿宋"/>
          <w:b w:val="0"/>
          <w:sz w:val="32"/>
          <w:szCs w:val="32"/>
          <w:lang w:val="en-US" w:eastAsia="zh-CN"/>
        </w:rPr>
        <w:t>生态照明有待加强。随着城市发展的现代化，城市照明成为城市景观空间环境的一部分，因缺乏有效的规划管理和技术支撑，带来了一定程度上的污染，现及需对一些光污染照明设施进行改造。</w:t>
      </w:r>
    </w:p>
    <w:p>
      <w:pPr>
        <w:pStyle w:val="4"/>
        <w:rPr>
          <w:rFonts w:hint="eastAsia"/>
          <w:lang w:val="en-US" w:eastAsia="zh-CN"/>
        </w:rPr>
      </w:pPr>
      <w:bookmarkStart w:id="83" w:name="_Toc9038"/>
      <w:bookmarkStart w:id="84" w:name="_Toc28950"/>
      <w:bookmarkStart w:id="85" w:name="_Toc32017"/>
      <w:bookmarkStart w:id="86" w:name="_Toc19983"/>
      <w:r>
        <w:rPr>
          <w:rFonts w:hint="eastAsia"/>
          <w:lang w:val="en-US" w:eastAsia="zh-CN"/>
        </w:rPr>
        <w:t>（三）改进的措施及建议</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1</w:t>
      </w:r>
      <w:r>
        <w:rPr>
          <w:rFonts w:hint="eastAsia" w:ascii="宋体" w:hAnsi="宋体" w:cs="仿宋"/>
          <w:b/>
          <w:bCs/>
          <w:sz w:val="32"/>
          <w:szCs w:val="32"/>
          <w:lang w:val="en-US" w:eastAsia="zh-CN"/>
        </w:rPr>
        <w:t>.</w:t>
      </w:r>
      <w:r>
        <w:rPr>
          <w:rFonts w:hint="eastAsia" w:ascii="宋体" w:hAnsi="宋体" w:eastAsia="仿宋_GB2312" w:cs="仿宋"/>
          <w:b w:val="0"/>
          <w:sz w:val="32"/>
          <w:szCs w:val="32"/>
          <w:lang w:val="en-US" w:eastAsia="zh-CN"/>
        </w:rPr>
        <w:t>提高经费保障力度，建立经费保障机制，加大财政预算。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72" w:firstLineChars="200"/>
        <w:jc w:val="both"/>
        <w:textAlignment w:val="auto"/>
        <w:outlineLvl w:val="9"/>
        <w:rPr>
          <w:rFonts w:hint="eastAsia" w:ascii="宋体" w:hAnsi="宋体" w:eastAsia="仿宋_GB2312" w:cs="仿宋"/>
          <w:b w:val="0"/>
          <w:sz w:val="32"/>
          <w:szCs w:val="32"/>
          <w:lang w:val="en-US" w:eastAsia="zh-CN"/>
        </w:rPr>
      </w:pPr>
      <w:r>
        <w:rPr>
          <w:rFonts w:hint="eastAsia" w:ascii="宋体" w:hAnsi="宋体" w:eastAsia="仿宋_GB2312" w:cs="仿宋"/>
          <w:b/>
          <w:bCs/>
          <w:sz w:val="32"/>
          <w:szCs w:val="32"/>
          <w:lang w:val="en-US" w:eastAsia="zh-CN"/>
        </w:rPr>
        <w:t>2.</w:t>
      </w:r>
      <w:r>
        <w:rPr>
          <w:rFonts w:hint="eastAsia" w:ascii="宋体" w:hAnsi="宋体" w:eastAsia="仿宋_GB2312" w:cs="仿宋"/>
          <w:b w:val="0"/>
          <w:sz w:val="32"/>
          <w:szCs w:val="32"/>
        </w:rPr>
        <w:t>加强队伍管理，强化员工素质教育，引进专业技术人才。不断引进技术人员，充实队伍</w:t>
      </w:r>
      <w:r>
        <w:rPr>
          <w:rFonts w:hint="eastAsia" w:ascii="宋体" w:hAnsi="宋体" w:eastAsia="仿宋_GB2312" w:cs="仿宋"/>
          <w:b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仿宋_GB2312"/>
        </w:rPr>
      </w:pPr>
      <w:r>
        <w:rPr>
          <w:rFonts w:hint="eastAsia" w:ascii="宋体" w:hAnsi="宋体" w:eastAsia="仿宋_GB2312"/>
          <w:b/>
          <w:bCs/>
          <w:lang w:val="en-US" w:eastAsia="zh-CN"/>
        </w:rPr>
        <w:t>3.</w:t>
      </w:r>
      <w:r>
        <w:rPr>
          <w:rFonts w:hint="eastAsia" w:ascii="宋体" w:hAnsi="宋体" w:eastAsia="仿宋_GB2312"/>
        </w:rPr>
        <w:t>做好节电节能工作，推进绿色照明节能改造。为加快推进城市绿色照明改造工作，在对老旧路灯进行改造时，严格按照《城市夜景照明设计规范》进行设计，被照对象照度、亮度、照明均匀度及限制光污染指标等要均达到规范要求，逐步引进低碳环保、高效节能、安全舒适的新型光源led路灯，提高了城市照明节能效率，减少了维护成本。</w:t>
      </w:r>
    </w:p>
    <w:p>
      <w:pPr>
        <w:pStyle w:val="4"/>
        <w:rPr>
          <w:rFonts w:hint="eastAsia" w:ascii="宋体" w:hAnsi="宋体" w:eastAsia="仿宋_GB231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53" w:rightChars="17" w:firstLine="872" w:firstLineChars="200"/>
        <w:jc w:val="both"/>
        <w:textAlignment w:val="auto"/>
        <w:outlineLvl w:val="9"/>
        <w:rPr>
          <w:rFonts w:ascii="宋体" w:hAnsi="宋体" w:eastAsia="仿宋_GB2312"/>
          <w:b w:val="0"/>
          <w:sz w:val="32"/>
          <w:szCs w:val="28"/>
        </w:rPr>
      </w:pPr>
    </w:p>
    <w:sectPr>
      <w:footerReference r:id="rId7" w:type="default"/>
      <w:headerReference r:id="rId6" w:type="even"/>
      <w:footerReference r:id="rId8" w:type="even"/>
      <w:pgSz w:w="11907" w:h="16840"/>
      <w:pgMar w:top="2041" w:right="1531" w:bottom="1871" w:left="1531"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Univers 55">
    <w:panose1 w:val="0201060302020203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35075"/>
    <w:rsid w:val="006362CA"/>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27930"/>
    <w:rsid w:val="009511E2"/>
    <w:rsid w:val="00960202"/>
    <w:rsid w:val="00971ACC"/>
    <w:rsid w:val="00984AA9"/>
    <w:rsid w:val="009B1D6B"/>
    <w:rsid w:val="009C2E24"/>
    <w:rsid w:val="009E07A7"/>
    <w:rsid w:val="00A032C7"/>
    <w:rsid w:val="00A449C0"/>
    <w:rsid w:val="00A45A91"/>
    <w:rsid w:val="00AB6099"/>
    <w:rsid w:val="00B1591B"/>
    <w:rsid w:val="00B268F0"/>
    <w:rsid w:val="00B30346"/>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0EB6"/>
    <w:rsid w:val="00E0768F"/>
    <w:rsid w:val="00E124FB"/>
    <w:rsid w:val="00E219E0"/>
    <w:rsid w:val="00E355E2"/>
    <w:rsid w:val="00E44E53"/>
    <w:rsid w:val="00E60A47"/>
    <w:rsid w:val="00E627D0"/>
    <w:rsid w:val="00E72B9D"/>
    <w:rsid w:val="00E75F2E"/>
    <w:rsid w:val="00EB1222"/>
    <w:rsid w:val="00EB5E95"/>
    <w:rsid w:val="00F40020"/>
    <w:rsid w:val="00F525BE"/>
    <w:rsid w:val="00F613AB"/>
    <w:rsid w:val="00F8179E"/>
    <w:rsid w:val="00FB0339"/>
    <w:rsid w:val="02C80B07"/>
    <w:rsid w:val="046359D1"/>
    <w:rsid w:val="0EC74E19"/>
    <w:rsid w:val="100D3A92"/>
    <w:rsid w:val="111E5250"/>
    <w:rsid w:val="11AD223E"/>
    <w:rsid w:val="12595BDD"/>
    <w:rsid w:val="17B80A7A"/>
    <w:rsid w:val="1F7F7D78"/>
    <w:rsid w:val="23B31CD5"/>
    <w:rsid w:val="24C14377"/>
    <w:rsid w:val="25DE7A78"/>
    <w:rsid w:val="2C3141C2"/>
    <w:rsid w:val="2D5E48F8"/>
    <w:rsid w:val="2E6D1E11"/>
    <w:rsid w:val="2EFB69EF"/>
    <w:rsid w:val="32083A6A"/>
    <w:rsid w:val="33633347"/>
    <w:rsid w:val="37BF5EC1"/>
    <w:rsid w:val="38031D6D"/>
    <w:rsid w:val="38046FD8"/>
    <w:rsid w:val="39304C0F"/>
    <w:rsid w:val="3B8B5967"/>
    <w:rsid w:val="3BCA4F11"/>
    <w:rsid w:val="3CC30AF1"/>
    <w:rsid w:val="3E7D471D"/>
    <w:rsid w:val="427C63FE"/>
    <w:rsid w:val="444E691B"/>
    <w:rsid w:val="462E3B63"/>
    <w:rsid w:val="477C14A3"/>
    <w:rsid w:val="478F789E"/>
    <w:rsid w:val="480A7DE3"/>
    <w:rsid w:val="49517166"/>
    <w:rsid w:val="4CD7661A"/>
    <w:rsid w:val="4F7370ED"/>
    <w:rsid w:val="4FB02522"/>
    <w:rsid w:val="51E16852"/>
    <w:rsid w:val="52C776CE"/>
    <w:rsid w:val="56C42A1B"/>
    <w:rsid w:val="58586020"/>
    <w:rsid w:val="5B476542"/>
    <w:rsid w:val="5C5F657D"/>
    <w:rsid w:val="5D7F3C64"/>
    <w:rsid w:val="5E897147"/>
    <w:rsid w:val="5E914308"/>
    <w:rsid w:val="66264286"/>
    <w:rsid w:val="66981EE3"/>
    <w:rsid w:val="676D7A80"/>
    <w:rsid w:val="69DA7588"/>
    <w:rsid w:val="6C9713D8"/>
    <w:rsid w:val="6DBA5E57"/>
    <w:rsid w:val="7054250E"/>
    <w:rsid w:val="70BA2008"/>
    <w:rsid w:val="72B875BC"/>
    <w:rsid w:val="74921AEA"/>
    <w:rsid w:val="76745A2C"/>
    <w:rsid w:val="775D713E"/>
    <w:rsid w:val="7AE73964"/>
    <w:rsid w:val="7B2753CB"/>
    <w:rsid w:val="7CE743A8"/>
    <w:rsid w:val="7E3A645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30"/>
    <w:qFormat/>
    <w:locked/>
    <w:uiPriority w:val="99"/>
    <w:pPr>
      <w:keepNext/>
      <w:keepLines/>
      <w:spacing w:line="560" w:lineRule="exact"/>
      <w:ind w:firstLine="472" w:firstLineChars="200"/>
      <w:jc w:val="both"/>
      <w:outlineLvl w:val="0"/>
    </w:pPr>
    <w:rPr>
      <w:rFonts w:ascii="Calibri" w:hAnsi="Calibri" w:eastAsia="黑体" w:cs="Calibri"/>
      <w:bCs/>
      <w:kern w:val="44"/>
      <w:szCs w:val="44"/>
    </w:rPr>
  </w:style>
  <w:style w:type="paragraph" w:styleId="4">
    <w:name w:val="heading 2"/>
    <w:basedOn w:val="1"/>
    <w:next w:val="1"/>
    <w:unhideWhenUsed/>
    <w:qFormat/>
    <w:locked/>
    <w:uiPriority w:val="0"/>
    <w:pPr>
      <w:keepNext/>
      <w:keepLines/>
      <w:spacing w:beforeLines="0" w:beforeAutospacing="0" w:afterLines="0" w:afterAutospacing="0" w:line="560" w:lineRule="exact"/>
      <w:ind w:firstLine="472" w:firstLineChars="200"/>
      <w:outlineLvl w:val="1"/>
    </w:pPr>
    <w:rPr>
      <w:rFonts w:ascii="Arial" w:hAnsi="Arial" w:eastAsia="楷体_GB2312"/>
    </w:rPr>
  </w:style>
  <w:style w:type="paragraph" w:styleId="5">
    <w:name w:val="heading 3"/>
    <w:basedOn w:val="1"/>
    <w:next w:val="1"/>
    <w:unhideWhenUsed/>
    <w:qFormat/>
    <w:locked/>
    <w:uiPriority w:val="0"/>
    <w:pPr>
      <w:keepNext/>
      <w:keepLines/>
      <w:spacing w:beforeLines="0" w:beforeAutospacing="0" w:afterLines="0" w:afterAutospacing="0" w:line="560" w:lineRule="exact"/>
      <w:ind w:firstLine="872" w:firstLineChars="200"/>
      <w:outlineLvl w:val="2"/>
    </w:pPr>
    <w:rPr>
      <w:rFonts w:ascii="宋体" w:hAnsi="宋体" w:eastAsia="楷体_GB2312"/>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cs="仿宋_GB2312"/>
      <w:kern w:val="0"/>
    </w:rPr>
  </w:style>
  <w:style w:type="paragraph" w:styleId="6">
    <w:name w:val="toc 7"/>
    <w:basedOn w:val="1"/>
    <w:next w:val="1"/>
    <w:unhideWhenUsed/>
    <w:qFormat/>
    <w:uiPriority w:val="39"/>
    <w:pPr>
      <w:ind w:left="2520" w:leftChars="1200"/>
    </w:pPr>
  </w:style>
  <w:style w:type="paragraph" w:styleId="7">
    <w:name w:val="Body Text Indent"/>
    <w:basedOn w:val="1"/>
    <w:link w:val="28"/>
    <w:qFormat/>
    <w:uiPriority w:val="99"/>
    <w:pPr>
      <w:ind w:firstLine="632" w:firstLineChars="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uiPriority w:val="39"/>
    <w:pPr>
      <w:ind w:left="2940" w:leftChars="1400"/>
    </w:pPr>
  </w:style>
  <w:style w:type="paragraph" w:styleId="11">
    <w:name w:val="Date"/>
    <w:basedOn w:val="1"/>
    <w:next w:val="1"/>
    <w:link w:val="27"/>
    <w:qFormat/>
    <w:uiPriority w:val="99"/>
    <w:pPr>
      <w:ind w:left="100" w:leftChars="2500"/>
    </w:p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style>
  <w:style w:type="paragraph" w:styleId="15">
    <w:name w:val="toc 4"/>
    <w:basedOn w:val="1"/>
    <w:next w:val="1"/>
    <w:unhideWhenUsed/>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21">
    <w:name w:val="Strong"/>
    <w:qFormat/>
    <w:locked/>
    <w:uiPriority w:val="0"/>
    <w:rPr>
      <w:b/>
      <w:bCs/>
    </w:rPr>
  </w:style>
  <w:style w:type="character" w:styleId="22">
    <w:name w:val="page number"/>
    <w:qFormat/>
    <w:uiPriority w:val="99"/>
    <w:rPr>
      <w:rFonts w:cs="Times New Roman"/>
    </w:rPr>
  </w:style>
  <w:style w:type="character" w:styleId="23">
    <w:name w:val="Hyperlink"/>
    <w:qFormat/>
    <w:uiPriority w:val="99"/>
    <w:rPr>
      <w:rFonts w:cs="Times New Roman"/>
      <w:color w:val="0000FF"/>
      <w:u w:val="single"/>
    </w:rPr>
  </w:style>
  <w:style w:type="character" w:customStyle="1" w:styleId="25">
    <w:name w:val="页眉 Char"/>
    <w:link w:val="13"/>
    <w:semiHidden/>
    <w:qFormat/>
    <w:uiPriority w:val="99"/>
    <w:rPr>
      <w:rFonts w:eastAsia="仿宋_GB2312"/>
      <w:sz w:val="18"/>
      <w:szCs w:val="18"/>
    </w:rPr>
  </w:style>
  <w:style w:type="character" w:customStyle="1" w:styleId="26">
    <w:name w:val="页脚 Char"/>
    <w:link w:val="12"/>
    <w:semiHidden/>
    <w:qFormat/>
    <w:uiPriority w:val="99"/>
    <w:rPr>
      <w:rFonts w:eastAsia="仿宋_GB2312"/>
      <w:sz w:val="18"/>
      <w:szCs w:val="18"/>
    </w:rPr>
  </w:style>
  <w:style w:type="character" w:customStyle="1" w:styleId="27">
    <w:name w:val="日期 Char"/>
    <w:link w:val="11"/>
    <w:semiHidden/>
    <w:qFormat/>
    <w:uiPriority w:val="99"/>
    <w:rPr>
      <w:rFonts w:eastAsia="仿宋_GB2312"/>
      <w:sz w:val="32"/>
      <w:szCs w:val="20"/>
    </w:rPr>
  </w:style>
  <w:style w:type="character" w:customStyle="1" w:styleId="28">
    <w:name w:val="正文文本缩进 Char"/>
    <w:link w:val="7"/>
    <w:semiHidden/>
    <w:qFormat/>
    <w:uiPriority w:val="99"/>
    <w:rPr>
      <w:rFonts w:eastAsia="仿宋_GB2312"/>
      <w:sz w:val="32"/>
      <w:szCs w:val="20"/>
    </w:rPr>
  </w:style>
  <w:style w:type="paragraph" w:customStyle="1" w:styleId="29">
    <w:name w:val="Char Char Char Char Char Char"/>
    <w:basedOn w:val="1"/>
    <w:qFormat/>
    <w:uiPriority w:val="99"/>
    <w:pPr>
      <w:adjustRightInd w:val="0"/>
    </w:pPr>
    <w:rPr>
      <w:rFonts w:ascii="Tahoma" w:hAnsi="Tahoma" w:eastAsia="宋体"/>
      <w:sz w:val="24"/>
    </w:rPr>
  </w:style>
  <w:style w:type="character" w:customStyle="1" w:styleId="30">
    <w:name w:val="标题 1 Char"/>
    <w:link w:val="3"/>
    <w:qFormat/>
    <w:uiPriority w:val="99"/>
    <w:rPr>
      <w:rFonts w:ascii="Calibri" w:hAnsi="Calibri" w:eastAsia="黑体" w:cs="Calibri"/>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363</Words>
  <Characters>2072</Characters>
  <Lines>17</Lines>
  <Paragraphs>4</Paragraphs>
  <ScaleCrop>false</ScaleCrop>
  <LinksUpToDate>false</LinksUpToDate>
  <CharactersWithSpaces>2431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2020-04-10T09:26:00Z</dcterms:created>
  <dc:creator>y</dc:creator>
  <cp:lastModifiedBy>fdj</cp:lastModifiedBy>
  <cp:lastPrinted>2015-07-03T03:13:00Z</cp:lastPrinted>
  <dcterms:modified xsi:type="dcterms:W3CDTF">2020-05-28T03:55:08Z</dcterms:modified>
  <dc:title>益财会〔2002〕4号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