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leftChars="0" w:firstLine="0" w:firstLineChars="0"/>
        <w:jc w:val="left"/>
        <w:rPr>
          <w:rFonts w:ascii="黑体" w:eastAsia="黑体"/>
          <w:b/>
          <w:sz w:val="28"/>
          <w:szCs w:val="28"/>
        </w:rPr>
      </w:pPr>
      <w:r>
        <w:rPr>
          <w:rFonts w:hint="eastAsia" w:ascii="仿宋_GB2312" w:hAnsi="宋体" w:cs="宋体"/>
          <w:b/>
          <w:kern w:val="0"/>
          <w:sz w:val="28"/>
          <w:szCs w:val="28"/>
        </w:rPr>
        <w:t>附件5：</w:t>
      </w:r>
      <w:r>
        <w:rPr>
          <w:rFonts w:ascii="仿宋_GB2312" w:hAnsi="宋体" w:cs="宋体"/>
          <w:b/>
          <w:kern w:val="0"/>
          <w:sz w:val="28"/>
          <w:szCs w:val="28"/>
        </w:rPr>
        <w:t>项目支出绩效评价报告（参考提纲）</w:t>
      </w:r>
      <w:r>
        <w:rPr>
          <w:rFonts w:hint="eastAsia" w:ascii="仿宋_GB2312" w:hAnsi="宋体" w:cs="宋体"/>
          <w:b/>
          <w:kern w:val="0"/>
          <w:sz w:val="28"/>
          <w:szCs w:val="28"/>
        </w:rPr>
        <w:t>及所需提供的佐证材料</w:t>
      </w:r>
    </w:p>
    <w:p>
      <w:pPr>
        <w:spacing w:line="580" w:lineRule="exact"/>
        <w:rPr>
          <w:rFonts w:ascii="黑体" w:eastAsia="黑体"/>
          <w:szCs w:val="32"/>
        </w:rPr>
      </w:pPr>
    </w:p>
    <w:p>
      <w:pPr>
        <w:spacing w:line="540" w:lineRule="exact"/>
        <w:jc w:val="center"/>
        <w:rPr>
          <w:rFonts w:ascii="方正小标宋_GBK" w:eastAsia="方正小标宋_GBK"/>
          <w:sz w:val="36"/>
          <w:szCs w:val="36"/>
        </w:rPr>
      </w:pPr>
      <w:r>
        <w:rPr>
          <w:rFonts w:hint="eastAsia" w:ascii="方正小标宋_GBK" w:eastAsia="方正小标宋_GBK"/>
          <w:sz w:val="36"/>
          <w:szCs w:val="36"/>
        </w:rPr>
        <w:t>项目支出绩效评价报告</w:t>
      </w:r>
    </w:p>
    <w:p>
      <w:pPr>
        <w:spacing w:line="540" w:lineRule="exact"/>
        <w:jc w:val="center"/>
        <w:rPr>
          <w:rFonts w:ascii="方正小标宋_GBK" w:eastAsia="方正小标宋_GBK"/>
          <w:sz w:val="36"/>
          <w:szCs w:val="36"/>
        </w:rPr>
      </w:pPr>
      <w:r>
        <w:rPr>
          <w:rFonts w:hint="eastAsia" w:ascii="方正小标宋_GBK" w:eastAsia="方正小标宋_GBK"/>
          <w:sz w:val="36"/>
          <w:szCs w:val="36"/>
        </w:rPr>
        <w:t>（参考提纲）</w:t>
      </w:r>
    </w:p>
    <w:p>
      <w:pPr>
        <w:spacing w:line="540" w:lineRule="exact"/>
        <w:ind w:firstLine="632" w:firstLineChars="200"/>
        <w:jc w:val="left"/>
        <w:rPr>
          <w:rFonts w:ascii="黑体" w:hAnsi="黑体" w:eastAsia="黑体"/>
          <w:szCs w:val="32"/>
        </w:rPr>
      </w:pPr>
    </w:p>
    <w:p>
      <w:pPr>
        <w:spacing w:line="540" w:lineRule="exact"/>
        <w:ind w:firstLine="632" w:firstLineChars="200"/>
        <w:jc w:val="center"/>
        <w:rPr>
          <w:rFonts w:ascii="方正小标宋_GBK" w:hAnsi="黑体" w:eastAsia="方正小标宋_GBK"/>
          <w:szCs w:val="32"/>
        </w:rPr>
      </w:pPr>
      <w:r>
        <w:rPr>
          <w:rFonts w:hint="eastAsia" w:ascii="方正小标宋_GBK" w:hAnsi="黑体" w:eastAsia="方正小标宋_GBK"/>
          <w:szCs w:val="32"/>
        </w:rPr>
        <w:t>摘要（1500字以内）</w:t>
      </w:r>
    </w:p>
    <w:p>
      <w:pPr>
        <w:spacing w:line="540" w:lineRule="exact"/>
        <w:ind w:firstLine="632" w:firstLineChars="200"/>
        <w:jc w:val="left"/>
        <w:rPr>
          <w:rFonts w:ascii="仿宋_GB2312" w:hAnsi="黑体"/>
          <w:szCs w:val="32"/>
        </w:rPr>
      </w:pPr>
      <w:r>
        <w:rPr>
          <w:rFonts w:hint="eastAsia" w:ascii="黑体" w:hAnsi="黑体" w:eastAsia="黑体"/>
          <w:szCs w:val="32"/>
        </w:rPr>
        <w:t>一、项目概况：</w:t>
      </w:r>
      <w:r>
        <w:rPr>
          <w:rFonts w:hint="eastAsia" w:ascii="仿宋_GB2312" w:hAnsi="黑体"/>
          <w:szCs w:val="32"/>
        </w:rPr>
        <w:t>含项目立项背景及目的，预算收支情况。</w:t>
      </w:r>
    </w:p>
    <w:p>
      <w:pPr>
        <w:spacing w:line="540" w:lineRule="exact"/>
        <w:ind w:firstLine="632" w:firstLineChars="200"/>
        <w:jc w:val="left"/>
        <w:rPr>
          <w:rFonts w:ascii="黑体" w:hAnsi="黑体" w:eastAsia="黑体"/>
          <w:szCs w:val="32"/>
        </w:rPr>
      </w:pPr>
      <w:r>
        <w:rPr>
          <w:rFonts w:hint="eastAsia" w:ascii="黑体" w:hAnsi="黑体" w:eastAsia="黑体"/>
          <w:szCs w:val="32"/>
        </w:rPr>
        <w:t>二、评价结论</w:t>
      </w:r>
    </w:p>
    <w:p>
      <w:pPr>
        <w:spacing w:line="540" w:lineRule="exact"/>
        <w:ind w:firstLine="632" w:firstLineChars="200"/>
        <w:jc w:val="left"/>
        <w:rPr>
          <w:rFonts w:ascii="黑体" w:hAnsi="黑体" w:eastAsia="黑体"/>
          <w:szCs w:val="32"/>
        </w:rPr>
      </w:pPr>
      <w:r>
        <w:rPr>
          <w:rFonts w:hint="eastAsia" w:ascii="黑体" w:hAnsi="黑体" w:eastAsia="黑体"/>
          <w:szCs w:val="32"/>
        </w:rPr>
        <w:t>三、经验、问题和建议</w:t>
      </w:r>
    </w:p>
    <w:p>
      <w:pPr>
        <w:spacing w:line="540" w:lineRule="exact"/>
        <w:ind w:firstLine="632" w:firstLineChars="200"/>
        <w:jc w:val="left"/>
        <w:rPr>
          <w:rFonts w:ascii="楷体" w:hAnsi="楷体" w:eastAsia="楷体"/>
          <w:szCs w:val="32"/>
        </w:rPr>
      </w:pPr>
      <w:r>
        <w:rPr>
          <w:rFonts w:hint="eastAsia" w:ascii="楷体" w:hAnsi="楷体" w:eastAsia="楷体"/>
          <w:szCs w:val="32"/>
        </w:rPr>
        <w:t>1.主要经验及做法；</w:t>
      </w:r>
    </w:p>
    <w:p>
      <w:pPr>
        <w:spacing w:line="540" w:lineRule="exact"/>
        <w:ind w:firstLine="632" w:firstLineChars="200"/>
        <w:jc w:val="left"/>
        <w:rPr>
          <w:rFonts w:ascii="楷体" w:hAnsi="楷体" w:eastAsia="楷体"/>
          <w:szCs w:val="32"/>
        </w:rPr>
      </w:pPr>
      <w:r>
        <w:rPr>
          <w:rFonts w:hint="eastAsia" w:ascii="楷体" w:hAnsi="楷体" w:eastAsia="楷体"/>
          <w:szCs w:val="32"/>
        </w:rPr>
        <w:t>2.存在的问题；</w:t>
      </w:r>
    </w:p>
    <w:p>
      <w:pPr>
        <w:spacing w:line="540" w:lineRule="exact"/>
        <w:ind w:firstLine="632" w:firstLineChars="200"/>
        <w:jc w:val="left"/>
        <w:rPr>
          <w:rFonts w:ascii="楷体" w:hAnsi="楷体" w:eastAsia="楷体"/>
          <w:szCs w:val="32"/>
        </w:rPr>
      </w:pPr>
      <w:r>
        <w:rPr>
          <w:rFonts w:hint="eastAsia" w:ascii="楷体" w:hAnsi="楷体" w:eastAsia="楷体"/>
          <w:szCs w:val="32"/>
        </w:rPr>
        <w:t>3.改进措施及建议。</w:t>
      </w:r>
    </w:p>
    <w:p>
      <w:pPr>
        <w:spacing w:line="540" w:lineRule="exact"/>
        <w:ind w:firstLine="632" w:firstLineChars="200"/>
        <w:jc w:val="left"/>
        <w:rPr>
          <w:rFonts w:ascii="楷体" w:hAnsi="楷体" w:eastAsia="楷体"/>
          <w:szCs w:val="32"/>
        </w:rPr>
      </w:pPr>
    </w:p>
    <w:p>
      <w:pPr>
        <w:spacing w:line="540" w:lineRule="exact"/>
        <w:ind w:firstLine="552" w:firstLineChars="200"/>
        <w:jc w:val="center"/>
        <w:rPr>
          <w:rFonts w:ascii="黑体" w:hAnsi="黑体" w:eastAsia="黑体"/>
          <w:spacing w:val="-20"/>
          <w:sz w:val="36"/>
          <w:szCs w:val="36"/>
        </w:rPr>
      </w:pPr>
      <w:r>
        <w:rPr>
          <w:rFonts w:hint="eastAsia" w:ascii="黑体" w:hAnsi="黑体" w:eastAsia="黑体"/>
          <w:spacing w:val="-20"/>
          <w:szCs w:val="32"/>
          <w:lang w:eastAsia="zh-CN"/>
        </w:rPr>
        <w:t>2019年转型发展市级配套资金项目支出绩效评价报告</w:t>
      </w:r>
    </w:p>
    <w:p>
      <w:pPr>
        <w:topLinePunct/>
        <w:spacing w:line="540" w:lineRule="exact"/>
        <w:ind w:firstLine="790" w:firstLineChars="250"/>
        <w:rPr>
          <w:rFonts w:ascii="黑体" w:eastAsia="黑体"/>
          <w:szCs w:val="32"/>
        </w:rPr>
      </w:pPr>
    </w:p>
    <w:p>
      <w:pPr>
        <w:topLinePunct/>
        <w:spacing w:line="540" w:lineRule="exact"/>
        <w:ind w:firstLine="790" w:firstLineChars="250"/>
        <w:rPr>
          <w:rFonts w:ascii="黑体" w:eastAsia="黑体"/>
          <w:szCs w:val="32"/>
        </w:rPr>
      </w:pPr>
      <w:r>
        <w:rPr>
          <w:rFonts w:hint="eastAsia" w:ascii="黑体" w:eastAsia="黑体"/>
          <w:szCs w:val="32"/>
        </w:rPr>
        <w:t>一、项目基本情况</w:t>
      </w:r>
    </w:p>
    <w:p>
      <w:pPr>
        <w:topLinePunct/>
        <w:spacing w:line="540" w:lineRule="exact"/>
        <w:ind w:firstLine="790" w:firstLineChars="250"/>
        <w:rPr>
          <w:rFonts w:ascii="楷体" w:hAnsi="楷体" w:eastAsia="楷体"/>
          <w:szCs w:val="32"/>
        </w:rPr>
      </w:pPr>
      <w:r>
        <w:rPr>
          <w:rFonts w:hint="eastAsia" w:ascii="楷体" w:hAnsi="楷体" w:eastAsia="楷体"/>
          <w:szCs w:val="32"/>
        </w:rPr>
        <w:t>（一）项目概况。</w:t>
      </w:r>
    </w:p>
    <w:p>
      <w:pPr>
        <w:topLinePunct/>
        <w:spacing w:line="540" w:lineRule="exact"/>
        <w:ind w:firstLine="790" w:firstLineChars="250"/>
        <w:rPr>
          <w:rFonts w:hint="eastAsia" w:ascii="仿宋_GB2312" w:hAnsi="楷体"/>
          <w:szCs w:val="32"/>
        </w:rPr>
      </w:pPr>
      <w:r>
        <w:rPr>
          <w:rFonts w:hint="eastAsia" w:ascii="仿宋_GB2312" w:hAnsi="楷体"/>
          <w:szCs w:val="32"/>
        </w:rPr>
        <w:t>1.立项背景及目的。</w:t>
      </w:r>
    </w:p>
    <w:p>
      <w:pPr>
        <w:spacing w:line="540" w:lineRule="exact"/>
        <w:ind w:firstLine="640" w:firstLineChars="200"/>
        <w:rPr>
          <w:rFonts w:hint="eastAsia" w:ascii="宋体" w:hAnsi="宋体"/>
          <w:color w:val="000000"/>
          <w:szCs w:val="32"/>
        </w:rPr>
      </w:pPr>
      <w:r>
        <w:rPr>
          <w:rFonts w:hint="eastAsia" w:ascii="宋体" w:hAnsi="宋体"/>
          <w:color w:val="000000"/>
          <w:szCs w:val="32"/>
        </w:rPr>
        <w:t>为了进一步优化和改善投资环境，吸引区外投资者到东川投资兴业，根据国家、省、市有关规定，结合东川实际，制定优惠政策。</w:t>
      </w:r>
    </w:p>
    <w:p>
      <w:pPr>
        <w:spacing w:line="540" w:lineRule="exact"/>
        <w:ind w:firstLine="640" w:firstLineChars="200"/>
        <w:rPr>
          <w:rFonts w:hint="eastAsia" w:ascii="宋体" w:hAnsi="宋体"/>
          <w:color w:val="000000"/>
          <w:szCs w:val="32"/>
        </w:rPr>
      </w:pPr>
      <w:r>
        <w:rPr>
          <w:rFonts w:hint="eastAsia" w:ascii="宋体" w:hAnsi="宋体"/>
          <w:color w:val="000000"/>
          <w:szCs w:val="32"/>
        </w:rPr>
        <w:t>在东川行政区域内办理工商注册、税务登记等手续且承诺在本区开展生产经营活动</w:t>
      </w:r>
      <w:r>
        <w:rPr>
          <w:rFonts w:ascii="宋体" w:hAnsi="宋体" w:eastAsia="宋体"/>
          <w:color w:val="000000"/>
          <w:szCs w:val="32"/>
        </w:rPr>
        <w:t>5</w:t>
      </w:r>
      <w:r>
        <w:rPr>
          <w:rFonts w:hint="eastAsia" w:ascii="宋体" w:hAnsi="宋体"/>
          <w:color w:val="000000"/>
          <w:szCs w:val="32"/>
        </w:rPr>
        <w:t>年以上、经济指标纳入东川统计的招商项目，经东川区人民政府认定后可按本办法享受政策条款。</w:t>
      </w:r>
    </w:p>
    <w:p>
      <w:pPr>
        <w:numPr>
          <w:ilvl w:val="0"/>
          <w:numId w:val="1"/>
        </w:numPr>
        <w:topLinePunct/>
        <w:spacing w:line="540" w:lineRule="exact"/>
        <w:ind w:firstLine="790" w:firstLineChars="250"/>
        <w:rPr>
          <w:rFonts w:hint="eastAsia" w:ascii="仿宋_GB2312" w:hAnsi="楷体"/>
          <w:szCs w:val="32"/>
        </w:rPr>
      </w:pPr>
      <w:r>
        <w:rPr>
          <w:rFonts w:hint="eastAsia" w:ascii="仿宋_GB2312" w:hAnsi="楷体"/>
          <w:szCs w:val="32"/>
        </w:rPr>
        <w:t>项目实施情况。</w:t>
      </w:r>
    </w:p>
    <w:p>
      <w:pPr>
        <w:numPr>
          <w:ilvl w:val="0"/>
          <w:numId w:val="0"/>
        </w:numPr>
        <w:topLinePunct/>
        <w:spacing w:line="540" w:lineRule="exact"/>
        <w:ind w:firstLine="632" w:firstLineChars="200"/>
        <w:rPr>
          <w:rFonts w:hint="eastAsia" w:ascii="仿宋_GB2312" w:hAnsi="楷体"/>
          <w:szCs w:val="32"/>
        </w:rPr>
      </w:pPr>
      <w:r>
        <w:rPr>
          <w:rFonts w:ascii="Times New Roman" w:hAnsi="Times New Roman" w:eastAsia="仿宋_GB2312"/>
          <w:sz w:val="32"/>
          <w:szCs w:val="32"/>
        </w:rPr>
        <w:t>2019年4月区政府与年安保险销售服务有限公司签订了招商引资框架协议，由年安保险</w:t>
      </w:r>
      <w:r>
        <w:rPr>
          <w:rFonts w:hint="eastAsia" w:ascii="Times New Roman" w:hAnsi="Times New Roman" w:eastAsia="仿宋_GB2312"/>
          <w:sz w:val="32"/>
          <w:szCs w:val="32"/>
        </w:rPr>
        <w:t>负责为在东川开展业务并交纳车船税。按照协议约定，期间甲方按照乙方对地方贡献度的60%给予资金奖励，每季度兑现一次</w:t>
      </w:r>
      <w:r>
        <w:rPr>
          <w:rFonts w:ascii="Times New Roman" w:hAnsi="Times New Roman" w:eastAsia="仿宋_GB2312"/>
          <w:sz w:val="32"/>
          <w:szCs w:val="32"/>
        </w:rPr>
        <w:t>。</w:t>
      </w:r>
      <w:r>
        <w:rPr>
          <w:rFonts w:hint="eastAsia" w:ascii="Times New Roman" w:hAnsi="Times New Roman" w:eastAsia="仿宋_GB2312"/>
          <w:sz w:val="32"/>
          <w:szCs w:val="32"/>
        </w:rPr>
        <w:t>经区税务部门核实，</w:t>
      </w:r>
      <w:r>
        <w:rPr>
          <w:rFonts w:hint="eastAsia" w:ascii="Times New Roman" w:hAnsi="Times New Roman"/>
          <w:sz w:val="32"/>
          <w:szCs w:val="32"/>
          <w:lang w:val="en-US" w:eastAsia="zh-CN"/>
        </w:rPr>
        <w:t>2019</w:t>
      </w:r>
      <w:r>
        <w:rPr>
          <w:rFonts w:hint="eastAsia" w:ascii="Times New Roman" w:hAnsi="Times New Roman" w:eastAsia="仿宋_GB2312"/>
          <w:sz w:val="32"/>
          <w:szCs w:val="32"/>
        </w:rPr>
        <w:t>年</w:t>
      </w:r>
      <w:r>
        <w:rPr>
          <w:rFonts w:ascii="Times New Roman" w:hAnsi="Times New Roman" w:eastAsia="仿宋_GB2312"/>
          <w:sz w:val="32"/>
          <w:szCs w:val="32"/>
        </w:rPr>
        <w:t>5</w:t>
      </w:r>
      <w:r>
        <w:rPr>
          <w:rFonts w:hint="eastAsia" w:ascii="Times New Roman" w:hAnsi="Times New Roman" w:eastAsia="仿宋_GB2312"/>
          <w:sz w:val="32"/>
          <w:szCs w:val="32"/>
        </w:rPr>
        <w:t>-</w:t>
      </w:r>
      <w:r>
        <w:rPr>
          <w:rFonts w:ascii="Times New Roman" w:hAnsi="Times New Roman" w:eastAsia="仿宋_GB2312"/>
          <w:sz w:val="32"/>
          <w:szCs w:val="32"/>
        </w:rPr>
        <w:t>7月，年安保险销售服务有限公司</w:t>
      </w:r>
      <w:r>
        <w:rPr>
          <w:rFonts w:hint="eastAsia" w:ascii="Times New Roman" w:hAnsi="Times New Roman" w:eastAsia="仿宋_GB2312"/>
          <w:sz w:val="32"/>
          <w:szCs w:val="32"/>
        </w:rPr>
        <w:t>在东川</w:t>
      </w:r>
      <w:r>
        <w:rPr>
          <w:rFonts w:ascii="Times New Roman" w:hAnsi="Times New Roman" w:eastAsia="仿宋_GB2312"/>
          <w:sz w:val="32"/>
          <w:szCs w:val="32"/>
        </w:rPr>
        <w:t>区</w:t>
      </w:r>
      <w:r>
        <w:rPr>
          <w:rFonts w:hint="eastAsia" w:ascii="Times New Roman" w:hAnsi="Times New Roman" w:eastAsia="仿宋_GB2312"/>
          <w:sz w:val="32"/>
          <w:szCs w:val="32"/>
        </w:rPr>
        <w:t>一共实现</w:t>
      </w:r>
      <w:r>
        <w:rPr>
          <w:rFonts w:ascii="Times New Roman" w:hAnsi="Times New Roman" w:eastAsia="仿宋_GB2312"/>
          <w:sz w:val="32"/>
          <w:szCs w:val="32"/>
        </w:rPr>
        <w:t>车船税入库21376268.22元，扣除年安集团缴纳的20273223.3元，区内其他车船税为1103044.92元。</w:t>
      </w:r>
      <w:r>
        <w:rPr>
          <w:rFonts w:hint="eastAsia" w:ascii="Times New Roman" w:hAnsi="Times New Roman" w:eastAsia="仿宋_GB2312"/>
          <w:sz w:val="32"/>
          <w:szCs w:val="32"/>
        </w:rPr>
        <w:t>目前，</w:t>
      </w:r>
      <w:r>
        <w:rPr>
          <w:rFonts w:ascii="Times New Roman" w:hAnsi="Times New Roman" w:eastAsia="仿宋_GB2312"/>
          <w:sz w:val="32"/>
          <w:szCs w:val="32"/>
        </w:rPr>
        <w:t>年安保险销售服务有限公司</w:t>
      </w:r>
      <w:r>
        <w:rPr>
          <w:rFonts w:hint="eastAsia" w:ascii="Times New Roman" w:hAnsi="Times New Roman" w:eastAsia="仿宋_GB2312"/>
          <w:sz w:val="32"/>
          <w:szCs w:val="32"/>
        </w:rPr>
        <w:t>已按协议条款向“区总楼办”</w:t>
      </w:r>
      <w:r>
        <w:rPr>
          <w:rFonts w:ascii="Times New Roman" w:hAnsi="Times New Roman" w:eastAsia="仿宋_GB2312"/>
          <w:sz w:val="32"/>
          <w:szCs w:val="32"/>
        </w:rPr>
        <w:t>递交了书面申请</w:t>
      </w:r>
      <w:r>
        <w:rPr>
          <w:rFonts w:hint="eastAsia" w:ascii="Times New Roman" w:hAnsi="Times New Roman" w:eastAsia="仿宋_GB2312"/>
          <w:sz w:val="32"/>
          <w:szCs w:val="32"/>
        </w:rPr>
        <w:t>、</w:t>
      </w:r>
      <w:r>
        <w:rPr>
          <w:rFonts w:ascii="Times New Roman" w:hAnsi="Times New Roman" w:eastAsia="仿宋_GB2312"/>
          <w:sz w:val="32"/>
          <w:szCs w:val="32"/>
        </w:rPr>
        <w:t>银行出具的缴税业务凭证以及其他需要材料</w:t>
      </w:r>
      <w:r>
        <w:rPr>
          <w:rFonts w:hint="eastAsia" w:ascii="Times New Roman" w:hAnsi="Times New Roman" w:eastAsia="仿宋_GB2312"/>
          <w:sz w:val="32"/>
          <w:szCs w:val="32"/>
        </w:rPr>
        <w:t>。经“区总楼办”</w:t>
      </w:r>
      <w:r>
        <w:rPr>
          <w:rFonts w:ascii="Times New Roman" w:hAnsi="Times New Roman" w:eastAsia="仿宋_GB2312"/>
          <w:sz w:val="32"/>
          <w:szCs w:val="32"/>
        </w:rPr>
        <w:t>按照协议</w:t>
      </w:r>
      <w:r>
        <w:rPr>
          <w:rFonts w:hint="eastAsia" w:ascii="Times New Roman" w:hAnsi="Times New Roman" w:eastAsia="仿宋_GB2312"/>
          <w:sz w:val="32"/>
          <w:szCs w:val="32"/>
        </w:rPr>
        <w:t>和</w:t>
      </w:r>
      <w:r>
        <w:rPr>
          <w:rFonts w:ascii="Times New Roman" w:hAnsi="Times New Roman" w:eastAsia="仿宋_GB2312"/>
          <w:sz w:val="32"/>
          <w:szCs w:val="32"/>
        </w:rPr>
        <w:t>《东川区加快总部经济和楼宇经济发展扶持奖励办法》</w:t>
      </w:r>
      <w:r>
        <w:rPr>
          <w:rFonts w:hint="eastAsia" w:ascii="Times New Roman" w:hAnsi="Times New Roman" w:eastAsia="仿宋_GB2312"/>
          <w:sz w:val="32"/>
          <w:szCs w:val="32"/>
        </w:rPr>
        <w:t>文件中规定</w:t>
      </w:r>
      <w:r>
        <w:rPr>
          <w:rFonts w:ascii="Times New Roman" w:hAnsi="Times New Roman" w:eastAsia="仿宋_GB2312"/>
          <w:sz w:val="32"/>
          <w:szCs w:val="32"/>
        </w:rPr>
        <w:t>给予60%的</w:t>
      </w:r>
      <w:r>
        <w:rPr>
          <w:rFonts w:hint="eastAsia" w:ascii="Times New Roman" w:hAnsi="Times New Roman" w:eastAsia="仿宋_GB2312"/>
          <w:sz w:val="32"/>
          <w:szCs w:val="32"/>
        </w:rPr>
        <w:t>资金奖励比例测算，</w:t>
      </w:r>
      <w:r>
        <w:rPr>
          <w:rFonts w:ascii="Times New Roman" w:hAnsi="Times New Roman" w:eastAsia="仿宋_GB2312"/>
          <w:sz w:val="32"/>
          <w:szCs w:val="32"/>
        </w:rPr>
        <w:t>2018年同期入库的的车船税务为2257423.66元，减少了1154378.68元。扣除减量后在19118844.62元的基础上，</w:t>
      </w:r>
      <w:r>
        <w:rPr>
          <w:rFonts w:hint="eastAsia" w:ascii="Times New Roman" w:hAnsi="Times New Roman" w:eastAsia="仿宋_GB2312"/>
          <w:sz w:val="32"/>
          <w:szCs w:val="32"/>
        </w:rPr>
        <w:t>需奖励</w:t>
      </w:r>
      <w:r>
        <w:rPr>
          <w:rFonts w:ascii="Times New Roman" w:hAnsi="Times New Roman" w:eastAsia="仿宋_GB2312"/>
          <w:sz w:val="32"/>
          <w:szCs w:val="32"/>
        </w:rPr>
        <w:t>年安保险销售服务有限公司11471306.772元</w:t>
      </w:r>
      <w:r>
        <w:rPr>
          <w:rFonts w:hint="eastAsia" w:ascii="Times New Roman" w:hAnsi="Times New Roman" w:eastAsia="仿宋_GB2312"/>
          <w:sz w:val="32"/>
          <w:szCs w:val="32"/>
        </w:rPr>
        <w:t>。特此向区政府请示</w:t>
      </w:r>
      <w:r>
        <w:rPr>
          <w:rFonts w:ascii="Times New Roman" w:hAnsi="Times New Roman" w:eastAsia="仿宋_GB2312"/>
          <w:sz w:val="32"/>
          <w:szCs w:val="32"/>
        </w:rPr>
        <w:t>拨付</w:t>
      </w:r>
      <w:r>
        <w:rPr>
          <w:rFonts w:hint="eastAsia" w:ascii="Times New Roman" w:hAnsi="Times New Roman" w:eastAsia="仿宋_GB2312"/>
          <w:sz w:val="32"/>
          <w:szCs w:val="32"/>
        </w:rPr>
        <w:t>该资金奖励</w:t>
      </w:r>
      <w:r>
        <w:rPr>
          <w:rFonts w:ascii="Times New Roman" w:hAnsi="Times New Roman" w:eastAsia="仿宋_GB2312"/>
          <w:sz w:val="32"/>
          <w:szCs w:val="32"/>
        </w:rPr>
        <w:t>。</w:t>
      </w:r>
    </w:p>
    <w:p>
      <w:pPr>
        <w:numPr>
          <w:ilvl w:val="0"/>
          <w:numId w:val="1"/>
        </w:numPr>
        <w:topLinePunct/>
        <w:spacing w:line="540" w:lineRule="exact"/>
        <w:ind w:firstLine="790" w:firstLineChars="250"/>
        <w:rPr>
          <w:rFonts w:hint="eastAsia" w:ascii="仿宋_GB2312" w:hAnsi="楷体"/>
          <w:szCs w:val="32"/>
        </w:rPr>
      </w:pPr>
      <w:r>
        <w:rPr>
          <w:rFonts w:hint="eastAsia" w:ascii="仿宋_GB2312" w:hAnsi="楷体"/>
          <w:szCs w:val="32"/>
        </w:rPr>
        <w:t>资金来源及使用情况。</w:t>
      </w:r>
    </w:p>
    <w:p>
      <w:pPr>
        <w:numPr>
          <w:ilvl w:val="0"/>
          <w:numId w:val="0"/>
        </w:numPr>
        <w:topLinePunct/>
        <w:spacing w:line="540" w:lineRule="exact"/>
        <w:ind w:firstLine="632" w:firstLineChars="200"/>
        <w:rPr>
          <w:rFonts w:hint="eastAsia" w:ascii="仿宋_GB2312" w:hAnsi="楷体"/>
          <w:szCs w:val="32"/>
          <w:lang w:val="en-US" w:eastAsia="zh-CN"/>
        </w:rPr>
      </w:pPr>
      <w:r>
        <w:rPr>
          <w:rFonts w:hint="eastAsia" w:ascii="仿宋_GB2312" w:hAnsi="楷体"/>
          <w:szCs w:val="32"/>
          <w:lang w:val="en-US" w:eastAsia="zh-CN"/>
        </w:rPr>
        <w:t>东川区区级财政解决资金。全部用于</w:t>
      </w:r>
      <w:r>
        <w:rPr>
          <w:rFonts w:hint="eastAsia" w:ascii="Times New Roman" w:hAnsi="Times New Roman" w:eastAsia="仿宋_GB2312"/>
          <w:sz w:val="32"/>
          <w:szCs w:val="32"/>
        </w:rPr>
        <w:t>奖励</w:t>
      </w:r>
      <w:r>
        <w:rPr>
          <w:rFonts w:ascii="Times New Roman" w:hAnsi="Times New Roman" w:eastAsia="仿宋_GB2312"/>
          <w:sz w:val="32"/>
          <w:szCs w:val="32"/>
        </w:rPr>
        <w:t>年安保险销售服务有限公司</w:t>
      </w:r>
      <w:r>
        <w:rPr>
          <w:rFonts w:hint="eastAsia"/>
          <w:sz w:val="32"/>
          <w:szCs w:val="32"/>
          <w:lang w:eastAsia="zh-CN"/>
        </w:rPr>
        <w:t>，且已于</w:t>
      </w:r>
      <w:r>
        <w:rPr>
          <w:rFonts w:hint="eastAsia"/>
          <w:sz w:val="32"/>
          <w:szCs w:val="32"/>
          <w:lang w:val="en-US" w:eastAsia="zh-CN"/>
        </w:rPr>
        <w:t>2019年兑现。</w:t>
      </w:r>
    </w:p>
    <w:p>
      <w:pPr>
        <w:numPr>
          <w:ilvl w:val="0"/>
          <w:numId w:val="1"/>
        </w:numPr>
        <w:topLinePunct/>
        <w:spacing w:line="540" w:lineRule="exact"/>
        <w:ind w:firstLine="790" w:firstLineChars="250"/>
        <w:rPr>
          <w:rFonts w:hint="eastAsia" w:ascii="仿宋_GB2312" w:hAnsi="楷体"/>
          <w:szCs w:val="32"/>
        </w:rPr>
      </w:pPr>
      <w:r>
        <w:rPr>
          <w:rFonts w:hint="eastAsia" w:ascii="仿宋_GB2312" w:hAnsi="楷体"/>
          <w:szCs w:val="32"/>
        </w:rPr>
        <w:t>组织及管理情况。</w:t>
      </w:r>
    </w:p>
    <w:p>
      <w:pPr>
        <w:numPr>
          <w:ilvl w:val="0"/>
          <w:numId w:val="0"/>
        </w:numPr>
        <w:topLinePunct/>
        <w:spacing w:line="540" w:lineRule="exact"/>
        <w:ind w:firstLine="632" w:firstLineChars="200"/>
        <w:rPr>
          <w:rFonts w:hint="eastAsia" w:ascii="仿宋_GB2312" w:hAnsi="楷体"/>
          <w:szCs w:val="32"/>
        </w:rPr>
      </w:pPr>
      <w:r>
        <w:rPr>
          <w:rFonts w:hint="eastAsia" w:ascii="仿宋_GB2312" w:hAnsi="楷体"/>
          <w:szCs w:val="32"/>
        </w:rPr>
        <w:t>项目</w:t>
      </w:r>
      <w:r>
        <w:rPr>
          <w:rFonts w:hint="eastAsia" w:ascii="仿宋_GB2312" w:hAnsi="楷体"/>
          <w:szCs w:val="32"/>
          <w:lang w:eastAsia="zh-CN"/>
        </w:rPr>
        <w:t>由东川区商务和投资促进局</w:t>
      </w:r>
      <w:r>
        <w:rPr>
          <w:rFonts w:hint="eastAsia" w:ascii="仿宋_GB2312" w:hAnsi="楷体"/>
          <w:szCs w:val="32"/>
        </w:rPr>
        <w:t>组织</w:t>
      </w:r>
      <w:r>
        <w:rPr>
          <w:rFonts w:hint="eastAsia" w:ascii="仿宋_GB2312" w:hAnsi="楷体"/>
          <w:szCs w:val="32"/>
          <w:lang w:eastAsia="zh-CN"/>
        </w:rPr>
        <w:t>实施，符合东川区关于加快总部晋级和楼宇经济发展扶持奖励办法的企业按时在东川区上税，并按照（昆政发【</w:t>
      </w:r>
      <w:r>
        <w:rPr>
          <w:rFonts w:hint="eastAsia" w:ascii="仿宋_GB2312" w:hAnsi="楷体"/>
          <w:szCs w:val="32"/>
          <w:lang w:val="en-US" w:eastAsia="zh-CN"/>
        </w:rPr>
        <w:t>2016</w:t>
      </w:r>
      <w:r>
        <w:rPr>
          <w:rFonts w:hint="eastAsia" w:ascii="仿宋_GB2312" w:hAnsi="楷体"/>
          <w:szCs w:val="32"/>
          <w:lang w:eastAsia="zh-CN"/>
        </w:rPr>
        <w:t>】</w:t>
      </w:r>
      <w:r>
        <w:rPr>
          <w:rFonts w:hint="eastAsia" w:ascii="仿宋_GB2312" w:hAnsi="楷体"/>
          <w:szCs w:val="32"/>
          <w:lang w:val="en-US" w:eastAsia="zh-CN"/>
        </w:rPr>
        <w:t>62号</w:t>
      </w:r>
      <w:r>
        <w:rPr>
          <w:rFonts w:hint="eastAsia" w:ascii="仿宋_GB2312" w:hAnsi="楷体"/>
          <w:szCs w:val="32"/>
          <w:lang w:eastAsia="zh-CN"/>
        </w:rPr>
        <w:t>）文件向总部经济小组提交相关证明及返税申请，通过税务局、财政局、商务投促局、市场监管局核实，由昆明市东川区总部经济和楼宇经济发展工作领导小组办公室提交申请，在由财政局进行</w:t>
      </w:r>
      <w:r>
        <w:rPr>
          <w:rFonts w:hint="eastAsia" w:ascii="仿宋_GB2312" w:hAnsi="楷体"/>
          <w:szCs w:val="32"/>
        </w:rPr>
        <w:t>资金拨付。</w:t>
      </w:r>
    </w:p>
    <w:p>
      <w:pPr>
        <w:topLinePunct/>
        <w:spacing w:line="540" w:lineRule="exact"/>
        <w:ind w:firstLine="790" w:firstLineChars="250"/>
        <w:rPr>
          <w:rFonts w:ascii="楷体" w:hAnsi="楷体" w:eastAsia="楷体"/>
          <w:szCs w:val="32"/>
        </w:rPr>
      </w:pPr>
      <w:r>
        <w:rPr>
          <w:rFonts w:hint="eastAsia" w:ascii="楷体" w:hAnsi="楷体" w:eastAsia="楷体"/>
          <w:szCs w:val="32"/>
        </w:rPr>
        <w:t>（二）绩效目标。</w:t>
      </w:r>
    </w:p>
    <w:p>
      <w:pPr>
        <w:topLinePunct/>
        <w:spacing w:line="540" w:lineRule="exact"/>
        <w:ind w:firstLine="790" w:firstLineChars="250"/>
        <w:rPr>
          <w:rFonts w:hint="eastAsia" w:ascii="仿宋_GB2312" w:hAnsi="楷体"/>
          <w:szCs w:val="32"/>
        </w:rPr>
      </w:pPr>
      <w:r>
        <w:rPr>
          <w:rFonts w:hint="eastAsia" w:ascii="仿宋_GB2312" w:hAnsi="楷体"/>
          <w:szCs w:val="32"/>
        </w:rPr>
        <w:t>1.总目标。</w:t>
      </w:r>
    </w:p>
    <w:p>
      <w:pPr>
        <w:topLinePunct/>
        <w:spacing w:line="540" w:lineRule="exact"/>
        <w:ind w:firstLine="790" w:firstLineChars="250"/>
        <w:rPr>
          <w:rFonts w:hint="eastAsia" w:ascii="仿宋_GB2312" w:hAnsi="楷体" w:eastAsia="仿宋_GB2312"/>
          <w:szCs w:val="32"/>
          <w:lang w:eastAsia="zh-CN"/>
        </w:rPr>
      </w:pPr>
      <w:r>
        <w:rPr>
          <w:rFonts w:hint="eastAsia" w:ascii="仿宋_GB2312" w:hAnsi="楷体"/>
          <w:szCs w:val="32"/>
          <w:lang w:eastAsia="zh-CN"/>
        </w:rPr>
        <w:t>总部经济奖励达到</w:t>
      </w:r>
      <w:r>
        <w:rPr>
          <w:rFonts w:hint="eastAsia" w:ascii="仿宋_GB2312" w:hAnsi="楷体"/>
          <w:szCs w:val="32"/>
          <w:lang w:val="en-US" w:eastAsia="zh-CN"/>
        </w:rPr>
        <w:t>3亿元。</w:t>
      </w:r>
    </w:p>
    <w:p>
      <w:pPr>
        <w:numPr>
          <w:ilvl w:val="0"/>
          <w:numId w:val="2"/>
        </w:numPr>
        <w:topLinePunct/>
        <w:spacing w:line="540" w:lineRule="exact"/>
        <w:ind w:firstLine="790" w:firstLineChars="250"/>
        <w:rPr>
          <w:rFonts w:hint="eastAsia" w:ascii="仿宋_GB2312" w:hAnsi="楷体"/>
          <w:szCs w:val="32"/>
        </w:rPr>
      </w:pPr>
      <w:r>
        <w:rPr>
          <w:rFonts w:hint="eastAsia" w:ascii="仿宋_GB2312" w:hAnsi="楷体"/>
          <w:szCs w:val="32"/>
        </w:rPr>
        <w:t>年度目标。包括产出目标、效果目标。</w:t>
      </w:r>
    </w:p>
    <w:p>
      <w:pPr>
        <w:numPr>
          <w:ilvl w:val="0"/>
          <w:numId w:val="0"/>
        </w:numPr>
        <w:topLinePunct/>
        <w:spacing w:line="540" w:lineRule="exact"/>
        <w:ind w:firstLine="632" w:firstLineChars="200"/>
        <w:rPr>
          <w:rFonts w:hint="eastAsia" w:ascii="仿宋_GB2312" w:hAnsi="楷体"/>
          <w:szCs w:val="32"/>
          <w:lang w:val="en-US" w:eastAsia="zh-CN"/>
        </w:rPr>
      </w:pPr>
      <w:r>
        <w:rPr>
          <w:rFonts w:hint="eastAsia" w:ascii="仿宋_GB2312" w:hAnsi="楷体"/>
          <w:szCs w:val="32"/>
          <w:lang w:val="en-US" w:eastAsia="zh-CN"/>
        </w:rPr>
        <w:t>2019年</w:t>
      </w:r>
      <w:r>
        <w:rPr>
          <w:rFonts w:hint="eastAsia" w:ascii="Times New Roman" w:hAnsi="Times New Roman" w:eastAsia="仿宋_GB2312"/>
          <w:sz w:val="32"/>
          <w:szCs w:val="32"/>
        </w:rPr>
        <w:t>奖励</w:t>
      </w:r>
      <w:r>
        <w:rPr>
          <w:rFonts w:ascii="Times New Roman" w:hAnsi="Times New Roman" w:eastAsia="仿宋_GB2312"/>
          <w:sz w:val="32"/>
          <w:szCs w:val="32"/>
        </w:rPr>
        <w:t>年安保险销售服务有限公司1147130</w:t>
      </w:r>
      <w:r>
        <w:rPr>
          <w:rFonts w:hint="eastAsia" w:ascii="Times New Roman" w:hAnsi="Times New Roman"/>
          <w:sz w:val="32"/>
          <w:szCs w:val="32"/>
          <w:lang w:val="en-US" w:eastAsia="zh-CN"/>
        </w:rPr>
        <w:t>0元。</w:t>
      </w:r>
    </w:p>
    <w:p>
      <w:pPr>
        <w:topLinePunct/>
        <w:spacing w:line="540" w:lineRule="exact"/>
        <w:ind w:firstLine="790" w:firstLineChars="250"/>
        <w:rPr>
          <w:rFonts w:ascii="黑体" w:hAnsi="黑体" w:eastAsia="黑体"/>
          <w:szCs w:val="32"/>
        </w:rPr>
      </w:pPr>
      <w:r>
        <w:rPr>
          <w:rFonts w:hint="eastAsia" w:ascii="黑体" w:hAnsi="黑体" w:eastAsia="黑体"/>
          <w:szCs w:val="32"/>
        </w:rPr>
        <w:t>二、绩效评价工作情况</w:t>
      </w:r>
    </w:p>
    <w:p>
      <w:pPr>
        <w:topLinePunct/>
        <w:spacing w:line="540" w:lineRule="exact"/>
        <w:ind w:firstLine="790" w:firstLineChars="250"/>
        <w:rPr>
          <w:rFonts w:hint="eastAsia" w:ascii="楷体" w:hAnsi="楷体" w:eastAsia="楷体"/>
          <w:szCs w:val="32"/>
        </w:rPr>
      </w:pPr>
      <w:r>
        <w:rPr>
          <w:rFonts w:hint="eastAsia" w:ascii="楷体" w:hAnsi="楷体" w:eastAsia="楷体"/>
          <w:szCs w:val="32"/>
        </w:rPr>
        <w:t>（一）绩效评价目的。</w:t>
      </w:r>
    </w:p>
    <w:p>
      <w:pPr>
        <w:topLinePunct/>
        <w:spacing w:line="540" w:lineRule="exact"/>
        <w:ind w:firstLine="790" w:firstLineChars="250"/>
        <w:rPr>
          <w:rFonts w:ascii="仿宋_GB2312" w:hAnsi="楷体"/>
          <w:szCs w:val="32"/>
        </w:rPr>
      </w:pPr>
      <w:r>
        <w:rPr>
          <w:rFonts w:hint="eastAsia" w:ascii="仿宋_GB2312" w:hAnsi="楷体"/>
          <w:szCs w:val="32"/>
          <w:lang w:eastAsia="zh-CN"/>
        </w:rPr>
        <w:t>进一步促进</w:t>
      </w:r>
      <w:r>
        <w:rPr>
          <w:rFonts w:hint="eastAsia" w:ascii="仿宋_GB2312" w:hAnsi="楷体"/>
          <w:szCs w:val="32"/>
        </w:rPr>
        <w:t>项目管理过程规范、产出目标</w:t>
      </w:r>
      <w:r>
        <w:rPr>
          <w:rFonts w:hint="eastAsia" w:ascii="仿宋_GB2312" w:hAnsi="楷体"/>
          <w:szCs w:val="32"/>
          <w:lang w:eastAsia="zh-CN"/>
        </w:rPr>
        <w:t>能够</w:t>
      </w:r>
      <w:r>
        <w:rPr>
          <w:rFonts w:hint="eastAsia" w:ascii="仿宋_GB2312" w:hAnsi="楷体"/>
          <w:szCs w:val="32"/>
        </w:rPr>
        <w:t>完成以及效果目标</w:t>
      </w:r>
      <w:r>
        <w:rPr>
          <w:rFonts w:hint="eastAsia" w:ascii="仿宋_GB2312" w:hAnsi="楷体"/>
          <w:szCs w:val="32"/>
          <w:lang w:eastAsia="zh-CN"/>
        </w:rPr>
        <w:t>能够</w:t>
      </w:r>
      <w:r>
        <w:rPr>
          <w:rFonts w:hint="eastAsia" w:ascii="仿宋_GB2312" w:hAnsi="楷体"/>
          <w:szCs w:val="32"/>
        </w:rPr>
        <w:t>实现，为项目在以后年度的开展提供可行性参考建议。</w:t>
      </w:r>
    </w:p>
    <w:p>
      <w:pPr>
        <w:topLinePunct/>
        <w:spacing w:line="540" w:lineRule="exact"/>
        <w:ind w:firstLine="790" w:firstLineChars="250"/>
        <w:rPr>
          <w:rFonts w:ascii="楷体" w:hAnsi="楷体" w:eastAsia="楷体"/>
          <w:szCs w:val="32"/>
        </w:rPr>
      </w:pPr>
      <w:r>
        <w:rPr>
          <w:rFonts w:hint="eastAsia" w:ascii="楷体" w:hAnsi="楷体" w:eastAsia="楷体"/>
          <w:szCs w:val="32"/>
        </w:rPr>
        <w:t>（二）绩效评价工作方案制定过程。</w:t>
      </w:r>
    </w:p>
    <w:p>
      <w:pPr>
        <w:topLinePunct/>
        <w:spacing w:line="540" w:lineRule="exact"/>
        <w:ind w:firstLine="790" w:firstLineChars="250"/>
        <w:rPr>
          <w:rFonts w:hint="eastAsia" w:ascii="仿宋_GB2312" w:hAnsi="楷体"/>
          <w:szCs w:val="32"/>
        </w:rPr>
      </w:pPr>
      <w:r>
        <w:rPr>
          <w:rFonts w:hint="eastAsia" w:ascii="仿宋_GB2312" w:hAnsi="楷体"/>
          <w:szCs w:val="32"/>
        </w:rPr>
        <w:t>1.前期调研。</w:t>
      </w:r>
    </w:p>
    <w:p>
      <w:pPr>
        <w:ind w:firstLine="632"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对总部企业的奖励</w:t>
      </w:r>
    </w:p>
    <w:p>
      <w:pPr>
        <w:rPr>
          <w:rFonts w:hint="eastAsia"/>
        </w:rPr>
      </w:pPr>
      <w:r>
        <w:rPr>
          <w:rFonts w:hint="eastAsia"/>
        </w:rPr>
        <w:t>　　公司总部设在东川或未在东川注册企业法人，但为东川属地增加税源并提供新增纳税证明的，不需要区政府提供办公场地和新增土地的符合奖励条件的法人企业，第一年至第三年每年按照其产生区本级贡献额的60%给予企业生产经营、人才培养、交通运输等补贴；第四年至第五年每年按照45%的比例进行补贴。</w:t>
      </w:r>
    </w:p>
    <w:p>
      <w:pPr>
        <w:rPr>
          <w:rFonts w:hint="eastAsia"/>
        </w:rPr>
      </w:pPr>
      <w:r>
        <w:rPr>
          <w:rFonts w:hint="eastAsia"/>
        </w:rPr>
        <w:t>　　第五条　对楼宇经济管理企业的奖励</w:t>
      </w:r>
    </w:p>
    <w:p>
      <w:pPr>
        <w:rPr>
          <w:rFonts w:hint="eastAsia"/>
        </w:rPr>
      </w:pPr>
      <w:r>
        <w:rPr>
          <w:rFonts w:hint="eastAsia"/>
        </w:rPr>
        <w:t>　　鼓励企业和其他社会组织利用存量楼宇、在建楼宇、闲置厂房等进行更新改造，改造面积达2000平方米以上，且改造后入住率达到70%以上的，按不超过更新改造实际投入总额的10%给予一次性补助，补助金额最高不超过100万元。鼓励楼宇经营管理企业通过自主招商和协调服务引进知名企业，对新引进在我区纳税企业且年度纳税总额达到500万元以上的，给予物业经营管理企业10万元的一次性奖励。</w:t>
      </w:r>
    </w:p>
    <w:p>
      <w:pPr>
        <w:rPr>
          <w:rFonts w:hint="eastAsia"/>
        </w:rPr>
      </w:pPr>
      <w:r>
        <w:rPr>
          <w:rFonts w:hint="eastAsia"/>
        </w:rPr>
        <w:t>　　</w:t>
      </w:r>
      <w:r>
        <w:rPr>
          <w:rFonts w:hint="eastAsia"/>
          <w:lang w:eastAsia="zh-CN"/>
        </w:rPr>
        <w:t>（</w:t>
      </w:r>
      <w:r>
        <w:rPr>
          <w:rFonts w:hint="eastAsia"/>
          <w:lang w:val="en-US" w:eastAsia="zh-CN"/>
        </w:rPr>
        <w:t>2</w:t>
      </w:r>
      <w:r>
        <w:rPr>
          <w:rFonts w:hint="eastAsia"/>
          <w:lang w:eastAsia="zh-CN"/>
        </w:rPr>
        <w:t>）</w:t>
      </w:r>
      <w:r>
        <w:rPr>
          <w:rFonts w:hint="eastAsia"/>
        </w:rPr>
        <w:t>　对年纳税额达到5000万元以上的总部企业和楼宇经济管理企业，企业法定代表人聘任为东川区政府顾问并享受相关待遇，企业高管子女入学、落户等可在区内自由选择。</w:t>
      </w:r>
    </w:p>
    <w:p>
      <w:pPr>
        <w:rPr>
          <w:rFonts w:hint="eastAsia"/>
        </w:rPr>
      </w:pPr>
      <w:r>
        <w:rPr>
          <w:rFonts w:hint="eastAsia"/>
        </w:rPr>
        <w:t>　　</w:t>
      </w:r>
      <w:r>
        <w:rPr>
          <w:rFonts w:hint="eastAsia"/>
          <w:lang w:eastAsia="zh-CN"/>
        </w:rPr>
        <w:t>（</w:t>
      </w:r>
      <w:r>
        <w:rPr>
          <w:rFonts w:hint="eastAsia"/>
          <w:lang w:val="en-US" w:eastAsia="zh-CN"/>
        </w:rPr>
        <w:t>3</w:t>
      </w:r>
      <w:r>
        <w:rPr>
          <w:rFonts w:hint="eastAsia"/>
          <w:lang w:eastAsia="zh-CN"/>
        </w:rPr>
        <w:t>）</w:t>
      </w:r>
      <w:r>
        <w:rPr>
          <w:rFonts w:hint="eastAsia"/>
        </w:rPr>
        <w:t>　对于区政府确定的生物制药、食品加工、新型建材、旅游服务、绿色能源等新兴产业项目，采取“一事一议”方式在此基础上适当加大奖补力度。</w:t>
      </w:r>
    </w:p>
    <w:p>
      <w:pPr>
        <w:ind w:firstLine="420"/>
        <w:rPr>
          <w:rFonts w:hint="eastAsia" w:ascii="仿宋_GB2312" w:hAnsi="楷体"/>
          <w:szCs w:val="32"/>
        </w:rPr>
      </w:pPr>
      <w:r>
        <w:rPr>
          <w:rFonts w:hint="eastAsia"/>
          <w:lang w:eastAsia="zh-CN"/>
        </w:rPr>
        <w:t>（</w:t>
      </w:r>
      <w:r>
        <w:rPr>
          <w:rFonts w:hint="eastAsia"/>
          <w:lang w:val="en-US" w:eastAsia="zh-CN"/>
        </w:rPr>
        <w:t>4</w:t>
      </w:r>
      <w:r>
        <w:rPr>
          <w:rFonts w:hint="eastAsia"/>
          <w:lang w:eastAsia="zh-CN"/>
        </w:rPr>
        <w:t>）</w:t>
      </w:r>
      <w:r>
        <w:rPr>
          <w:rFonts w:hint="eastAsia"/>
        </w:rPr>
        <w:t>　人才奖励按照《东川区招商引资优惠政策》实施，对当年企业地方贡献额达到100万元（含）以上1000万元以下的，奖励标准为其当年所缴纳个人所得税区本级留成部分的60%补助，人均奖励金额最高不超过15万元，每户总部企业奖励人数为2人；对年纳税额进入区级地方财政收入达到1000万元（含）以上5000万元以下的，奖励标准为其当年所缴纳个人所得税区本级留成部分的80%，人均奖励金额最高不超过20万元，每户总部企业奖励人数为5人；对年纳税额进入区级地方财政收入达到5000万元（含）以上的，奖励标准为其当年所缴纳个人所得税区本级留成部分的100%，人均奖励金额最高不超过30万元，每户总部企业奖励人数为10人（奖励期限最高为自上缴税收起五年内）。</w:t>
      </w:r>
    </w:p>
    <w:p>
      <w:pPr>
        <w:numPr>
          <w:ilvl w:val="0"/>
          <w:numId w:val="3"/>
        </w:numPr>
        <w:topLinePunct/>
        <w:spacing w:line="540" w:lineRule="exact"/>
        <w:ind w:firstLine="790" w:firstLineChars="250"/>
        <w:rPr>
          <w:rFonts w:hint="eastAsia" w:ascii="仿宋_GB2312" w:hAnsi="楷体"/>
          <w:szCs w:val="32"/>
        </w:rPr>
      </w:pPr>
      <w:r>
        <w:rPr>
          <w:rFonts w:hint="eastAsia" w:ascii="仿宋_GB2312" w:hAnsi="楷体"/>
          <w:szCs w:val="32"/>
        </w:rPr>
        <w:t>研究文件。</w:t>
      </w:r>
    </w:p>
    <w:p>
      <w:pPr>
        <w:ind w:firstLine="730" w:firstLineChars="231"/>
        <w:rPr>
          <w:rFonts w:hint="eastAsia" w:ascii="仿宋_GB2312" w:hAnsi="楷体"/>
          <w:szCs w:val="32"/>
        </w:rPr>
      </w:pPr>
      <w:r>
        <w:rPr>
          <w:rFonts w:hint="eastAsia"/>
        </w:rPr>
        <w:t>项目符合中央、市委、市政府确定的工作目标。加快了东川区中部经济和楼宇经济发展，促进了县域经济综合实力提升，参照《昆明市加快总部经济发展支持政策（试行）》（昆政发【2016】62号）、《昆明市加快楼宇经济发展支持政策（试行）》（昆政发【2016】63号）等文件精神，制定的奖励办法。</w:t>
      </w:r>
    </w:p>
    <w:p>
      <w:pPr>
        <w:numPr>
          <w:ilvl w:val="0"/>
          <w:numId w:val="4"/>
        </w:numPr>
        <w:topLinePunct/>
        <w:spacing w:line="540" w:lineRule="exact"/>
        <w:ind w:firstLine="790" w:firstLineChars="250"/>
        <w:rPr>
          <w:rFonts w:hint="eastAsia" w:ascii="仿宋_GB2312" w:hAnsi="楷体" w:eastAsia="仿宋_GB2312"/>
          <w:szCs w:val="32"/>
          <w:lang w:val="en-US" w:eastAsia="zh-CN"/>
        </w:rPr>
      </w:pPr>
      <w:r>
        <w:rPr>
          <w:rFonts w:hint="eastAsia" w:ascii="仿宋_GB2312" w:hAnsi="楷体"/>
          <w:szCs w:val="32"/>
        </w:rPr>
        <w:t>绩效评价指标体系及工作方案的设计。</w:t>
      </w:r>
    </w:p>
    <w:p>
      <w:pPr>
        <w:numPr>
          <w:ilvl w:val="0"/>
          <w:numId w:val="0"/>
        </w:numPr>
        <w:topLinePunct/>
        <w:spacing w:line="540" w:lineRule="exact"/>
        <w:ind w:firstLine="632" w:firstLineChars="200"/>
        <w:rPr>
          <w:rFonts w:hint="eastAsia" w:ascii="仿宋_GB2312" w:hAnsi="楷体" w:eastAsia="仿宋_GB2312"/>
          <w:szCs w:val="32"/>
          <w:lang w:val="en-US" w:eastAsia="zh-CN"/>
        </w:rPr>
      </w:pPr>
      <w:r>
        <w:rPr>
          <w:rFonts w:hint="eastAsia" w:ascii="仿宋_GB2312" w:hAnsi="楷体"/>
          <w:szCs w:val="32"/>
          <w:lang w:eastAsia="zh-CN"/>
        </w:rPr>
        <w:t>参照项目绩效目标申请表制定实施。</w:t>
      </w:r>
    </w:p>
    <w:p>
      <w:pPr>
        <w:topLinePunct/>
        <w:spacing w:line="540" w:lineRule="exact"/>
        <w:ind w:firstLine="790" w:firstLineChars="250"/>
        <w:rPr>
          <w:rFonts w:ascii="楷体" w:hAnsi="楷体" w:eastAsia="楷体"/>
          <w:szCs w:val="32"/>
        </w:rPr>
      </w:pPr>
      <w:r>
        <w:rPr>
          <w:rFonts w:hint="eastAsia" w:ascii="楷体" w:hAnsi="楷体" w:eastAsia="楷体"/>
          <w:szCs w:val="32"/>
        </w:rPr>
        <w:t>（三）绩效评价原则、评价方法</w:t>
      </w:r>
    </w:p>
    <w:p>
      <w:pPr>
        <w:topLinePunct/>
        <w:spacing w:line="540" w:lineRule="exact"/>
        <w:ind w:firstLine="790" w:firstLineChars="250"/>
        <w:rPr>
          <w:rFonts w:hint="eastAsia" w:ascii="仿宋_GB2312" w:hAnsi="仿宋_GB2312" w:eastAsia="仿宋_GB2312" w:cs="仿宋_GB2312"/>
          <w:szCs w:val="32"/>
        </w:rPr>
      </w:pPr>
      <w:r>
        <w:rPr>
          <w:rFonts w:hint="eastAsia" w:ascii="仿宋_GB2312" w:hAnsi="楷体"/>
          <w:szCs w:val="32"/>
        </w:rPr>
        <w:t>1.绩效评价原则。</w:t>
      </w:r>
      <w:r>
        <w:rPr>
          <w:rFonts w:hint="eastAsia" w:ascii="仿宋_GB2312" w:hAnsi="仿宋_GB2312" w:eastAsia="仿宋_GB2312" w:cs="仿宋_GB2312"/>
          <w:szCs w:val="32"/>
        </w:rPr>
        <w:t>一是科学规范原则；二是公开公正原则；三是分级分类原则；四是绩效相关原则。</w:t>
      </w:r>
    </w:p>
    <w:p>
      <w:pPr>
        <w:topLinePunct/>
        <w:spacing w:line="540" w:lineRule="exact"/>
        <w:ind w:firstLine="790" w:firstLineChars="250"/>
        <w:rPr>
          <w:rFonts w:ascii="仿宋_GB2312" w:hAnsi="楷体"/>
          <w:szCs w:val="32"/>
        </w:rPr>
      </w:pPr>
      <w:r>
        <w:rPr>
          <w:rFonts w:hint="eastAsia" w:ascii="仿宋_GB2312" w:hAnsi="楷体"/>
          <w:szCs w:val="32"/>
        </w:rPr>
        <w:t>2.绩效评价方法。</w:t>
      </w:r>
      <w:r>
        <w:rPr>
          <w:rFonts w:hint="eastAsia" w:ascii="仿宋_GB2312" w:hAnsi="楷体"/>
          <w:szCs w:val="32"/>
          <w:lang w:eastAsia="zh-CN"/>
        </w:rPr>
        <w:t>绩效评价主要采取部门自查的方式，</w:t>
      </w:r>
      <w:r>
        <w:rPr>
          <w:rFonts w:hint="eastAsia" w:ascii="仿宋_GB2312" w:hAnsi="楷体"/>
          <w:szCs w:val="32"/>
        </w:rPr>
        <w:t>包括指标评价</w:t>
      </w:r>
      <w:r>
        <w:rPr>
          <w:rFonts w:hint="eastAsia" w:ascii="仿宋_GB2312" w:hAnsi="楷体"/>
          <w:szCs w:val="32"/>
          <w:lang w:eastAsia="zh-CN"/>
        </w:rPr>
        <w:t>建立</w:t>
      </w:r>
      <w:r>
        <w:rPr>
          <w:rFonts w:hint="eastAsia" w:ascii="仿宋_GB2312" w:hAnsi="楷体"/>
          <w:szCs w:val="32"/>
        </w:rPr>
        <w:t>、</w:t>
      </w:r>
      <w:r>
        <w:rPr>
          <w:rFonts w:hint="eastAsia" w:ascii="仿宋_GB2312" w:hAnsi="楷体"/>
          <w:szCs w:val="32"/>
          <w:lang w:eastAsia="zh-CN"/>
        </w:rPr>
        <w:t>各相关科室提供</w:t>
      </w:r>
      <w:r>
        <w:rPr>
          <w:rFonts w:hint="eastAsia" w:ascii="仿宋_GB2312" w:hAnsi="楷体"/>
          <w:szCs w:val="32"/>
        </w:rPr>
        <w:t>数据采集</w:t>
      </w:r>
      <w:r>
        <w:rPr>
          <w:rFonts w:hint="eastAsia" w:ascii="仿宋_GB2312" w:hAnsi="楷体"/>
          <w:szCs w:val="32"/>
          <w:lang w:eastAsia="zh-CN"/>
        </w:rPr>
        <w:t>，</w:t>
      </w:r>
      <w:r>
        <w:rPr>
          <w:rFonts w:hint="eastAsia" w:ascii="仿宋_GB2312" w:hAnsi="楷体"/>
          <w:szCs w:val="32"/>
        </w:rPr>
        <w:t>调查</w:t>
      </w:r>
      <w:r>
        <w:rPr>
          <w:rFonts w:hint="eastAsia" w:ascii="仿宋_GB2312" w:hAnsi="楷体"/>
          <w:szCs w:val="32"/>
          <w:lang w:eastAsia="zh-CN"/>
        </w:rPr>
        <w:t>问卷采集。</w:t>
      </w:r>
    </w:p>
    <w:p>
      <w:pPr>
        <w:topLinePunct/>
        <w:spacing w:line="540" w:lineRule="exact"/>
        <w:ind w:firstLine="790" w:firstLineChars="250"/>
        <w:rPr>
          <w:rFonts w:ascii="楷体" w:hAnsi="楷体" w:eastAsia="楷体"/>
          <w:szCs w:val="32"/>
        </w:rPr>
      </w:pPr>
      <w:r>
        <w:rPr>
          <w:rFonts w:hint="eastAsia" w:ascii="楷体" w:hAnsi="楷体" w:eastAsia="楷体"/>
          <w:szCs w:val="32"/>
        </w:rPr>
        <w:t>（四）绩效评价实施过程</w:t>
      </w:r>
    </w:p>
    <w:p>
      <w:pPr>
        <w:topLinePunct/>
        <w:spacing w:line="540" w:lineRule="exact"/>
        <w:ind w:firstLine="790" w:firstLineChars="250"/>
        <w:rPr>
          <w:rFonts w:hint="eastAsia" w:ascii="仿宋_GB2312" w:hAnsi="楷体"/>
          <w:szCs w:val="32"/>
        </w:rPr>
      </w:pPr>
      <w:r>
        <w:rPr>
          <w:rFonts w:hint="eastAsia" w:ascii="仿宋_GB2312" w:hAnsi="楷体"/>
          <w:szCs w:val="32"/>
        </w:rPr>
        <w:t>1.数据填报和采集。</w:t>
      </w:r>
    </w:p>
    <w:p>
      <w:pPr>
        <w:topLinePunct/>
        <w:spacing w:line="540" w:lineRule="exact"/>
        <w:ind w:firstLine="790" w:firstLineChars="250"/>
        <w:rPr>
          <w:rFonts w:hint="eastAsia" w:ascii="仿宋_GB2312" w:hAnsi="楷体" w:eastAsia="仿宋_GB2312"/>
          <w:szCs w:val="32"/>
          <w:lang w:eastAsia="zh-CN"/>
        </w:rPr>
      </w:pPr>
      <w:r>
        <w:rPr>
          <w:rFonts w:hint="eastAsia" w:ascii="仿宋_GB2312" w:hAnsi="楷体"/>
          <w:szCs w:val="32"/>
          <w:lang w:eastAsia="zh-CN"/>
        </w:rPr>
        <w:t>由相关科室进行项目绩效数据填报和采集，再由绩效领导小组逐条讨论定稿。</w:t>
      </w:r>
    </w:p>
    <w:p>
      <w:pPr>
        <w:numPr>
          <w:ilvl w:val="0"/>
          <w:numId w:val="5"/>
        </w:numPr>
        <w:topLinePunct/>
        <w:spacing w:line="540" w:lineRule="exact"/>
        <w:ind w:firstLine="790" w:firstLineChars="250"/>
        <w:rPr>
          <w:rFonts w:hint="eastAsia" w:ascii="仿宋_GB2312" w:hAnsi="楷体"/>
          <w:szCs w:val="32"/>
        </w:rPr>
      </w:pPr>
      <w:r>
        <w:rPr>
          <w:rFonts w:hint="eastAsia" w:ascii="仿宋_GB2312" w:hAnsi="楷体"/>
          <w:szCs w:val="32"/>
        </w:rPr>
        <w:t>社会调查。</w:t>
      </w:r>
    </w:p>
    <w:p>
      <w:pPr>
        <w:numPr>
          <w:ilvl w:val="0"/>
          <w:numId w:val="0"/>
        </w:numPr>
        <w:topLinePunct/>
        <w:spacing w:line="540" w:lineRule="exact"/>
        <w:ind w:firstLine="632" w:firstLineChars="200"/>
        <w:rPr>
          <w:rFonts w:hint="eastAsia" w:ascii="仿宋_GB2312" w:hAnsi="楷体" w:eastAsia="仿宋_GB2312"/>
          <w:szCs w:val="32"/>
          <w:lang w:eastAsia="zh-CN"/>
        </w:rPr>
      </w:pPr>
      <w:r>
        <w:rPr>
          <w:rFonts w:hint="eastAsia" w:ascii="仿宋_GB2312" w:hAnsi="楷体"/>
          <w:szCs w:val="32"/>
          <w:lang w:eastAsia="zh-CN"/>
        </w:rPr>
        <w:t>需要进行社会调查的项目，由各科室采取问卷调查的方式进行数据采集。</w:t>
      </w:r>
    </w:p>
    <w:p>
      <w:pPr>
        <w:numPr>
          <w:ilvl w:val="0"/>
          <w:numId w:val="5"/>
        </w:numPr>
        <w:topLinePunct/>
        <w:spacing w:line="540" w:lineRule="exact"/>
        <w:ind w:firstLine="790" w:firstLineChars="250"/>
        <w:rPr>
          <w:rFonts w:hint="eastAsia" w:ascii="仿宋_GB2312" w:hAnsi="楷体" w:eastAsia="仿宋_GB2312"/>
          <w:szCs w:val="32"/>
          <w:lang w:val="en-US" w:eastAsia="zh-CN"/>
        </w:rPr>
      </w:pPr>
      <w:r>
        <w:rPr>
          <w:rFonts w:hint="eastAsia" w:ascii="仿宋_GB2312" w:hAnsi="楷体"/>
          <w:szCs w:val="32"/>
        </w:rPr>
        <w:t>数据分析和撰写报告。</w:t>
      </w:r>
    </w:p>
    <w:p>
      <w:pPr>
        <w:numPr>
          <w:ilvl w:val="0"/>
          <w:numId w:val="0"/>
        </w:numPr>
        <w:topLinePunct/>
        <w:spacing w:line="540" w:lineRule="exact"/>
        <w:ind w:firstLine="632" w:firstLineChars="200"/>
        <w:rPr>
          <w:rFonts w:hint="eastAsia" w:ascii="仿宋_GB2312" w:hAnsi="楷体" w:eastAsia="仿宋_GB2312"/>
          <w:szCs w:val="32"/>
          <w:lang w:val="en-US" w:eastAsia="zh-CN"/>
        </w:rPr>
      </w:pPr>
      <w:r>
        <w:rPr>
          <w:rFonts w:hint="eastAsia" w:ascii="仿宋_GB2312" w:hAnsi="楷体"/>
          <w:szCs w:val="32"/>
          <w:lang w:eastAsia="zh-CN"/>
        </w:rPr>
        <w:t>根据绩效领导小组定稿分析数据，形成项目绩效报告。</w:t>
      </w:r>
    </w:p>
    <w:p>
      <w:pPr>
        <w:numPr>
          <w:ilvl w:val="0"/>
          <w:numId w:val="6"/>
        </w:numPr>
        <w:topLinePunct/>
        <w:spacing w:line="540" w:lineRule="exact"/>
        <w:ind w:firstLine="790" w:firstLineChars="250"/>
        <w:rPr>
          <w:rFonts w:hint="eastAsia" w:ascii="楷体" w:hAnsi="楷体" w:eastAsia="楷体"/>
          <w:szCs w:val="32"/>
        </w:rPr>
      </w:pPr>
      <w:r>
        <w:rPr>
          <w:rFonts w:hint="eastAsia" w:ascii="楷体" w:hAnsi="楷体" w:eastAsia="楷体"/>
          <w:szCs w:val="32"/>
        </w:rPr>
        <w:t>本次绩效评价的局限性。</w:t>
      </w:r>
    </w:p>
    <w:p>
      <w:pPr>
        <w:numPr>
          <w:ilvl w:val="0"/>
          <w:numId w:val="0"/>
        </w:numPr>
        <w:topLinePunct/>
        <w:spacing w:line="540" w:lineRule="exact"/>
        <w:ind w:firstLine="632"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该项目是企业先在东川区上税再进行税收奖励返还，项目属于结果导向型。</w:t>
      </w:r>
    </w:p>
    <w:p>
      <w:pPr>
        <w:topLinePunct/>
        <w:spacing w:line="540" w:lineRule="exact"/>
        <w:ind w:firstLine="790" w:firstLineChars="250"/>
        <w:rPr>
          <w:rFonts w:ascii="黑体" w:hAnsi="黑体" w:eastAsia="黑体"/>
          <w:szCs w:val="32"/>
        </w:rPr>
      </w:pPr>
      <w:r>
        <w:rPr>
          <w:rFonts w:hint="eastAsia" w:ascii="黑体" w:hAnsi="黑体" w:eastAsia="黑体"/>
          <w:szCs w:val="32"/>
        </w:rPr>
        <w:t>三、评价结论和绩效分析</w:t>
      </w:r>
    </w:p>
    <w:p>
      <w:pPr>
        <w:topLinePunct/>
        <w:spacing w:line="540" w:lineRule="exact"/>
        <w:ind w:firstLine="790" w:firstLineChars="250"/>
        <w:rPr>
          <w:rFonts w:ascii="楷体" w:hAnsi="楷体" w:eastAsia="楷体"/>
          <w:szCs w:val="32"/>
        </w:rPr>
      </w:pPr>
      <w:r>
        <w:rPr>
          <w:rFonts w:hint="eastAsia" w:ascii="楷体" w:hAnsi="楷体" w:eastAsia="楷体"/>
          <w:szCs w:val="32"/>
        </w:rPr>
        <w:t>（一）评价结论。</w:t>
      </w:r>
    </w:p>
    <w:p>
      <w:pPr>
        <w:topLinePunct/>
        <w:spacing w:line="540" w:lineRule="exact"/>
        <w:ind w:firstLine="790" w:firstLineChars="250"/>
        <w:rPr>
          <w:rFonts w:hint="eastAsia" w:ascii="仿宋" w:hAnsi="仿宋" w:eastAsia="仿宋"/>
          <w:szCs w:val="32"/>
        </w:rPr>
      </w:pPr>
      <w:r>
        <w:rPr>
          <w:rFonts w:hint="eastAsia" w:ascii="仿宋" w:hAnsi="仿宋" w:eastAsia="仿宋"/>
          <w:szCs w:val="32"/>
        </w:rPr>
        <w:t>1.评价结果。</w:t>
      </w:r>
    </w:p>
    <w:p>
      <w:pPr>
        <w:topLinePunct/>
        <w:spacing w:line="540" w:lineRule="exact"/>
        <w:ind w:firstLine="790" w:firstLineChars="250"/>
        <w:rPr>
          <w:rFonts w:hint="eastAsia" w:ascii="仿宋" w:hAnsi="仿宋" w:eastAsia="仿宋"/>
          <w:szCs w:val="32"/>
          <w:lang w:val="en-US" w:eastAsia="zh-CN"/>
        </w:rPr>
      </w:pPr>
      <w:r>
        <w:rPr>
          <w:rFonts w:hint="eastAsia" w:ascii="仿宋" w:hAnsi="仿宋" w:eastAsia="仿宋"/>
          <w:szCs w:val="32"/>
          <w:lang w:val="en-US" w:eastAsia="zh-CN"/>
        </w:rPr>
        <w:t>该项目整体评价优。</w:t>
      </w:r>
    </w:p>
    <w:p>
      <w:pPr>
        <w:numPr>
          <w:ilvl w:val="0"/>
          <w:numId w:val="7"/>
        </w:numPr>
        <w:topLinePunct/>
        <w:spacing w:line="540" w:lineRule="exact"/>
        <w:ind w:firstLine="790" w:firstLineChars="250"/>
        <w:rPr>
          <w:rFonts w:hint="eastAsia" w:ascii="仿宋_GB2312" w:hAnsi="仿宋"/>
          <w:szCs w:val="32"/>
        </w:rPr>
      </w:pPr>
      <w:r>
        <w:rPr>
          <w:rFonts w:hint="eastAsia" w:ascii="仿宋_GB2312" w:hAnsi="仿宋"/>
          <w:szCs w:val="32"/>
        </w:rPr>
        <w:t>主要绩效。</w:t>
      </w:r>
    </w:p>
    <w:p>
      <w:pPr>
        <w:numPr>
          <w:ilvl w:val="0"/>
          <w:numId w:val="8"/>
        </w:numPr>
        <w:topLinePunct/>
        <w:spacing w:line="540" w:lineRule="exact"/>
        <w:ind w:firstLine="790" w:firstLineChars="250"/>
        <w:rPr>
          <w:rFonts w:hint="eastAsia" w:ascii="楷体" w:hAnsi="楷体" w:eastAsia="楷体"/>
          <w:szCs w:val="32"/>
        </w:rPr>
      </w:pPr>
      <w:r>
        <w:rPr>
          <w:rFonts w:hint="eastAsia" w:ascii="楷体" w:hAnsi="楷体" w:eastAsia="楷体"/>
          <w:szCs w:val="32"/>
        </w:rPr>
        <w:t>具体绩效分析。</w:t>
      </w:r>
    </w:p>
    <w:p>
      <w:pPr>
        <w:numPr>
          <w:ilvl w:val="0"/>
          <w:numId w:val="9"/>
        </w:numPr>
        <w:topLinePunct/>
        <w:spacing w:line="540" w:lineRule="exact"/>
        <w:ind w:firstLine="632" w:firstLineChars="200"/>
        <w:rPr>
          <w:rFonts w:hint="eastAsia" w:ascii="楷体" w:hAnsi="楷体" w:eastAsia="楷体"/>
          <w:szCs w:val="32"/>
          <w:lang w:val="en-US" w:eastAsia="zh-CN"/>
        </w:rPr>
      </w:pPr>
      <w:r>
        <w:rPr>
          <w:rFonts w:hint="eastAsia" w:ascii="楷体" w:hAnsi="楷体" w:eastAsia="楷体"/>
          <w:szCs w:val="32"/>
          <w:lang w:val="en-US" w:eastAsia="zh-CN"/>
        </w:rPr>
        <w:t>项目决策方面。</w:t>
      </w:r>
    </w:p>
    <w:tbl>
      <w:tblPr>
        <w:tblStyle w:val="11"/>
        <w:tblW w:w="91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12"/>
        <w:gridCol w:w="1763"/>
        <w:gridCol w:w="1487"/>
        <w:gridCol w:w="2538"/>
        <w:gridCol w:w="1200"/>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四级指标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分值</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3" w:hRule="atLeast"/>
        </w:trPr>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A.项目决策（20%）</w:t>
            </w:r>
          </w:p>
        </w:tc>
        <w:tc>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A1.项目立项（8%）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A11.与部门中长期规划目标适应性</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A111.与部门中长期规划目标匹配性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3"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A12.立项依据充分性</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A121.与市政府相关规划、决策匹配性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A122.与部门职责适应性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A13.项目立项规范性</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A131.前期调研情况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A132.立项程序规范性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8"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A2.项目目标（12%）</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A21.绩效目标设定的合理性</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A211.绩效目标相关性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5"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A212.绩效目标完整性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5"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A213.目标与预算的匹配性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7"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A22.绩效指标设定的明确性</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A221.指标细化分解情况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7"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A222.指标与目标的匹配性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bl>
    <w:p>
      <w:pPr>
        <w:numPr>
          <w:ilvl w:val="0"/>
          <w:numId w:val="0"/>
        </w:numPr>
        <w:topLinePunct/>
        <w:spacing w:line="540" w:lineRule="exact"/>
        <w:rPr>
          <w:rFonts w:hint="eastAsia" w:ascii="楷体" w:hAnsi="楷体" w:eastAsia="楷体"/>
          <w:szCs w:val="32"/>
          <w:lang w:val="en-US" w:eastAsia="zh-CN"/>
        </w:rPr>
      </w:pPr>
    </w:p>
    <w:p>
      <w:pPr>
        <w:numPr>
          <w:ilvl w:val="0"/>
          <w:numId w:val="9"/>
        </w:numPr>
        <w:topLinePunct/>
        <w:spacing w:line="540" w:lineRule="exact"/>
        <w:ind w:firstLine="631" w:firstLineChars="200"/>
        <w:rPr>
          <w:rFonts w:hint="eastAsia" w:ascii="楷体" w:hAnsi="楷体" w:eastAsia="楷体"/>
          <w:szCs w:val="32"/>
          <w:lang w:val="en-US" w:eastAsia="zh-CN"/>
        </w:rPr>
      </w:pPr>
      <w:r>
        <w:rPr>
          <w:rFonts w:hint="eastAsia" w:ascii="楷体" w:hAnsi="楷体" w:eastAsia="楷体"/>
          <w:szCs w:val="32"/>
          <w:lang w:val="en-US" w:eastAsia="zh-CN"/>
        </w:rPr>
        <w:t>项目管理方面。</w:t>
      </w:r>
    </w:p>
    <w:tbl>
      <w:tblPr>
        <w:tblStyle w:val="11"/>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90"/>
        <w:gridCol w:w="2160"/>
        <w:gridCol w:w="3225"/>
        <w:gridCol w:w="105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四级指标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分值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B1.投入管理（4%）</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B11.预算编制合理性</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B12.预算调整规范性</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7"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B13.预算执行率</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B2.财务管理（6%）</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B21.资金使用情况</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B22.财务管理制度健全性</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B23.财务监控有效性</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B231.资金拨付程序完整性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B232财务制度执行有效性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5"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B3.项目实施（10%）</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B31.项目管理制度健全性</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B311.项目实施单位管理制度健全性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3"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B312.管理方监管措施健全性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2"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B32.项目管理制度执行有效性</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B321.项目实施单位管理制度执行情况</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3"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B322.监管措施执行情况</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2"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B323.合同执行情况</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B324.台账记录规范性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B33.政府采购规范性</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B331.采购方式合规性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B332.采购流程规范性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bl>
    <w:p>
      <w:pPr>
        <w:numPr>
          <w:ilvl w:val="0"/>
          <w:numId w:val="0"/>
        </w:numPr>
        <w:topLinePunct/>
        <w:spacing w:line="540" w:lineRule="exact"/>
        <w:rPr>
          <w:rFonts w:hint="eastAsia" w:ascii="楷体" w:hAnsi="楷体" w:eastAsia="楷体"/>
          <w:szCs w:val="32"/>
          <w:lang w:val="en-US" w:eastAsia="zh-CN"/>
        </w:rPr>
      </w:pPr>
    </w:p>
    <w:p>
      <w:pPr>
        <w:numPr>
          <w:ilvl w:val="0"/>
          <w:numId w:val="0"/>
        </w:numPr>
        <w:topLinePunct/>
        <w:spacing w:line="540" w:lineRule="exact"/>
        <w:rPr>
          <w:rFonts w:hint="eastAsia" w:ascii="楷体" w:hAnsi="楷体" w:eastAsia="楷体"/>
          <w:szCs w:val="32"/>
          <w:lang w:val="en-US" w:eastAsia="zh-CN"/>
        </w:rPr>
      </w:pPr>
    </w:p>
    <w:p>
      <w:pPr>
        <w:numPr>
          <w:ilvl w:val="0"/>
          <w:numId w:val="0"/>
        </w:numPr>
        <w:topLinePunct/>
        <w:spacing w:line="540" w:lineRule="exact"/>
        <w:rPr>
          <w:rFonts w:hint="eastAsia" w:ascii="楷体" w:hAnsi="楷体" w:eastAsia="楷体"/>
          <w:szCs w:val="32"/>
          <w:lang w:val="en-US" w:eastAsia="zh-CN"/>
        </w:rPr>
      </w:pPr>
    </w:p>
    <w:p>
      <w:pPr>
        <w:numPr>
          <w:ilvl w:val="0"/>
          <w:numId w:val="9"/>
        </w:numPr>
        <w:topLinePunct/>
        <w:spacing w:line="540" w:lineRule="exact"/>
        <w:ind w:firstLine="631" w:firstLineChars="200"/>
        <w:rPr>
          <w:rFonts w:hint="eastAsia" w:ascii="楷体" w:hAnsi="楷体" w:eastAsia="楷体"/>
          <w:szCs w:val="32"/>
          <w:lang w:val="en-US" w:eastAsia="zh-CN"/>
        </w:rPr>
      </w:pPr>
      <w:r>
        <w:rPr>
          <w:rFonts w:hint="eastAsia" w:ascii="楷体" w:hAnsi="楷体" w:eastAsia="楷体"/>
          <w:szCs w:val="32"/>
          <w:lang w:val="en-US" w:eastAsia="zh-CN"/>
        </w:rPr>
        <w:t>项目绩效方面。</w:t>
      </w:r>
    </w:p>
    <w:tbl>
      <w:tblPr>
        <w:tblStyle w:val="11"/>
        <w:tblW w:w="8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37"/>
        <w:gridCol w:w="1975"/>
        <w:gridCol w:w="1875"/>
        <w:gridCol w:w="913"/>
        <w:gridCol w:w="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四级指标</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分值</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23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C1.项目产出（25%）</w:t>
            </w:r>
          </w:p>
        </w:tc>
        <w:tc>
          <w:tcPr>
            <w:tcW w:w="19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C11.数量指标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C111.奖励企业</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3237"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7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C12.时效指标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C112.年限</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5" w:hRule="atLeast"/>
        </w:trPr>
        <w:tc>
          <w:tcPr>
            <w:tcW w:w="3237"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C13.2019年转型发展市级配套资金项目完成情况</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C131.按时返还企业奖励资金</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7" w:hRule="atLeast"/>
        </w:trPr>
        <w:tc>
          <w:tcPr>
            <w:tcW w:w="3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C2.项目效益（25%）</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C21.社会效益</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C211固定资产建设</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2" w:hRule="atLeast"/>
        </w:trPr>
        <w:tc>
          <w:tcPr>
            <w:tcW w:w="3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C22.经济效益</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C221.税收贡献</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8" w:hRule="atLeast"/>
        </w:trPr>
        <w:tc>
          <w:tcPr>
            <w:tcW w:w="323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C3.满意度指标（10%）</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C31.服务对象满意度指标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C311.企业满意度</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bl>
    <w:p>
      <w:pPr>
        <w:numPr>
          <w:ilvl w:val="0"/>
          <w:numId w:val="0"/>
        </w:numPr>
        <w:topLinePunct/>
        <w:spacing w:line="540" w:lineRule="exact"/>
        <w:rPr>
          <w:rFonts w:hint="eastAsia" w:ascii="楷体" w:hAnsi="楷体" w:eastAsia="楷体"/>
          <w:szCs w:val="32"/>
          <w:lang w:val="en-US" w:eastAsia="zh-CN"/>
        </w:rPr>
      </w:pPr>
    </w:p>
    <w:p>
      <w:pPr>
        <w:numPr>
          <w:ilvl w:val="0"/>
          <w:numId w:val="10"/>
        </w:numPr>
        <w:topLinePunct/>
        <w:spacing w:line="540" w:lineRule="exact"/>
        <w:ind w:firstLine="632" w:firstLineChars="200"/>
        <w:rPr>
          <w:rFonts w:hint="eastAsia" w:ascii="黑体" w:hAnsi="黑体" w:eastAsia="黑体"/>
          <w:szCs w:val="32"/>
        </w:rPr>
      </w:pPr>
      <w:r>
        <w:rPr>
          <w:rFonts w:hint="eastAsia" w:ascii="黑体" w:hAnsi="黑体" w:eastAsia="黑体"/>
          <w:szCs w:val="32"/>
        </w:rPr>
        <w:t>成本效益分析。</w:t>
      </w:r>
    </w:p>
    <w:p>
      <w:pPr>
        <w:ind w:firstLine="420"/>
        <w:rPr>
          <w:rFonts w:hint="eastAsia"/>
        </w:rPr>
      </w:pPr>
      <w:r>
        <w:rPr>
          <w:rFonts w:hint="eastAsia"/>
        </w:rPr>
        <w:t>项目资金安排按照东川区关于加快总部经济和楼宇经发展扶持奖励办法。第四条，对总部企业的奖励：公司总部设在东川或未在东川注册企业法人，但为东川属地增加税源并提供新增纳税证明的，不需要区政府提供办公场地和新增土地的符合奖励条件的法人企业，第一年至第三年每年按照其产生区级贡献额的60%给予企业生产经营、人才培养、交通运输等补贴；第四年至第五年每年按照45%的比例进行补贴执行。</w:t>
      </w:r>
    </w:p>
    <w:p>
      <w:pPr>
        <w:topLinePunct/>
        <w:spacing w:line="540" w:lineRule="exact"/>
        <w:ind w:firstLine="790" w:firstLineChars="250"/>
        <w:rPr>
          <w:rFonts w:ascii="黑体" w:hAnsi="黑体" w:eastAsia="黑体"/>
          <w:szCs w:val="32"/>
        </w:rPr>
      </w:pPr>
      <w:r>
        <w:rPr>
          <w:rFonts w:hint="eastAsia" w:ascii="黑体" w:hAnsi="黑体" w:eastAsia="黑体"/>
          <w:szCs w:val="32"/>
        </w:rPr>
        <w:t>五、主要经验及做法、存在的问题和建议</w:t>
      </w:r>
    </w:p>
    <w:p>
      <w:pPr>
        <w:topLinePunct/>
        <w:spacing w:line="540" w:lineRule="exact"/>
        <w:ind w:firstLine="790" w:firstLineChars="250"/>
        <w:rPr>
          <w:rFonts w:hint="eastAsia" w:ascii="楷体" w:hAnsi="楷体" w:eastAsia="楷体"/>
          <w:szCs w:val="32"/>
        </w:rPr>
      </w:pPr>
      <w:r>
        <w:rPr>
          <w:rFonts w:hint="eastAsia" w:ascii="楷体" w:hAnsi="楷体" w:eastAsia="楷体"/>
          <w:szCs w:val="32"/>
        </w:rPr>
        <w:t>（一）主要经验及做法；</w:t>
      </w:r>
    </w:p>
    <w:p>
      <w:pPr>
        <w:topLinePunct/>
        <w:spacing w:line="540" w:lineRule="exact"/>
        <w:ind w:firstLine="790" w:firstLineChars="250"/>
        <w:rPr>
          <w:rFonts w:hint="eastAsia" w:ascii="楷体" w:hAnsi="楷体" w:eastAsia="楷体"/>
          <w:szCs w:val="32"/>
        </w:rPr>
      </w:pPr>
      <w:r>
        <w:rPr>
          <w:rFonts w:hint="default" w:ascii="Times New Roman" w:hAnsi="Times New Roman" w:cs="Times New Roman"/>
          <w:szCs w:val="32"/>
        </w:rPr>
        <w:t>201</w:t>
      </w:r>
      <w:r>
        <w:rPr>
          <w:rFonts w:hint="eastAsia" w:cs="Times New Roman"/>
          <w:szCs w:val="32"/>
          <w:lang w:val="en-US" w:eastAsia="zh-CN"/>
        </w:rPr>
        <w:t>9</w:t>
      </w:r>
      <w:r>
        <w:rPr>
          <w:rFonts w:hint="default" w:ascii="Times New Roman" w:hAnsi="Times New Roman" w:cs="Times New Roman"/>
          <w:szCs w:val="32"/>
        </w:rPr>
        <w:t>年东川区商务</w:t>
      </w:r>
      <w:r>
        <w:rPr>
          <w:rFonts w:hint="eastAsia" w:cs="Times New Roman"/>
          <w:szCs w:val="32"/>
          <w:lang w:eastAsia="zh-CN"/>
        </w:rPr>
        <w:t>和投资促进</w:t>
      </w:r>
      <w:r>
        <w:rPr>
          <w:rFonts w:hint="default" w:ascii="Times New Roman" w:hAnsi="Times New Roman" w:cs="Times New Roman"/>
          <w:szCs w:val="32"/>
        </w:rPr>
        <w:t>局</w:t>
      </w:r>
      <w:r>
        <w:rPr>
          <w:rFonts w:hint="eastAsia" w:cs="Times New Roman"/>
          <w:szCs w:val="32"/>
          <w:lang w:eastAsia="zh-CN"/>
        </w:rPr>
        <w:t>符合总部经济企业</w:t>
      </w:r>
      <w:r>
        <w:rPr>
          <w:rFonts w:hint="eastAsia" w:cs="Times New Roman"/>
          <w:szCs w:val="32"/>
          <w:lang w:val="en-US" w:eastAsia="zh-CN"/>
        </w:rPr>
        <w:t>1家</w:t>
      </w:r>
      <w:r>
        <w:rPr>
          <w:rFonts w:hint="eastAsia" w:cs="Times New Roman"/>
          <w:szCs w:val="32"/>
          <w:lang w:eastAsia="zh-CN"/>
        </w:rPr>
        <w:t>，给东川区带来了客观的税收收入，这种导向型的项目资金使用较为规范，节省人力物力，基本没有成本。</w:t>
      </w:r>
    </w:p>
    <w:p>
      <w:pPr>
        <w:numPr>
          <w:ilvl w:val="0"/>
          <w:numId w:val="11"/>
        </w:numPr>
        <w:topLinePunct/>
        <w:spacing w:line="540" w:lineRule="exact"/>
        <w:ind w:firstLine="790" w:firstLineChars="250"/>
        <w:rPr>
          <w:rFonts w:hint="eastAsia" w:ascii="楷体" w:hAnsi="楷体" w:eastAsia="楷体"/>
          <w:szCs w:val="32"/>
        </w:rPr>
      </w:pPr>
      <w:r>
        <w:rPr>
          <w:rFonts w:hint="eastAsia" w:ascii="楷体" w:hAnsi="楷体" w:eastAsia="楷体"/>
          <w:szCs w:val="32"/>
        </w:rPr>
        <w:t>存在的问题；</w:t>
      </w:r>
    </w:p>
    <w:p>
      <w:pPr>
        <w:topLinePunct/>
        <w:spacing w:line="560" w:lineRule="exact"/>
        <w:ind w:firstLine="632" w:firstLineChars="200"/>
        <w:rPr>
          <w:rFonts w:hint="eastAsia" w:ascii="楷体" w:hAnsi="楷体" w:eastAsia="楷体"/>
          <w:szCs w:val="32"/>
          <w:lang w:eastAsia="zh-CN"/>
        </w:rPr>
      </w:pPr>
      <w:r>
        <w:rPr>
          <w:rFonts w:hint="eastAsia" w:ascii="楷体" w:hAnsi="楷体" w:eastAsia="楷体"/>
          <w:szCs w:val="32"/>
          <w:lang w:eastAsia="zh-CN"/>
        </w:rPr>
        <w:t>无</w:t>
      </w:r>
    </w:p>
    <w:p>
      <w:pPr>
        <w:topLinePunct/>
        <w:spacing w:line="540" w:lineRule="exact"/>
        <w:ind w:firstLine="790" w:firstLineChars="250"/>
        <w:rPr>
          <w:rFonts w:ascii="楷体" w:hAnsi="楷体" w:eastAsia="楷体"/>
          <w:szCs w:val="32"/>
        </w:rPr>
      </w:pPr>
      <w:r>
        <w:rPr>
          <w:rFonts w:hint="eastAsia" w:ascii="楷体" w:hAnsi="楷体" w:eastAsia="楷体"/>
          <w:szCs w:val="32"/>
        </w:rPr>
        <w:t>（三）建议和改进措施。</w:t>
      </w:r>
    </w:p>
    <w:p>
      <w:pPr>
        <w:topLinePunct/>
        <w:spacing w:line="560" w:lineRule="exact"/>
        <w:ind w:firstLine="632" w:firstLineChars="200"/>
        <w:rPr>
          <w:rFonts w:hint="eastAsia" w:ascii="仿宋_GB2312" w:hAnsi="仿宋_GB2312" w:cs="仿宋_GB2312"/>
          <w:color w:val="000000"/>
          <w:kern w:val="0"/>
          <w:sz w:val="32"/>
          <w:szCs w:val="32"/>
          <w:lang w:val="en-US" w:eastAsia="zh-CN"/>
        </w:rPr>
      </w:pPr>
      <w:bookmarkStart w:id="0" w:name="_GoBack"/>
      <w:r>
        <w:rPr>
          <w:rFonts w:hint="eastAsia" w:ascii="仿宋_GB2312" w:hAnsi="仿宋_GB2312" w:cs="仿宋_GB2312"/>
          <w:color w:val="000000"/>
          <w:kern w:val="0"/>
          <w:sz w:val="32"/>
          <w:szCs w:val="32"/>
          <w:lang w:val="en-US" w:eastAsia="zh-CN"/>
        </w:rPr>
        <w:t>建议多引进符合总部经济的企业落地东川</w:t>
      </w:r>
      <w:bookmarkEnd w:id="0"/>
      <w:r>
        <w:rPr>
          <w:rFonts w:hint="eastAsia" w:ascii="仿宋_GB2312" w:hAnsi="仿宋_GB2312" w:cs="仿宋_GB2312"/>
          <w:color w:val="000000"/>
          <w:kern w:val="0"/>
          <w:sz w:val="32"/>
          <w:szCs w:val="32"/>
          <w:lang w:val="en-US" w:eastAsia="zh-CN"/>
        </w:rPr>
        <w:t>。</w:t>
      </w:r>
    </w:p>
    <w:p>
      <w:pPr>
        <w:topLinePunct/>
        <w:spacing w:line="560" w:lineRule="exact"/>
        <w:ind w:firstLine="632" w:firstLineChars="200"/>
        <w:rPr>
          <w:rFonts w:hint="eastAsia" w:ascii="仿宋_GB2312" w:hAnsi="仿宋_GB2312" w:cs="仿宋_GB2312"/>
          <w:color w:val="000000"/>
          <w:kern w:val="0"/>
          <w:sz w:val="32"/>
          <w:szCs w:val="32"/>
          <w:lang w:val="en-US" w:eastAsia="zh-CN"/>
        </w:rPr>
      </w:pPr>
    </w:p>
    <w:p>
      <w:pPr>
        <w:topLinePunct/>
        <w:spacing w:line="560" w:lineRule="exact"/>
        <w:ind w:firstLine="632" w:firstLineChars="200"/>
        <w:rPr>
          <w:rFonts w:hint="eastAsia" w:ascii="仿宋_GB2312" w:hAnsi="仿宋_GB2312" w:cs="仿宋_GB2312"/>
          <w:color w:val="000000"/>
          <w:kern w:val="0"/>
          <w:sz w:val="32"/>
          <w:szCs w:val="32"/>
          <w:lang w:val="en-US" w:eastAsia="zh-CN"/>
        </w:rPr>
      </w:pPr>
    </w:p>
    <w:p>
      <w:pPr>
        <w:topLinePunct/>
        <w:spacing w:line="560" w:lineRule="exact"/>
        <w:ind w:firstLine="632" w:firstLineChars="200"/>
        <w:rPr>
          <w:rFonts w:hint="eastAsia" w:ascii="仿宋_GB2312" w:hAnsi="仿宋_GB2312" w:cs="仿宋_GB2312"/>
          <w:color w:val="000000"/>
          <w:kern w:val="0"/>
          <w:sz w:val="32"/>
          <w:szCs w:val="32"/>
          <w:lang w:val="en-US" w:eastAsia="zh-CN"/>
        </w:rPr>
      </w:pPr>
    </w:p>
    <w:p>
      <w:pPr>
        <w:spacing w:line="540" w:lineRule="exact"/>
        <w:jc w:val="center"/>
        <w:rPr>
          <w:rFonts w:ascii="方正小标宋_GBK" w:eastAsia="方正小标宋_GBK"/>
        </w:rPr>
      </w:pPr>
      <w:r>
        <w:rPr>
          <w:rFonts w:hint="eastAsia" w:ascii="方正小标宋_GBK" w:eastAsia="方正小标宋_GBK"/>
        </w:rPr>
        <w:t>绩效评价报告正文后需附以下佐证材料</w:t>
      </w:r>
    </w:p>
    <w:p>
      <w:pPr>
        <w:spacing w:line="540" w:lineRule="exact"/>
        <w:ind w:left="-10" w:leftChars="0" w:firstLine="650" w:firstLineChars="0"/>
        <w:jc w:val="left"/>
        <w:rPr>
          <w:rFonts w:ascii="仿宋_GB2312" w:hAnsi="仿宋"/>
        </w:rPr>
      </w:pPr>
      <w:r>
        <w:rPr>
          <w:rFonts w:hint="eastAsia" w:ascii="仿宋_GB2312" w:hAnsi="仿宋"/>
        </w:rPr>
        <w:t>1.绩效评价指标体系；</w:t>
      </w:r>
    </w:p>
    <w:p>
      <w:pPr>
        <w:spacing w:line="540" w:lineRule="exact"/>
        <w:ind w:left="-10" w:leftChars="0" w:firstLine="650" w:firstLineChars="0"/>
        <w:jc w:val="left"/>
        <w:rPr>
          <w:rFonts w:ascii="仿宋_GB2312" w:hAnsi="仿宋"/>
        </w:rPr>
      </w:pPr>
      <w:r>
        <w:rPr>
          <w:rFonts w:hint="eastAsia" w:ascii="仿宋_GB2312" w:hAnsi="仿宋"/>
        </w:rPr>
        <w:t>2.基础数据表（进行成本效益分析需采集的数据）；</w:t>
      </w:r>
    </w:p>
    <w:p>
      <w:pPr>
        <w:spacing w:line="540" w:lineRule="exact"/>
        <w:ind w:left="-10" w:leftChars="0" w:firstLine="650" w:firstLineChars="0"/>
        <w:jc w:val="left"/>
        <w:rPr>
          <w:rFonts w:ascii="仿宋_GB2312" w:hAnsi="仿宋"/>
        </w:rPr>
      </w:pPr>
      <w:r>
        <w:rPr>
          <w:rFonts w:hint="eastAsia" w:ascii="仿宋_GB2312" w:hAnsi="仿宋"/>
        </w:rPr>
        <w:t>3.访谈分析报告；</w:t>
      </w:r>
    </w:p>
    <w:p>
      <w:pPr>
        <w:spacing w:line="540" w:lineRule="exact"/>
        <w:ind w:left="-10" w:leftChars="0" w:firstLine="650" w:firstLineChars="0"/>
        <w:jc w:val="left"/>
        <w:rPr>
          <w:rFonts w:ascii="仿宋_GB2312" w:hAnsi="仿宋"/>
        </w:rPr>
      </w:pPr>
      <w:r>
        <w:rPr>
          <w:rFonts w:hint="eastAsia" w:ascii="仿宋_GB2312" w:hAnsi="仿宋"/>
        </w:rPr>
        <w:t>4.社会调查问卷分析报告；</w:t>
      </w:r>
    </w:p>
    <w:p>
      <w:pPr>
        <w:spacing w:line="540" w:lineRule="exact"/>
        <w:ind w:left="-10" w:leftChars="0" w:firstLine="650" w:firstLineChars="0"/>
        <w:jc w:val="both"/>
        <w:rPr>
          <w:rFonts w:hint="eastAsia" w:ascii="仿宋_GB2312" w:hAnsi="仿宋"/>
        </w:rPr>
      </w:pPr>
      <w:r>
        <w:rPr>
          <w:rFonts w:hint="eastAsia" w:ascii="仿宋_GB2312" w:hAnsi="仿宋"/>
        </w:rPr>
        <w:t>5.①区政府相关规划、决策、批复；②立项申请、批复文件；③绩效目标申报表</w:t>
      </w:r>
      <w:r>
        <w:rPr>
          <w:rFonts w:hint="eastAsia" w:ascii="仿宋_GB2312" w:hAnsi="仿宋"/>
          <w:lang w:eastAsia="zh-CN"/>
        </w:rPr>
        <w:t>；</w:t>
      </w:r>
      <w:r>
        <w:rPr>
          <w:rFonts w:hint="eastAsia" w:ascii="仿宋_GB2312" w:hAnsi="仿宋_GB2312" w:eastAsia="仿宋_GB2312" w:cs="仿宋_GB2312"/>
          <w:lang w:eastAsia="zh-CN"/>
        </w:rPr>
        <w:t>④</w:t>
      </w:r>
      <w:r>
        <w:rPr>
          <w:rFonts w:hint="eastAsia" w:ascii="仿宋_GB2312" w:hAnsi="仿宋"/>
          <w:lang w:eastAsia="zh-CN"/>
        </w:rPr>
        <w:t>项目竣工验收报告、审计报告等</w:t>
      </w:r>
      <w:r>
        <w:rPr>
          <w:rFonts w:hint="eastAsia" w:ascii="仿宋_GB2312" w:hAnsi="仿宋"/>
        </w:rPr>
        <w:t>。</w:t>
      </w:r>
    </w:p>
    <w:p>
      <w:pPr>
        <w:spacing w:line="540" w:lineRule="exact"/>
        <w:ind w:left="-10" w:leftChars="0" w:firstLine="650" w:firstLineChars="0"/>
        <w:jc w:val="both"/>
        <w:rPr>
          <w:rFonts w:hint="eastAsia" w:ascii="仿宋_GB2312" w:hAnsi="仿宋"/>
        </w:rPr>
      </w:pPr>
    </w:p>
    <w:p>
      <w:pPr>
        <w:widowControl w:val="0"/>
        <w:autoSpaceDE w:val="0"/>
        <w:autoSpaceDN w:val="0"/>
        <w:adjustRightInd w:val="0"/>
        <w:snapToGrid w:val="0"/>
        <w:spacing w:line="560" w:lineRule="exact"/>
        <w:ind w:right="53" w:rightChars="17"/>
        <w:jc w:val="left"/>
        <w:rPr>
          <w:rFonts w:ascii="仿宋_GB2312"/>
          <w:sz w:val="28"/>
          <w:szCs w:val="28"/>
        </w:rPr>
      </w:pPr>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大标宋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NBCDEE+E-BZ">
    <w:altName w:val="宋体"/>
    <w:panose1 w:val="00000000000000000000"/>
    <w:charset w:val="86"/>
    <w:family w:val="swiss"/>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美黑简体">
    <w:altName w:val="宋体"/>
    <w:panose1 w:val="00000000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35"/>
      <w:rPr>
        <w:rStyle w:val="9"/>
        <w:rFonts w:ascii="宋体" w:hAnsi="宋体" w:eastAsia="宋体"/>
        <w:sz w:val="28"/>
      </w:rPr>
    </w:pPr>
    <w:r>
      <w:rPr>
        <w:rStyle w:val="9"/>
        <w:rFonts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rPr>
      <w:t>3</w:t>
    </w:r>
    <w:r>
      <w:rPr>
        <w:rStyle w:val="9"/>
        <w:rFonts w:ascii="宋体" w:hAnsi="宋体" w:eastAsia="宋体"/>
        <w:sz w:val="28"/>
      </w:rPr>
      <w:fldChar w:fldCharType="end"/>
    </w:r>
    <w:r>
      <w:rPr>
        <w:rStyle w:val="9"/>
        <w:rFonts w:ascii="宋体" w:hAnsi="宋体" w:eastAsia="宋体"/>
        <w:sz w:val="28"/>
      </w:rPr>
      <w:t>—</w:t>
    </w:r>
  </w:p>
  <w:p>
    <w:pPr>
      <w:pStyle w:val="5"/>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35"/>
      <w:rPr>
        <w:rStyle w:val="9"/>
        <w:rFonts w:ascii="宋体" w:hAnsi="宋体" w:eastAsia="宋体"/>
        <w:sz w:val="28"/>
      </w:rPr>
    </w:pPr>
    <w:r>
      <w:rPr>
        <w:rStyle w:val="9"/>
        <w:rFonts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rPr>
      <w:t>4</w:t>
    </w:r>
    <w:r>
      <w:rPr>
        <w:rStyle w:val="9"/>
        <w:rFonts w:ascii="宋体" w:hAnsi="宋体" w:eastAsia="宋体"/>
        <w:sz w:val="28"/>
      </w:rPr>
      <w:fldChar w:fldCharType="end"/>
    </w:r>
    <w:r>
      <w:rPr>
        <w:rStyle w:val="9"/>
        <w:rFonts w:ascii="宋体" w:hAnsi="宋体" w:eastAsia="宋体"/>
        <w:sz w:val="28"/>
      </w:rPr>
      <w:t>—</w:t>
    </w:r>
  </w:p>
  <w:p>
    <w:pPr>
      <w:pStyle w:val="5"/>
      <w:ind w:left="300"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49E09"/>
    <w:multiLevelType w:val="singleLevel"/>
    <w:tmpl w:val="5EC49E09"/>
    <w:lvl w:ilvl="0" w:tentative="0">
      <w:start w:val="2"/>
      <w:numFmt w:val="decimal"/>
      <w:suff w:val="nothing"/>
      <w:lvlText w:val="%1."/>
      <w:lvlJc w:val="left"/>
    </w:lvl>
  </w:abstractNum>
  <w:abstractNum w:abstractNumId="1">
    <w:nsid w:val="5EC49E4F"/>
    <w:multiLevelType w:val="singleLevel"/>
    <w:tmpl w:val="5EC49E4F"/>
    <w:lvl w:ilvl="0" w:tentative="0">
      <w:start w:val="2"/>
      <w:numFmt w:val="decimal"/>
      <w:suff w:val="nothing"/>
      <w:lvlText w:val="%1."/>
      <w:lvlJc w:val="left"/>
    </w:lvl>
  </w:abstractNum>
  <w:abstractNum w:abstractNumId="2">
    <w:nsid w:val="5EC4A07E"/>
    <w:multiLevelType w:val="singleLevel"/>
    <w:tmpl w:val="5EC4A07E"/>
    <w:lvl w:ilvl="0" w:tentative="0">
      <w:start w:val="2"/>
      <w:numFmt w:val="decimal"/>
      <w:suff w:val="nothing"/>
      <w:lvlText w:val="%1."/>
      <w:lvlJc w:val="left"/>
    </w:lvl>
  </w:abstractNum>
  <w:abstractNum w:abstractNumId="3">
    <w:nsid w:val="5EC4A17A"/>
    <w:multiLevelType w:val="singleLevel"/>
    <w:tmpl w:val="5EC4A17A"/>
    <w:lvl w:ilvl="0" w:tentative="0">
      <w:start w:val="3"/>
      <w:numFmt w:val="decimal"/>
      <w:suff w:val="nothing"/>
      <w:lvlText w:val="%1."/>
      <w:lvlJc w:val="left"/>
    </w:lvl>
  </w:abstractNum>
  <w:abstractNum w:abstractNumId="4">
    <w:nsid w:val="5EC4A3E1"/>
    <w:multiLevelType w:val="singleLevel"/>
    <w:tmpl w:val="5EC4A3E1"/>
    <w:lvl w:ilvl="0" w:tentative="0">
      <w:start w:val="2"/>
      <w:numFmt w:val="decimal"/>
      <w:suff w:val="nothing"/>
      <w:lvlText w:val="%1."/>
      <w:lvlJc w:val="left"/>
    </w:lvl>
  </w:abstractNum>
  <w:abstractNum w:abstractNumId="5">
    <w:nsid w:val="5EC4A473"/>
    <w:multiLevelType w:val="singleLevel"/>
    <w:tmpl w:val="5EC4A473"/>
    <w:lvl w:ilvl="0" w:tentative="0">
      <w:start w:val="5"/>
      <w:numFmt w:val="chineseCounting"/>
      <w:suff w:val="nothing"/>
      <w:lvlText w:val="（%1）"/>
      <w:lvlJc w:val="left"/>
    </w:lvl>
  </w:abstractNum>
  <w:abstractNum w:abstractNumId="6">
    <w:nsid w:val="5EC4DAC8"/>
    <w:multiLevelType w:val="singleLevel"/>
    <w:tmpl w:val="5EC4DAC8"/>
    <w:lvl w:ilvl="0" w:tentative="0">
      <w:start w:val="2"/>
      <w:numFmt w:val="decimal"/>
      <w:suff w:val="nothing"/>
      <w:lvlText w:val="%1."/>
      <w:lvlJc w:val="left"/>
    </w:lvl>
  </w:abstractNum>
  <w:abstractNum w:abstractNumId="7">
    <w:nsid w:val="5EC4DB3C"/>
    <w:multiLevelType w:val="singleLevel"/>
    <w:tmpl w:val="5EC4DB3C"/>
    <w:lvl w:ilvl="0" w:tentative="0">
      <w:start w:val="2"/>
      <w:numFmt w:val="chineseCounting"/>
      <w:suff w:val="nothing"/>
      <w:lvlText w:val="（%1）"/>
      <w:lvlJc w:val="left"/>
    </w:lvl>
  </w:abstractNum>
  <w:abstractNum w:abstractNumId="8">
    <w:nsid w:val="5EC4DC06"/>
    <w:multiLevelType w:val="singleLevel"/>
    <w:tmpl w:val="5EC4DC06"/>
    <w:lvl w:ilvl="0" w:tentative="0">
      <w:start w:val="1"/>
      <w:numFmt w:val="decimal"/>
      <w:suff w:val="nothing"/>
      <w:lvlText w:val="%1."/>
      <w:lvlJc w:val="left"/>
    </w:lvl>
  </w:abstractNum>
  <w:abstractNum w:abstractNumId="9">
    <w:nsid w:val="5EC4DE58"/>
    <w:multiLevelType w:val="singleLevel"/>
    <w:tmpl w:val="5EC4DE58"/>
    <w:lvl w:ilvl="0" w:tentative="0">
      <w:start w:val="4"/>
      <w:numFmt w:val="chineseCounting"/>
      <w:suff w:val="nothing"/>
      <w:lvlText w:val="%1、"/>
      <w:lvlJc w:val="left"/>
    </w:lvl>
  </w:abstractNum>
  <w:abstractNum w:abstractNumId="10">
    <w:nsid w:val="5EC4E091"/>
    <w:multiLevelType w:val="singleLevel"/>
    <w:tmpl w:val="5EC4E091"/>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attachedTemplate r:id="rId1"/>
  <w:documentProtection w:enforcement="0"/>
  <w:defaultTabStop w:val="425"/>
  <w:evenAndOddHeaders w:val="1"/>
  <w:drawingGridHorizontalSpacing w:val="158"/>
  <w:drawingGridVerticalSpacing w:val="58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2E28"/>
    <w:rsid w:val="0001706E"/>
    <w:rsid w:val="00031386"/>
    <w:rsid w:val="00061B34"/>
    <w:rsid w:val="00085C25"/>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7124"/>
    <w:rsid w:val="001B5425"/>
    <w:rsid w:val="001D2295"/>
    <w:rsid w:val="002021EA"/>
    <w:rsid w:val="002164BD"/>
    <w:rsid w:val="00232238"/>
    <w:rsid w:val="00236F6F"/>
    <w:rsid w:val="00260330"/>
    <w:rsid w:val="0027333E"/>
    <w:rsid w:val="00280BDE"/>
    <w:rsid w:val="0028678C"/>
    <w:rsid w:val="00294EE5"/>
    <w:rsid w:val="00301902"/>
    <w:rsid w:val="00304EEE"/>
    <w:rsid w:val="003209BE"/>
    <w:rsid w:val="00320A77"/>
    <w:rsid w:val="003721CE"/>
    <w:rsid w:val="00386252"/>
    <w:rsid w:val="0039440A"/>
    <w:rsid w:val="003B609C"/>
    <w:rsid w:val="003B651F"/>
    <w:rsid w:val="003D3F92"/>
    <w:rsid w:val="003F15F1"/>
    <w:rsid w:val="003F7768"/>
    <w:rsid w:val="00441E1F"/>
    <w:rsid w:val="00443AFE"/>
    <w:rsid w:val="0044547C"/>
    <w:rsid w:val="00463CBD"/>
    <w:rsid w:val="0048484B"/>
    <w:rsid w:val="004B7A2C"/>
    <w:rsid w:val="004E5EBC"/>
    <w:rsid w:val="005456D8"/>
    <w:rsid w:val="00547454"/>
    <w:rsid w:val="00547D91"/>
    <w:rsid w:val="0055335F"/>
    <w:rsid w:val="0055784C"/>
    <w:rsid w:val="00587D66"/>
    <w:rsid w:val="00596EAF"/>
    <w:rsid w:val="005B05E9"/>
    <w:rsid w:val="005C1E91"/>
    <w:rsid w:val="005C3612"/>
    <w:rsid w:val="005D1F7C"/>
    <w:rsid w:val="00623770"/>
    <w:rsid w:val="00634A37"/>
    <w:rsid w:val="0067583F"/>
    <w:rsid w:val="00684F23"/>
    <w:rsid w:val="00691838"/>
    <w:rsid w:val="006A6EB6"/>
    <w:rsid w:val="006B11BB"/>
    <w:rsid w:val="0070331B"/>
    <w:rsid w:val="00711838"/>
    <w:rsid w:val="007347E8"/>
    <w:rsid w:val="00752484"/>
    <w:rsid w:val="00767A70"/>
    <w:rsid w:val="007740E0"/>
    <w:rsid w:val="007E48FF"/>
    <w:rsid w:val="007F24E4"/>
    <w:rsid w:val="007F5BD0"/>
    <w:rsid w:val="0080354F"/>
    <w:rsid w:val="008273F9"/>
    <w:rsid w:val="008452A9"/>
    <w:rsid w:val="0086384F"/>
    <w:rsid w:val="00885932"/>
    <w:rsid w:val="00896C1C"/>
    <w:rsid w:val="008D4DFD"/>
    <w:rsid w:val="008F3154"/>
    <w:rsid w:val="009156B6"/>
    <w:rsid w:val="009511E2"/>
    <w:rsid w:val="00960202"/>
    <w:rsid w:val="00971ACC"/>
    <w:rsid w:val="00984AA9"/>
    <w:rsid w:val="009B1D6B"/>
    <w:rsid w:val="009C2E24"/>
    <w:rsid w:val="009E07A7"/>
    <w:rsid w:val="00A032C7"/>
    <w:rsid w:val="00A449C0"/>
    <w:rsid w:val="00A45A91"/>
    <w:rsid w:val="00AB6099"/>
    <w:rsid w:val="00B1591B"/>
    <w:rsid w:val="00B268F0"/>
    <w:rsid w:val="00B6766E"/>
    <w:rsid w:val="00B8171D"/>
    <w:rsid w:val="00BA1A64"/>
    <w:rsid w:val="00BC60B5"/>
    <w:rsid w:val="00BC7CC4"/>
    <w:rsid w:val="00BD1B59"/>
    <w:rsid w:val="00BD7DE4"/>
    <w:rsid w:val="00BF7471"/>
    <w:rsid w:val="00C01F37"/>
    <w:rsid w:val="00C126D1"/>
    <w:rsid w:val="00C145B3"/>
    <w:rsid w:val="00C21CDB"/>
    <w:rsid w:val="00C40EC7"/>
    <w:rsid w:val="00C647AA"/>
    <w:rsid w:val="00CD2387"/>
    <w:rsid w:val="00D16944"/>
    <w:rsid w:val="00D20768"/>
    <w:rsid w:val="00D4728C"/>
    <w:rsid w:val="00D60CF2"/>
    <w:rsid w:val="00D611EB"/>
    <w:rsid w:val="00D77134"/>
    <w:rsid w:val="00D87244"/>
    <w:rsid w:val="00DA3649"/>
    <w:rsid w:val="00DD46DD"/>
    <w:rsid w:val="00E0768F"/>
    <w:rsid w:val="00E124FB"/>
    <w:rsid w:val="00E219E0"/>
    <w:rsid w:val="00E355E2"/>
    <w:rsid w:val="00E44E53"/>
    <w:rsid w:val="00E60A47"/>
    <w:rsid w:val="00E627D0"/>
    <w:rsid w:val="00E75F2E"/>
    <w:rsid w:val="00EB1222"/>
    <w:rsid w:val="00EB5E95"/>
    <w:rsid w:val="00F40020"/>
    <w:rsid w:val="00F525BE"/>
    <w:rsid w:val="00F613AB"/>
    <w:rsid w:val="00F8179E"/>
    <w:rsid w:val="00FB0339"/>
    <w:rsid w:val="01103143"/>
    <w:rsid w:val="023907B6"/>
    <w:rsid w:val="1B494147"/>
    <w:rsid w:val="1D5F46A0"/>
    <w:rsid w:val="1DE97D56"/>
    <w:rsid w:val="1F555D66"/>
    <w:rsid w:val="20B30EAC"/>
    <w:rsid w:val="22A26C82"/>
    <w:rsid w:val="24C14377"/>
    <w:rsid w:val="26D67081"/>
    <w:rsid w:val="2EFB69EF"/>
    <w:rsid w:val="2F764771"/>
    <w:rsid w:val="31E84E35"/>
    <w:rsid w:val="33CF15D6"/>
    <w:rsid w:val="37B2240F"/>
    <w:rsid w:val="38031D6D"/>
    <w:rsid w:val="3BCA4F11"/>
    <w:rsid w:val="4309756F"/>
    <w:rsid w:val="449B1F09"/>
    <w:rsid w:val="477C14A3"/>
    <w:rsid w:val="49114907"/>
    <w:rsid w:val="4AA31A0E"/>
    <w:rsid w:val="4F7370ED"/>
    <w:rsid w:val="4FB02522"/>
    <w:rsid w:val="505E4568"/>
    <w:rsid w:val="52B27DC9"/>
    <w:rsid w:val="56C42A1B"/>
    <w:rsid w:val="56E6183D"/>
    <w:rsid w:val="5722105B"/>
    <w:rsid w:val="584529B9"/>
    <w:rsid w:val="5A070A29"/>
    <w:rsid w:val="5CD363E7"/>
    <w:rsid w:val="5E914308"/>
    <w:rsid w:val="5EBC38F2"/>
    <w:rsid w:val="5FB962F0"/>
    <w:rsid w:val="678756DB"/>
    <w:rsid w:val="68FC2B2E"/>
    <w:rsid w:val="6C9F1590"/>
    <w:rsid w:val="70BA2008"/>
    <w:rsid w:val="76DB47E1"/>
    <w:rsid w:val="798E2F26"/>
    <w:rsid w:val="799860BA"/>
    <w:rsid w:val="7AFA2197"/>
    <w:rsid w:val="7B2753CB"/>
    <w:rsid w:val="7B602625"/>
    <w:rsid w:val="7E122FCF"/>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8"/>
    <w:qFormat/>
    <w:locked/>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link w:val="16"/>
    <w:qFormat/>
    <w:uiPriority w:val="99"/>
    <w:pPr>
      <w:ind w:firstLine="632" w:firstLineChars="200"/>
    </w:pPr>
  </w:style>
  <w:style w:type="paragraph" w:styleId="4">
    <w:name w:val="Date"/>
    <w:basedOn w:val="1"/>
    <w:next w:val="1"/>
    <w:link w:val="15"/>
    <w:qFormat/>
    <w:uiPriority w:val="99"/>
    <w:pPr>
      <w:ind w:left="100" w:leftChars="2500"/>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page number"/>
    <w:qFormat/>
    <w:uiPriority w:val="99"/>
    <w:rPr>
      <w:rFonts w:cs="Times New Roman"/>
    </w:rPr>
  </w:style>
  <w:style w:type="character" w:styleId="10">
    <w:name w:val="Hyperlink"/>
    <w:basedOn w:val="8"/>
    <w:qFormat/>
    <w:uiPriority w:val="99"/>
    <w:rPr>
      <w:rFonts w:cs="Times New Roman"/>
      <w:color w:val="0000FF"/>
      <w:u w:val="singl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link w:val="6"/>
    <w:semiHidden/>
    <w:qFormat/>
    <w:uiPriority w:val="99"/>
    <w:rPr>
      <w:rFonts w:eastAsia="仿宋_GB2312"/>
      <w:sz w:val="18"/>
      <w:szCs w:val="18"/>
    </w:rPr>
  </w:style>
  <w:style w:type="character" w:customStyle="1" w:styleId="14">
    <w:name w:val="页脚 Char"/>
    <w:link w:val="5"/>
    <w:semiHidden/>
    <w:qFormat/>
    <w:uiPriority w:val="99"/>
    <w:rPr>
      <w:rFonts w:eastAsia="仿宋_GB2312"/>
      <w:sz w:val="18"/>
      <w:szCs w:val="18"/>
    </w:rPr>
  </w:style>
  <w:style w:type="character" w:customStyle="1" w:styleId="15">
    <w:name w:val="日期 Char"/>
    <w:link w:val="4"/>
    <w:semiHidden/>
    <w:qFormat/>
    <w:uiPriority w:val="99"/>
    <w:rPr>
      <w:rFonts w:eastAsia="仿宋_GB2312"/>
      <w:sz w:val="32"/>
      <w:szCs w:val="20"/>
    </w:rPr>
  </w:style>
  <w:style w:type="character" w:customStyle="1" w:styleId="16">
    <w:name w:val="正文文本缩进 Char"/>
    <w:link w:val="3"/>
    <w:semiHidden/>
    <w:qFormat/>
    <w:uiPriority w:val="99"/>
    <w:rPr>
      <w:rFonts w:eastAsia="仿宋_GB2312"/>
      <w:sz w:val="32"/>
      <w:szCs w:val="20"/>
    </w:rPr>
  </w:style>
  <w:style w:type="paragraph" w:customStyle="1" w:styleId="17">
    <w:name w:val="Char Char Char Char Char Char"/>
    <w:basedOn w:val="1"/>
    <w:qFormat/>
    <w:uiPriority w:val="99"/>
    <w:pPr>
      <w:adjustRightInd w:val="0"/>
    </w:pPr>
    <w:rPr>
      <w:rFonts w:ascii="Tahoma" w:hAnsi="Tahoma" w:eastAsia="宋体"/>
      <w:sz w:val="24"/>
    </w:rPr>
  </w:style>
  <w:style w:type="character" w:customStyle="1" w:styleId="18">
    <w:name w:val="标题 1 Char"/>
    <w:link w:val="2"/>
    <w:qFormat/>
    <w:uiPriority w:val="99"/>
    <w:rPr>
      <w:rFonts w:ascii="Calibri" w:hAnsi="Calibri" w:cs="Calibri"/>
      <w:b/>
      <w:bCs/>
      <w:kern w:val="44"/>
      <w:sz w:val="44"/>
      <w:szCs w:val="44"/>
    </w:rPr>
  </w:style>
  <w:style w:type="character" w:customStyle="1" w:styleId="19">
    <w:name w:val="NormalCharacter"/>
    <w:qFormat/>
    <w:uiPriority w:val="0"/>
    <w:rPr>
      <w:rFonts w:ascii="Times New Roman" w:hAnsi="Times New Roman" w:eastAsia="宋体" w:cs="Times New Roman"/>
      <w:kern w:val="2"/>
      <w:sz w:val="21"/>
      <w:szCs w:val="24"/>
      <w:lang w:val="en-US" w:eastAsia="zh-CN" w:bidi="ar-SA"/>
    </w:rPr>
  </w:style>
  <w:style w:type="character" w:customStyle="1" w:styleId="20">
    <w:name w:val="公文正文"/>
    <w:qFormat/>
    <w:uiPriority w:val="0"/>
    <w:rPr>
      <w:rFonts w:hint="eastAsia" w:ascii="仿宋_GB2312"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10</Pages>
  <Words>355</Words>
  <Characters>2026</Characters>
  <Lines>16</Lines>
  <Paragraphs>4</Paragraphs>
  <ScaleCrop>false</ScaleCrop>
  <LinksUpToDate>false</LinksUpToDate>
  <CharactersWithSpaces>2377</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Administrator</cp:lastModifiedBy>
  <cp:lastPrinted>2015-07-03T03:13:00Z</cp:lastPrinted>
  <dcterms:modified xsi:type="dcterms:W3CDTF">2020-05-29T08:53:56Z</dcterms:modified>
  <dc:title>益财会〔2002〕4号</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