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黑体" w:eastAsia="黑体" w:cs="黑体"/>
          <w:sz w:val="44"/>
          <w:szCs w:val="44"/>
        </w:rPr>
      </w:pPr>
      <w:r>
        <w:rPr>
          <w:rFonts w:hint="eastAsia" w:ascii="黑体" w:hAnsi="黑体" w:eastAsia="黑体" w:cs="黑体"/>
          <w:sz w:val="44"/>
          <w:szCs w:val="44"/>
        </w:rPr>
        <w:t>昆明市东川区档案馆项目支出</w:t>
      </w:r>
    </w:p>
    <w:p>
      <w:pPr>
        <w:spacing w:line="500" w:lineRule="exact"/>
        <w:jc w:val="center"/>
        <w:rPr>
          <w:rFonts w:ascii="黑体" w:hAnsi="黑体" w:eastAsia="黑体" w:cs="黑体"/>
          <w:sz w:val="44"/>
          <w:szCs w:val="44"/>
        </w:rPr>
      </w:pPr>
      <w:r>
        <w:rPr>
          <w:rFonts w:hint="eastAsia" w:ascii="黑体" w:hAnsi="黑体" w:eastAsia="黑体" w:cs="黑体"/>
          <w:sz w:val="44"/>
          <w:szCs w:val="44"/>
        </w:rPr>
        <w:t>绩效</w:t>
      </w:r>
      <w:r>
        <w:rPr>
          <w:rFonts w:hint="eastAsia" w:ascii="黑体" w:hAnsi="黑体" w:eastAsia="黑体" w:cs="黑体"/>
          <w:sz w:val="44"/>
          <w:szCs w:val="44"/>
          <w:lang w:eastAsia="zh-CN"/>
        </w:rPr>
        <w:t>自评</w:t>
      </w:r>
      <w:r>
        <w:rPr>
          <w:rFonts w:hint="eastAsia" w:ascii="黑体" w:hAnsi="黑体" w:eastAsia="黑体" w:cs="黑体"/>
          <w:sz w:val="44"/>
          <w:szCs w:val="44"/>
        </w:rPr>
        <w:t>报告</w:t>
      </w:r>
    </w:p>
    <w:p>
      <w:pPr>
        <w:pStyle w:val="4"/>
        <w:numPr>
          <w:ilvl w:val="2"/>
          <w:numId w:val="0"/>
        </w:numPr>
        <w:spacing w:line="500" w:lineRule="exact"/>
        <w:ind w:firstLine="640" w:firstLineChars="200"/>
        <w:rPr>
          <w:rFonts w:ascii="黑体" w:hAnsi="黑体"/>
        </w:rPr>
      </w:pPr>
      <w:r>
        <w:rPr>
          <w:rFonts w:hint="eastAsia" w:ascii="黑体" w:hAnsi="黑体"/>
        </w:rPr>
        <w:t>一、项目概况：</w:t>
      </w:r>
      <w:bookmarkStart w:id="0" w:name="_Toc8912788"/>
      <w:bookmarkStart w:id="1" w:name="_Toc8911836"/>
    </w:p>
    <w:bookmarkEnd w:id="0"/>
    <w:bookmarkEnd w:id="1"/>
    <w:p>
      <w:pPr>
        <w:topLinePunct/>
        <w:spacing w:line="50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（一）项目概况。</w:t>
      </w:r>
    </w:p>
    <w:p>
      <w:pPr>
        <w:spacing w:line="500" w:lineRule="exact"/>
        <w:ind w:firstLine="643" w:firstLineChars="200"/>
        <w:rPr>
          <w:rFonts w:hint="eastAsia" w:ascii="仿宋_GB2312" w:hAnsi="楷体_GB2312" w:cs="楷体_GB2312"/>
          <w:b/>
          <w:szCs w:val="32"/>
        </w:rPr>
      </w:pPr>
      <w:r>
        <w:rPr>
          <w:rFonts w:hint="eastAsia" w:ascii="仿宋_GB2312" w:hAnsi="楷体_GB2312" w:cs="楷体_GB2312"/>
          <w:b/>
          <w:szCs w:val="32"/>
        </w:rPr>
        <w:t>1.立项背景及目的。</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昆明市东川区国家综合档案馆是安全保管党和国家重要档案的基地，是进行爱国主义教育的基地，是依法为公众提供档案信息利用中心，是政府为公众提供政府信息查阅中心，同时还是电子文件中心。昆明市东川区档案馆建设将全面推进昆明市东川区档案事业的发展，对改变昆明市东川区档案事业基础设施落后的现状，提升昆明市东川区档案事业水平和管理质量的提高起到积极的促进作用。</w:t>
      </w:r>
    </w:p>
    <w:p>
      <w:pPr>
        <w:topLinePunct/>
        <w:spacing w:line="500" w:lineRule="exact"/>
        <w:ind w:firstLine="643" w:firstLineChars="200"/>
        <w:rPr>
          <w:rFonts w:hint="eastAsia" w:ascii="仿宋_GB2312" w:hAnsi="楷体_GB2312" w:cs="楷体_GB2312"/>
          <w:b/>
          <w:szCs w:val="32"/>
        </w:rPr>
      </w:pPr>
      <w:r>
        <w:rPr>
          <w:rFonts w:hint="eastAsia" w:ascii="仿宋_GB2312" w:hAnsi="楷体_GB2312" w:cs="楷体_GB2312"/>
          <w:b/>
          <w:szCs w:val="32"/>
        </w:rPr>
        <w:t>2.项目实施情况。</w:t>
      </w:r>
    </w:p>
    <w:p>
      <w:pPr>
        <w:spacing w:line="500" w:lineRule="exact"/>
        <w:ind w:firstLine="480"/>
        <w:rPr>
          <w:rFonts w:ascii="仿宋_GB2312" w:hAnsi="仿宋_GB2312" w:cs="仿宋_GB2312"/>
          <w:szCs w:val="32"/>
        </w:rPr>
      </w:pPr>
      <w:r>
        <w:rPr>
          <w:rFonts w:hint="eastAsia" w:ascii="仿宋_GB2312" w:hAnsi="仿宋_GB2312" w:cs="仿宋_GB2312"/>
          <w:szCs w:val="32"/>
        </w:rPr>
        <w:t>此次国家启动中西部县级档案馆建设，昆明市东川区区委、区政府高度重视，积极协调相关部门落实建设用地，区人民政府对省发改委和省档案局做出郑重承诺，保证兑现，于今年加大了档案馆建设的工作力度，成立了以区领导为组长的档案馆建设领导小组，拨付地勘等前期工作经费，确保前期工作顺利进行。根据《国家发展改革委国家档案局关于印发中西部地区县级综合档案馆建设规划的通知》(发改投资〔2010〕2588号)文件，中西部地区县级国家综合档案馆建设于2010年启动，昆明市东川区国家综合档案馆建设已列入“十二五"中央支持项目。</w:t>
      </w:r>
    </w:p>
    <w:p>
      <w:pPr>
        <w:spacing w:line="500" w:lineRule="exact"/>
        <w:ind w:firstLine="480"/>
        <w:rPr>
          <w:rFonts w:hint="eastAsia" w:ascii="仿宋_GB2312" w:hAnsi="楷体_GB2312" w:cs="楷体_GB2312"/>
          <w:b/>
          <w:szCs w:val="32"/>
        </w:rPr>
      </w:pPr>
      <w:r>
        <w:rPr>
          <w:rFonts w:hint="eastAsia" w:ascii="仿宋_GB2312" w:hAnsi="楷体_GB2312" w:cs="楷体_GB2312"/>
          <w:b/>
          <w:szCs w:val="32"/>
        </w:rPr>
        <w:t>3.资金来源及使用情况。</w:t>
      </w:r>
    </w:p>
    <w:p>
      <w:pPr>
        <w:spacing w:line="500" w:lineRule="exact"/>
        <w:ind w:firstLine="640" w:firstLineChars="200"/>
        <w:rPr>
          <w:rFonts w:ascii="仿宋_GB2312" w:hAnsi="仿宋_GB2312" w:cs="仿宋_GB2312"/>
          <w:bCs/>
          <w:sz w:val="28"/>
          <w:szCs w:val="28"/>
        </w:rPr>
      </w:pPr>
      <w:r>
        <w:rPr>
          <w:rFonts w:hint="eastAsia" w:ascii="仿宋_GB2312" w:hAnsi="仿宋_GB2312" w:cs="仿宋_GB2312"/>
          <w:bCs/>
          <w:szCs w:val="32"/>
        </w:rPr>
        <w:t>本项目建设资金来源为：国家财政支持462万元及地方财政配套3583.64万元，现项目进展已达32%，支付</w:t>
      </w:r>
      <w:r>
        <w:rPr>
          <w:rFonts w:hint="eastAsia" w:ascii="仿宋_GB2312" w:hAnsi="仿宋_GB2312" w:cs="仿宋_GB2312"/>
          <w:bCs/>
          <w:sz w:val="28"/>
          <w:szCs w:val="28"/>
        </w:rPr>
        <w:t>资金1300万元。</w:t>
      </w:r>
    </w:p>
    <w:p>
      <w:pPr>
        <w:topLinePunct/>
        <w:spacing w:line="500" w:lineRule="exact"/>
        <w:ind w:firstLine="643" w:firstLineChars="200"/>
        <w:rPr>
          <w:rFonts w:hint="eastAsia" w:ascii="仿宋_GB2312" w:hAnsi="楷体_GB2312" w:cs="楷体_GB2312"/>
          <w:b/>
          <w:szCs w:val="32"/>
        </w:rPr>
      </w:pPr>
      <w:r>
        <w:rPr>
          <w:rFonts w:hint="eastAsia" w:ascii="仿宋_GB2312" w:hAnsi="楷体_GB2312" w:cs="楷体_GB2312"/>
          <w:b/>
          <w:szCs w:val="32"/>
        </w:rPr>
        <w:t>4.组织及管理情况。</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1）昆明市东川区国家综合档案馆对项目建设进行协调组织、全过程监控和管理，合理使用资金，积极、充分、扎实地作好建设前期的各项准备工作，认真做好规划设计工作，精心组织施工。充分利用社会力量，聘请有关专家作为相关工作的专家顾问，通过公开招投标制度，择优选择施工单位、设备和材料，选择综合实力强的监理、造价、设计等中介咨询机构把好建设技术、资金、质量和进度关。具体项目管理组织机构如下图所示：</w:t>
      </w:r>
    </w:p>
    <w:p>
      <w:pPr>
        <w:pStyle w:val="2"/>
        <w:numPr>
          <w:ilvl w:val="1"/>
          <w:numId w:val="0"/>
        </w:numPr>
      </w:pPr>
      <w:r>
        <w:pict>
          <v:shape id="_x0000_i1025" o:spt="75" alt="1588926917(1)" type="#_x0000_t75" style="height:232.5pt;width:433.5pt;" filled="f" o:preferrelative="t" stroked="f" coordsize="21600,21600">
            <v:path/>
            <v:fill on="f" focussize="0,0"/>
            <v:stroke on="f" joinstyle="miter"/>
            <v:imagedata r:id="rId6" o:title="1588926917(1)"/>
            <o:lock v:ext="edit" aspectratio="t"/>
            <w10:wrap type="none"/>
            <w10:anchorlock/>
          </v:shape>
        </w:pict>
      </w:r>
    </w:p>
    <w:p>
      <w:pPr>
        <w:spacing w:line="500" w:lineRule="exact"/>
        <w:ind w:firstLine="480"/>
        <w:rPr>
          <w:rFonts w:ascii="仿宋_GB2312" w:hAnsi="仿宋_GB2312" w:cs="仿宋_GB2312"/>
          <w:szCs w:val="32"/>
        </w:rPr>
      </w:pPr>
      <w:r>
        <w:rPr>
          <w:rFonts w:hint="eastAsia" w:ascii="仿宋_GB2312" w:hAnsi="仿宋_GB2312" w:cs="仿宋_GB2312"/>
          <w:szCs w:val="32"/>
        </w:rPr>
        <w:t>（2）本建设项目实施规范管理，建设资金实行统一管理，由财务单独立帐、核算，并加强财务审计。资金使用严格按计划进行，并接受上级有关部门的监督和检查。严格财务规章制度，严防违规违纪行为发生。做到事先预防、事中监督和事后审核。</w:t>
      </w:r>
    </w:p>
    <w:p>
      <w:pPr>
        <w:spacing w:line="500" w:lineRule="exact"/>
        <w:ind w:firstLine="640" w:firstLineChars="200"/>
        <w:rPr>
          <w:rFonts w:ascii="楷体_GB2312" w:hAnsi="楷体" w:eastAsia="楷体_GB2312"/>
          <w:szCs w:val="32"/>
        </w:rPr>
      </w:pPr>
      <w:r>
        <w:rPr>
          <w:rFonts w:hint="eastAsia" w:ascii="黑体" w:hAnsi="黑体" w:eastAsia="黑体" w:cs="黑体"/>
          <w:szCs w:val="32"/>
        </w:rPr>
        <w:t>（二）绩效目标。</w:t>
      </w:r>
    </w:p>
    <w:p>
      <w:pPr>
        <w:spacing w:line="50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1、总目标</w:t>
      </w:r>
    </w:p>
    <w:p>
      <w:pPr>
        <w:spacing w:line="500" w:lineRule="exact"/>
        <w:ind w:firstLine="480"/>
        <w:rPr>
          <w:rFonts w:ascii="仿宋_GB2312" w:hAnsi="仿宋_GB2312" w:cs="仿宋_GB2312"/>
          <w:szCs w:val="32"/>
        </w:rPr>
      </w:pPr>
      <w:r>
        <w:rPr>
          <w:rFonts w:hint="eastAsia" w:ascii="仿宋_GB2312" w:hAnsi="仿宋_GB2312" w:cs="仿宋_GB2312"/>
          <w:szCs w:val="32"/>
        </w:rPr>
        <w:t>根据同类型项目建设经验，结合昆明市东川区国家综合档案馆建设项目具体建设的实际情况，建设计划考虑为整体一次规划设计。建设总周期计划为17个月，从项目可研报告编制报批起计。</w:t>
      </w:r>
    </w:p>
    <w:p>
      <w:pPr>
        <w:spacing w:line="50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2、年度目标</w:t>
      </w:r>
    </w:p>
    <w:p>
      <w:pPr>
        <w:spacing w:line="500" w:lineRule="exact"/>
        <w:ind w:firstLine="640" w:firstLineChars="200"/>
        <w:rPr>
          <w:rFonts w:ascii="仿宋_GB2312" w:hAnsi="仿宋" w:cs="宋体"/>
          <w:szCs w:val="32"/>
        </w:rPr>
      </w:pPr>
      <w:r>
        <w:rPr>
          <w:rFonts w:hint="eastAsia" w:ascii="仿宋_GB2312" w:hAnsi="仿宋" w:cs="宋体"/>
          <w:szCs w:val="32"/>
        </w:rPr>
        <w:t>2</w:t>
      </w:r>
      <w:r>
        <w:rPr>
          <w:rFonts w:ascii="仿宋_GB2312" w:hAnsi="仿宋" w:cs="宋体"/>
          <w:szCs w:val="32"/>
        </w:rPr>
        <w:t>019</w:t>
      </w:r>
      <w:r>
        <w:rPr>
          <w:rFonts w:hint="eastAsia" w:ascii="仿宋_GB2312" w:hAnsi="仿宋" w:cs="宋体"/>
          <w:szCs w:val="32"/>
        </w:rPr>
        <w:t>年完成前期准备工作，2020年全面竣工。</w:t>
      </w:r>
    </w:p>
    <w:p>
      <w:pPr>
        <w:spacing w:line="500" w:lineRule="exact"/>
        <w:ind w:firstLine="640" w:firstLineChars="200"/>
        <w:rPr>
          <w:rFonts w:ascii="黑体" w:hAnsi="黑体" w:eastAsia="黑体" w:cs="宋体"/>
          <w:szCs w:val="32"/>
        </w:rPr>
      </w:pPr>
      <w:r>
        <w:rPr>
          <w:rFonts w:hint="eastAsia" w:ascii="黑体" w:hAnsi="黑体" w:eastAsia="黑体" w:cs="宋体"/>
          <w:szCs w:val="32"/>
        </w:rPr>
        <w:t>二、绩效评价工作情况</w:t>
      </w:r>
    </w:p>
    <w:p>
      <w:pPr>
        <w:spacing w:line="50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（一）绩效评价目的</w:t>
      </w:r>
    </w:p>
    <w:p>
      <w:pPr>
        <w:spacing w:line="500" w:lineRule="exact"/>
        <w:ind w:right="204" w:firstLine="640" w:firstLineChars="200"/>
        <w:rPr>
          <w:rFonts w:ascii="仿宋_GB2312" w:hAnsi="仿宋" w:cs="仿宋"/>
          <w:szCs w:val="32"/>
        </w:rPr>
      </w:pPr>
      <w:r>
        <w:rPr>
          <w:rFonts w:hint="eastAsia" w:ascii="仿宋_GB2312" w:hAnsi="仿宋" w:cs="仿宋"/>
          <w:szCs w:val="32"/>
        </w:rPr>
        <w:t>通过独立、客观、公正地评价项目经费及项目的目标实现情况，系统、科学地考评项目资金支出效益及综合社会经济效果，总结项目资金使用中的主要经验及存在问题，提出有针对性和可操作性的政策建议，不断提高财政资金管理水平和使用效益。从项目投入、实施过程、绩效表现情况等方面，反映项目实施的效果。</w:t>
      </w:r>
    </w:p>
    <w:p>
      <w:pPr>
        <w:spacing w:line="50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（二）绩效评价工作方案制定过程</w:t>
      </w:r>
    </w:p>
    <w:p>
      <w:pPr>
        <w:spacing w:line="500" w:lineRule="exact"/>
        <w:ind w:firstLine="640" w:firstLineChars="200"/>
        <w:rPr>
          <w:rFonts w:ascii="仿宋_GB2312" w:hAnsi="黑体" w:cs="宋体"/>
          <w:szCs w:val="32"/>
        </w:rPr>
      </w:pPr>
      <w:r>
        <w:rPr>
          <w:rFonts w:hint="eastAsia" w:ascii="仿宋_GB2312" w:hAnsi="仿宋_GB2312" w:cs="仿宋_GB2312"/>
          <w:szCs w:val="32"/>
        </w:rPr>
        <w:t>通过相关资料，初步了解项目实施内容和实施情况，在此基础上拟定项目实施单位需要提交的资料清单。根据项目相关管理制度，结合项目立项及批复、实施过程中召开的相关会议等资料，对项目目前的实施情况和实施过程中存在的问题等进行初步了解。根据项目特点设置个性指标，通过与相关单位公司沟通和讨论后修改完善指标，作为后期评价工作开展的重要依据。</w:t>
      </w:r>
    </w:p>
    <w:p>
      <w:pPr>
        <w:spacing w:line="50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（三）绩效评价原则、评价方法</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本次绩效评价，按照项目绩效评价指标体系的要求，采取全面评价与重点抽查相结合、现场评价与非现场评价相结合的方式进行，具体如下：与项目主管、项目负责人、财务人员进行座谈，听取项目介绍，对项目的立项、资金到位及使用、项目实施管理等方面进行了解。取得项目主管单位提供项目资金申请下达文件、相关文件、项目相关的财务资料；项目实施过程及产出的相关数据、实施效果、实施检查、考核的相关文件、项目绩效自评报告等资料。</w:t>
      </w:r>
    </w:p>
    <w:p>
      <w:pPr>
        <w:spacing w:line="50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（四）绩效评价实施过程</w:t>
      </w:r>
    </w:p>
    <w:p>
      <w:pPr>
        <w:spacing w:line="500" w:lineRule="exact"/>
        <w:ind w:firstLine="640" w:firstLineChars="200"/>
        <w:rPr>
          <w:rFonts w:ascii="仿宋_GB2312" w:hAnsi="黑体" w:cs="宋体"/>
          <w:szCs w:val="32"/>
        </w:rPr>
      </w:pPr>
      <w:r>
        <w:rPr>
          <w:rFonts w:hint="eastAsia" w:ascii="仿宋_GB2312" w:hAnsi="仿宋_GB2312" w:cs="仿宋_GB2312"/>
          <w:szCs w:val="32"/>
        </w:rPr>
        <w:t>遵循科学规范原则、公正公开原则、分级分类原则、相关性原则、重要性原则、可比性原则、系统性原则和经济性原则，采用调查收集资料法、因素分析法、比较法和公众评判法等基本评价方法对该项目实施进行真实、客观、公正独立的评价，对具体项目采取定量指标与定性指标相结合，以定量为主、定性为辅的方式开展评价工作。</w:t>
      </w:r>
    </w:p>
    <w:p>
      <w:pPr>
        <w:spacing w:line="50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（五）本次绩效评价的局限性</w:t>
      </w:r>
    </w:p>
    <w:p>
      <w:pPr>
        <w:numPr>
          <w:ilvl w:val="255"/>
          <w:numId w:val="0"/>
        </w:numPr>
        <w:spacing w:line="500" w:lineRule="exact"/>
        <w:ind w:firstLine="640" w:firstLineChars="200"/>
        <w:rPr>
          <w:rFonts w:ascii="仿宋_GB2312" w:hAnsi="仿宋_GB2312" w:cs="仿宋_GB2312"/>
          <w:szCs w:val="32"/>
        </w:rPr>
      </w:pPr>
      <w:r>
        <w:rPr>
          <w:rFonts w:hint="eastAsia" w:ascii="仿宋_GB2312" w:hAnsi="仿宋_GB2312" w:cs="仿宋_GB2312"/>
          <w:szCs w:val="32"/>
        </w:rPr>
        <w:t>采用多种方式综合验证保证了绩效评价的真实、合理性，并最大限度地获取了充分、适当的评价证据，但是在评价过程中也存在诸多局限性，例如，我们只能针对抽查的部分群众发放问卷调查，最终掌握群众的满意程度，因为问卷调查主要为通过随机选择部分目标样本进行调查，因此可能无法代表所有人的意愿。</w:t>
      </w:r>
    </w:p>
    <w:p>
      <w:pPr>
        <w:topLinePunct/>
        <w:spacing w:line="500" w:lineRule="exact"/>
        <w:ind w:firstLine="640" w:firstLineChars="200"/>
        <w:rPr>
          <w:rFonts w:ascii="黑体" w:hAnsi="黑体" w:eastAsia="黑体"/>
          <w:szCs w:val="32"/>
        </w:rPr>
      </w:pPr>
      <w:r>
        <w:rPr>
          <w:rFonts w:hint="eastAsia" w:ascii="黑体" w:hAnsi="黑体" w:eastAsia="黑体"/>
          <w:szCs w:val="32"/>
        </w:rPr>
        <w:t>三、评价结论和绩效分析</w:t>
      </w:r>
    </w:p>
    <w:p>
      <w:pPr>
        <w:topLinePunct/>
        <w:spacing w:line="50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（一）评价结论</w:t>
      </w:r>
    </w:p>
    <w:p>
      <w:pPr>
        <w:spacing w:line="500" w:lineRule="exact"/>
        <w:ind w:right="206" w:firstLine="640" w:firstLineChars="200"/>
        <w:jc w:val="left"/>
        <w:rPr>
          <w:rFonts w:ascii="仿宋_GB2312"/>
          <w:szCs w:val="32"/>
        </w:rPr>
      </w:pPr>
      <w:r>
        <w:rPr>
          <w:rFonts w:hint="eastAsia" w:ascii="仿宋_GB2312" w:hAnsi="仿宋" w:cs="仿宋"/>
          <w:szCs w:val="32"/>
        </w:rPr>
        <w:t>经过评价小组对东川区住建局2019年昆明市东川区国家综合档案馆建设项目专项资金的立项、资金落实、业务管理、财务管理、项目产出和项目效益方面等进行绩效评价，项目的绩效目标基本得到实现，总评价得分9</w:t>
      </w:r>
      <w:r>
        <w:rPr>
          <w:rFonts w:hint="eastAsia" w:ascii="仿宋_GB2312" w:hAnsi="仿宋" w:cs="仿宋"/>
          <w:szCs w:val="32"/>
          <w:lang w:val="en-US" w:eastAsia="zh-CN"/>
        </w:rPr>
        <w:t>8</w:t>
      </w:r>
      <w:r>
        <w:rPr>
          <w:rFonts w:hint="eastAsia" w:ascii="仿宋_GB2312" w:hAnsi="仿宋" w:cs="仿宋"/>
          <w:szCs w:val="32"/>
        </w:rPr>
        <w:t>分，评价等级为优秀。</w:t>
      </w:r>
    </w:p>
    <w:p>
      <w:pPr>
        <w:topLinePunct/>
        <w:spacing w:line="500" w:lineRule="exact"/>
        <w:ind w:firstLine="640" w:firstLineChars="200"/>
        <w:rPr>
          <w:rFonts w:ascii="楷体_GB2312" w:hAnsi="黑体" w:eastAsia="楷体_GB2312"/>
          <w:szCs w:val="32"/>
        </w:rPr>
      </w:pPr>
      <w:r>
        <w:rPr>
          <w:rFonts w:hint="eastAsia" w:ascii="楷体_GB2312" w:hAnsi="楷体_GB2312" w:eastAsia="楷体_GB2312" w:cs="楷体_GB2312"/>
          <w:szCs w:val="32"/>
        </w:rPr>
        <w:t>（二）具体效益分析</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本项目的实施，对保障国家档案文献资源的安全保管，有效利用和贯彻落实《中华人民共和国档案法》具有重要意义。</w:t>
      </w:r>
    </w:p>
    <w:p>
      <w:pPr>
        <w:pStyle w:val="2"/>
        <w:numPr>
          <w:ilvl w:val="1"/>
          <w:numId w:val="0"/>
        </w:numPr>
        <w:spacing w:line="500" w:lineRule="exact"/>
        <w:ind w:firstLine="562" w:firstLineChars="200"/>
        <w:rPr>
          <w:rFonts w:ascii="楷体_GB2312" w:hAnsi="楷体_GB2312" w:eastAsia="楷体_GB2312" w:cs="楷体_GB2312"/>
          <w:b/>
          <w:bCs w:val="0"/>
          <w:sz w:val="28"/>
        </w:rPr>
      </w:pPr>
      <w:bookmarkStart w:id="2" w:name="_Toc8911878"/>
      <w:bookmarkStart w:id="3" w:name="_Toc8912832"/>
      <w:bookmarkStart w:id="4" w:name="_Toc17928"/>
      <w:r>
        <w:rPr>
          <w:rFonts w:hint="eastAsia" w:ascii="楷体_GB2312" w:hAnsi="楷体_GB2312" w:eastAsia="楷体_GB2312" w:cs="楷体_GB2312"/>
          <w:b/>
          <w:bCs w:val="0"/>
          <w:sz w:val="28"/>
          <w:lang w:val="en-US"/>
        </w:rPr>
        <w:t>1.</w:t>
      </w:r>
      <w:r>
        <w:rPr>
          <w:rFonts w:hint="eastAsia" w:ascii="楷体_GB2312" w:hAnsi="楷体_GB2312" w:eastAsia="楷体_GB2312" w:cs="楷体_GB2312"/>
          <w:b/>
          <w:bCs w:val="0"/>
          <w:sz w:val="28"/>
        </w:rPr>
        <w:t>项目实施是深入学习实践科学发展观的具体体现</w:t>
      </w:r>
      <w:bookmarkEnd w:id="2"/>
      <w:bookmarkEnd w:id="3"/>
      <w:bookmarkEnd w:id="4"/>
    </w:p>
    <w:p>
      <w:pPr>
        <w:spacing w:line="500" w:lineRule="exact"/>
        <w:ind w:firstLine="480"/>
        <w:rPr>
          <w:rFonts w:ascii="仿宋_GB2312" w:hAnsi="仿宋_GB2312" w:cs="仿宋_GB2312"/>
          <w:szCs w:val="32"/>
        </w:rPr>
      </w:pPr>
      <w:r>
        <w:rPr>
          <w:rFonts w:hint="eastAsia" w:ascii="仿宋_GB2312" w:hAnsi="仿宋_GB2312" w:cs="仿宋_GB2312"/>
          <w:szCs w:val="32"/>
        </w:rPr>
        <w:t>档案文献是如实记载国家经济建设和社会发展历史进程的重要文献，是人类提供总结过去，把握现在和探索未来的宝贵依据。人们通过对历史档案的研究总结，用历史唯物主义和辩证唯物主义的观点、方法，指导昆明市东川区经济建设和社会发展活动，有利于提高深入学习实践科学发展观的自觉性，进而加快昆明市东川区的经济和社会发展。</w:t>
      </w:r>
    </w:p>
    <w:p>
      <w:pPr>
        <w:pStyle w:val="2"/>
        <w:numPr>
          <w:ilvl w:val="1"/>
          <w:numId w:val="0"/>
        </w:numPr>
        <w:spacing w:line="500" w:lineRule="exact"/>
        <w:ind w:firstLine="643" w:firstLineChars="200"/>
        <w:rPr>
          <w:rFonts w:ascii="楷体_GB2312" w:hAnsi="楷体_GB2312" w:eastAsia="楷体_GB2312" w:cs="楷体_GB2312"/>
          <w:b/>
          <w:bCs w:val="0"/>
          <w:szCs w:val="32"/>
        </w:rPr>
      </w:pPr>
      <w:bookmarkStart w:id="5" w:name="_Toc8912833"/>
      <w:bookmarkStart w:id="6" w:name="_Toc25262"/>
      <w:bookmarkStart w:id="7" w:name="_Toc8911879"/>
      <w:r>
        <w:rPr>
          <w:rFonts w:hint="eastAsia" w:ascii="楷体_GB2312" w:hAnsi="楷体_GB2312" w:eastAsia="楷体_GB2312" w:cs="楷体_GB2312"/>
          <w:b/>
          <w:bCs w:val="0"/>
          <w:szCs w:val="32"/>
          <w:lang w:val="en-US"/>
        </w:rPr>
        <w:t>2.</w:t>
      </w:r>
      <w:r>
        <w:rPr>
          <w:rFonts w:hint="eastAsia" w:ascii="楷体_GB2312" w:hAnsi="楷体_GB2312" w:eastAsia="楷体_GB2312" w:cs="楷体_GB2312"/>
          <w:b/>
          <w:bCs w:val="0"/>
          <w:szCs w:val="32"/>
        </w:rPr>
        <w:t>项目实施有助于提高档案保管的安全性</w:t>
      </w:r>
      <w:bookmarkEnd w:id="5"/>
      <w:bookmarkEnd w:id="6"/>
      <w:bookmarkEnd w:id="7"/>
    </w:p>
    <w:p>
      <w:pPr>
        <w:spacing w:line="500" w:lineRule="exact"/>
        <w:ind w:firstLine="480"/>
        <w:rPr>
          <w:rFonts w:ascii="仿宋_GB2312" w:hAnsi="仿宋_GB2312" w:cs="仿宋_GB2312"/>
          <w:szCs w:val="32"/>
        </w:rPr>
      </w:pPr>
      <w:r>
        <w:rPr>
          <w:rFonts w:hint="eastAsia" w:ascii="仿宋_GB2312" w:hAnsi="仿宋_GB2312" w:cs="仿宋_GB2312"/>
          <w:szCs w:val="32"/>
        </w:rPr>
        <w:t>当前档案安全形势严峻，国家强调“为国管理档案"和确保党和国家珍贵档案得到有效保护的重要性。昆明市东川区档案馆于1986年建成使用。2010年03月经有关部门鉴定为D级危房。由于建盖时间早，因受当时地方财政困难等历史因素制约，存在建设标准过低，建筑面积狭小等问题，库容严重超负荷。房屋不具备防尘、防潮、防蛀功能，另外，多次受地震的影响，房屋出现裂缝等，严重威胁到档案的安全性。现在，大量到期交付保管的档案分散在各基层单位保存，未能依法进馆保管，存在安全隐患。该项目的实施，为保证大量到期档案能依法接收进区档案馆保管提供必要条件，从而提高档案保管的安全性。</w:t>
      </w:r>
    </w:p>
    <w:p>
      <w:pPr>
        <w:pStyle w:val="2"/>
        <w:numPr>
          <w:ilvl w:val="1"/>
          <w:numId w:val="0"/>
        </w:numPr>
        <w:spacing w:line="500" w:lineRule="exact"/>
        <w:ind w:firstLine="643" w:firstLineChars="200"/>
        <w:rPr>
          <w:rFonts w:ascii="楷体_GB2312" w:hAnsi="楷体_GB2312" w:eastAsia="楷体_GB2312" w:cs="楷体_GB2312"/>
          <w:b/>
          <w:bCs w:val="0"/>
          <w:szCs w:val="32"/>
        </w:rPr>
      </w:pPr>
      <w:bookmarkStart w:id="8" w:name="_Toc18071"/>
      <w:bookmarkStart w:id="9" w:name="_Toc8911880"/>
      <w:bookmarkStart w:id="10" w:name="_Toc8912834"/>
      <w:r>
        <w:rPr>
          <w:rFonts w:hint="eastAsia" w:ascii="楷体_GB2312" w:hAnsi="楷体_GB2312" w:eastAsia="楷体_GB2312" w:cs="楷体_GB2312"/>
          <w:b/>
          <w:bCs w:val="0"/>
          <w:szCs w:val="32"/>
          <w:lang w:val="en-US"/>
        </w:rPr>
        <w:t>3.</w:t>
      </w:r>
      <w:r>
        <w:rPr>
          <w:rFonts w:hint="eastAsia" w:ascii="楷体_GB2312" w:hAnsi="楷体_GB2312" w:eastAsia="楷体_GB2312" w:cs="楷体_GB2312"/>
          <w:b/>
          <w:bCs w:val="0"/>
          <w:szCs w:val="32"/>
        </w:rPr>
        <w:t>项目将实现国家颁布的《档案馆建设标准》的相关要求</w:t>
      </w:r>
      <w:bookmarkEnd w:id="8"/>
      <w:bookmarkEnd w:id="9"/>
      <w:bookmarkEnd w:id="10"/>
    </w:p>
    <w:p>
      <w:pPr>
        <w:spacing w:line="500" w:lineRule="exact"/>
        <w:ind w:firstLine="480"/>
        <w:rPr>
          <w:rFonts w:ascii="仿宋_GB2312" w:hAnsi="仿宋_GB2312" w:cs="仿宋_GB2312"/>
          <w:szCs w:val="32"/>
        </w:rPr>
      </w:pPr>
      <w:r>
        <w:rPr>
          <w:rFonts w:hint="eastAsia" w:ascii="仿宋_GB2312" w:hAnsi="仿宋_GB2312" w:cs="仿宋_GB2312"/>
          <w:szCs w:val="32"/>
        </w:rPr>
        <w:t>国家对档案事业和档案馆建设十分关注，颁布了《档案馆建设标准》，规定把档案馆建设成为安全保管党和国家重要档案的基地、爱国主义教育基地、档案信息服务中心、已公开现行文件利用中心和政府信息公开查阅的法定场所，该项目的实施，将实现国家上述规定目标。</w:t>
      </w:r>
    </w:p>
    <w:p>
      <w:pPr>
        <w:pStyle w:val="2"/>
        <w:numPr>
          <w:ilvl w:val="1"/>
          <w:numId w:val="0"/>
        </w:numPr>
        <w:spacing w:line="500" w:lineRule="exact"/>
        <w:ind w:firstLine="643" w:firstLineChars="200"/>
        <w:rPr>
          <w:rFonts w:ascii="楷体_GB2312" w:hAnsi="楷体_GB2312" w:eastAsia="楷体_GB2312" w:cs="楷体_GB2312"/>
          <w:b/>
          <w:bCs w:val="0"/>
          <w:szCs w:val="32"/>
        </w:rPr>
      </w:pPr>
      <w:bookmarkStart w:id="11" w:name="_Toc24510"/>
      <w:bookmarkStart w:id="12" w:name="_Toc8911881"/>
      <w:bookmarkStart w:id="13" w:name="_Toc8912835"/>
      <w:r>
        <w:rPr>
          <w:rFonts w:hint="eastAsia" w:ascii="楷体_GB2312" w:hAnsi="楷体_GB2312" w:eastAsia="楷体_GB2312" w:cs="楷体_GB2312"/>
          <w:b/>
          <w:bCs w:val="0"/>
          <w:szCs w:val="32"/>
          <w:lang w:val="en-US"/>
        </w:rPr>
        <w:t>4.</w:t>
      </w:r>
      <w:r>
        <w:rPr>
          <w:rFonts w:hint="eastAsia" w:ascii="楷体_GB2312" w:hAnsi="楷体_GB2312" w:eastAsia="楷体_GB2312" w:cs="楷体_GB2312"/>
          <w:b/>
          <w:bCs w:val="0"/>
          <w:szCs w:val="32"/>
        </w:rPr>
        <w:t>项目实施将提高政府施政透明度、促进经济社会发展</w:t>
      </w:r>
      <w:bookmarkEnd w:id="11"/>
      <w:bookmarkEnd w:id="12"/>
      <w:bookmarkEnd w:id="13"/>
    </w:p>
    <w:p>
      <w:pPr>
        <w:spacing w:line="500" w:lineRule="exact"/>
        <w:ind w:firstLine="480"/>
      </w:pPr>
      <w:r>
        <w:rPr>
          <w:rFonts w:hint="eastAsia" w:ascii="仿宋_GB2312" w:hAnsi="仿宋_GB2312" w:cs="仿宋_GB2312"/>
          <w:szCs w:val="32"/>
        </w:rPr>
        <w:t>该项目的实施极大地推进为社会提供优质便捷的档案查询服务，进一步提高政府施政的公开、透明程度，增进了政府与社会、民众的交融，促进昆明市东川区经济社会发展。</w:t>
      </w:r>
    </w:p>
    <w:p>
      <w:pPr>
        <w:topLinePunct/>
        <w:spacing w:line="500" w:lineRule="exact"/>
        <w:ind w:firstLine="640" w:firstLineChars="200"/>
        <w:rPr>
          <w:rFonts w:ascii="黑体" w:hAnsi="黑体" w:eastAsia="黑体"/>
          <w:szCs w:val="32"/>
        </w:rPr>
      </w:pPr>
      <w:r>
        <w:rPr>
          <w:rFonts w:hint="eastAsia" w:ascii="黑体" w:hAnsi="黑体" w:eastAsia="黑体"/>
          <w:szCs w:val="32"/>
        </w:rPr>
        <w:t>二、绩效评价工作情况</w:t>
      </w:r>
    </w:p>
    <w:p>
      <w:pPr>
        <w:topLinePunct/>
        <w:spacing w:line="500" w:lineRule="exact"/>
        <w:ind w:firstLine="800" w:firstLineChars="250"/>
        <w:rPr>
          <w:rFonts w:ascii="仿宋_GB2312" w:hAnsi="仿宋_GB2312" w:cs="仿宋_GB2312"/>
          <w:szCs w:val="32"/>
        </w:rPr>
      </w:pPr>
      <w:r>
        <w:rPr>
          <w:rFonts w:hint="eastAsia" w:ascii="仿宋_GB2312" w:hAnsi="仿宋_GB2312" w:cs="仿宋_GB2312"/>
          <w:szCs w:val="32"/>
        </w:rPr>
        <w:t>（一）绩效评价目的。</w:t>
      </w:r>
    </w:p>
    <w:p>
      <w:pPr>
        <w:topLinePunct/>
        <w:spacing w:line="500" w:lineRule="exact"/>
        <w:ind w:firstLine="800" w:firstLineChars="250"/>
        <w:rPr>
          <w:rFonts w:ascii="仿宋_GB2312" w:hAnsi="仿宋_GB2312" w:cs="仿宋_GB2312"/>
          <w:szCs w:val="32"/>
        </w:rPr>
      </w:pPr>
      <w:r>
        <w:rPr>
          <w:rFonts w:hint="eastAsia" w:ascii="仿宋_GB2312" w:hAnsi="仿宋_GB2312" w:cs="仿宋_GB2312"/>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spacing w:line="500" w:lineRule="exact"/>
        <w:ind w:firstLine="640" w:firstLineChars="200"/>
        <w:rPr>
          <w:rFonts w:ascii="仿宋_GB2312" w:hAnsi="黑体" w:cs="宋体"/>
          <w:szCs w:val="32"/>
        </w:rPr>
      </w:pPr>
      <w:r>
        <w:rPr>
          <w:rFonts w:hint="eastAsia" w:ascii="仿宋_GB2312" w:hAnsi="黑体" w:cs="宋体"/>
          <w:szCs w:val="32"/>
        </w:rPr>
        <w:t>（二）绩效评价工作方案制定过程</w:t>
      </w:r>
    </w:p>
    <w:p>
      <w:pPr>
        <w:spacing w:line="500" w:lineRule="exact"/>
        <w:ind w:firstLine="640" w:firstLineChars="200"/>
        <w:rPr>
          <w:rFonts w:ascii="仿宋_GB2312" w:hAnsi="黑体" w:cs="宋体"/>
          <w:szCs w:val="32"/>
        </w:rPr>
      </w:pPr>
      <w:r>
        <w:rPr>
          <w:rFonts w:hint="eastAsia" w:ascii="仿宋_GB2312" w:hAnsi="仿宋_GB2312" w:cs="仿宋_GB2312"/>
          <w:szCs w:val="32"/>
        </w:rPr>
        <w:t>通过相关资料，初步了解项目实施内容和实施情况，在此基础上拟定项目实施单位需要提交的资料清单。根据项目相关管理制度，结合项目立项及批复、实施过程中召开的相关会议等资料，对项目目前的实施情况和实施过程中存在的问题等进行初步了解。根据项目特点设置个性指标，通过与相关单位公司沟通和讨论后修改完善指标，作为后期评价工作开展的重要依据。</w:t>
      </w:r>
    </w:p>
    <w:p>
      <w:pPr>
        <w:spacing w:line="500" w:lineRule="exact"/>
        <w:ind w:firstLine="640" w:firstLineChars="200"/>
        <w:rPr>
          <w:rFonts w:ascii="仿宋_GB2312" w:hAnsi="黑体" w:cs="宋体"/>
          <w:szCs w:val="32"/>
        </w:rPr>
      </w:pPr>
      <w:r>
        <w:rPr>
          <w:rFonts w:hint="eastAsia" w:ascii="仿宋_GB2312" w:hAnsi="黑体" w:cs="宋体"/>
          <w:szCs w:val="32"/>
        </w:rPr>
        <w:t>（三）绩效评价原则、评价方法</w:t>
      </w:r>
    </w:p>
    <w:p>
      <w:pPr>
        <w:spacing w:line="500" w:lineRule="exact"/>
        <w:ind w:firstLine="620" w:firstLineChars="200"/>
        <w:rPr>
          <w:rFonts w:ascii="仿宋_GB2312"/>
          <w:sz w:val="20"/>
        </w:rPr>
      </w:pPr>
      <w:r>
        <w:rPr>
          <w:rFonts w:hint="eastAsia" w:ascii="仿宋_GB2312" w:hAnsi="仿宋" w:cs="仿宋"/>
          <w:sz w:val="31"/>
          <w:szCs w:val="31"/>
        </w:rPr>
        <w:t>本次绩效评价，按照项目绩效评价指标体系的要求，采取全面评价与重点抽查相结合、现场评价与非现场评价相结合的方式进行，具体如下：与项目主管、项目负责人、财务人员进行座谈，听取项目介绍，对项目的立项、资金到位及使用、项目实施管理等方面进行了解。取得项目主管单位提供项目资金申请下达文件、相关文件、项目相关的财务资料；项目实施过程及产出的相关数据、实施效果、</w:t>
      </w:r>
      <w:r>
        <w:rPr>
          <w:rFonts w:hint="eastAsia" w:ascii="仿宋_GB2312" w:hAnsi="仿宋" w:cs="仿宋"/>
          <w:szCs w:val="32"/>
        </w:rPr>
        <w:t>实施检查、考核的相关文件、项目绩效自评报告等资料。</w:t>
      </w:r>
    </w:p>
    <w:p>
      <w:pPr>
        <w:spacing w:line="500" w:lineRule="exact"/>
        <w:ind w:firstLine="640" w:firstLineChars="200"/>
        <w:rPr>
          <w:rFonts w:ascii="仿宋_GB2312" w:hAnsi="黑体" w:cs="宋体"/>
          <w:szCs w:val="32"/>
        </w:rPr>
      </w:pPr>
      <w:r>
        <w:rPr>
          <w:rFonts w:hint="eastAsia" w:ascii="仿宋_GB2312" w:hAnsi="黑体" w:cs="宋体"/>
          <w:szCs w:val="32"/>
        </w:rPr>
        <w:t>（四）绩效评价实施过程</w:t>
      </w:r>
    </w:p>
    <w:p>
      <w:pPr>
        <w:spacing w:line="500" w:lineRule="exact"/>
        <w:ind w:firstLine="640" w:firstLineChars="200"/>
        <w:rPr>
          <w:rFonts w:ascii="仿宋_GB2312" w:hAnsi="黑体" w:cs="宋体"/>
          <w:szCs w:val="32"/>
        </w:rPr>
      </w:pPr>
      <w:r>
        <w:rPr>
          <w:rFonts w:hint="eastAsia" w:ascii="仿宋_GB2312" w:hAnsi="仿宋_GB2312" w:cs="仿宋_GB2312"/>
          <w:szCs w:val="32"/>
        </w:rPr>
        <w:t>遵循科学规范原则、公正公开原则、分级分类原则、相关性原则、重要性原则、可比性原则、系统性原则和经济性原则，采用调查收集资料法、因素分析法、比较法和公众评判法等基本评价方法对该项目实施进行真实、客观、公正独立的评价，对具体项目采取定量指标与定性指标相结合，以定量为主、定性为辅的方式开展评价工作。</w:t>
      </w:r>
    </w:p>
    <w:p>
      <w:pPr>
        <w:spacing w:line="500" w:lineRule="exact"/>
        <w:ind w:firstLine="640" w:firstLineChars="200"/>
        <w:rPr>
          <w:rFonts w:ascii="仿宋_GB2312" w:hAnsi="黑体" w:cs="宋体"/>
          <w:szCs w:val="32"/>
        </w:rPr>
      </w:pPr>
      <w:r>
        <w:rPr>
          <w:rFonts w:hint="eastAsia" w:ascii="仿宋_GB2312" w:hAnsi="黑体" w:cs="宋体"/>
          <w:szCs w:val="32"/>
        </w:rPr>
        <w:t>（五）本次绩效评价的局限性</w:t>
      </w:r>
    </w:p>
    <w:p>
      <w:pPr>
        <w:numPr>
          <w:ilvl w:val="255"/>
          <w:numId w:val="0"/>
        </w:numPr>
        <w:spacing w:line="500" w:lineRule="exact"/>
        <w:ind w:firstLine="640" w:firstLineChars="200"/>
        <w:rPr>
          <w:rFonts w:ascii="仿宋_GB2312" w:hAnsi="仿宋_GB2312" w:cs="仿宋_GB2312"/>
          <w:szCs w:val="32"/>
        </w:rPr>
      </w:pPr>
      <w:r>
        <w:rPr>
          <w:rFonts w:hint="eastAsia" w:ascii="仿宋_GB2312" w:hAnsi="仿宋_GB2312" w:cs="仿宋_GB2312"/>
          <w:szCs w:val="32"/>
        </w:rPr>
        <w:t>采用多种方式综合验证保证了绩效评价的真实、合理性，并最大限度地获取了充分、适当的评价证据，但是在评价过程中也存在诸多局限性，例如，我们只能针对抽查的部分群众发放问卷调查，最终掌握群众的满意程度，因为问卷调查主要为通过随机选择部分目标样本进行调查，因此可能无法代表所有人的意愿。</w:t>
      </w:r>
    </w:p>
    <w:p>
      <w:pPr>
        <w:topLinePunct/>
        <w:spacing w:line="500" w:lineRule="exact"/>
        <w:ind w:firstLine="640" w:firstLineChars="200"/>
        <w:rPr>
          <w:rFonts w:ascii="黑体" w:hAnsi="黑体" w:eastAsia="黑体"/>
          <w:szCs w:val="32"/>
        </w:rPr>
      </w:pPr>
      <w:r>
        <w:rPr>
          <w:rFonts w:hint="eastAsia" w:ascii="黑体" w:hAnsi="黑体" w:eastAsia="黑体"/>
          <w:szCs w:val="32"/>
        </w:rPr>
        <w:t>三、评价结论和绩效分析</w:t>
      </w:r>
    </w:p>
    <w:p>
      <w:pPr>
        <w:topLinePunct/>
        <w:spacing w:line="500" w:lineRule="exact"/>
        <w:ind w:firstLine="640" w:firstLineChars="200"/>
        <w:rPr>
          <w:rFonts w:ascii="楷体_GB2312" w:hAnsi="黑体" w:eastAsia="楷体_GB2312"/>
          <w:szCs w:val="32"/>
        </w:rPr>
      </w:pPr>
      <w:r>
        <w:rPr>
          <w:rFonts w:hint="eastAsia" w:ascii="楷体_GB2312" w:hAnsi="黑体" w:eastAsia="楷体_GB2312"/>
          <w:szCs w:val="32"/>
        </w:rPr>
        <w:t>（一）评价结论</w:t>
      </w:r>
    </w:p>
    <w:p>
      <w:pPr>
        <w:spacing w:line="500" w:lineRule="exact"/>
        <w:ind w:right="206" w:firstLine="640" w:firstLineChars="200"/>
        <w:rPr>
          <w:rFonts w:ascii="仿宋_GB2312" w:hAnsi="仿宋" w:cs="仿宋"/>
          <w:szCs w:val="32"/>
        </w:rPr>
      </w:pPr>
      <w:r>
        <w:rPr>
          <w:rFonts w:hint="eastAsia" w:ascii="仿宋_GB2312" w:hAnsi="仿宋" w:cs="仿宋"/>
          <w:szCs w:val="32"/>
        </w:rPr>
        <w:t>经过评价小组对昆明市东川区档案馆工程项目专项资金的立项、资金落实、业务管理、财务管理、项目产出和项目效益方面等进行绩效评价，项目的绩效目标基本得到实现，总评价得分9</w:t>
      </w:r>
      <w:r>
        <w:rPr>
          <w:rFonts w:hint="eastAsia" w:ascii="仿宋_GB2312" w:hAnsi="仿宋" w:cs="仿宋"/>
          <w:szCs w:val="32"/>
          <w:lang w:val="en-US" w:eastAsia="zh-CN"/>
        </w:rPr>
        <w:t>8</w:t>
      </w:r>
      <w:r>
        <w:rPr>
          <w:rFonts w:hint="eastAsia" w:ascii="仿宋_GB2312" w:hAnsi="仿宋" w:cs="仿宋"/>
          <w:szCs w:val="32"/>
        </w:rPr>
        <w:t>分，评价等级为优秀。</w:t>
      </w:r>
    </w:p>
    <w:p>
      <w:pPr>
        <w:spacing w:line="500" w:lineRule="exact"/>
        <w:ind w:right="206" w:firstLine="640" w:firstLineChars="200"/>
        <w:rPr>
          <w:rFonts w:ascii="仿宋_GB2312" w:hAnsi="仿宋_GB2312" w:cs="仿宋_GB2312"/>
          <w:szCs w:val="32"/>
        </w:rPr>
      </w:pPr>
      <w:r>
        <w:rPr>
          <w:rFonts w:hint="eastAsia" w:ascii="仿宋_GB2312" w:hAnsi="仿宋_GB2312" w:cs="仿宋_GB2312"/>
          <w:szCs w:val="32"/>
        </w:rPr>
        <w:t>（二）具体效益分析</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该项目的实施极大地推进为社会提供优质便捷的档案查询服务，进一步提高政府施政的公开、透明程度，增进了政府与社会、民众的交融，促进昆明市东川区经济社会发展。</w:t>
      </w:r>
    </w:p>
    <w:p>
      <w:pPr>
        <w:spacing w:line="500" w:lineRule="exact"/>
        <w:ind w:firstLine="640" w:firstLineChars="200"/>
        <w:rPr>
          <w:rFonts w:ascii="黑体" w:hAnsi="黑体" w:eastAsia="黑体"/>
          <w:szCs w:val="32"/>
        </w:rPr>
      </w:pPr>
      <w:r>
        <w:rPr>
          <w:rFonts w:hint="eastAsia" w:ascii="黑体" w:hAnsi="黑体" w:eastAsia="黑体"/>
          <w:szCs w:val="32"/>
        </w:rPr>
        <w:t>四、成本效益分析。</w:t>
      </w:r>
    </w:p>
    <w:p>
      <w:pPr>
        <w:spacing w:line="500" w:lineRule="exact"/>
        <w:ind w:firstLine="640" w:firstLineChars="200"/>
        <w:rPr>
          <w:rFonts w:hint="eastAsia" w:ascii="仿宋_GB2312" w:hAnsi="仿宋_GB2312" w:cs="仿宋_GB2312"/>
          <w:bCs/>
          <w:szCs w:val="32"/>
        </w:rPr>
      </w:pPr>
      <w:r>
        <w:rPr>
          <w:rFonts w:hint="eastAsia" w:ascii="仿宋_GB2312" w:hAnsi="仿宋_GB2312" w:cs="仿宋_GB2312"/>
          <w:bCs/>
          <w:szCs w:val="32"/>
          <w:lang w:val="zh-CN"/>
        </w:rPr>
        <w:t>本投资估算建设投资</w:t>
      </w:r>
      <w:r>
        <w:rPr>
          <w:rFonts w:hint="eastAsia" w:ascii="仿宋_GB2312"/>
          <w:lang w:val="zh-CN"/>
        </w:rPr>
        <w:t>4045.64</w:t>
      </w:r>
      <w:r>
        <w:rPr>
          <w:rFonts w:hint="eastAsia" w:ascii="仿宋_GB2312" w:hAnsi="仿宋_GB2312" w:cs="仿宋_GB2312"/>
          <w:bCs/>
          <w:szCs w:val="32"/>
          <w:lang w:val="zh-CN"/>
        </w:rPr>
        <w:t>万元，其中：</w:t>
      </w:r>
      <w:r>
        <w:rPr>
          <w:rFonts w:hint="eastAsia" w:ascii="仿宋_GB2312" w:hAnsi="仿宋_GB2312" w:cs="仿宋_GB2312"/>
          <w:bCs/>
          <w:szCs w:val="32"/>
        </w:rPr>
        <w:t>建安工程费</w:t>
      </w:r>
      <w:r>
        <w:rPr>
          <w:rFonts w:hint="eastAsia" w:ascii="仿宋_GB2312"/>
        </w:rPr>
        <w:t>3340.57</w:t>
      </w:r>
      <w:r>
        <w:rPr>
          <w:rFonts w:hint="eastAsia" w:ascii="仿宋_GB2312" w:hAnsi="仿宋_GB2312" w:cs="仿宋_GB2312"/>
          <w:bCs/>
          <w:szCs w:val="32"/>
        </w:rPr>
        <w:t>万元，占投资比例的</w:t>
      </w:r>
      <w:r>
        <w:rPr>
          <w:rFonts w:hint="eastAsia" w:ascii="仿宋_GB2312"/>
        </w:rPr>
        <w:t>82.57%</w:t>
      </w:r>
      <w:r>
        <w:rPr>
          <w:rFonts w:hint="eastAsia" w:ascii="仿宋_GB2312" w:hAnsi="仿宋_GB2312" w:cs="仿宋_GB2312"/>
          <w:bCs/>
          <w:szCs w:val="32"/>
        </w:rPr>
        <w:t>；工程建设其他费用</w:t>
      </w:r>
      <w:r>
        <w:rPr>
          <w:rFonts w:hint="eastAsia" w:ascii="仿宋_GB2312"/>
        </w:rPr>
        <w:t>512.4</w:t>
      </w:r>
      <w:r>
        <w:rPr>
          <w:rFonts w:hint="eastAsia" w:ascii="仿宋_GB2312" w:hAnsi="仿宋_GB2312" w:cs="仿宋_GB2312"/>
          <w:bCs/>
          <w:szCs w:val="32"/>
        </w:rPr>
        <w:t>万元，占投资比例的</w:t>
      </w:r>
      <w:r>
        <w:rPr>
          <w:rFonts w:hint="eastAsia" w:ascii="仿宋_GB2312"/>
        </w:rPr>
        <w:t>12.66%</w:t>
      </w:r>
      <w:r>
        <w:rPr>
          <w:rFonts w:hint="eastAsia" w:ascii="仿宋_GB2312" w:hAnsi="仿宋_GB2312" w:cs="仿宋_GB2312"/>
          <w:bCs/>
          <w:szCs w:val="32"/>
        </w:rPr>
        <w:t>；预备费</w:t>
      </w:r>
      <w:r>
        <w:rPr>
          <w:rFonts w:hint="eastAsia" w:ascii="仿宋_GB2312"/>
        </w:rPr>
        <w:t>192.65</w:t>
      </w:r>
      <w:r>
        <w:rPr>
          <w:rFonts w:hint="eastAsia" w:ascii="仿宋_GB2312" w:hAnsi="仿宋_GB2312" w:cs="仿宋_GB2312"/>
          <w:bCs/>
          <w:szCs w:val="32"/>
        </w:rPr>
        <w:t>万元，占投资比例的</w:t>
      </w:r>
      <w:r>
        <w:rPr>
          <w:rFonts w:hint="eastAsia" w:ascii="仿宋_GB2312"/>
        </w:rPr>
        <w:t>4.76%</w:t>
      </w:r>
      <w:r>
        <w:rPr>
          <w:rFonts w:hint="eastAsia" w:ascii="仿宋_GB2312" w:hAnsi="仿宋_GB2312" w:cs="仿宋_GB2312"/>
          <w:bCs/>
          <w:szCs w:val="32"/>
        </w:rPr>
        <w:t>。</w:t>
      </w:r>
    </w:p>
    <w:p>
      <w:pPr>
        <w:topLinePunct/>
        <w:spacing w:line="500" w:lineRule="exact"/>
        <w:ind w:firstLine="640" w:firstLineChars="200"/>
        <w:rPr>
          <w:rFonts w:ascii="黑体" w:hAnsi="黑体" w:eastAsia="黑体"/>
          <w:szCs w:val="32"/>
        </w:rPr>
      </w:pPr>
      <w:r>
        <w:rPr>
          <w:rFonts w:hint="eastAsia" w:ascii="黑体" w:hAnsi="黑体" w:eastAsia="黑体"/>
          <w:szCs w:val="32"/>
        </w:rPr>
        <w:t>五、主要经验及做法、存在的问题和建议</w:t>
      </w:r>
    </w:p>
    <w:p>
      <w:pPr>
        <w:spacing w:line="500" w:lineRule="exact"/>
        <w:ind w:right="426" w:firstLine="640" w:firstLineChars="200"/>
        <w:jc w:val="left"/>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val="en-US" w:eastAsia="zh-CN"/>
        </w:rPr>
        <w:t>1、存在问题</w:t>
      </w:r>
    </w:p>
    <w:p>
      <w:pPr>
        <w:spacing w:line="500" w:lineRule="exact"/>
        <w:ind w:right="426" w:firstLine="640" w:firstLineChars="200"/>
        <w:jc w:val="left"/>
        <w:rPr>
          <w:rFonts w:ascii="仿宋_GB2312"/>
          <w:sz w:val="20"/>
        </w:rPr>
      </w:pPr>
      <w:r>
        <w:rPr>
          <w:rFonts w:hint="eastAsia" w:ascii="仿宋_GB2312" w:hAnsi="仿宋" w:cs="仿宋"/>
          <w:szCs w:val="32"/>
        </w:rPr>
        <w:t>建设资金压力较大</w:t>
      </w:r>
      <w:r>
        <w:rPr>
          <w:rFonts w:hint="eastAsia" w:ascii="仿宋_GB2312" w:hAnsi="仿宋" w:cs="仿宋"/>
          <w:szCs w:val="32"/>
          <w:lang w:val="en-US" w:eastAsia="zh-CN"/>
        </w:rPr>
        <w:t>,区级配套资金不到位，</w:t>
      </w:r>
      <w:r>
        <w:rPr>
          <w:rFonts w:hint="eastAsia" w:ascii="仿宋_GB2312" w:hAnsi="仿宋" w:cs="仿宋"/>
          <w:szCs w:val="32"/>
        </w:rPr>
        <w:t>国家及省投资补助资金较少，其余部分需要地方自筹。</w:t>
      </w:r>
    </w:p>
    <w:p>
      <w:pPr>
        <w:topLinePunct/>
        <w:spacing w:line="500" w:lineRule="exact"/>
        <w:ind w:firstLine="640" w:firstLineChars="200"/>
        <w:jc w:val="left"/>
        <w:rPr>
          <w:rFonts w:ascii="仿宋_GB2312" w:hAnsi="黑体"/>
          <w:szCs w:val="32"/>
        </w:rPr>
      </w:pPr>
      <w:r>
        <w:rPr>
          <w:rFonts w:hint="eastAsia" w:ascii="仿宋_GB2312" w:hAnsi="黑体"/>
          <w:szCs w:val="32"/>
          <w:lang w:val="en-US" w:eastAsia="zh-CN"/>
        </w:rPr>
        <w:t>2.</w:t>
      </w:r>
      <w:r>
        <w:rPr>
          <w:rFonts w:hint="eastAsia" w:ascii="仿宋_GB2312" w:hAnsi="黑体"/>
          <w:szCs w:val="32"/>
        </w:rPr>
        <w:t>建议和改进措施</w:t>
      </w:r>
    </w:p>
    <w:p>
      <w:pPr>
        <w:spacing w:line="500" w:lineRule="exact"/>
        <w:ind w:firstLine="640" w:firstLineChars="200"/>
        <w:jc w:val="left"/>
        <w:rPr>
          <w:rFonts w:ascii="仿宋_GB2312"/>
          <w:sz w:val="20"/>
        </w:rPr>
      </w:pPr>
      <w:r>
        <w:rPr>
          <w:rFonts w:hint="eastAsia" w:ascii="仿宋_GB2312" w:hAnsi="仿宋" w:cs="仿宋"/>
          <w:szCs w:val="32"/>
        </w:rPr>
        <w:t>1、加强项目管理过程</w:t>
      </w:r>
    </w:p>
    <w:p>
      <w:pPr>
        <w:pStyle w:val="19"/>
        <w:numPr>
          <w:ilvl w:val="0"/>
          <w:numId w:val="2"/>
        </w:numPr>
        <w:spacing w:line="500" w:lineRule="exact"/>
        <w:ind w:firstLineChars="0"/>
        <w:jc w:val="left"/>
        <w:rPr>
          <w:rFonts w:ascii="仿宋_GB2312"/>
          <w:sz w:val="20"/>
        </w:rPr>
      </w:pPr>
      <w:r>
        <w:rPr>
          <w:rFonts w:hint="eastAsia" w:ascii="仿宋_GB2312" w:hAnsi="仿宋" w:cs="仿宋"/>
          <w:szCs w:val="32"/>
        </w:rPr>
        <w:t>加强资金使用跟踪管理</w:t>
      </w:r>
      <w:bookmarkStart w:id="14" w:name="_GoBack"/>
      <w:bookmarkEnd w:id="14"/>
    </w:p>
    <w:p>
      <w:pPr>
        <w:spacing w:line="500" w:lineRule="exact"/>
        <w:ind w:left="360" w:right="486" w:firstLine="562"/>
        <w:jc w:val="left"/>
        <w:rPr>
          <w:rFonts w:ascii="仿宋_GB2312"/>
          <w:sz w:val="20"/>
        </w:rPr>
      </w:pPr>
      <w:r>
        <w:rPr>
          <w:rFonts w:hint="eastAsia" w:ascii="仿宋_GB2312" w:hAnsi="仿宋" w:cs="仿宋"/>
          <w:szCs w:val="32"/>
        </w:rPr>
        <w:t>对资金拨付使用要进行跟踪管理，保障资金安全，提高资金使用效果。</w:t>
      </w:r>
    </w:p>
    <w:p>
      <w:pPr>
        <w:pStyle w:val="19"/>
        <w:numPr>
          <w:ilvl w:val="0"/>
          <w:numId w:val="2"/>
        </w:numPr>
        <w:spacing w:line="500" w:lineRule="exact"/>
        <w:ind w:firstLineChars="0"/>
        <w:jc w:val="left"/>
        <w:rPr>
          <w:rFonts w:ascii="仿宋_GB2312"/>
          <w:sz w:val="20"/>
        </w:rPr>
      </w:pPr>
      <w:r>
        <w:rPr>
          <w:rFonts w:hint="eastAsia" w:ascii="仿宋_GB2312" w:hAnsi="仿宋" w:cs="仿宋"/>
          <w:szCs w:val="32"/>
        </w:rPr>
        <w:t>加强项目管理</w:t>
      </w:r>
    </w:p>
    <w:p>
      <w:pPr>
        <w:spacing w:line="500" w:lineRule="exact"/>
        <w:ind w:left="360" w:right="206" w:firstLine="562"/>
        <w:jc w:val="left"/>
        <w:rPr>
          <w:rFonts w:ascii="仿宋_GB2312"/>
          <w:sz w:val="20"/>
        </w:rPr>
      </w:pPr>
      <w:r>
        <w:rPr>
          <w:rFonts w:hint="eastAsia" w:ascii="仿宋_GB2312" w:hAnsi="仿宋" w:cs="仿宋"/>
          <w:szCs w:val="32"/>
        </w:rPr>
        <w:t>为规范公司项目管理、提高项目质量、降低项目成本、规避项目风险，应制定项目管理制度。对项目实施有效控制，确保安全、质量、工期、效益目标的实现，充分发挥项目管理机构整体作用。</w:t>
      </w:r>
    </w:p>
    <w:p>
      <w:pPr>
        <w:pStyle w:val="19"/>
        <w:numPr>
          <w:ilvl w:val="0"/>
          <w:numId w:val="2"/>
        </w:numPr>
        <w:spacing w:line="500" w:lineRule="exact"/>
        <w:ind w:firstLineChars="0"/>
        <w:jc w:val="left"/>
        <w:rPr>
          <w:rFonts w:ascii="仿宋_GB2312"/>
          <w:sz w:val="20"/>
        </w:rPr>
      </w:pPr>
      <w:r>
        <w:rPr>
          <w:rFonts w:hint="eastAsia" w:ascii="仿宋_GB2312" w:hAnsi="仿宋" w:cs="仿宋"/>
          <w:szCs w:val="32"/>
        </w:rPr>
        <w:t>加强监管机制。</w:t>
      </w:r>
    </w:p>
    <w:p>
      <w:pPr>
        <w:spacing w:line="500" w:lineRule="exact"/>
        <w:ind w:left="920"/>
        <w:jc w:val="left"/>
        <w:rPr>
          <w:rFonts w:hint="eastAsia" w:ascii="楷体_GB2312" w:hAnsi="楷体_GB2312" w:eastAsia="楷体_GB2312" w:cs="楷体_GB2312"/>
          <w:sz w:val="20"/>
        </w:rPr>
      </w:pPr>
      <w:r>
        <w:rPr>
          <w:rFonts w:hint="eastAsia" w:ascii="楷体_GB2312" w:hAnsi="楷体_GB2312" w:eastAsia="楷体_GB2312" w:cs="楷体_GB2312"/>
          <w:szCs w:val="32"/>
        </w:rPr>
        <w:t>2、加大资金筹措力度</w:t>
      </w:r>
    </w:p>
    <w:p>
      <w:pPr>
        <w:topLinePunct/>
        <w:spacing w:line="500" w:lineRule="exact"/>
        <w:ind w:firstLine="640" w:firstLineChars="200"/>
        <w:jc w:val="left"/>
        <w:sectPr>
          <w:pgSz w:w="11900" w:h="16838"/>
          <w:pgMar w:top="860" w:right="1440" w:bottom="703" w:left="1440" w:header="0" w:footer="0" w:gutter="0"/>
          <w:cols w:equalWidth="0" w:num="1">
            <w:col w:w="9026"/>
          </w:cols>
        </w:sectPr>
      </w:pPr>
      <w:r>
        <w:rPr>
          <w:rFonts w:hint="eastAsia" w:ascii="仿宋_GB2312" w:hAnsi="仿宋" w:cs="仿宋"/>
          <w:szCs w:val="32"/>
        </w:rPr>
        <w:t>政府应加大改造专项资金补助力度，切实减轻</w:t>
      </w:r>
      <w:r>
        <w:rPr>
          <w:rFonts w:hint="eastAsia" w:ascii="仿宋_GB2312" w:hAnsi="仿宋" w:cs="仿宋"/>
          <w:szCs w:val="32"/>
          <w:lang w:eastAsia="zh-CN"/>
        </w:rPr>
        <w:t>建设单位</w:t>
      </w:r>
      <w:r>
        <w:rPr>
          <w:rFonts w:hint="eastAsia" w:ascii="仿宋_GB2312" w:hAnsi="仿宋" w:cs="仿宋"/>
          <w:szCs w:val="32"/>
        </w:rPr>
        <w:t>资金压力，确保项目顺利推进。</w:t>
      </w:r>
    </w:p>
    <w:p>
      <w:pPr>
        <w:spacing w:line="540" w:lineRule="exact"/>
        <w:rPr>
          <w:rFonts w:ascii="仿宋_GB2312" w:hAnsi="仿宋"/>
        </w:rPr>
      </w:pPr>
    </w:p>
    <w:sectPr>
      <w:footerReference r:id="rId3" w:type="default"/>
      <w:footerReference r:id="rId4" w:type="even"/>
      <w:pgSz w:w="11907" w:h="16840"/>
      <w:pgMar w:top="2041" w:right="1531" w:bottom="1871" w:left="1531"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right="335"/>
      <w:rPr>
        <w:rStyle w:val="11"/>
        <w:rFonts w:ascii="宋体" w:hAnsi="宋体" w:eastAsia="宋体"/>
        <w:sz w:val="28"/>
      </w:rPr>
    </w:pPr>
    <w:r>
      <w:rPr>
        <w:rStyle w:val="11"/>
        <w:rFonts w:ascii="宋体" w:hAnsi="宋体" w:eastAsia="宋体"/>
        <w:sz w:val="28"/>
      </w:rPr>
      <w:t>—</w:t>
    </w:r>
    <w:r>
      <w:rPr>
        <w:rStyle w:val="11"/>
        <w:rFonts w:ascii="宋体" w:hAnsi="宋体" w:eastAsia="宋体"/>
        <w:sz w:val="28"/>
      </w:rPr>
      <w:fldChar w:fldCharType="begin"/>
    </w:r>
    <w:r>
      <w:rPr>
        <w:rStyle w:val="11"/>
        <w:rFonts w:ascii="宋体" w:hAnsi="宋体" w:eastAsia="宋体"/>
        <w:sz w:val="28"/>
      </w:rPr>
      <w:instrText xml:space="preserve">PAGE  </w:instrText>
    </w:r>
    <w:r>
      <w:rPr>
        <w:rStyle w:val="11"/>
        <w:rFonts w:ascii="宋体" w:hAnsi="宋体" w:eastAsia="宋体"/>
        <w:sz w:val="28"/>
      </w:rPr>
      <w:fldChar w:fldCharType="separate"/>
    </w:r>
    <w:r>
      <w:rPr>
        <w:rStyle w:val="11"/>
        <w:rFonts w:ascii="宋体" w:hAnsi="宋体" w:eastAsia="宋体"/>
        <w:sz w:val="28"/>
      </w:rPr>
      <w:t>9</w:t>
    </w:r>
    <w:r>
      <w:rPr>
        <w:rStyle w:val="11"/>
        <w:rFonts w:ascii="宋体" w:hAnsi="宋体" w:eastAsia="宋体"/>
        <w:sz w:val="28"/>
      </w:rPr>
      <w:fldChar w:fldCharType="end"/>
    </w:r>
    <w:r>
      <w:rPr>
        <w:rStyle w:val="11"/>
        <w:rFonts w:ascii="宋体" w:hAnsi="宋体" w:eastAsia="宋体"/>
        <w:sz w:val="28"/>
      </w:rPr>
      <w:t>—</w:t>
    </w:r>
  </w:p>
  <w:p>
    <w:pPr>
      <w:pStyle w:val="7"/>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335"/>
      <w:rPr>
        <w:rStyle w:val="11"/>
        <w:rFonts w:ascii="宋体" w:hAnsi="宋体" w:eastAsia="宋体"/>
        <w:sz w:val="28"/>
      </w:rPr>
    </w:pPr>
    <w:r>
      <w:rPr>
        <w:rStyle w:val="11"/>
        <w:rFonts w:ascii="宋体" w:hAnsi="宋体" w:eastAsia="宋体"/>
        <w:sz w:val="28"/>
      </w:rPr>
      <w:t>—</w:t>
    </w:r>
    <w:r>
      <w:rPr>
        <w:rStyle w:val="11"/>
        <w:rFonts w:ascii="宋体" w:hAnsi="宋体" w:eastAsia="宋体"/>
        <w:sz w:val="28"/>
      </w:rPr>
      <w:fldChar w:fldCharType="begin"/>
    </w:r>
    <w:r>
      <w:rPr>
        <w:rStyle w:val="11"/>
        <w:rFonts w:ascii="宋体" w:hAnsi="宋体" w:eastAsia="宋体"/>
        <w:sz w:val="28"/>
      </w:rPr>
      <w:instrText xml:space="preserve">PAGE  </w:instrText>
    </w:r>
    <w:r>
      <w:rPr>
        <w:rStyle w:val="11"/>
        <w:rFonts w:ascii="宋体" w:hAnsi="宋体" w:eastAsia="宋体"/>
        <w:sz w:val="28"/>
      </w:rPr>
      <w:fldChar w:fldCharType="separate"/>
    </w:r>
    <w:r>
      <w:rPr>
        <w:rStyle w:val="11"/>
        <w:rFonts w:ascii="宋体" w:hAnsi="宋体" w:eastAsia="宋体"/>
        <w:sz w:val="28"/>
      </w:rPr>
      <w:t>4</w:t>
    </w:r>
    <w:r>
      <w:rPr>
        <w:rStyle w:val="11"/>
        <w:rFonts w:ascii="宋体" w:hAnsi="宋体" w:eastAsia="宋体"/>
        <w:sz w:val="28"/>
      </w:rPr>
      <w:fldChar w:fldCharType="end"/>
    </w:r>
    <w:r>
      <w:rPr>
        <w:rStyle w:val="11"/>
        <w:rFonts w:ascii="宋体" w:hAnsi="宋体" w:eastAsia="宋体"/>
        <w:sz w:val="28"/>
      </w:rPr>
      <w:t>—</w:t>
    </w:r>
  </w:p>
  <w:p>
    <w:pPr>
      <w:pStyle w:val="7"/>
      <w:ind w:left="300" w:right="360" w:firstLine="360"/>
      <w:rPr>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81290"/>
    <w:multiLevelType w:val="multilevel"/>
    <w:tmpl w:val="26181290"/>
    <w:lvl w:ilvl="0" w:tentative="0">
      <w:start w:val="1"/>
      <w:numFmt w:val="decimal"/>
      <w:suff w:val="space"/>
      <w:lvlText w:val="第%1章"/>
      <w:lvlJc w:val="center"/>
      <w:pPr>
        <w:ind w:left="2268" w:firstLine="0"/>
      </w:pPr>
      <w:rPr>
        <w:rFonts w:hint="default" w:ascii="Times New Roman" w:hAnsi="Times New Roman" w:cs="Times New Roman"/>
      </w:rPr>
    </w:lvl>
    <w:lvl w:ilvl="1" w:tentative="0">
      <w:start w:val="1"/>
      <w:numFmt w:val="decimal"/>
      <w:pStyle w:val="2"/>
      <w:suff w:val="space"/>
      <w:lvlText w:val="%1.%2"/>
      <w:lvlJc w:val="left"/>
      <w:pPr>
        <w:ind w:left="0" w:firstLine="0"/>
      </w:pPr>
      <w:rPr>
        <w:rFonts w:hint="default" w:ascii="Times New Roman" w:hAnsi="Times New Roman" w:cs="Times New Roman"/>
      </w:rPr>
    </w:lvl>
    <w:lvl w:ilvl="2" w:tentative="0">
      <w:start w:val="1"/>
      <w:numFmt w:val="decimal"/>
      <w:pStyle w:val="4"/>
      <w:isLgl/>
      <w:suff w:val="space"/>
      <w:lvlText w:val="%1.%2.%3"/>
      <w:lvlJc w:val="left"/>
      <w:pPr>
        <w:ind w:left="851" w:firstLine="0"/>
      </w:pPr>
      <w:rPr>
        <w:rFonts w:hint="default" w:ascii="Times New Roman" w:hAnsi="Times New Roman" w:cs="Times New Roman"/>
      </w:rPr>
    </w:lvl>
    <w:lvl w:ilvl="3" w:tentative="0">
      <w:start w:val="1"/>
      <w:numFmt w:val="decimal"/>
      <w:suff w:val="space"/>
      <w:lvlText w:val="%1.%2.%3.%4"/>
      <w:lvlJc w:val="left"/>
      <w:pPr>
        <w:ind w:left="0" w:firstLine="0"/>
      </w:pPr>
      <w:rPr>
        <w:rFonts w:hint="default" w:ascii="Times New Roman" w:hAnsi="Times New Roman" w:cs="Times New Roman"/>
      </w:rPr>
    </w:lvl>
    <w:lvl w:ilvl="4" w:tentative="0">
      <w:start w:val="1"/>
      <w:numFmt w:val="decimal"/>
      <w:lvlRestart w:val="1"/>
      <w:suff w:val="space"/>
      <w:lvlText w:val="%1.%2.%3.%4.%5"/>
      <w:lvlJc w:val="left"/>
      <w:pPr>
        <w:ind w:left="0"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62E37809"/>
    <w:multiLevelType w:val="multilevel"/>
    <w:tmpl w:val="62E37809"/>
    <w:lvl w:ilvl="0" w:tentative="0">
      <w:start w:val="1"/>
      <w:numFmt w:val="decimalEnclosedCircle"/>
      <w:lvlText w:val="%1"/>
      <w:lvlJc w:val="left"/>
      <w:pPr>
        <w:ind w:left="1280" w:hanging="360"/>
      </w:pPr>
      <w:rPr>
        <w:rFonts w:hint="default" w:hAnsi="仿宋" w:cs="仿宋"/>
        <w:sz w:val="32"/>
      </w:rPr>
    </w:lvl>
    <w:lvl w:ilvl="1" w:tentative="0">
      <w:start w:val="1"/>
      <w:numFmt w:val="lowerLetter"/>
      <w:lvlText w:val="%2)"/>
      <w:lvlJc w:val="left"/>
      <w:pPr>
        <w:ind w:left="1760" w:hanging="420"/>
      </w:pPr>
    </w:lvl>
    <w:lvl w:ilvl="2" w:tentative="0">
      <w:start w:val="1"/>
      <w:numFmt w:val="lowerRoman"/>
      <w:lvlText w:val="%3."/>
      <w:lvlJc w:val="right"/>
      <w:pPr>
        <w:ind w:left="2180" w:hanging="420"/>
      </w:pPr>
    </w:lvl>
    <w:lvl w:ilvl="3" w:tentative="0">
      <w:start w:val="1"/>
      <w:numFmt w:val="decimal"/>
      <w:lvlText w:val="%4."/>
      <w:lvlJc w:val="left"/>
      <w:pPr>
        <w:ind w:left="2600" w:hanging="420"/>
      </w:pPr>
    </w:lvl>
    <w:lvl w:ilvl="4" w:tentative="0">
      <w:start w:val="1"/>
      <w:numFmt w:val="lowerLetter"/>
      <w:lvlText w:val="%5)"/>
      <w:lvlJc w:val="left"/>
      <w:pPr>
        <w:ind w:left="3020" w:hanging="420"/>
      </w:pPr>
    </w:lvl>
    <w:lvl w:ilvl="5" w:tentative="0">
      <w:start w:val="1"/>
      <w:numFmt w:val="lowerRoman"/>
      <w:lvlText w:val="%6."/>
      <w:lvlJc w:val="right"/>
      <w:pPr>
        <w:ind w:left="3440" w:hanging="420"/>
      </w:pPr>
    </w:lvl>
    <w:lvl w:ilvl="6" w:tentative="0">
      <w:start w:val="1"/>
      <w:numFmt w:val="decimal"/>
      <w:lvlText w:val="%7."/>
      <w:lvlJc w:val="left"/>
      <w:pPr>
        <w:ind w:left="3860" w:hanging="420"/>
      </w:pPr>
    </w:lvl>
    <w:lvl w:ilvl="7" w:tentative="0">
      <w:start w:val="1"/>
      <w:numFmt w:val="lowerLetter"/>
      <w:lvlText w:val="%8)"/>
      <w:lvlJc w:val="left"/>
      <w:pPr>
        <w:ind w:left="4280" w:hanging="420"/>
      </w:pPr>
    </w:lvl>
    <w:lvl w:ilvl="8" w:tentative="0">
      <w:start w:val="1"/>
      <w:numFmt w:val="lowerRoman"/>
      <w:lvlText w:val="%9."/>
      <w:lvlJc w:val="right"/>
      <w:pPr>
        <w:ind w:left="47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5"/>
  <w:drawingGridHorizontalSpacing w:val="158"/>
  <w:drawingGridVerticalSpacing w:val="587"/>
  <w:displayHorizontalDrawingGridEvery w:val="2"/>
  <w:characterSpacingControl w:val="compressPunctuation"/>
  <w:noLineBreaksAfter w:lang="zh-CN" w:val="$([{£¥·‘“〈《「『【〔〖〝﹙﹛﹝＄（．［｛￡￥"/>
  <w:noLineBreaksBefore w:lang="zh-CN" w:val="!%),.:;&gt;?]}¢¨°·ˇˉ―‖’”…‰′″›℃∶、。〃〉》」』】〕〗〞︶︺︾﹀﹄﹚﹜﹞！＂％＇），．：；？］｀｜｝～￠"/>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5335F"/>
    <w:rsid w:val="00000016"/>
    <w:rsid w:val="00002E28"/>
    <w:rsid w:val="0001706E"/>
    <w:rsid w:val="00031386"/>
    <w:rsid w:val="00061B34"/>
    <w:rsid w:val="00085C25"/>
    <w:rsid w:val="000C6A55"/>
    <w:rsid w:val="000D0079"/>
    <w:rsid w:val="000E4635"/>
    <w:rsid w:val="000E57AE"/>
    <w:rsid w:val="000F0DDC"/>
    <w:rsid w:val="000F2D14"/>
    <w:rsid w:val="000F2E4E"/>
    <w:rsid w:val="00112694"/>
    <w:rsid w:val="0013625A"/>
    <w:rsid w:val="00155091"/>
    <w:rsid w:val="00167969"/>
    <w:rsid w:val="00171B5D"/>
    <w:rsid w:val="001776A1"/>
    <w:rsid w:val="00185A5A"/>
    <w:rsid w:val="00197124"/>
    <w:rsid w:val="001B5425"/>
    <w:rsid w:val="001D2295"/>
    <w:rsid w:val="002021EA"/>
    <w:rsid w:val="002164BD"/>
    <w:rsid w:val="00232238"/>
    <w:rsid w:val="00236F6F"/>
    <w:rsid w:val="00260330"/>
    <w:rsid w:val="0027333E"/>
    <w:rsid w:val="00280BDE"/>
    <w:rsid w:val="0028678C"/>
    <w:rsid w:val="00294EE5"/>
    <w:rsid w:val="00301902"/>
    <w:rsid w:val="00304EEE"/>
    <w:rsid w:val="003209BE"/>
    <w:rsid w:val="00320A77"/>
    <w:rsid w:val="003721CE"/>
    <w:rsid w:val="00386252"/>
    <w:rsid w:val="0039440A"/>
    <w:rsid w:val="003B609C"/>
    <w:rsid w:val="003B651F"/>
    <w:rsid w:val="003D3F92"/>
    <w:rsid w:val="003F15F1"/>
    <w:rsid w:val="003F7768"/>
    <w:rsid w:val="00441E1F"/>
    <w:rsid w:val="00443AFE"/>
    <w:rsid w:val="0044547C"/>
    <w:rsid w:val="00463CBD"/>
    <w:rsid w:val="0048484B"/>
    <w:rsid w:val="004B7A2C"/>
    <w:rsid w:val="004E5EBC"/>
    <w:rsid w:val="005456D8"/>
    <w:rsid w:val="00547454"/>
    <w:rsid w:val="00547D91"/>
    <w:rsid w:val="0055335F"/>
    <w:rsid w:val="0055784C"/>
    <w:rsid w:val="00587D66"/>
    <w:rsid w:val="00596EAF"/>
    <w:rsid w:val="005B05E9"/>
    <w:rsid w:val="005C1E91"/>
    <w:rsid w:val="005C3612"/>
    <w:rsid w:val="005D1F7C"/>
    <w:rsid w:val="00623770"/>
    <w:rsid w:val="00634A37"/>
    <w:rsid w:val="0067583F"/>
    <w:rsid w:val="00684F23"/>
    <w:rsid w:val="00691838"/>
    <w:rsid w:val="006A6EB6"/>
    <w:rsid w:val="006B11BB"/>
    <w:rsid w:val="0070331B"/>
    <w:rsid w:val="00711838"/>
    <w:rsid w:val="007347E8"/>
    <w:rsid w:val="00752484"/>
    <w:rsid w:val="00767A70"/>
    <w:rsid w:val="007740E0"/>
    <w:rsid w:val="007E48FF"/>
    <w:rsid w:val="007F24E4"/>
    <w:rsid w:val="007F5BD0"/>
    <w:rsid w:val="0080354F"/>
    <w:rsid w:val="008273F9"/>
    <w:rsid w:val="008452A9"/>
    <w:rsid w:val="0086384F"/>
    <w:rsid w:val="00885932"/>
    <w:rsid w:val="00896C1C"/>
    <w:rsid w:val="008D4DFD"/>
    <w:rsid w:val="008F3154"/>
    <w:rsid w:val="009156B6"/>
    <w:rsid w:val="009511E2"/>
    <w:rsid w:val="00960202"/>
    <w:rsid w:val="00971ACC"/>
    <w:rsid w:val="00984AA9"/>
    <w:rsid w:val="009B1D6B"/>
    <w:rsid w:val="009C2E24"/>
    <w:rsid w:val="009E07A7"/>
    <w:rsid w:val="00A032C7"/>
    <w:rsid w:val="00A449C0"/>
    <w:rsid w:val="00A45A91"/>
    <w:rsid w:val="00AB6099"/>
    <w:rsid w:val="00B1591B"/>
    <w:rsid w:val="00B268F0"/>
    <w:rsid w:val="00B63DAE"/>
    <w:rsid w:val="00B6766E"/>
    <w:rsid w:val="00B8171D"/>
    <w:rsid w:val="00BA1A64"/>
    <w:rsid w:val="00BC60B5"/>
    <w:rsid w:val="00BC7CC4"/>
    <w:rsid w:val="00BD1B59"/>
    <w:rsid w:val="00BD7DE4"/>
    <w:rsid w:val="00BF7471"/>
    <w:rsid w:val="00C01F37"/>
    <w:rsid w:val="00C126D1"/>
    <w:rsid w:val="00C145B3"/>
    <w:rsid w:val="00C21CDB"/>
    <w:rsid w:val="00C354C6"/>
    <w:rsid w:val="00C40EC7"/>
    <w:rsid w:val="00C647AA"/>
    <w:rsid w:val="00CD2387"/>
    <w:rsid w:val="00D16944"/>
    <w:rsid w:val="00D20768"/>
    <w:rsid w:val="00D4728C"/>
    <w:rsid w:val="00D60CF2"/>
    <w:rsid w:val="00D611EB"/>
    <w:rsid w:val="00D72AFA"/>
    <w:rsid w:val="00D77134"/>
    <w:rsid w:val="00D87244"/>
    <w:rsid w:val="00DA3649"/>
    <w:rsid w:val="00DD46DD"/>
    <w:rsid w:val="00E06734"/>
    <w:rsid w:val="00E0768F"/>
    <w:rsid w:val="00E124FB"/>
    <w:rsid w:val="00E219E0"/>
    <w:rsid w:val="00E355E2"/>
    <w:rsid w:val="00E44E53"/>
    <w:rsid w:val="00E60A47"/>
    <w:rsid w:val="00E627D0"/>
    <w:rsid w:val="00E75F2E"/>
    <w:rsid w:val="00EA441D"/>
    <w:rsid w:val="00EB1222"/>
    <w:rsid w:val="00EB5E95"/>
    <w:rsid w:val="00F40020"/>
    <w:rsid w:val="00F525BE"/>
    <w:rsid w:val="00F613AB"/>
    <w:rsid w:val="00F8179E"/>
    <w:rsid w:val="00FB0339"/>
    <w:rsid w:val="08857A57"/>
    <w:rsid w:val="24C14377"/>
    <w:rsid w:val="2EFB69EF"/>
    <w:rsid w:val="36F42872"/>
    <w:rsid w:val="38031D6D"/>
    <w:rsid w:val="3B604CB8"/>
    <w:rsid w:val="3BCA4F11"/>
    <w:rsid w:val="429856BD"/>
    <w:rsid w:val="477C14A3"/>
    <w:rsid w:val="4A220BEC"/>
    <w:rsid w:val="4F7370ED"/>
    <w:rsid w:val="4FB02522"/>
    <w:rsid w:val="4FE3406B"/>
    <w:rsid w:val="56C42A1B"/>
    <w:rsid w:val="5E914308"/>
    <w:rsid w:val="64C05681"/>
    <w:rsid w:val="70BA2008"/>
    <w:rsid w:val="716B0793"/>
    <w:rsid w:val="73E873A6"/>
    <w:rsid w:val="77165737"/>
    <w:rsid w:val="78DB780C"/>
    <w:rsid w:val="790817E7"/>
    <w:rsid w:val="7B2753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18"/>
    <w:qFormat/>
    <w:locked/>
    <w:uiPriority w:val="99"/>
    <w:pPr>
      <w:keepNext/>
      <w:keepLines/>
      <w:spacing w:before="340" w:after="330" w:line="578" w:lineRule="auto"/>
      <w:outlineLvl w:val="0"/>
    </w:pPr>
    <w:rPr>
      <w:rFonts w:ascii="Calibri" w:hAnsi="Calibri" w:eastAsia="宋体" w:cs="Calibri"/>
      <w:b/>
      <w:bCs/>
      <w:kern w:val="44"/>
      <w:sz w:val="44"/>
      <w:szCs w:val="44"/>
    </w:rPr>
  </w:style>
  <w:style w:type="paragraph" w:styleId="2">
    <w:name w:val="heading 2"/>
    <w:basedOn w:val="1"/>
    <w:next w:val="1"/>
    <w:unhideWhenUsed/>
    <w:qFormat/>
    <w:locked/>
    <w:uiPriority w:val="0"/>
    <w:pPr>
      <w:numPr>
        <w:ilvl w:val="1"/>
        <w:numId w:val="1"/>
      </w:numPr>
      <w:spacing w:before="120" w:after="120"/>
      <w:outlineLvl w:val="1"/>
    </w:pPr>
    <w:rPr>
      <w:rFonts w:eastAsia="黑体"/>
      <w:bCs/>
      <w:szCs w:val="28"/>
      <w:lang w:val="zh-CN"/>
    </w:rPr>
  </w:style>
  <w:style w:type="paragraph" w:styleId="4">
    <w:name w:val="heading 3"/>
    <w:basedOn w:val="1"/>
    <w:next w:val="1"/>
    <w:qFormat/>
    <w:locked/>
    <w:uiPriority w:val="0"/>
    <w:pPr>
      <w:keepNext/>
      <w:keepLines/>
      <w:numPr>
        <w:ilvl w:val="2"/>
        <w:numId w:val="1"/>
      </w:numPr>
      <w:spacing w:before="120" w:after="120"/>
      <w:ind w:left="0"/>
      <w:jc w:val="left"/>
      <w:outlineLvl w:val="2"/>
    </w:pPr>
    <w:rPr>
      <w:rFonts w:eastAsia="黑体"/>
      <w:bCs/>
      <w:kern w:val="0"/>
      <w:szCs w:val="32"/>
      <w:lang w:val="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16"/>
    <w:qFormat/>
    <w:uiPriority w:val="99"/>
    <w:pPr>
      <w:ind w:firstLine="632" w:firstLineChars="200"/>
    </w:pPr>
  </w:style>
  <w:style w:type="paragraph" w:styleId="6">
    <w:name w:val="Date"/>
    <w:basedOn w:val="1"/>
    <w:next w:val="1"/>
    <w:link w:val="15"/>
    <w:qFormat/>
    <w:uiPriority w:val="99"/>
    <w:pPr>
      <w:ind w:left="100" w:leftChars="2500"/>
    </w:p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qFormat/>
    <w:uiPriority w:val="99"/>
    <w:rPr>
      <w:rFonts w:cs="Times New Roman"/>
    </w:rPr>
  </w:style>
  <w:style w:type="character" w:styleId="12">
    <w:name w:val="Hyperlink"/>
    <w:qFormat/>
    <w:uiPriority w:val="99"/>
    <w:rPr>
      <w:rFonts w:cs="Times New Roman"/>
      <w:color w:val="0000FF"/>
      <w:u w:val="single"/>
    </w:rPr>
  </w:style>
  <w:style w:type="character" w:customStyle="1" w:styleId="13">
    <w:name w:val="页眉 Char"/>
    <w:link w:val="8"/>
    <w:semiHidden/>
    <w:qFormat/>
    <w:uiPriority w:val="99"/>
    <w:rPr>
      <w:rFonts w:eastAsia="仿宋_GB2312"/>
      <w:sz w:val="18"/>
      <w:szCs w:val="18"/>
    </w:rPr>
  </w:style>
  <w:style w:type="character" w:customStyle="1" w:styleId="14">
    <w:name w:val="页脚 Char"/>
    <w:link w:val="7"/>
    <w:semiHidden/>
    <w:qFormat/>
    <w:uiPriority w:val="99"/>
    <w:rPr>
      <w:rFonts w:eastAsia="仿宋_GB2312"/>
      <w:sz w:val="18"/>
      <w:szCs w:val="18"/>
    </w:rPr>
  </w:style>
  <w:style w:type="character" w:customStyle="1" w:styleId="15">
    <w:name w:val="日期 Char"/>
    <w:link w:val="6"/>
    <w:semiHidden/>
    <w:qFormat/>
    <w:uiPriority w:val="99"/>
    <w:rPr>
      <w:rFonts w:eastAsia="仿宋_GB2312"/>
      <w:sz w:val="32"/>
      <w:szCs w:val="20"/>
    </w:rPr>
  </w:style>
  <w:style w:type="character" w:customStyle="1" w:styleId="16">
    <w:name w:val="正文文本缩进 Char"/>
    <w:link w:val="5"/>
    <w:semiHidden/>
    <w:qFormat/>
    <w:uiPriority w:val="99"/>
    <w:rPr>
      <w:rFonts w:eastAsia="仿宋_GB2312"/>
      <w:sz w:val="32"/>
      <w:szCs w:val="20"/>
    </w:rPr>
  </w:style>
  <w:style w:type="paragraph" w:customStyle="1" w:styleId="17">
    <w:name w:val="Char Char Char Char Char Char"/>
    <w:basedOn w:val="1"/>
    <w:qFormat/>
    <w:uiPriority w:val="99"/>
    <w:pPr>
      <w:adjustRightInd w:val="0"/>
    </w:pPr>
    <w:rPr>
      <w:rFonts w:ascii="Tahoma" w:hAnsi="Tahoma" w:eastAsia="宋体"/>
      <w:sz w:val="24"/>
    </w:rPr>
  </w:style>
  <w:style w:type="character" w:customStyle="1" w:styleId="18">
    <w:name w:val="标题 1 Char"/>
    <w:link w:val="3"/>
    <w:qFormat/>
    <w:uiPriority w:val="99"/>
    <w:rPr>
      <w:rFonts w:ascii="Calibri" w:hAnsi="Calibri" w:cs="Calibri"/>
      <w:b/>
      <w:bCs/>
      <w:kern w:val="44"/>
      <w:sz w:val="44"/>
      <w:szCs w:val="44"/>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一个单位文件（201412）.dot</Template>
  <Company>家用电脑</Company>
  <Pages>9</Pages>
  <Words>687</Words>
  <Characters>3922</Characters>
  <Lines>32</Lines>
  <Paragraphs>9</Paragraphs>
  <TotalTime>43</TotalTime>
  <ScaleCrop>false</ScaleCrop>
  <LinksUpToDate>false</LinksUpToDate>
  <CharactersWithSpaces>4600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2016-02-18T07:51:00Z</dcterms:created>
  <dc:creator>y</dc:creator>
  <cp:lastModifiedBy>那些花儿</cp:lastModifiedBy>
  <cp:lastPrinted>2015-07-03T03:13:00Z</cp:lastPrinted>
  <dcterms:modified xsi:type="dcterms:W3CDTF">2020-08-07T09:08:10Z</dcterms:modified>
  <dc:title>益财会〔2002〕4号</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