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6" w:lineRule="exact"/>
        <w:jc w:val="center"/>
        <w:rPr>
          <w:sz w:val="24"/>
          <w:szCs w:val="24"/>
        </w:rPr>
      </w:pPr>
    </w:p>
    <w:p>
      <w:pPr>
        <w:spacing w:line="632" w:lineRule="exact"/>
        <w:ind w:right="626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昆明市东川区住房和城乡建设局2019年度人居环境提升改造项目支出绩效评价报告</w:t>
      </w:r>
    </w:p>
    <w:p>
      <w:pPr>
        <w:spacing w:line="200" w:lineRule="exact"/>
        <w:jc w:val="center"/>
        <w:rPr>
          <w:sz w:val="24"/>
          <w:szCs w:val="24"/>
        </w:rPr>
      </w:pPr>
    </w:p>
    <w:p>
      <w:pPr>
        <w:spacing w:line="200" w:lineRule="exact"/>
        <w:jc w:val="center"/>
        <w:rPr>
          <w:sz w:val="24"/>
          <w:szCs w:val="24"/>
        </w:rPr>
      </w:pPr>
    </w:p>
    <w:p>
      <w:pPr>
        <w:spacing w:line="200" w:lineRule="exact"/>
        <w:jc w:val="center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56" w:lineRule="exact"/>
        <w:rPr>
          <w:sz w:val="24"/>
          <w:szCs w:val="24"/>
        </w:rPr>
      </w:pPr>
    </w:p>
    <w:p>
      <w:pPr>
        <w:tabs>
          <w:tab w:val="left" w:pos="340"/>
        </w:tabs>
        <w:spacing w:line="366" w:lineRule="exact"/>
        <w:ind w:right="506" w:firstLine="640" w:firstLineChars="200"/>
        <w:rPr>
          <w:sz w:val="20"/>
          <w:szCs w:val="20"/>
        </w:rPr>
      </w:pPr>
      <w:r>
        <w:rPr>
          <w:rFonts w:ascii="仿宋" w:hAnsi="仿宋" w:eastAsia="仿宋" w:cs="仿宋"/>
          <w:sz w:val="32"/>
          <w:szCs w:val="32"/>
        </w:rPr>
        <w:t>项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>目 名 称：东川区</w:t>
      </w:r>
      <w:r>
        <w:rPr>
          <w:rFonts w:ascii="宋体" w:hAnsi="宋体" w:eastAsia="宋体" w:cs="宋体"/>
          <w:sz w:val="32"/>
          <w:szCs w:val="32"/>
        </w:rPr>
        <w:t>2019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人居环境提升改造</w:t>
      </w:r>
    </w:p>
    <w:p>
      <w:pPr>
        <w:spacing w:line="259" w:lineRule="exact"/>
        <w:rPr>
          <w:sz w:val="24"/>
          <w:szCs w:val="24"/>
        </w:rPr>
      </w:pPr>
    </w:p>
    <w:p>
      <w:pPr>
        <w:spacing w:line="366" w:lineRule="exact"/>
        <w:ind w:right="-993" w:firstLine="2880" w:firstLineChars="900"/>
        <w:rPr>
          <w:sz w:val="20"/>
          <w:szCs w:val="20"/>
        </w:rPr>
      </w:pPr>
      <w:r>
        <w:rPr>
          <w:rFonts w:ascii="仿宋" w:hAnsi="仿宋" w:eastAsia="仿宋" w:cs="仿宋"/>
          <w:sz w:val="32"/>
          <w:szCs w:val="32"/>
        </w:rPr>
        <w:t>项目支出绩效</w:t>
      </w:r>
    </w:p>
    <w:p>
      <w:pPr>
        <w:spacing w:line="257" w:lineRule="exact"/>
        <w:rPr>
          <w:sz w:val="24"/>
          <w:szCs w:val="24"/>
        </w:rPr>
      </w:pPr>
    </w:p>
    <w:p>
      <w:pPr>
        <w:spacing w:line="366" w:lineRule="exact"/>
        <w:ind w:right="-753" w:firstLine="640" w:firstLineChars="200"/>
        <w:rPr>
          <w:sz w:val="20"/>
          <w:szCs w:val="20"/>
        </w:rPr>
      </w:pPr>
      <w:r>
        <w:rPr>
          <w:rFonts w:ascii="仿宋" w:hAnsi="仿宋" w:eastAsia="仿宋" w:cs="仿宋"/>
          <w:sz w:val="32"/>
          <w:szCs w:val="32"/>
        </w:rPr>
        <w:t>项目实施单位：昆明市东川区住房和城乡建设局</w:t>
      </w:r>
    </w:p>
    <w:p>
      <w:pPr>
        <w:spacing w:line="257" w:lineRule="exact"/>
        <w:rPr>
          <w:sz w:val="24"/>
          <w:szCs w:val="24"/>
        </w:rPr>
      </w:pPr>
    </w:p>
    <w:p>
      <w:pPr>
        <w:spacing w:line="366" w:lineRule="exact"/>
        <w:ind w:right="-753" w:firstLine="640" w:firstLineChars="200"/>
        <w:rPr>
          <w:sz w:val="20"/>
          <w:szCs w:val="20"/>
        </w:rPr>
      </w:pPr>
      <w:r>
        <w:rPr>
          <w:rFonts w:ascii="仿宋" w:hAnsi="仿宋" w:eastAsia="仿宋" w:cs="仿宋"/>
          <w:sz w:val="32"/>
          <w:szCs w:val="32"/>
        </w:rPr>
        <w:t>项目主管部门：昆明市东川区住房和城乡建设局</w:t>
      </w:r>
    </w:p>
    <w:p>
      <w:pPr>
        <w:spacing w:line="259" w:lineRule="exact"/>
        <w:rPr>
          <w:sz w:val="24"/>
          <w:szCs w:val="24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/>
    <w:p>
      <w:pPr>
        <w:spacing w:line="366" w:lineRule="exact"/>
        <w:ind w:right="6"/>
        <w:jc w:val="center"/>
        <w:rPr>
          <w:sz w:val="20"/>
          <w:szCs w:val="20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ascii="仿宋" w:hAnsi="仿宋" w:eastAsia="仿宋" w:cs="仿宋"/>
          <w:sz w:val="32"/>
          <w:szCs w:val="32"/>
        </w:rPr>
        <w:t>报告日期：</w:t>
      </w:r>
      <w:r>
        <w:rPr>
          <w:rFonts w:ascii="宋体" w:hAnsi="宋体" w:eastAsia="宋体" w:cs="宋体"/>
          <w:sz w:val="32"/>
          <w:szCs w:val="32"/>
        </w:rPr>
        <w:t>2020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宋体" w:hAnsi="宋体" w:eastAsia="宋体" w:cs="宋体"/>
          <w:sz w:val="32"/>
          <w:szCs w:val="32"/>
        </w:rPr>
        <w:t>27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spacing w:line="113" w:lineRule="exact"/>
        <w:rPr>
          <w:sz w:val="20"/>
          <w:szCs w:val="20"/>
        </w:rPr>
      </w:pPr>
    </w:p>
    <w:p>
      <w:pPr>
        <w:tabs>
          <w:tab w:val="left" w:pos="4720"/>
        </w:tabs>
        <w:spacing w:line="581" w:lineRule="exact"/>
        <w:ind w:left="3860"/>
        <w:rPr>
          <w:sz w:val="20"/>
          <w:szCs w:val="20"/>
        </w:rPr>
      </w:pPr>
      <w:r>
        <w:rPr>
          <w:rFonts w:ascii="微软雅黑" w:hAnsi="微软雅黑" w:eastAsia="微软雅黑" w:cs="微软雅黑"/>
          <w:sz w:val="44"/>
          <w:szCs w:val="44"/>
        </w:rPr>
        <w:t>目</w:t>
      </w:r>
      <w:r>
        <w:rPr>
          <w:rFonts w:ascii="微软雅黑" w:hAnsi="微软雅黑" w:eastAsia="微软雅黑" w:cs="微软雅黑"/>
          <w:sz w:val="44"/>
          <w:szCs w:val="44"/>
        </w:rPr>
        <w:tab/>
      </w:r>
      <w:r>
        <w:rPr>
          <w:rFonts w:ascii="微软雅黑" w:hAnsi="微软雅黑" w:eastAsia="微软雅黑" w:cs="微软雅黑"/>
          <w:sz w:val="44"/>
          <w:szCs w:val="44"/>
        </w:rPr>
        <w:t>录</w:t>
      </w:r>
    </w:p>
    <w:p>
      <w:pPr>
        <w:spacing w:line="216" w:lineRule="exact"/>
        <w:rPr>
          <w:sz w:val="20"/>
          <w:szCs w:val="20"/>
        </w:rPr>
      </w:pPr>
    </w:p>
    <w:p>
      <w:pPr>
        <w:tabs>
          <w:tab w:val="left" w:leader="dot" w:pos="8680"/>
        </w:tabs>
        <w:spacing w:line="365" w:lineRule="exact"/>
        <w:ind w:left="220"/>
        <w:rPr>
          <w:rFonts w:ascii="黑体" w:hAnsi="黑体" w:eastAsia="黑体" w:cs="黑体"/>
          <w:sz w:val="30"/>
          <w:szCs w:val="30"/>
        </w:rPr>
      </w:pPr>
      <w:r>
        <w:fldChar w:fldCharType="begin"/>
      </w:r>
      <w:r>
        <w:instrText xml:space="preserve"> HYPERLINK \l "page3" \h </w:instrText>
      </w:r>
      <w:r>
        <w:fldChar w:fldCharType="separate"/>
      </w:r>
      <w:r>
        <w:rPr>
          <w:rFonts w:ascii="黑体" w:hAnsi="黑体" w:eastAsia="黑体" w:cs="黑体"/>
          <w:sz w:val="30"/>
          <w:szCs w:val="30"/>
        </w:rPr>
        <w:t>一、项目基本情况</w:t>
      </w:r>
      <w:r>
        <w:rPr>
          <w:rFonts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2</w:t>
      </w:r>
    </w:p>
    <w:p>
      <w:pPr>
        <w:spacing w:line="243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（一）项目基本概况</w:t>
      </w:r>
      <w:r>
        <w:rPr>
          <w:rFonts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2</w:t>
      </w:r>
    </w:p>
    <w:p>
      <w:pPr>
        <w:spacing w:line="336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hAnsi="楷体" w:eastAsia="楷体" w:cs="楷体"/>
          <w:sz w:val="30"/>
          <w:szCs w:val="30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绩效</w:t>
      </w:r>
      <w:r>
        <w:rPr>
          <w:rFonts w:ascii="楷体" w:hAnsi="楷体" w:eastAsia="楷体" w:cs="楷体"/>
          <w:sz w:val="30"/>
          <w:szCs w:val="30"/>
        </w:rPr>
        <w:t>目标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spacing w:line="325" w:lineRule="exact"/>
        <w:rPr>
          <w:sz w:val="20"/>
          <w:szCs w:val="20"/>
        </w:rPr>
      </w:pPr>
    </w:p>
    <w:p>
      <w:pPr>
        <w:tabs>
          <w:tab w:val="left" w:leader="dot" w:pos="8680"/>
        </w:tabs>
        <w:spacing w:line="365" w:lineRule="exact"/>
        <w:ind w:left="220"/>
        <w:rPr>
          <w:sz w:val="20"/>
          <w:szCs w:val="20"/>
        </w:rPr>
      </w:pPr>
      <w:r>
        <w:rPr>
          <w:rFonts w:ascii="黑体" w:hAnsi="黑体" w:eastAsia="黑体" w:cs="黑体"/>
          <w:sz w:val="30"/>
          <w:szCs w:val="30"/>
        </w:rPr>
        <w:t>二、绩效评价</w:t>
      </w:r>
      <w:r>
        <w:rPr>
          <w:rFonts w:hint="eastAsia" w:ascii="黑体" w:hAnsi="黑体" w:eastAsia="黑体" w:cs="黑体"/>
          <w:sz w:val="30"/>
          <w:szCs w:val="30"/>
        </w:rPr>
        <w:t>工作</w:t>
      </w:r>
      <w:r>
        <w:rPr>
          <w:rFonts w:ascii="黑体" w:hAnsi="黑体" w:eastAsia="黑体" w:cs="黑体"/>
          <w:sz w:val="30"/>
          <w:szCs w:val="30"/>
        </w:rPr>
        <w:t>情况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spacing w:line="243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hAnsi="楷体" w:eastAsia="楷体" w:cs="楷体"/>
          <w:sz w:val="30"/>
          <w:szCs w:val="30"/>
        </w:rPr>
        <w:t>（一）</w:t>
      </w:r>
      <w:r>
        <w:rPr>
          <w:rFonts w:hint="eastAsia" w:ascii="楷体" w:hAnsi="楷体" w:eastAsia="楷体" w:cs="楷体"/>
          <w:sz w:val="30"/>
          <w:szCs w:val="30"/>
        </w:rPr>
        <w:t>绩效评价目的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spacing w:line="336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绩效评价工作方案制定过程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三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绩效评价原则、评价方法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4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四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绩效评价实施过程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4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五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本次绩效评价的局限性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4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540"/>
        </w:tabs>
        <w:spacing w:line="365" w:lineRule="exact"/>
        <w:ind w:left="220"/>
        <w:rPr>
          <w:rFonts w:ascii="宋体" w:hAnsi="宋体" w:eastAsia="宋体" w:cs="宋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黑体" w:hAnsi="黑体" w:eastAsia="黑体" w:cs="黑体"/>
          <w:sz w:val="30"/>
          <w:szCs w:val="30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评价结论和绩效分析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..4</w:t>
      </w:r>
    </w:p>
    <w:p>
      <w:pPr>
        <w:spacing w:line="243" w:lineRule="exact"/>
        <w:rPr>
          <w:sz w:val="20"/>
          <w:szCs w:val="20"/>
        </w:rPr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（一）</w:t>
      </w:r>
      <w:r>
        <w:rPr>
          <w:rFonts w:hint="eastAsia" w:ascii="楷体" w:hAnsi="楷体" w:eastAsia="楷体" w:cs="楷体"/>
          <w:sz w:val="30"/>
          <w:szCs w:val="30"/>
        </w:rPr>
        <w:t>评价结论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..4</w:t>
      </w:r>
    </w:p>
    <w:p>
      <w:pPr>
        <w:spacing w:line="333" w:lineRule="exact"/>
        <w:rPr>
          <w:sz w:val="20"/>
          <w:szCs w:val="20"/>
        </w:rPr>
      </w:pPr>
    </w:p>
    <w:p>
      <w:pPr>
        <w:tabs>
          <w:tab w:val="left" w:leader="dot" w:pos="854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hAnsi="楷体" w:eastAsia="楷体" w:cs="楷体"/>
          <w:sz w:val="30"/>
          <w:szCs w:val="30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具体绩效分析</w:t>
      </w:r>
      <w:r>
        <w:rPr>
          <w:sz w:val="20"/>
          <w:szCs w:val="20"/>
        </w:rPr>
        <w:tab/>
      </w:r>
      <w:r>
        <w:rPr>
          <w:sz w:val="20"/>
          <w:szCs w:val="20"/>
        </w:rPr>
        <w:t>…</w:t>
      </w:r>
      <w:r>
        <w:rPr>
          <w:rFonts w:eastAsia="Times New Roman"/>
          <w:sz w:val="30"/>
          <w:szCs w:val="30"/>
        </w:rPr>
        <w:t>5</w:t>
      </w:r>
    </w:p>
    <w:p>
      <w:pPr>
        <w:spacing w:line="328" w:lineRule="exact"/>
        <w:rPr>
          <w:sz w:val="20"/>
          <w:szCs w:val="20"/>
        </w:rPr>
      </w:pPr>
    </w:p>
    <w:p>
      <w:pPr>
        <w:tabs>
          <w:tab w:val="left" w:leader="dot" w:pos="8540"/>
        </w:tabs>
        <w:spacing w:line="365" w:lineRule="exact"/>
        <w:ind w:left="220"/>
        <w:rPr>
          <w:rFonts w:ascii="黑体" w:hAnsi="黑体" w:eastAsia="黑体" w:cs="黑体"/>
          <w:sz w:val="29"/>
          <w:szCs w:val="29"/>
        </w:rPr>
      </w:pPr>
      <w:r>
        <w:fldChar w:fldCharType="begin"/>
      </w:r>
      <w:r>
        <w:instrText xml:space="preserve"> HYPERLINK \l "page14" \h </w:instrText>
      </w:r>
      <w:r>
        <w:fldChar w:fldCharType="separate"/>
      </w:r>
      <w:r>
        <w:rPr>
          <w:rFonts w:ascii="黑体" w:hAnsi="黑体" w:eastAsia="黑体" w:cs="黑体"/>
          <w:sz w:val="30"/>
          <w:szCs w:val="30"/>
        </w:rPr>
        <w:t>四、</w:t>
      </w:r>
      <w:r>
        <w:rPr>
          <w:rFonts w:hint="eastAsia" w:ascii="黑体" w:hAnsi="黑体" w:eastAsia="黑体" w:cs="黑体"/>
          <w:sz w:val="30"/>
          <w:szCs w:val="30"/>
        </w:rPr>
        <w:t>成本效益分析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..5</w:t>
      </w:r>
    </w:p>
    <w:p>
      <w:pPr>
        <w:tabs>
          <w:tab w:val="left" w:leader="dot" w:pos="8540"/>
        </w:tabs>
        <w:spacing w:line="365" w:lineRule="exact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spacing w:line="365" w:lineRule="exact"/>
        <w:ind w:left="220"/>
        <w:rPr>
          <w:rFonts w:ascii="黑体" w:hAnsi="黑体" w:eastAsia="黑体" w:cs="黑体"/>
          <w:sz w:val="29"/>
          <w:szCs w:val="29"/>
        </w:rPr>
      </w:pPr>
      <w:r>
        <w:fldChar w:fldCharType="begin"/>
      </w:r>
      <w:r>
        <w:instrText xml:space="preserve"> HYPERLINK \l "page14" \h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五</w:t>
      </w:r>
      <w:r>
        <w:rPr>
          <w:rFonts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主要经验及做法、存在问题和建议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.5</w:t>
      </w:r>
    </w:p>
    <w:p>
      <w:pPr>
        <w:tabs>
          <w:tab w:val="left" w:leader="dot" w:pos="8540"/>
        </w:tabs>
        <w:spacing w:line="365" w:lineRule="exact"/>
        <w:ind w:left="220"/>
        <w:rPr>
          <w:rFonts w:ascii="黑体" w:hAnsi="黑体" w:eastAsia="黑体" w:cs="黑体"/>
          <w:sz w:val="29"/>
          <w:szCs w:val="29"/>
        </w:rPr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（一）</w:t>
      </w:r>
      <w:r>
        <w:rPr>
          <w:rFonts w:hint="eastAsia" w:ascii="楷体" w:hAnsi="楷体" w:eastAsia="楷体" w:cs="楷体"/>
          <w:sz w:val="30"/>
          <w:szCs w:val="30"/>
        </w:rPr>
        <w:t>主要经验及做法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.5</w:t>
      </w:r>
    </w:p>
    <w:p>
      <w:pPr>
        <w:tabs>
          <w:tab w:val="left" w:leader="dot" w:pos="8540"/>
        </w:tabs>
        <w:spacing w:line="365" w:lineRule="exact"/>
        <w:ind w:left="360"/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二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存在问题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6</w:t>
      </w:r>
    </w:p>
    <w:p>
      <w:pPr>
        <w:tabs>
          <w:tab w:val="left" w:leader="dot" w:pos="8540"/>
        </w:tabs>
        <w:spacing w:line="365" w:lineRule="exact"/>
        <w:ind w:left="360"/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三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建议和改进措施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7</w:t>
      </w:r>
    </w:p>
    <w:p>
      <w:pPr>
        <w:spacing w:line="325" w:lineRule="exact"/>
        <w:rPr>
          <w:sz w:val="20"/>
          <w:szCs w:val="20"/>
        </w:rPr>
      </w:pPr>
    </w:p>
    <w:p>
      <w:pPr>
        <w:tabs>
          <w:tab w:val="left" w:leader="dot" w:pos="8540"/>
        </w:tabs>
        <w:ind w:left="357"/>
        <w:jc w:val="center"/>
        <w:rPr>
          <w:rFonts w:ascii="黑体" w:hAnsi="黑体" w:eastAsia="黑体" w:cs="黑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楷体"/>
          <w:sz w:val="36"/>
          <w:szCs w:val="36"/>
        </w:rPr>
        <w:t>昆明市东川区住房和城乡建设局2</w:t>
      </w:r>
      <w:r>
        <w:rPr>
          <w:rFonts w:ascii="黑体" w:hAnsi="黑体" w:eastAsia="黑体" w:cs="楷体"/>
          <w:sz w:val="36"/>
          <w:szCs w:val="36"/>
        </w:rPr>
        <w:t>019</w:t>
      </w:r>
      <w:r>
        <w:rPr>
          <w:rFonts w:hint="eastAsia" w:ascii="黑体" w:hAnsi="黑体" w:eastAsia="黑体" w:cs="楷体"/>
          <w:sz w:val="36"/>
          <w:szCs w:val="36"/>
        </w:rPr>
        <w:t>年城市人居环境提升改造工程项目绩效评价报告</w:t>
      </w:r>
    </w:p>
    <w:p>
      <w:pPr>
        <w:spacing w:line="540" w:lineRule="exact"/>
        <w:rPr>
          <w:rFonts w:ascii="仿宋_GB2312" w:hAnsi="黑体" w:eastAsia="仿宋_GB2312" w:cs="楷体"/>
          <w:sz w:val="32"/>
          <w:szCs w:val="32"/>
        </w:rPr>
      </w:pPr>
    </w:p>
    <w:p>
      <w:pPr>
        <w:spacing w:line="540" w:lineRule="exact"/>
        <w:ind w:firstLine="640" w:firstLineChars="200"/>
        <w:rPr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一、项目基本情况</w:t>
      </w:r>
    </w:p>
    <w:p>
      <w:pPr>
        <w:spacing w:line="540" w:lineRule="exact"/>
        <w:ind w:firstLine="480" w:firstLineChars="150"/>
        <w:rPr>
          <w:sz w:val="20"/>
          <w:szCs w:val="20"/>
        </w:rPr>
      </w:pPr>
      <w:r>
        <w:rPr>
          <w:rFonts w:ascii="楷体" w:hAnsi="楷体" w:eastAsia="楷体" w:cs="楷体"/>
          <w:sz w:val="32"/>
          <w:szCs w:val="32"/>
        </w:rPr>
        <w:t>（一）项目基本概况。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1、立项背景及目的</w:t>
      </w:r>
    </w:p>
    <w:p>
      <w:pPr>
        <w:spacing w:line="540" w:lineRule="exact"/>
        <w:ind w:firstLine="640" w:firstLineChars="200"/>
        <w:jc w:val="both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自东川区划调整以来，东川迎来了新一轮的城市高速发展历程，城市建城区面积由原来的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仿宋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仿宋" w:eastAsia="仿宋_GB2312" w:cs="宋体"/>
          <w:sz w:val="32"/>
          <w:szCs w:val="32"/>
        </w:rPr>
        <w:t>平方公里扩大到约</w:t>
      </w:r>
      <w:r>
        <w:rPr>
          <w:rFonts w:hint="eastAsia" w:ascii="仿宋_GB2312" w:hAnsi="宋体" w:eastAsia="仿宋_GB2312" w:cs="宋体"/>
          <w:sz w:val="32"/>
          <w:szCs w:val="32"/>
        </w:rPr>
        <w:t>12</w:t>
      </w:r>
      <w:r>
        <w:rPr>
          <w:rFonts w:hint="eastAsia" w:ascii="仿宋_GB2312" w:hAnsi="仿宋" w:eastAsia="仿宋_GB2312" w:cs="宋体"/>
          <w:sz w:val="32"/>
          <w:szCs w:val="32"/>
        </w:rPr>
        <w:t>平方公里。城市高速发展的同时，也伴随着“城市病”的滋生和蔓延，居民的机动车保有量不断增加，机动车出行也不断增加，城市居民日常通勤出行和生活出行给城市交通带来较大的压力。城市交通软硬件环境亟须改进提质以适应市民生产和生活的需要。为加快建设“三美东川·创业铜都”，依据《云南省进一步提升城乡人居环境五年行动计划（</w:t>
      </w:r>
      <w:r>
        <w:rPr>
          <w:rFonts w:hint="eastAsia" w:ascii="仿宋_GB2312" w:hAnsi="宋体" w:eastAsia="仿宋_GB2312" w:cs="宋体"/>
          <w:sz w:val="32"/>
          <w:szCs w:val="32"/>
        </w:rPr>
        <w:t>2016</w:t>
      </w:r>
      <w:r>
        <w:rPr>
          <w:rFonts w:hint="eastAsia" w:ascii="仿宋_GB2312" w:hAnsi="仿宋" w:eastAsia="仿宋_GB2312" w:cs="宋体"/>
          <w:sz w:val="32"/>
          <w:szCs w:val="32"/>
        </w:rPr>
        <w:t>～</w:t>
      </w:r>
      <w:r>
        <w:rPr>
          <w:rFonts w:hint="eastAsia"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仿宋" w:eastAsia="仿宋_GB2312" w:cs="宋体"/>
          <w:sz w:val="32"/>
          <w:szCs w:val="32"/>
        </w:rPr>
        <w:t>年）》的要求及东川区委区政府安排部署，东川区城市人居环境提升改造工程列入了我区</w:t>
      </w:r>
      <w:r>
        <w:rPr>
          <w:rFonts w:hint="eastAsia" w:ascii="仿宋_GB2312" w:hAnsi="宋体" w:eastAsia="仿宋_GB2312" w:cs="宋体"/>
          <w:sz w:val="32"/>
          <w:szCs w:val="32"/>
        </w:rPr>
        <w:t>2016</w:t>
      </w:r>
      <w:r>
        <w:rPr>
          <w:rFonts w:hint="eastAsia" w:ascii="仿宋_GB2312" w:hAnsi="仿宋" w:eastAsia="仿宋_GB2312" w:cs="宋体"/>
          <w:sz w:val="32"/>
          <w:szCs w:val="32"/>
        </w:rPr>
        <w:t>年“三重三十”工作任务中的十大重点项目之一。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2、项目实施情况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该项目位于东川区铜都街道，改造范围南起兴达路、北至新桥河，西起龙东格公路，东到东起路，约</w:t>
      </w:r>
      <w:r>
        <w:rPr>
          <w:rFonts w:hint="eastAsia"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平方公里，</w:t>
      </w:r>
      <w:r>
        <w:rPr>
          <w:rFonts w:hint="eastAsia" w:ascii="仿宋_GB2312" w:hAnsi="仿宋" w:eastAsia="仿宋_GB2312" w:cs="宋体"/>
          <w:sz w:val="32"/>
          <w:szCs w:val="32"/>
        </w:rPr>
        <w:t>对主城区市府街、文苑巷等共</w:t>
      </w:r>
      <w:r>
        <w:rPr>
          <w:rFonts w:hint="eastAsia" w:ascii="仿宋_GB2312" w:hAnsi="宋体" w:eastAsia="仿宋_GB2312" w:cs="仿宋_GB2312"/>
          <w:sz w:val="32"/>
          <w:szCs w:val="32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>条城市道路约2</w:t>
      </w:r>
      <w:r>
        <w:rPr>
          <w:rFonts w:ascii="仿宋_GB2312" w:hAnsi="仿宋" w:eastAsia="仿宋_GB2312" w:cs="仿宋_GB2312"/>
          <w:sz w:val="32"/>
          <w:szCs w:val="32"/>
        </w:rPr>
        <w:t>3.4</w:t>
      </w:r>
      <w:r>
        <w:rPr>
          <w:rFonts w:hint="eastAsia" w:ascii="仿宋_GB2312" w:hAnsi="仿宋" w:eastAsia="仿宋_GB2312" w:cs="仿宋_GB2312"/>
          <w:sz w:val="32"/>
          <w:szCs w:val="32"/>
        </w:rPr>
        <w:t>公里进行提升改造。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该工程总投资约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7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.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14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亿元，资金筹措方式为政府投资与银行贷款相结合的方式（PPP合作方式）。计划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2018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12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月底全部完成道路改造程，2</w:t>
      </w:r>
      <w:r>
        <w:rPr>
          <w:rFonts w:ascii="仿宋_GB2312" w:hAnsi="仿宋" w:eastAsia="仿宋_GB2312"/>
          <w:spacing w:val="-4"/>
          <w:sz w:val="32"/>
          <w:szCs w:val="32"/>
        </w:rPr>
        <w:t>019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年调整金沙路的道路工程，属于续建。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3、资金来源及使用情况</w:t>
      </w:r>
    </w:p>
    <w:p>
      <w:pPr>
        <w:spacing w:line="56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该项目总投资为7</w:t>
      </w:r>
      <w:r>
        <w:rPr>
          <w:rFonts w:ascii="仿宋_GB2312" w:hAnsi="仿宋" w:eastAsia="仿宋_GB2312"/>
          <w:spacing w:val="-4"/>
          <w:sz w:val="32"/>
          <w:szCs w:val="32"/>
        </w:rPr>
        <w:t>1422.3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万元，其中项目资金设定为1</w:t>
      </w:r>
      <w:r>
        <w:rPr>
          <w:rFonts w:ascii="仿宋_GB2312" w:hAnsi="仿宋" w:eastAsia="仿宋_GB2312"/>
          <w:spacing w:val="-4"/>
          <w:sz w:val="32"/>
          <w:szCs w:val="32"/>
        </w:rPr>
        <w:t>4284.46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万元（设定政府出资1</w:t>
      </w:r>
      <w:r>
        <w:rPr>
          <w:rFonts w:ascii="仿宋_GB2312" w:hAnsi="仿宋" w:eastAsia="仿宋_GB2312"/>
          <w:spacing w:val="-4"/>
          <w:sz w:val="32"/>
          <w:szCs w:val="32"/>
        </w:rPr>
        <w:t>428.00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万元，设定社会资本方出资1</w:t>
      </w:r>
      <w:r>
        <w:rPr>
          <w:rFonts w:ascii="仿宋_GB2312" w:hAnsi="仿宋" w:eastAsia="仿宋_GB2312"/>
          <w:spacing w:val="-4"/>
          <w:sz w:val="32"/>
          <w:szCs w:val="32"/>
        </w:rPr>
        <w:t>2856.00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万元），项目公司注册资本为2</w:t>
      </w:r>
      <w:r>
        <w:rPr>
          <w:rFonts w:ascii="仿宋_GB2312" w:hAnsi="仿宋" w:eastAsia="仿宋_GB2312"/>
          <w:spacing w:val="-4"/>
          <w:sz w:val="32"/>
          <w:szCs w:val="32"/>
        </w:rPr>
        <w:t>500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万元。除上述资本金出资外，本项目缺口部分为5</w:t>
      </w:r>
      <w:r>
        <w:rPr>
          <w:rFonts w:ascii="仿宋_GB2312" w:hAnsi="仿宋" w:eastAsia="仿宋_GB2312"/>
          <w:spacing w:val="-4"/>
          <w:sz w:val="32"/>
          <w:szCs w:val="32"/>
        </w:rPr>
        <w:t>7137.84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万元（占可研估算总投资的8</w:t>
      </w:r>
      <w:r>
        <w:rPr>
          <w:rFonts w:ascii="仿宋_GB2312" w:hAnsi="仿宋" w:eastAsia="仿宋_GB2312"/>
          <w:spacing w:val="-4"/>
          <w:sz w:val="32"/>
          <w:szCs w:val="32"/>
        </w:rPr>
        <w:t>0%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），缺口部分由项目公司通过银行贷款等形式筹集。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4、组织及管理情况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该项目是由区住建局牵头，负责项目的统筹组织、协调推进工作；由东川区建投公司负责根据计划组织实施建设；2</w:t>
      </w:r>
      <w:r>
        <w:rPr>
          <w:rFonts w:ascii="仿宋_GB2312" w:hAnsi="仿宋" w:eastAsia="仿宋_GB2312" w:cs="宋体"/>
          <w:sz w:val="32"/>
          <w:szCs w:val="32"/>
        </w:rPr>
        <w:t>019</w:t>
      </w:r>
      <w:r>
        <w:rPr>
          <w:rFonts w:hint="eastAsia" w:ascii="仿宋_GB2312" w:hAnsi="仿宋" w:eastAsia="仿宋_GB2312" w:cs="宋体"/>
          <w:sz w:val="32"/>
          <w:szCs w:val="32"/>
        </w:rPr>
        <w:t>年人居环境提升改造工程PPP项目资本金为9</w:t>
      </w:r>
      <w:r>
        <w:rPr>
          <w:rFonts w:ascii="仿宋_GB2312" w:hAnsi="仿宋" w:eastAsia="仿宋_GB2312" w:cs="宋体"/>
          <w:sz w:val="32"/>
          <w:szCs w:val="32"/>
        </w:rPr>
        <w:t>00</w:t>
      </w:r>
      <w:r>
        <w:rPr>
          <w:rFonts w:hint="eastAsia" w:ascii="仿宋_GB2312" w:hAnsi="仿宋" w:eastAsia="仿宋_GB2312" w:cs="宋体"/>
          <w:sz w:val="32"/>
          <w:szCs w:val="32"/>
        </w:rPr>
        <w:t>万元，其中</w:t>
      </w:r>
      <w:r>
        <w:rPr>
          <w:rFonts w:ascii="仿宋_GB2312" w:hAnsi="仿宋" w:eastAsia="仿宋_GB2312" w:cs="宋体"/>
          <w:sz w:val="32"/>
          <w:szCs w:val="32"/>
        </w:rPr>
        <w:t>央以奖代补资金500万，区级资金400万</w:t>
      </w:r>
      <w:r>
        <w:rPr>
          <w:rFonts w:hint="eastAsia" w:ascii="仿宋_GB2312" w:hAnsi="仿宋" w:eastAsia="仿宋_GB2312" w:cs="宋体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（二）绩效目标。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1、总目标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完成东川区城市人居环境提升改造工程项目，包括道路工程及城市风貌建设。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2、年度目标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</w:t>
      </w:r>
      <w:r>
        <w:rPr>
          <w:rFonts w:ascii="仿宋_GB2312" w:hAnsi="仿宋" w:eastAsia="仿宋_GB2312" w:cs="宋体"/>
          <w:sz w:val="32"/>
          <w:szCs w:val="32"/>
        </w:rPr>
        <w:t>019</w:t>
      </w:r>
      <w:r>
        <w:rPr>
          <w:rFonts w:hint="eastAsia" w:ascii="仿宋_GB2312" w:hAnsi="仿宋" w:eastAsia="仿宋_GB2312" w:cs="宋体"/>
          <w:sz w:val="32"/>
          <w:szCs w:val="32"/>
        </w:rPr>
        <w:t>年完成东川主城区道路改造工程的竣工验收及其城市风貌整治工作；完成调整道路工程项目的前期手续工作。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二、绩效评价工作情况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（一）绩效评价目的</w:t>
      </w:r>
    </w:p>
    <w:p>
      <w:pPr>
        <w:spacing w:line="540" w:lineRule="exact"/>
        <w:ind w:right="204"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过独立、客观、公正地评价项目经费及项目的目标实现情况，系统、科学地考评项目资金支出效益及综合社会经济效果，总结项目资金使用中的主要经验及存在问题，提出有针对性和可操作性的政策建议，不断提高财政资金管理水平和使用效益。从项目投入、实施过程、绩效表现情况等方面，反映项目实施的效果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（二）绩效评价工作方案制定过程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相关资料，初步了解项目实施内容和实施情况，在此基础上拟定项目实施单位需要提交的资料清单。根据项目相关管理制度，结合项目立项及批复、实施过程中召开的相关会议等资料，对项目目前的实施情况和实施过程中存在的问题等进行初步了解。根据项目特点设置个性指标，通过与相关单位公司沟通和讨论后修改完善指标，作为后期评价工作开展的重要依据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（三）绩效评价原则、评价方法</w:t>
      </w:r>
    </w:p>
    <w:p>
      <w:pPr>
        <w:spacing w:line="540" w:lineRule="exact"/>
        <w:ind w:left="357" w:firstLine="620" w:firstLineChars="200"/>
        <w:jc w:val="both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1"/>
          <w:szCs w:val="31"/>
        </w:rPr>
        <w:t>本次绩效评价，按照项目绩效评价指标体系的要求，采取全面评价与重点抽查相结合、现场评价与非现场评价相结合的方式进行，具体如下：与项目主管、项目负责人、财务人员进行座谈，听取项目介绍，对项目的立项、资金到位及使用、项目实施管理等方面进行了解。取得项目主管单位提供项目资金申请下达文件、相关文件、项目相关的财务资料；项目实施过程及产出的相关数据、实施效果、</w:t>
      </w:r>
      <w:r>
        <w:rPr>
          <w:rFonts w:hint="eastAsia" w:ascii="仿宋_GB2312" w:hAnsi="仿宋" w:eastAsia="仿宋_GB2312" w:cs="仿宋"/>
          <w:sz w:val="32"/>
          <w:szCs w:val="32"/>
        </w:rPr>
        <w:t>实施检查、考核的相关文件、项目绩效自评报告等资料。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（四）绩效评价实施过程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循科学规范原则、公正公开原则、分级分类原则、相关性原则、重要性原则、可比性原则、系统性原则和经济性原则，采用调查收集资料法、因素分析法、比较法和公众评判法等基本评价方法对该项目实施进行真实、客观、公正独立的评价，对具体项目采取定量指标与定性指标相结合，以定量为主、定性为辅的方式开展评价工作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（五）本次绩效评价的局限性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多种方式综合验证保证了绩效评价的真实、合理性，并最大限度地获取了充分、适当的评价证据，但是在评价过程中也存在诸多局限性，例如，我们只能针对抽查的部分群众发放问卷调查，最终掌握群众的满意程度，因为问卷调查主要为通过随机选择部分目标样本进行调查，因此可能无法代表所有人的意愿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三、评价结论和绩效分析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（一）评价结论</w:t>
      </w:r>
    </w:p>
    <w:p>
      <w:pPr>
        <w:spacing w:line="481" w:lineRule="exact"/>
        <w:ind w:left="360" w:right="206" w:firstLine="665"/>
        <w:jc w:val="both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过评价小组对东川区住建局2019年东川区城市人居环境提升改造工程项目专项资金的立项、资金落实、业务管理、财务管理、项目产出和项目效益方面等进行绩效评价，项目的绩效目标基本得到实现，总评价得分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分，评价等级为优秀。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（二）具体效益分析</w:t>
      </w:r>
    </w:p>
    <w:p>
      <w:pPr>
        <w:spacing w:line="56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经济效益分析：结合东川区旅游休闲城市定位</w:t>
      </w:r>
      <w:bookmarkStart w:id="1" w:name="_GoBack"/>
      <w:bookmarkEnd w:id="1"/>
      <w:r>
        <w:rPr>
          <w:rFonts w:hint="eastAsia" w:ascii="仿宋_GB2312" w:hAnsi="仿宋" w:eastAsia="仿宋_GB2312"/>
          <w:spacing w:val="-4"/>
          <w:sz w:val="32"/>
          <w:szCs w:val="32"/>
        </w:rPr>
        <w:t>，扩大城市影响力，营造旅游大环境，提高旅游产业附加值。带动当地居民的就业需求，提供一定的就业岗位，为居民增收创造一定条件。社会效益分析：从长期发展来说，社会环境会向更先进、更文明的方向发展，短期的不利影响很快会消失。市政道路建设的快速发展，是城镇化进程的必然过程，也是城市社会经济发展的必由之路。</w:t>
      </w:r>
    </w:p>
    <w:p>
      <w:pPr>
        <w:spacing w:line="56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社会效益分析：加快城市开发建设，促进经济的发展，加快小康社会建设步伐，增加就业机会，提升城市居民的生活水平，完善东川区的道路体系和提升城市总体形象，完善城市功能起到非常重要的作用。</w:t>
      </w:r>
    </w:p>
    <w:p>
      <w:pPr>
        <w:widowControl w:val="0"/>
        <w:spacing w:line="54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生态效益分析：对改造区内道路、交通、排水管网、污水管网、道路绿化等多个分项工程进行改造，整体上提升东川区的生态环境。</w:t>
      </w:r>
    </w:p>
    <w:p>
      <w:pPr>
        <w:widowControl w:val="0"/>
        <w:spacing w:line="54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可持续性影响效益：加快城市开发建设，有利于促进经济的发展，加快小康社会建设步伐，增加就业机会，提升城市居民的生活水平。</w:t>
      </w:r>
    </w:p>
    <w:p>
      <w:pPr>
        <w:topLinePunct/>
        <w:spacing w:line="540" w:lineRule="exact"/>
        <w:ind w:firstLine="800" w:firstLineChars="25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四、成本效益分析</w:t>
      </w:r>
    </w:p>
    <w:p>
      <w:pPr>
        <w:topLinePunct/>
        <w:spacing w:line="540" w:lineRule="exact"/>
        <w:ind w:firstLine="800" w:firstLineChars="25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基础设施提升改造部分建安工程费用，包括道路工程、照明工程、绿化工程、交通工程、排水工程、综合管网工程、电力改迁工程等七个方面，总计2</w:t>
      </w:r>
      <w:r>
        <w:rPr>
          <w:rFonts w:ascii="仿宋_GB2312" w:hAnsi="黑体" w:eastAsia="仿宋_GB2312"/>
          <w:sz w:val="32"/>
          <w:szCs w:val="32"/>
        </w:rPr>
        <w:t>0000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topLinePunct/>
        <w:spacing w:line="540" w:lineRule="exact"/>
        <w:ind w:firstLine="800" w:firstLineChars="25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城市风貌整治部分建安工程费用，包括城市家具、城市亮化、店铺门头、街头绿地、沿街立面改造、停车场、广告等，总计1</w:t>
      </w:r>
      <w:r>
        <w:rPr>
          <w:rFonts w:ascii="仿宋_GB2312" w:hAnsi="黑体" w:eastAsia="仿宋_GB2312"/>
          <w:sz w:val="32"/>
          <w:szCs w:val="32"/>
        </w:rPr>
        <w:t>0000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五、主要经验及做法、存在的问题和建议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（一）主要经验及做法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对项目总体目标进行明确，细化项目实施内容，明确资金预算，提出工作要求，对项目的实施起到促进作用。在建设施工中，按照合同规划建设，确保项目工程质量。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ascii="楷体_GB2312" w:hAnsi="黑体" w:eastAsia="楷体_GB2312"/>
          <w:sz w:val="32"/>
          <w:szCs w:val="32"/>
        </w:rPr>
        <w:t>二）存在的问题</w:t>
      </w:r>
    </w:p>
    <w:p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、绩效跟踪、检查不到位</w:t>
      </w:r>
    </w:p>
    <w:p>
      <w:pPr>
        <w:spacing w:line="540" w:lineRule="exact"/>
        <w:ind w:left="360" w:right="426"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对项目实施单位未进行绩效跟踪、检查，项目绩效监督管理不到位。</w:t>
      </w:r>
    </w:p>
    <w:p>
      <w:pPr>
        <w:spacing w:line="540" w:lineRule="exact"/>
        <w:ind w:left="360" w:right="426"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、建设资金压力较大</w:t>
      </w:r>
    </w:p>
    <w:p>
      <w:pPr>
        <w:spacing w:line="540" w:lineRule="exact"/>
        <w:ind w:left="360" w:right="426" w:firstLine="562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国家及省投资补助资金较少，其余部分需要地方自筹，政府资金支付压力更大。</w:t>
      </w:r>
    </w:p>
    <w:p>
      <w:pPr>
        <w:topLinePunct/>
        <w:spacing w:line="540" w:lineRule="exact"/>
        <w:ind w:firstLine="800" w:firstLineChars="2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（三）建议和改进措施</w:t>
      </w:r>
    </w:p>
    <w:p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1、加强项目管理过程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加强资金使用跟踪管理</w:t>
      </w:r>
    </w:p>
    <w:p>
      <w:pPr>
        <w:spacing w:line="540" w:lineRule="exact"/>
        <w:ind w:left="360" w:right="486" w:firstLine="562"/>
        <w:jc w:val="both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对资金拨付使用要进行跟踪管理，保障资金安全，提高资金使用效果。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加强项目管理</w:t>
      </w:r>
    </w:p>
    <w:p>
      <w:pPr>
        <w:spacing w:line="540" w:lineRule="exact"/>
        <w:ind w:left="360" w:right="206" w:firstLine="562"/>
        <w:jc w:val="both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为规范公司项目管理、提高项目质量、降低项目成本、规避项目风险，应制定项目管理制度。对项目实施有效控制，确保安全、质量、工期、效益目标的实现，充分发挥项目管理机构整体作用。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加强监管机制。</w:t>
      </w:r>
    </w:p>
    <w:p>
      <w:pPr>
        <w:spacing w:line="540" w:lineRule="exact"/>
        <w:ind w:left="360" w:right="206" w:firstLine="562"/>
        <w:jc w:val="both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加大政府监督检查和工程质量安全责任追究力度，确保工程质量安全监督覆盖率和验收合格率达到 100%。对项目决策、设计、发承包、实施、竣工等各个阶段工程计价和工程造价实施目标管理，提供全过程跟踪服务，组织开展工作专项巡查工作，转变监督方式，将阶段性巡查、调研与明察暗访、随机抽查相结合，建立政府监督，社会监督、群众监督的住房保障监督体系。</w:t>
      </w:r>
    </w:p>
    <w:p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2、加大资金筹措力度</w:t>
      </w:r>
    </w:p>
    <w:p>
      <w:pPr>
        <w:topLinePunct/>
        <w:spacing w:line="540" w:lineRule="exact"/>
        <w:ind w:firstLine="640" w:firstLineChars="200"/>
        <w:jc w:val="both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政府应加大改造专项资金补助力度，并对经济贫困地区给予适当的倾斜，切实减轻地方政府资金压力，确保项目顺利推进。</w:t>
      </w:r>
    </w:p>
    <w:p>
      <w:pPr>
        <w:spacing w:line="540" w:lineRule="exact"/>
        <w:ind w:firstLine="400" w:firstLineChars="200"/>
        <w:rPr>
          <w:sz w:val="20"/>
          <w:szCs w:val="20"/>
        </w:rPr>
      </w:pPr>
    </w:p>
    <w:p>
      <w:pPr>
        <w:spacing w:line="540" w:lineRule="exact"/>
        <w:rPr>
          <w:sz w:val="20"/>
          <w:szCs w:val="20"/>
        </w:rPr>
        <w:sectPr>
          <w:pgSz w:w="11900" w:h="16838"/>
          <w:pgMar w:top="860" w:right="1440" w:bottom="703" w:left="1440" w:header="0" w:footer="0" w:gutter="0"/>
          <w:cols w:equalWidth="0" w:num="1">
            <w:col w:w="9026"/>
          </w:cols>
        </w:sectPr>
      </w:pPr>
    </w:p>
    <w:p>
      <w:pPr>
        <w:tabs>
          <w:tab w:val="left" w:leader="dot" w:pos="8540"/>
        </w:tabs>
        <w:jc w:val="both"/>
        <w:rPr>
          <w:rFonts w:ascii="仿宋_GB2312" w:hAnsi="黑体" w:eastAsia="仿宋_GB2312" w:cs="楷体"/>
          <w:sz w:val="32"/>
          <w:szCs w:val="32"/>
        </w:rPr>
      </w:pPr>
    </w:p>
    <w:p>
      <w:pPr>
        <w:tabs>
          <w:tab w:val="left" w:leader="dot" w:pos="8540"/>
        </w:tabs>
        <w:spacing w:line="365" w:lineRule="exact"/>
        <w:rPr>
          <w:sz w:val="20"/>
          <w:szCs w:val="20"/>
        </w:rPr>
        <w:sectPr>
          <w:pgSz w:w="11900" w:h="16838"/>
          <w:pgMar w:top="1440" w:right="1440" w:bottom="703" w:left="1440" w:header="0" w:footer="0" w:gutter="0"/>
          <w:cols w:equalWidth="0" w:num="1">
            <w:col w:w="9026"/>
          </w:cols>
        </w:sectPr>
      </w:pPr>
    </w:p>
    <w:p>
      <w:pPr>
        <w:spacing w:line="540" w:lineRule="exact"/>
        <w:ind w:right="6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37809"/>
    <w:multiLevelType w:val="multilevel"/>
    <w:tmpl w:val="62E37809"/>
    <w:lvl w:ilvl="0" w:tentative="0">
      <w:start w:val="1"/>
      <w:numFmt w:val="decimalEnclosedCircle"/>
      <w:lvlText w:val="%1"/>
      <w:lvlJc w:val="left"/>
      <w:pPr>
        <w:ind w:left="1280" w:hanging="360"/>
      </w:pPr>
      <w:rPr>
        <w:rFonts w:hint="default" w:hAnsi="仿宋" w:cs="仿宋"/>
        <w:sz w:val="32"/>
      </w:rPr>
    </w:lvl>
    <w:lvl w:ilvl="1" w:tentative="0">
      <w:start w:val="1"/>
      <w:numFmt w:val="lowerLetter"/>
      <w:lvlText w:val="%2)"/>
      <w:lvlJc w:val="left"/>
      <w:pPr>
        <w:ind w:left="1760" w:hanging="420"/>
      </w:pPr>
    </w:lvl>
    <w:lvl w:ilvl="2" w:tentative="0">
      <w:start w:val="1"/>
      <w:numFmt w:val="lowerRoman"/>
      <w:lvlText w:val="%3."/>
      <w:lvlJc w:val="right"/>
      <w:pPr>
        <w:ind w:left="2180" w:hanging="420"/>
      </w:pPr>
    </w:lvl>
    <w:lvl w:ilvl="3" w:tentative="0">
      <w:start w:val="1"/>
      <w:numFmt w:val="decimal"/>
      <w:lvlText w:val="%4."/>
      <w:lvlJc w:val="left"/>
      <w:pPr>
        <w:ind w:left="2600" w:hanging="420"/>
      </w:pPr>
    </w:lvl>
    <w:lvl w:ilvl="4" w:tentative="0">
      <w:start w:val="1"/>
      <w:numFmt w:val="lowerLetter"/>
      <w:lvlText w:val="%5)"/>
      <w:lvlJc w:val="left"/>
      <w:pPr>
        <w:ind w:left="3020" w:hanging="420"/>
      </w:pPr>
    </w:lvl>
    <w:lvl w:ilvl="5" w:tentative="0">
      <w:start w:val="1"/>
      <w:numFmt w:val="lowerRoman"/>
      <w:lvlText w:val="%6."/>
      <w:lvlJc w:val="right"/>
      <w:pPr>
        <w:ind w:left="3440" w:hanging="420"/>
      </w:pPr>
    </w:lvl>
    <w:lvl w:ilvl="6" w:tentative="0">
      <w:start w:val="1"/>
      <w:numFmt w:val="decimal"/>
      <w:lvlText w:val="%7."/>
      <w:lvlJc w:val="left"/>
      <w:pPr>
        <w:ind w:left="3860" w:hanging="420"/>
      </w:pPr>
    </w:lvl>
    <w:lvl w:ilvl="7" w:tentative="0">
      <w:start w:val="1"/>
      <w:numFmt w:val="lowerLetter"/>
      <w:lvlText w:val="%8)"/>
      <w:lvlJc w:val="left"/>
      <w:pPr>
        <w:ind w:left="4280" w:hanging="420"/>
      </w:pPr>
    </w:lvl>
    <w:lvl w:ilvl="8" w:tentative="0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7D"/>
    <w:rsid w:val="00031DB4"/>
    <w:rsid w:val="00086879"/>
    <w:rsid w:val="000957E8"/>
    <w:rsid w:val="000D2C73"/>
    <w:rsid w:val="001B4D2B"/>
    <w:rsid w:val="00203154"/>
    <w:rsid w:val="002411B3"/>
    <w:rsid w:val="0024740B"/>
    <w:rsid w:val="002B10E6"/>
    <w:rsid w:val="002D3ACD"/>
    <w:rsid w:val="002F0495"/>
    <w:rsid w:val="003A0069"/>
    <w:rsid w:val="003A0B42"/>
    <w:rsid w:val="004235E8"/>
    <w:rsid w:val="00462EAB"/>
    <w:rsid w:val="0051024A"/>
    <w:rsid w:val="005724C5"/>
    <w:rsid w:val="005F6030"/>
    <w:rsid w:val="006D3529"/>
    <w:rsid w:val="007D70B9"/>
    <w:rsid w:val="007E7DBD"/>
    <w:rsid w:val="007F7A4E"/>
    <w:rsid w:val="00807C15"/>
    <w:rsid w:val="00823620"/>
    <w:rsid w:val="00926D65"/>
    <w:rsid w:val="00953CE4"/>
    <w:rsid w:val="00960D07"/>
    <w:rsid w:val="00961BE2"/>
    <w:rsid w:val="009C7378"/>
    <w:rsid w:val="00A03FB6"/>
    <w:rsid w:val="00A1168A"/>
    <w:rsid w:val="00A36149"/>
    <w:rsid w:val="00A6231A"/>
    <w:rsid w:val="00A67A78"/>
    <w:rsid w:val="00AA7BE1"/>
    <w:rsid w:val="00AB0B2B"/>
    <w:rsid w:val="00AF24F0"/>
    <w:rsid w:val="00B10E41"/>
    <w:rsid w:val="00B3540F"/>
    <w:rsid w:val="00B5620E"/>
    <w:rsid w:val="00B92009"/>
    <w:rsid w:val="00BA0685"/>
    <w:rsid w:val="00BE3FC4"/>
    <w:rsid w:val="00C54247"/>
    <w:rsid w:val="00C90CAD"/>
    <w:rsid w:val="00C93F17"/>
    <w:rsid w:val="00C958AA"/>
    <w:rsid w:val="00CD7C29"/>
    <w:rsid w:val="00D55CE1"/>
    <w:rsid w:val="00DD406F"/>
    <w:rsid w:val="00DF2C10"/>
    <w:rsid w:val="00DF3DDA"/>
    <w:rsid w:val="00E34EEC"/>
    <w:rsid w:val="00E56A7D"/>
    <w:rsid w:val="00E7019D"/>
    <w:rsid w:val="00E8681E"/>
    <w:rsid w:val="00E9312F"/>
    <w:rsid w:val="00EA14D7"/>
    <w:rsid w:val="00ED4586"/>
    <w:rsid w:val="00F5695F"/>
    <w:rsid w:val="00FE5E7A"/>
    <w:rsid w:val="03086065"/>
    <w:rsid w:val="1F87648E"/>
    <w:rsid w:val="1FC02934"/>
    <w:rsid w:val="2B7D521F"/>
    <w:rsid w:val="332A14AD"/>
    <w:rsid w:val="46E74336"/>
    <w:rsid w:val="57417611"/>
    <w:rsid w:val="664D3813"/>
    <w:rsid w:val="78C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595</Words>
  <Characters>3393</Characters>
  <Lines>28</Lines>
  <Paragraphs>7</Paragraphs>
  <TotalTime>183</TotalTime>
  <ScaleCrop>false</ScaleCrop>
  <LinksUpToDate>false</LinksUpToDate>
  <CharactersWithSpaces>3981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2020-04-20T06:38:00Z</dcterms:created>
  <dc:creator>zen 2135</dc:creator>
  <cp:lastModifiedBy>那些花儿</cp:lastModifiedBy>
  <dcterms:modified xsi:type="dcterms:W3CDTF">2020-08-07T09:06:10Z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