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1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阿旺镇</w:t>
      </w:r>
      <w:r>
        <w:rPr>
          <w:rFonts w:hint="eastAsia" w:ascii="方正小标宋简体" w:hAnsi="方正小标宋简体" w:eastAsia="方正小标宋简体" w:cs="方正小标宋简体"/>
          <w:sz w:val="44"/>
          <w:szCs w:val="44"/>
          <w:lang w:val="en-US" w:eastAsia="zh-CN"/>
        </w:rPr>
        <w:t>2019年农村村内串户道路硬化建设项目绩效报告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阿旺镇</w:t>
      </w:r>
      <w:r>
        <w:rPr>
          <w:rFonts w:hint="eastAsia" w:ascii="仿宋_GB2312" w:hAnsi="仿宋_GB2312" w:eastAsia="仿宋_GB2312"/>
          <w:sz w:val="32"/>
          <w:szCs w:val="32"/>
          <w:lang w:eastAsia="zh-CN"/>
        </w:rPr>
        <w:t>农村村内串户道路硬化建设项目</w:t>
      </w:r>
      <w:r>
        <w:rPr>
          <w:rFonts w:hint="eastAsia" w:ascii="仿宋_GB2312" w:hAnsi="仿宋_GB2312" w:eastAsia="仿宋_GB2312"/>
          <w:sz w:val="32"/>
          <w:szCs w:val="32"/>
        </w:rPr>
        <w:t>是阿旺镇扶贫攻坚重要基础设施建设项目工程，项目建成后，将彻底改变东川区阿旺镇目前落后的交通现状，为各村群众安全便捷出行提供交通便利，同时加快区域经济发展，为东川区阿旺镇实现村脱贫，户销号的脱贫攻坚目标任务打下坚实基础。现将</w:t>
      </w:r>
      <w:r>
        <w:rPr>
          <w:rFonts w:hint="eastAsia" w:ascii="仿宋_GB2312" w:hAnsi="仿宋_GB2312" w:eastAsia="仿宋_GB2312"/>
          <w:sz w:val="32"/>
          <w:szCs w:val="32"/>
          <w:lang w:eastAsia="zh-CN"/>
        </w:rPr>
        <w:t>阿旺镇</w:t>
      </w:r>
      <w:r>
        <w:rPr>
          <w:rFonts w:hint="eastAsia" w:ascii="仿宋_GB2312" w:hAnsi="仿宋_GB2312" w:eastAsia="仿宋_GB2312"/>
          <w:sz w:val="32"/>
          <w:szCs w:val="32"/>
          <w:lang w:val="en-US" w:eastAsia="zh-CN"/>
        </w:rPr>
        <w:t>2019年农村村内串户道路硬化建设项目绩效报告汇报如下：</w:t>
      </w:r>
    </w:p>
    <w:p>
      <w:pPr>
        <w:pStyle w:val="4"/>
        <w:numPr>
          <w:ilvl w:val="0"/>
          <w:numId w:val="1"/>
        </w:numPr>
        <w:tabs>
          <w:tab w:val="left" w:pos="696"/>
        </w:tabs>
        <w:spacing w:line="560" w:lineRule="atLeast"/>
        <w:ind w:firstLineChars="0"/>
        <w:rPr>
          <w:rFonts w:ascii="黑体" w:hAnsi="黑体" w:eastAsia="黑体" w:cs="方正小标宋简体"/>
          <w:sz w:val="32"/>
          <w:szCs w:val="32"/>
        </w:rPr>
      </w:pPr>
      <w:r>
        <w:rPr>
          <w:rFonts w:hint="eastAsia" w:ascii="黑体" w:hAnsi="黑体" w:eastAsia="黑体" w:cs="方正小标宋简体"/>
          <w:sz w:val="32"/>
          <w:szCs w:val="32"/>
        </w:rPr>
        <w:t>项目</w:t>
      </w:r>
      <w:r>
        <w:rPr>
          <w:rFonts w:hint="eastAsia" w:ascii="黑体" w:hAnsi="黑体" w:eastAsia="黑体" w:cs="方正小标宋简体"/>
          <w:sz w:val="32"/>
          <w:szCs w:val="32"/>
          <w:lang w:eastAsia="zh-CN"/>
        </w:rPr>
        <w:t>概况</w:t>
      </w:r>
    </w:p>
    <w:p>
      <w:pPr>
        <w:widowControl/>
        <w:shd w:val="clear" w:color="auto" w:fill="FFFFFF"/>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本项目为阿旺镇</w:t>
      </w:r>
      <w:r>
        <w:rPr>
          <w:rFonts w:hint="eastAsia" w:ascii="仿宋_GB2312" w:hAnsi="仿宋_GB2312" w:eastAsia="仿宋_GB2312"/>
          <w:sz w:val="32"/>
          <w:szCs w:val="32"/>
          <w:lang w:eastAsia="zh-CN"/>
        </w:rPr>
        <w:t>农村村内串户道路硬化建设项目</w:t>
      </w:r>
      <w:r>
        <w:rPr>
          <w:rFonts w:hint="eastAsia" w:ascii="仿宋_GB2312" w:hAnsi="仿宋_GB2312" w:eastAsia="仿宋_GB2312"/>
          <w:sz w:val="32"/>
          <w:szCs w:val="32"/>
        </w:rPr>
        <w:t>工程，项目</w:t>
      </w:r>
      <w:r>
        <w:rPr>
          <w:rFonts w:hint="eastAsia" w:ascii="仿宋_GB2312" w:hAnsi="仿宋_GB2312" w:eastAsia="仿宋_GB2312"/>
          <w:sz w:val="32"/>
          <w:szCs w:val="32"/>
          <w:lang w:eastAsia="zh-CN"/>
        </w:rPr>
        <w:t>涉及</w:t>
      </w:r>
      <w:r>
        <w:rPr>
          <w:rFonts w:hint="eastAsia" w:ascii="仿宋_GB2312" w:hAnsi="仿宋_GB2312" w:eastAsia="仿宋_GB2312"/>
          <w:sz w:val="32"/>
          <w:szCs w:val="32"/>
        </w:rPr>
        <w:t>东川区阿旺镇</w:t>
      </w:r>
      <w:r>
        <w:rPr>
          <w:rFonts w:hint="eastAsia" w:ascii="仿宋_GB2312" w:hAnsi="仿宋_GB2312" w:eastAsia="仿宋_GB2312"/>
          <w:sz w:val="32"/>
          <w:szCs w:val="32"/>
          <w:lang w:eastAsia="zh-CN"/>
        </w:rPr>
        <w:t>向阳社区、阿旺村、拖落村、海科村、新碧嘎村、鲁纳村、发罗村、石门村、木多村、长岭子村、岩头村、芋头塘村、小营村、安乐村、大石头村（社区）</w:t>
      </w:r>
      <w:r>
        <w:rPr>
          <w:rFonts w:hint="eastAsia" w:ascii="仿宋_GB2312" w:hAnsi="仿宋_GB2312" w:eastAsia="仿宋_GB2312"/>
          <w:sz w:val="32"/>
          <w:szCs w:val="32"/>
        </w:rPr>
        <w:t>15个村（社区）157个村民小组，受益农户3110户14450人。计划建设里程65</w:t>
      </w:r>
      <w:r>
        <w:rPr>
          <w:rFonts w:hint="eastAsia" w:ascii="仿宋_GB2312" w:hAnsi="仿宋_GB2312" w:eastAsia="仿宋_GB2312"/>
          <w:sz w:val="32"/>
          <w:szCs w:val="32"/>
          <w:lang w:val="en-US" w:eastAsia="zh-CN"/>
        </w:rPr>
        <w:t>.733</w:t>
      </w:r>
      <w:r>
        <w:rPr>
          <w:rFonts w:hint="eastAsia" w:ascii="仿宋_GB2312" w:hAnsi="仿宋_GB2312" w:eastAsia="仿宋_GB2312"/>
          <w:sz w:val="32"/>
          <w:szCs w:val="32"/>
        </w:rPr>
        <w:t>公里，计划投资</w:t>
      </w:r>
      <w:r>
        <w:rPr>
          <w:rFonts w:hint="eastAsia" w:ascii="仿宋_GB2312" w:hAnsi="仿宋_GB2312" w:eastAsia="仿宋_GB2312"/>
          <w:sz w:val="32"/>
          <w:szCs w:val="32"/>
          <w:lang w:val="en-US" w:eastAsia="zh-CN"/>
        </w:rPr>
        <w:t>652.41</w:t>
      </w:r>
      <w:r>
        <w:rPr>
          <w:rFonts w:hint="eastAsia" w:ascii="仿宋_GB2312" w:hAnsi="仿宋_GB2312" w:eastAsia="仿宋_GB2312"/>
          <w:sz w:val="32"/>
          <w:szCs w:val="32"/>
        </w:rPr>
        <w:t>万元。</w:t>
      </w:r>
    </w:p>
    <w:p>
      <w:pPr>
        <w:tabs>
          <w:tab w:val="left" w:pos="696"/>
        </w:tabs>
        <w:spacing w:line="560" w:lineRule="atLeast"/>
        <w:rPr>
          <w:rFonts w:hint="eastAsia" w:ascii="黑体" w:hAnsi="黑体" w:eastAsia="黑体" w:cs="方正小标宋简体"/>
          <w:sz w:val="32"/>
          <w:szCs w:val="32"/>
        </w:rPr>
      </w:pPr>
      <w:r>
        <w:rPr>
          <w:rFonts w:hint="eastAsia" w:ascii="黑体" w:hAnsi="黑体" w:eastAsia="黑体" w:cs="方正小标宋简体"/>
          <w:sz w:val="32"/>
          <w:szCs w:val="32"/>
        </w:rPr>
        <w:t xml:space="preserve">    二</w:t>
      </w:r>
      <w:r>
        <w:rPr>
          <w:rFonts w:ascii="黑体" w:hAnsi="黑体" w:eastAsia="黑体" w:cs="方正小标宋简体"/>
          <w:sz w:val="32"/>
          <w:szCs w:val="32"/>
        </w:rPr>
        <w:t>、建设内容及规模</w:t>
      </w:r>
    </w:p>
    <w:p>
      <w:pPr>
        <w:spacing w:line="560" w:lineRule="exact"/>
        <w:rPr>
          <w:rFonts w:hint="eastAsia" w:ascii="黑体" w:hAnsi="黑体" w:eastAsia="黑体" w:cs="楷体"/>
          <w:sz w:val="32"/>
          <w:szCs w:val="32"/>
        </w:rPr>
      </w:pPr>
      <w:r>
        <w:rPr>
          <w:rFonts w:hint="eastAsia" w:ascii="方正小标宋简体" w:hAnsi="方正小标宋简体" w:eastAsia="方正小标宋简体" w:cs="方正小标宋简体"/>
          <w:sz w:val="44"/>
          <w:szCs w:val="44"/>
        </w:rPr>
        <w:t xml:space="preserve">    </w:t>
      </w:r>
      <w:r>
        <w:rPr>
          <w:rFonts w:hint="eastAsia" w:ascii="黑体" w:hAnsi="黑体" w:eastAsia="黑体" w:cs="楷体"/>
          <w:sz w:val="32"/>
          <w:szCs w:val="32"/>
        </w:rPr>
        <w:t>基础设施建设工程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村内</w:t>
      </w:r>
      <w:r>
        <w:rPr>
          <w:rFonts w:hint="eastAsia" w:ascii="仿宋_GB2312" w:hAnsi="仿宋_GB2312" w:eastAsia="仿宋_GB2312"/>
          <w:sz w:val="32"/>
          <w:szCs w:val="32"/>
          <w:lang w:eastAsia="zh-CN"/>
        </w:rPr>
        <w:t>串户路</w:t>
      </w:r>
      <w:r>
        <w:rPr>
          <w:rFonts w:hint="eastAsia" w:ascii="仿宋_GB2312" w:hAnsi="仿宋_GB2312" w:eastAsia="仿宋_GB2312"/>
          <w:sz w:val="32"/>
          <w:szCs w:val="32"/>
        </w:rPr>
        <w:t>道路硬化</w:t>
      </w:r>
      <w:r>
        <w:rPr>
          <w:rFonts w:hint="eastAsia" w:ascii="仿宋_GB2312" w:hAnsi="仿宋_GB2312" w:eastAsia="仿宋_GB2312"/>
          <w:sz w:val="32"/>
          <w:szCs w:val="32"/>
          <w:lang w:eastAsia="zh-CN"/>
        </w:rPr>
        <w:t>：计划建设里程</w:t>
      </w:r>
      <w:r>
        <w:rPr>
          <w:rFonts w:hint="eastAsia" w:ascii="仿宋_GB2312" w:hAnsi="仿宋_GB2312" w:eastAsia="仿宋_GB2312"/>
          <w:sz w:val="32"/>
          <w:szCs w:val="32"/>
          <w:lang w:val="en-US" w:eastAsia="zh-CN"/>
        </w:rPr>
        <w:t>65.733公里。</w:t>
      </w:r>
    </w:p>
    <w:p>
      <w:pPr>
        <w:pStyle w:val="4"/>
        <w:numPr>
          <w:ilvl w:val="0"/>
          <w:numId w:val="2"/>
        </w:numPr>
        <w:spacing w:line="560" w:lineRule="exact"/>
        <w:ind w:firstLineChars="0"/>
        <w:rPr>
          <w:rFonts w:ascii="黑体" w:hAnsi="黑体" w:eastAsia="黑体"/>
          <w:sz w:val="32"/>
          <w:szCs w:val="32"/>
        </w:rPr>
      </w:pPr>
      <w:r>
        <w:rPr>
          <w:rFonts w:ascii="黑体" w:hAnsi="黑体" w:eastAsia="黑体"/>
          <w:sz w:val="32"/>
          <w:szCs w:val="32"/>
        </w:rPr>
        <w:t>资金概算及资金筹措</w:t>
      </w:r>
    </w:p>
    <w:p>
      <w:pPr>
        <w:spacing w:line="560" w:lineRule="exact"/>
        <w:ind w:firstLine="800" w:firstLineChars="250"/>
        <w:rPr>
          <w:rFonts w:hint="eastAsia" w:ascii="黑体" w:hAnsi="黑体" w:eastAsia="黑体"/>
          <w:sz w:val="32"/>
          <w:szCs w:val="32"/>
        </w:rPr>
      </w:pPr>
      <w:r>
        <w:rPr>
          <w:rFonts w:hint="eastAsia" w:ascii="仿宋_GB2312" w:hAnsi="仿宋_GB2312" w:eastAsia="仿宋_GB2312"/>
          <w:bCs/>
          <w:sz w:val="32"/>
          <w:szCs w:val="44"/>
        </w:rPr>
        <w:t>东川区阿旺镇</w:t>
      </w:r>
      <w:r>
        <w:rPr>
          <w:rFonts w:hint="eastAsia" w:ascii="仿宋_GB2312" w:hAnsi="仿宋_GB2312" w:eastAsia="仿宋_GB2312"/>
          <w:sz w:val="32"/>
          <w:szCs w:val="32"/>
          <w:lang w:eastAsia="zh-CN"/>
        </w:rPr>
        <w:t>农村村内串户道路硬化建设项目工程</w:t>
      </w:r>
      <w:r>
        <w:rPr>
          <w:rFonts w:hint="eastAsia" w:ascii="仿宋_GB2312" w:hAnsi="仿宋_GB2312" w:eastAsia="仿宋_GB2312"/>
          <w:bCs/>
          <w:sz w:val="32"/>
          <w:szCs w:val="32"/>
        </w:rPr>
        <w:t>。</w:t>
      </w:r>
      <w:r>
        <w:rPr>
          <w:rFonts w:hint="eastAsia" w:ascii="仿宋_GB2312" w:hAnsi="仿宋_GB2312" w:eastAsia="仿宋_GB2312"/>
          <w:bCs/>
          <w:sz w:val="32"/>
        </w:rPr>
        <w:t>项目预计总投资</w:t>
      </w:r>
      <w:r>
        <w:rPr>
          <w:rFonts w:hint="eastAsia" w:ascii="仿宋_GB2312" w:hAnsi="仿宋_GB2312" w:eastAsia="仿宋_GB2312"/>
          <w:sz w:val="32"/>
          <w:szCs w:val="32"/>
          <w:lang w:val="en-US" w:eastAsia="zh-CN"/>
        </w:rPr>
        <w:t>652.41</w:t>
      </w:r>
      <w:r>
        <w:rPr>
          <w:rFonts w:hint="eastAsia" w:ascii="仿宋_GB2312" w:hAnsi="仿宋_GB2312" w:eastAsia="仿宋_GB2312"/>
          <w:bCs/>
          <w:sz w:val="32"/>
        </w:rPr>
        <w:t>万元，全部为上级部门</w:t>
      </w:r>
      <w:bookmarkStart w:id="0" w:name="_GoBack"/>
      <w:bookmarkEnd w:id="0"/>
      <w:r>
        <w:rPr>
          <w:rFonts w:hint="eastAsia" w:ascii="仿宋_GB2312" w:hAnsi="仿宋_GB2312" w:eastAsia="仿宋_GB2312"/>
          <w:bCs/>
          <w:sz w:val="32"/>
        </w:rPr>
        <w:t>扶贫专项补助资金。</w:t>
      </w:r>
    </w:p>
    <w:p>
      <w:pPr>
        <w:pStyle w:val="4"/>
        <w:numPr>
          <w:ilvl w:val="0"/>
          <w:numId w:val="2"/>
        </w:numPr>
        <w:tabs>
          <w:tab w:val="left" w:pos="696"/>
        </w:tabs>
        <w:spacing w:line="560" w:lineRule="atLeast"/>
        <w:ind w:firstLineChars="0"/>
        <w:rPr>
          <w:rFonts w:ascii="黑体" w:hAnsi="黑体" w:eastAsia="黑体"/>
          <w:sz w:val="32"/>
          <w:szCs w:val="32"/>
        </w:rPr>
      </w:pPr>
      <w:r>
        <w:rPr>
          <w:rFonts w:hint="eastAsia" w:ascii="黑体" w:hAnsi="黑体" w:eastAsia="黑体"/>
          <w:sz w:val="32"/>
          <w:szCs w:val="32"/>
          <w:lang w:eastAsia="zh-CN"/>
        </w:rPr>
        <w:t>项目财务管理</w:t>
      </w:r>
    </w:p>
    <w:p>
      <w:pPr>
        <w:pStyle w:val="4"/>
        <w:keepNext w:val="0"/>
        <w:keepLines w:val="0"/>
        <w:pageBreakBefore w:val="0"/>
        <w:widowControl w:val="0"/>
        <w:numPr>
          <w:numId w:val="0"/>
        </w:numPr>
        <w:tabs>
          <w:tab w:val="left" w:pos="696"/>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工程资金一律实行专户管理，专款专用，明确专人对整个项目资金进行管理，在资金专户中实行报帐制，建立健全财务管理制度，完成工程量，填写报帐申请书，经项目负责人和工程管理人员签字后连同财务原始凭证及有关资料经县扶贫办同意后，到资金专户报帐，并严格财经纪律。做好项目公示公告制，项目实施前，对工程项目内容、规模、资金进行公示；项目竣工后，对工程建设规模、质量、资金进行公告，主动接受群众监督。强化资金审计、监督，充分发挥资金效益。</w:t>
      </w:r>
    </w:p>
    <w:p>
      <w:pPr>
        <w:pStyle w:val="4"/>
        <w:keepNext w:val="0"/>
        <w:keepLines w:val="0"/>
        <w:pageBreakBefore w:val="0"/>
        <w:widowControl w:val="0"/>
        <w:numPr>
          <w:ilvl w:val="0"/>
          <w:numId w:val="2"/>
        </w:numPr>
        <w:tabs>
          <w:tab w:val="left" w:pos="696"/>
        </w:tabs>
        <w:kinsoku/>
        <w:wordWrap/>
        <w:overflowPunct/>
        <w:topLinePunct w:val="0"/>
        <w:autoSpaceDE/>
        <w:autoSpaceDN/>
        <w:bidi w:val="0"/>
        <w:adjustRightInd/>
        <w:snapToGrid/>
        <w:spacing w:line="560" w:lineRule="atLeast"/>
        <w:ind w:left="1410" w:leftChars="0" w:hanging="72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项目完成情况</w:t>
      </w:r>
    </w:p>
    <w:p>
      <w:pPr>
        <w:pStyle w:val="4"/>
        <w:keepNext w:val="0"/>
        <w:keepLines w:val="0"/>
        <w:pageBreakBefore w:val="0"/>
        <w:widowControl w:val="0"/>
        <w:numPr>
          <w:numId w:val="0"/>
        </w:numPr>
        <w:tabs>
          <w:tab w:val="left" w:pos="696"/>
        </w:tabs>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该项目计划开工日期为</w:t>
      </w:r>
      <w:r>
        <w:rPr>
          <w:rFonts w:hint="eastAsia" w:ascii="仿宋_GB2312" w:hAnsi="仿宋_GB2312" w:eastAsia="仿宋_GB2312"/>
          <w:sz w:val="32"/>
          <w:szCs w:val="32"/>
          <w:lang w:val="en-US" w:eastAsia="zh-CN"/>
        </w:rPr>
        <w:t>2019年9月12日，截止2020年1月15日已完成该项目施工。</w:t>
      </w:r>
    </w:p>
    <w:p>
      <w:pPr>
        <w:pStyle w:val="4"/>
        <w:numPr>
          <w:ilvl w:val="0"/>
          <w:numId w:val="2"/>
        </w:numPr>
        <w:tabs>
          <w:tab w:val="left" w:pos="696"/>
        </w:tabs>
        <w:spacing w:line="560" w:lineRule="atLeast"/>
        <w:ind w:firstLineChars="0"/>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效益评价</w:t>
      </w:r>
    </w:p>
    <w:p>
      <w:pPr>
        <w:tabs>
          <w:tab w:val="left" w:pos="696"/>
        </w:tabs>
        <w:spacing w:line="560" w:lineRule="atLeast"/>
        <w:ind w:left="690"/>
        <w:rPr>
          <w:rFonts w:hint="eastAsia" w:ascii="仿宋_GB2312" w:hAnsi="黑体" w:eastAsia="仿宋_GB2312" w:cs="方正小标宋简体"/>
          <w:sz w:val="32"/>
          <w:szCs w:val="32"/>
        </w:rPr>
      </w:pPr>
      <w:r>
        <w:rPr>
          <w:rFonts w:hint="eastAsia" w:ascii="仿宋_GB2312" w:hAnsi="黑体" w:eastAsia="仿宋_GB2312" w:cs="方正小标宋简体"/>
          <w:sz w:val="32"/>
          <w:szCs w:val="32"/>
        </w:rPr>
        <w:t>（一）社会效益评价</w:t>
      </w:r>
    </w:p>
    <w:p>
      <w:pPr>
        <w:spacing w:line="56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该项目建成投入使用后，改善了基础设施建设的同时，极大的改善了人民群众的生产生活条件，优化了结构，提高了生产生活质量和文明程度。</w:t>
      </w:r>
      <w:r>
        <w:rPr>
          <w:rFonts w:hint="eastAsia" w:ascii="仿宋_GB2312" w:hAnsi="仿宋_GB2312" w:eastAsia="仿宋_GB2312" w:cs="仿宋_GB2312"/>
          <w:sz w:val="32"/>
          <w:szCs w:val="32"/>
          <w:lang w:eastAsia="zh-CN"/>
        </w:rPr>
        <w:t>促进运输业的发展进步，缩减车辆运输需要的费用，将资源的成本优秀体现的淋漓尽致，将之前一些无法运输出去的农产品运输出去，还能促进其他资源的开发。</w:t>
      </w:r>
    </w:p>
    <w:p>
      <w:pPr>
        <w:spacing w:line="560" w:lineRule="atLeas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农村地区的运输业要发展，就必须建设好农村公路，只有公路得到了发展才能够真正提高农村经济的发展水平。农村公路网的不断健全，将会使农村的客货运输能力得到提高，特别是城乡客运，所以要将农村公路渗入每一个小乡村内部。</w:t>
      </w:r>
    </w:p>
    <w:p>
      <w:pPr>
        <w:spacing w:line="560" w:lineRule="atLeas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可促进各种资源的优化整合，提高区、镇、乡的经济发展水平，并且还能以先富带后富，不断优化农村地区的整体结构布局，使各个农村小城镇都能得到发展。</w:t>
      </w:r>
    </w:p>
    <w:p>
      <w:pPr>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lang w:eastAsia="zh-CN"/>
        </w:rPr>
        <w:t>农村村内串户道路硬化建设项目的实施使得</w:t>
      </w:r>
      <w:r>
        <w:rPr>
          <w:rFonts w:hint="eastAsia" w:ascii="仿宋_GB2312" w:hAnsi="仿宋_GB2312" w:eastAsia="仿宋_GB2312"/>
          <w:sz w:val="32"/>
          <w:szCs w:val="32"/>
        </w:rPr>
        <w:t>百分之九十以上的农户可完全解决温饱问题，实现脱贫致富目标，更新了思想观念，交通便利，晴雨畅通，产品能输出，消费品能输入。</w:t>
      </w:r>
    </w:p>
    <w:p>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（二）生态效益</w:t>
      </w:r>
      <w:r>
        <w:rPr>
          <w:rFonts w:ascii="仿宋_GB2312" w:hAnsi="仿宋_GB2312" w:eastAsia="仿宋_GB2312" w:cs="仿宋_GB2312"/>
          <w:sz w:val="32"/>
          <w:szCs w:val="32"/>
        </w:rPr>
        <w:t>评价</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项目的实施，按“山、水、林、田”整体推进，“点、线、面、片”立体布局的思路，对项目区内山、水、林、田、路进行综合治理，使项目区生态环境得到改善，促进农业高产和综合开发。</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（三）经济效益评价</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硬化村内</w:t>
      </w:r>
      <w:r>
        <w:rPr>
          <w:rFonts w:hint="eastAsia" w:ascii="仿宋_GB2312" w:hAnsi="仿宋_GB2312" w:eastAsia="仿宋_GB2312"/>
          <w:sz w:val="32"/>
          <w:szCs w:val="32"/>
          <w:lang w:eastAsia="zh-CN"/>
        </w:rPr>
        <w:t>串户</w:t>
      </w:r>
      <w:r>
        <w:rPr>
          <w:rFonts w:hint="eastAsia" w:ascii="仿宋_GB2312" w:hAnsi="仿宋_GB2312" w:eastAsia="仿宋_GB2312"/>
          <w:sz w:val="32"/>
          <w:szCs w:val="32"/>
        </w:rPr>
        <w:t>道路后，解决了该村群众的出行难，生产生活资料运输难等问题</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缓解了该村群众的出行和居住安全问题。</w:t>
      </w:r>
      <w:r>
        <w:rPr>
          <w:rFonts w:hint="eastAsia" w:ascii="仿宋_GB2312" w:hAnsi="仿宋_GB2312" w:eastAsia="仿宋_GB2312"/>
          <w:sz w:val="32"/>
          <w:szCs w:val="32"/>
          <w:lang w:eastAsia="zh-CN"/>
        </w:rPr>
        <w:t>为这些地区的发展注入新的活力，创造新的经济増长点，充分挖掘当地的发展潜力。有利于发挥基础性设施的积极作用，转变其落后的发展结构，并为周边区域的发展进步注入活力，并在该地区产生一个蓬勃的增长极，以此为重心呈圆周状向外放射，带动整个地区的发展。</w:t>
      </w:r>
      <w:r>
        <w:rPr>
          <w:rFonts w:hint="eastAsia" w:ascii="仿宋_GB2312" w:hAnsi="仿宋_GB2312" w:eastAsia="仿宋_GB2312"/>
          <w:sz w:val="32"/>
          <w:szCs w:val="32"/>
        </w:rPr>
        <w:t>实现了脱贫致富目标，维护了社会稳定，促进了物质文明和精神文明的健康发展。</w:t>
      </w:r>
    </w:p>
    <w:p>
      <w:pPr>
        <w:numPr>
          <w:ilvl w:val="0"/>
          <w:numId w:val="2"/>
        </w:numPr>
        <w:spacing w:line="560" w:lineRule="exact"/>
        <w:ind w:left="1410" w:leftChars="0" w:hanging="72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评价结论及建议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评价结论：该项目评价结果为优，该项目决策科学，依据充分，项目管理较为规范，项目完成效果好，实施后达到了预期目的，满足了村民出行难的问题。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相关建议：针对存在的问题，我们将严格履行基本建设程序，通过制度建设，创新机制，规范管理，进一步完善现有的管理办法，逐步建立管理规范，运行有序的管理机制。</w:t>
      </w:r>
    </w:p>
    <w:p>
      <w:pPr>
        <w:spacing w:line="560" w:lineRule="exact"/>
        <w:ind w:firstLine="640" w:firstLineChars="200"/>
        <w:rPr>
          <w:rFonts w:ascii="仿宋_GB2312" w:hAnsi="仿宋_GB2312" w:eastAsia="仿宋_GB2312"/>
          <w:sz w:val="32"/>
          <w:szCs w:val="32"/>
        </w:rPr>
      </w:pPr>
    </w:p>
    <w:p>
      <w:pPr>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spacing w:line="560" w:lineRule="exact"/>
        <w:ind w:firstLine="640" w:firstLineChars="200"/>
        <w:rPr>
          <w:rFonts w:hint="eastAsia" w:ascii="仿宋_GB2312" w:hAnsi="仿宋_GB2312" w:eastAsia="仿宋_GB2312"/>
          <w:sz w:val="32"/>
          <w:szCs w:val="32"/>
        </w:rPr>
      </w:pPr>
    </w:p>
    <w:p>
      <w:pPr>
        <w:jc w:val="left"/>
        <w:rPr>
          <w:rFonts w:hint="eastAsia" w:ascii="仿宋" w:hAnsi="仿宋" w:eastAsia="仿宋" w:cs="仿宋"/>
          <w:kern w:val="2"/>
          <w:sz w:val="32"/>
          <w:szCs w:val="32"/>
          <w:lang w:val="en-US" w:eastAsia="zh-CN" w:bidi="ar-SA"/>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6915"/>
    <w:multiLevelType w:val="multilevel"/>
    <w:tmpl w:val="31D16915"/>
    <w:lvl w:ilvl="0" w:tentative="0">
      <w:start w:val="3"/>
      <w:numFmt w:val="japaneseCounting"/>
      <w:lvlText w:val="%1、"/>
      <w:lvlJc w:val="left"/>
      <w:pPr>
        <w:ind w:left="1410" w:hanging="720"/>
      </w:pPr>
      <w:rPr>
        <w:rFonts w:hint="default"/>
      </w:r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
    <w:nsid w:val="42852717"/>
    <w:multiLevelType w:val="multilevel"/>
    <w:tmpl w:val="42852717"/>
    <w:lvl w:ilvl="0" w:tentative="0">
      <w:start w:val="1"/>
      <w:numFmt w:val="japaneseCounting"/>
      <w:lvlText w:val="%1、"/>
      <w:lvlJc w:val="left"/>
      <w:pPr>
        <w:ind w:left="1410" w:hanging="720"/>
      </w:pPr>
      <w:rPr>
        <w:rFonts w:hint="default"/>
      </w:r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453E"/>
    <w:rsid w:val="03695DA9"/>
    <w:rsid w:val="0B2B4AC9"/>
    <w:rsid w:val="0B4C6975"/>
    <w:rsid w:val="0B5F4BA6"/>
    <w:rsid w:val="11956FEC"/>
    <w:rsid w:val="16B52229"/>
    <w:rsid w:val="19FD0581"/>
    <w:rsid w:val="320C7DE0"/>
    <w:rsid w:val="3C086826"/>
    <w:rsid w:val="48D64E71"/>
    <w:rsid w:val="4B0F18CF"/>
    <w:rsid w:val="4B106120"/>
    <w:rsid w:val="4BF60EE3"/>
    <w:rsid w:val="503F0799"/>
    <w:rsid w:val="562719FC"/>
    <w:rsid w:val="63467BA4"/>
    <w:rsid w:val="645A77C7"/>
    <w:rsid w:val="7A66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Administrator.SC-201612070949</dc:creator>
  <cp:lastModifiedBy>Administrator</cp:lastModifiedBy>
  <cp:lastPrinted>2018-09-18T01:24:00Z</cp:lastPrinted>
  <dcterms:modified xsi:type="dcterms:W3CDTF">2020-04-20T02:21:29Z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