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1A" w:rsidRDefault="00376A1A" w:rsidP="00376A1A">
      <w:pPr>
        <w:spacing w:line="560" w:lineRule="exact"/>
        <w:jc w:val="center"/>
        <w:rPr>
          <w:rFonts w:ascii="方正小标宋简体" w:eastAsia="方正小标宋简体"/>
          <w:sz w:val="36"/>
          <w:szCs w:val="36"/>
        </w:rPr>
      </w:pPr>
    </w:p>
    <w:p w:rsidR="00376A1A" w:rsidRPr="00376A1A" w:rsidRDefault="00376A1A" w:rsidP="00376A1A">
      <w:pPr>
        <w:spacing w:line="560" w:lineRule="exact"/>
        <w:jc w:val="center"/>
        <w:rPr>
          <w:rFonts w:ascii="方正小标宋简体" w:eastAsia="方正小标宋简体"/>
          <w:sz w:val="44"/>
          <w:szCs w:val="44"/>
        </w:rPr>
      </w:pPr>
      <w:r w:rsidRPr="00376A1A">
        <w:rPr>
          <w:rFonts w:ascii="方正小标宋简体" w:eastAsia="方正小标宋简体" w:hint="eastAsia"/>
          <w:sz w:val="44"/>
          <w:szCs w:val="44"/>
        </w:rPr>
        <w:t>东川区教育体育局政府信息公开工作年度报告</w:t>
      </w:r>
    </w:p>
    <w:p w:rsidR="00376A1A" w:rsidRPr="00EF4099" w:rsidRDefault="00376A1A" w:rsidP="00376A1A">
      <w:pPr>
        <w:spacing w:line="560" w:lineRule="exact"/>
        <w:jc w:val="center"/>
      </w:pP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一</w:t>
      </w:r>
      <w:r>
        <w:rPr>
          <w:rFonts w:ascii="黑体" w:eastAsia="黑体" w:hAnsi="黑体" w:hint="eastAsia"/>
          <w:sz w:val="32"/>
          <w:szCs w:val="32"/>
        </w:rPr>
        <w:t>、</w:t>
      </w:r>
      <w:r w:rsidRPr="00EF4099">
        <w:rPr>
          <w:rFonts w:ascii="黑体" w:eastAsia="黑体" w:hAnsi="黑体" w:hint="eastAsia"/>
          <w:sz w:val="32"/>
          <w:szCs w:val="32"/>
        </w:rPr>
        <w:t>总体情况</w:t>
      </w:r>
    </w:p>
    <w:p w:rsidR="00376A1A" w:rsidRPr="00EF4099" w:rsidRDefault="00376A1A" w:rsidP="00376A1A">
      <w:pPr>
        <w:spacing w:line="560" w:lineRule="exact"/>
        <w:ind w:firstLineChars="200" w:firstLine="640"/>
        <w:rPr>
          <w:rFonts w:ascii="仿宋" w:eastAsia="仿宋" w:hAnsi="仿宋"/>
          <w:sz w:val="32"/>
          <w:szCs w:val="32"/>
        </w:rPr>
      </w:pPr>
      <w:r>
        <w:rPr>
          <w:rFonts w:ascii="仿宋" w:eastAsia="仿宋" w:hAnsi="仿宋" w:hint="eastAsia"/>
          <w:sz w:val="32"/>
          <w:szCs w:val="32"/>
        </w:rPr>
        <w:t>2019年，东川区教育体育局按照上级部门相关要求在东川区人民政府门户网站上发布相关信息，截止2019年12月底，累计发布公开信息10条，内容</w:t>
      </w:r>
      <w:r w:rsidR="009410F7">
        <w:rPr>
          <w:rFonts w:ascii="仿宋" w:eastAsia="仿宋" w:hAnsi="仿宋" w:hint="eastAsia"/>
          <w:sz w:val="32"/>
          <w:szCs w:val="32"/>
        </w:rPr>
        <w:t>涉及到</w:t>
      </w:r>
      <w:r w:rsidR="00042843">
        <w:rPr>
          <w:rFonts w:ascii="仿宋" w:eastAsia="仿宋" w:hAnsi="仿宋" w:hint="eastAsia"/>
          <w:sz w:val="32"/>
          <w:szCs w:val="32"/>
        </w:rPr>
        <w:t>学生资助、入学招生、项目审计公示等。</w:t>
      </w: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二</w:t>
      </w:r>
      <w:r>
        <w:rPr>
          <w:rFonts w:ascii="黑体" w:eastAsia="黑体" w:hAnsi="黑体" w:hint="eastAsia"/>
          <w:sz w:val="32"/>
          <w:szCs w:val="32"/>
        </w:rPr>
        <w:t>、</w:t>
      </w:r>
      <w:r w:rsidRPr="00EF4099">
        <w:rPr>
          <w:rFonts w:ascii="黑体" w:eastAsia="黑体" w:hAnsi="黑体" w:hint="eastAsia"/>
          <w:sz w:val="32"/>
          <w:szCs w:val="32"/>
        </w:rPr>
        <w:t>主动公开政府信息情况</w:t>
      </w:r>
    </w:p>
    <w:tbl>
      <w:tblPr>
        <w:tblW w:w="8480" w:type="dxa"/>
        <w:tblInd w:w="93" w:type="dxa"/>
        <w:tblLook w:val="0000"/>
      </w:tblPr>
      <w:tblGrid>
        <w:gridCol w:w="2720"/>
        <w:gridCol w:w="1880"/>
        <w:gridCol w:w="1880"/>
        <w:gridCol w:w="2000"/>
      </w:tblGrid>
      <w:tr w:rsidR="00376A1A" w:rsidRPr="00EF4099" w:rsidTr="003B50EF">
        <w:trPr>
          <w:trHeight w:val="600"/>
        </w:trPr>
        <w:tc>
          <w:tcPr>
            <w:tcW w:w="8480" w:type="dxa"/>
            <w:gridSpan w:val="4"/>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第二十条第（一）项</w:t>
            </w:r>
          </w:p>
        </w:tc>
      </w:tr>
      <w:tr w:rsidR="00376A1A" w:rsidRPr="00EF4099" w:rsidTr="003B50EF">
        <w:trPr>
          <w:trHeight w:val="720"/>
        </w:trPr>
        <w:tc>
          <w:tcPr>
            <w:tcW w:w="2720" w:type="dxa"/>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信息内容</w:t>
            </w:r>
          </w:p>
        </w:tc>
        <w:tc>
          <w:tcPr>
            <w:tcW w:w="18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本年新制作</w:t>
            </w:r>
            <w:r w:rsidRPr="00EF4099">
              <w:rPr>
                <w:rFonts w:ascii="宋体" w:hAnsi="宋体" w:cs="宋体" w:hint="eastAsia"/>
                <w:b/>
                <w:bCs/>
                <w:color w:val="000000"/>
                <w:kern w:val="0"/>
              </w:rPr>
              <w:br/>
              <w:t>数量</w:t>
            </w:r>
          </w:p>
        </w:tc>
        <w:tc>
          <w:tcPr>
            <w:tcW w:w="18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本年新公开</w:t>
            </w:r>
            <w:r w:rsidRPr="00EF4099">
              <w:rPr>
                <w:rFonts w:ascii="宋体" w:hAnsi="宋体" w:cs="宋体" w:hint="eastAsia"/>
                <w:b/>
                <w:bCs/>
                <w:color w:val="000000"/>
                <w:kern w:val="0"/>
              </w:rPr>
              <w:br/>
              <w:t>数量</w:t>
            </w: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对外公开总数量</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规章</w:t>
            </w:r>
          </w:p>
        </w:tc>
        <w:tc>
          <w:tcPr>
            <w:tcW w:w="1880" w:type="dxa"/>
            <w:tcBorders>
              <w:top w:val="nil"/>
              <w:left w:val="nil"/>
              <w:bottom w:val="single" w:sz="4" w:space="0" w:color="auto"/>
              <w:right w:val="single" w:sz="4" w:space="0" w:color="auto"/>
            </w:tcBorders>
            <w:vAlign w:val="center"/>
          </w:tcPr>
          <w:p w:rsidR="00376A1A" w:rsidRPr="00EF4099" w:rsidRDefault="00042843" w:rsidP="003B50EF">
            <w:pPr>
              <w:widowControl/>
              <w:spacing w:line="560" w:lineRule="exact"/>
              <w:jc w:val="center"/>
              <w:rPr>
                <w:rFonts w:cs="Calibri"/>
                <w:b/>
                <w:bCs/>
                <w:color w:val="000000"/>
                <w:kern w:val="0"/>
              </w:rPr>
            </w:pPr>
            <w:r>
              <w:rPr>
                <w:rFonts w:cs="Calibri" w:hint="eastAsia"/>
                <w:b/>
                <w:bCs/>
                <w:color w:val="000000"/>
                <w:kern w:val="0"/>
              </w:rPr>
              <w:t>0</w:t>
            </w:r>
          </w:p>
        </w:tc>
        <w:tc>
          <w:tcPr>
            <w:tcW w:w="1880" w:type="dxa"/>
            <w:tcBorders>
              <w:top w:val="nil"/>
              <w:left w:val="nil"/>
              <w:bottom w:val="single" w:sz="4" w:space="0" w:color="auto"/>
              <w:right w:val="single" w:sz="4" w:space="0" w:color="auto"/>
            </w:tcBorders>
            <w:vAlign w:val="center"/>
          </w:tcPr>
          <w:p w:rsidR="00376A1A" w:rsidRPr="00EF4099" w:rsidRDefault="00042843" w:rsidP="003B50EF">
            <w:pPr>
              <w:widowControl/>
              <w:spacing w:line="560" w:lineRule="exact"/>
              <w:jc w:val="center"/>
              <w:rPr>
                <w:rFonts w:cs="Calibri"/>
                <w:b/>
                <w:bCs/>
                <w:color w:val="000000"/>
                <w:kern w:val="0"/>
              </w:rPr>
            </w:pPr>
            <w:r>
              <w:rPr>
                <w:rFonts w:cs="Calibri" w:hint="eastAsia"/>
                <w:b/>
                <w:bCs/>
                <w:color w:val="000000"/>
                <w:kern w:val="0"/>
              </w:rPr>
              <w:t>0</w:t>
            </w:r>
          </w:p>
        </w:tc>
        <w:tc>
          <w:tcPr>
            <w:tcW w:w="2000" w:type="dxa"/>
            <w:tcBorders>
              <w:top w:val="nil"/>
              <w:left w:val="nil"/>
              <w:bottom w:val="single" w:sz="4" w:space="0" w:color="auto"/>
              <w:right w:val="single" w:sz="4" w:space="0" w:color="auto"/>
            </w:tcBorders>
            <w:vAlign w:val="center"/>
          </w:tcPr>
          <w:p w:rsidR="00376A1A" w:rsidRPr="00EF4099" w:rsidRDefault="00042843" w:rsidP="003B50EF">
            <w:pPr>
              <w:widowControl/>
              <w:spacing w:line="560" w:lineRule="exact"/>
              <w:jc w:val="center"/>
              <w:rPr>
                <w:rFonts w:cs="Calibri"/>
                <w:b/>
                <w:bCs/>
                <w:color w:val="000000"/>
                <w:kern w:val="0"/>
              </w:rPr>
            </w:pPr>
            <w:r>
              <w:rPr>
                <w:rFonts w:cs="Calibri" w:hint="eastAsia"/>
                <w:b/>
                <w:bCs/>
                <w:color w:val="000000"/>
                <w:kern w:val="0"/>
              </w:rPr>
              <w:t>0</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规范性文件</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200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r>
      <w:tr w:rsidR="00376A1A" w:rsidRPr="00EF4099" w:rsidTr="003B50EF">
        <w:trPr>
          <w:trHeight w:val="600"/>
        </w:trPr>
        <w:tc>
          <w:tcPr>
            <w:tcW w:w="8480" w:type="dxa"/>
            <w:gridSpan w:val="4"/>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第二十条第（五）项</w:t>
            </w:r>
          </w:p>
        </w:tc>
      </w:tr>
      <w:tr w:rsidR="00376A1A" w:rsidRPr="00EF4099" w:rsidTr="003B50EF">
        <w:trPr>
          <w:trHeight w:val="720"/>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上一年项目数量</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本年增/减</w:t>
            </w:r>
          </w:p>
        </w:tc>
        <w:tc>
          <w:tcPr>
            <w:tcW w:w="200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处理决定数量</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行政许可</w:t>
            </w:r>
          </w:p>
        </w:tc>
        <w:tc>
          <w:tcPr>
            <w:tcW w:w="188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3</w:t>
            </w:r>
          </w:p>
        </w:tc>
        <w:tc>
          <w:tcPr>
            <w:tcW w:w="188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+16</w:t>
            </w:r>
          </w:p>
        </w:tc>
        <w:tc>
          <w:tcPr>
            <w:tcW w:w="200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19</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其他对外管理服务事项</w:t>
            </w:r>
          </w:p>
        </w:tc>
        <w:tc>
          <w:tcPr>
            <w:tcW w:w="188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2000" w:type="dxa"/>
            <w:tcBorders>
              <w:top w:val="nil"/>
              <w:left w:val="nil"/>
              <w:bottom w:val="single" w:sz="4" w:space="0" w:color="auto"/>
              <w:right w:val="single" w:sz="4" w:space="0" w:color="auto"/>
            </w:tcBorders>
            <w:noWrap/>
            <w:vAlign w:val="center"/>
          </w:tcPr>
          <w:p w:rsidR="00376A1A" w:rsidRPr="00EF4099" w:rsidRDefault="00A845C9"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r>
      <w:tr w:rsidR="00376A1A" w:rsidRPr="00EF4099" w:rsidTr="003B50EF">
        <w:trPr>
          <w:trHeight w:val="402"/>
        </w:trPr>
        <w:tc>
          <w:tcPr>
            <w:tcW w:w="8480" w:type="dxa"/>
            <w:gridSpan w:val="4"/>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第二十条第（六）项</w:t>
            </w:r>
          </w:p>
        </w:tc>
      </w:tr>
      <w:tr w:rsidR="00376A1A" w:rsidRPr="00EF4099" w:rsidTr="003B50EF">
        <w:trPr>
          <w:trHeight w:val="720"/>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上一年项目数量</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本年增/减</w:t>
            </w:r>
          </w:p>
        </w:tc>
        <w:tc>
          <w:tcPr>
            <w:tcW w:w="200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处理决定数量</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行政处罚</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200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行政强制</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c>
          <w:tcPr>
            <w:tcW w:w="200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p>
        </w:tc>
      </w:tr>
      <w:tr w:rsidR="00376A1A" w:rsidRPr="00EF4099" w:rsidTr="003B50EF">
        <w:trPr>
          <w:trHeight w:val="600"/>
        </w:trPr>
        <w:tc>
          <w:tcPr>
            <w:tcW w:w="8480" w:type="dxa"/>
            <w:gridSpan w:val="4"/>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lastRenderedPageBreak/>
              <w:t>第二十条第（八）项</w:t>
            </w:r>
          </w:p>
        </w:tc>
      </w:tr>
      <w:tr w:rsidR="00376A1A" w:rsidRPr="00EF4099" w:rsidTr="003B50EF">
        <w:trPr>
          <w:trHeight w:val="720"/>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上一年项目数量</w:t>
            </w:r>
          </w:p>
        </w:tc>
        <w:tc>
          <w:tcPr>
            <w:tcW w:w="3880" w:type="dxa"/>
            <w:gridSpan w:val="2"/>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本年增/减</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行政事业性收费</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p>
        </w:tc>
        <w:tc>
          <w:tcPr>
            <w:tcW w:w="3880" w:type="dxa"/>
            <w:gridSpan w:val="2"/>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p>
        </w:tc>
      </w:tr>
      <w:tr w:rsidR="00376A1A" w:rsidRPr="00EF4099" w:rsidTr="003B50EF">
        <w:trPr>
          <w:trHeight w:val="600"/>
        </w:trPr>
        <w:tc>
          <w:tcPr>
            <w:tcW w:w="8480" w:type="dxa"/>
            <w:gridSpan w:val="4"/>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rPr>
            </w:pPr>
            <w:r w:rsidRPr="00EF4099">
              <w:rPr>
                <w:rFonts w:ascii="宋体" w:hAnsi="宋体" w:cs="宋体" w:hint="eastAsia"/>
                <w:b/>
                <w:bCs/>
                <w:color w:val="000000"/>
                <w:kern w:val="0"/>
              </w:rPr>
              <w:t>第二十条第（九）项</w:t>
            </w:r>
          </w:p>
        </w:tc>
      </w:tr>
      <w:tr w:rsidR="00376A1A" w:rsidRPr="00EF4099" w:rsidTr="003B50EF">
        <w:trPr>
          <w:trHeight w:val="720"/>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信息内容</w:t>
            </w:r>
          </w:p>
        </w:tc>
        <w:tc>
          <w:tcPr>
            <w:tcW w:w="18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采购项目数量</w:t>
            </w:r>
          </w:p>
        </w:tc>
        <w:tc>
          <w:tcPr>
            <w:tcW w:w="3880" w:type="dxa"/>
            <w:gridSpan w:val="2"/>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采购总金额（单位：万元）</w:t>
            </w:r>
          </w:p>
        </w:tc>
      </w:tr>
      <w:tr w:rsidR="00376A1A" w:rsidRPr="00EF4099" w:rsidTr="003B50EF">
        <w:trPr>
          <w:trHeight w:val="402"/>
        </w:trPr>
        <w:tc>
          <w:tcPr>
            <w:tcW w:w="2720" w:type="dxa"/>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政府集中采购</w:t>
            </w:r>
          </w:p>
        </w:tc>
        <w:tc>
          <w:tcPr>
            <w:tcW w:w="188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p>
        </w:tc>
        <w:tc>
          <w:tcPr>
            <w:tcW w:w="3880" w:type="dxa"/>
            <w:gridSpan w:val="2"/>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p>
        </w:tc>
      </w:tr>
    </w:tbl>
    <w:p w:rsidR="00376A1A" w:rsidRPr="00EF4099" w:rsidRDefault="00376A1A" w:rsidP="00376A1A">
      <w:pPr>
        <w:spacing w:line="560" w:lineRule="exact"/>
        <w:ind w:firstLineChars="200" w:firstLine="640"/>
        <w:rPr>
          <w:rFonts w:ascii="黑体" w:eastAsia="黑体" w:hAnsi="黑体"/>
          <w:sz w:val="32"/>
          <w:szCs w:val="32"/>
        </w:rPr>
      </w:pP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三</w:t>
      </w:r>
      <w:r>
        <w:rPr>
          <w:rFonts w:ascii="黑体" w:eastAsia="黑体" w:hAnsi="黑体" w:hint="eastAsia"/>
          <w:sz w:val="32"/>
          <w:szCs w:val="32"/>
        </w:rPr>
        <w:t>、</w:t>
      </w:r>
      <w:r w:rsidRPr="00EF4099">
        <w:rPr>
          <w:rFonts w:ascii="黑体" w:eastAsia="黑体" w:hAnsi="黑体" w:hint="eastAsia"/>
          <w:sz w:val="32"/>
          <w:szCs w:val="32"/>
        </w:rPr>
        <w:t>收到和处理政府信息公开申请情况</w:t>
      </w:r>
    </w:p>
    <w:tbl>
      <w:tblPr>
        <w:tblW w:w="10040" w:type="dxa"/>
        <w:jc w:val="center"/>
        <w:tblLook w:val="0000"/>
      </w:tblPr>
      <w:tblGrid>
        <w:gridCol w:w="680"/>
        <w:gridCol w:w="920"/>
        <w:gridCol w:w="2000"/>
        <w:gridCol w:w="1034"/>
        <w:gridCol w:w="940"/>
        <w:gridCol w:w="940"/>
        <w:gridCol w:w="940"/>
        <w:gridCol w:w="940"/>
        <w:gridCol w:w="940"/>
        <w:gridCol w:w="706"/>
      </w:tblGrid>
      <w:tr w:rsidR="00376A1A" w:rsidRPr="00EF4099" w:rsidTr="003B50EF">
        <w:trPr>
          <w:trHeight w:val="499"/>
          <w:jc w:val="center"/>
        </w:trPr>
        <w:tc>
          <w:tcPr>
            <w:tcW w:w="3600" w:type="dxa"/>
            <w:gridSpan w:val="3"/>
            <w:vMerge w:val="restart"/>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（本列数据的勾稽关系为：第一项加第二项之和，等于第三项加第四项之和）</w:t>
            </w:r>
          </w:p>
        </w:tc>
        <w:tc>
          <w:tcPr>
            <w:tcW w:w="6440" w:type="dxa"/>
            <w:gridSpan w:val="7"/>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申请人情况</w:t>
            </w:r>
          </w:p>
        </w:tc>
      </w:tr>
      <w:tr w:rsidR="00376A1A" w:rsidRPr="00EF4099" w:rsidTr="003B50EF">
        <w:trPr>
          <w:trHeight w:val="499"/>
          <w:jc w:val="center"/>
        </w:trPr>
        <w:tc>
          <w:tcPr>
            <w:tcW w:w="3600" w:type="dxa"/>
            <w:gridSpan w:val="3"/>
            <w:vMerge/>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1034" w:type="dxa"/>
            <w:vMerge w:val="restart"/>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自然人</w:t>
            </w:r>
          </w:p>
        </w:tc>
        <w:tc>
          <w:tcPr>
            <w:tcW w:w="4700" w:type="dxa"/>
            <w:gridSpan w:val="5"/>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法人或其他组织</w:t>
            </w:r>
          </w:p>
        </w:tc>
        <w:tc>
          <w:tcPr>
            <w:tcW w:w="706" w:type="dxa"/>
            <w:vMerge w:val="restart"/>
            <w:tcBorders>
              <w:top w:val="nil"/>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总计</w:t>
            </w:r>
          </w:p>
        </w:tc>
      </w:tr>
      <w:tr w:rsidR="00376A1A" w:rsidRPr="00EF4099" w:rsidTr="003B50EF">
        <w:trPr>
          <w:trHeight w:val="945"/>
          <w:jc w:val="center"/>
        </w:trPr>
        <w:tc>
          <w:tcPr>
            <w:tcW w:w="3600" w:type="dxa"/>
            <w:gridSpan w:val="3"/>
            <w:vMerge/>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1034"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4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商业</w:t>
            </w:r>
            <w:r w:rsidRPr="00EF4099">
              <w:rPr>
                <w:rFonts w:ascii="宋体" w:hAnsi="宋体" w:cs="宋体" w:hint="eastAsia"/>
                <w:b/>
                <w:bCs/>
                <w:color w:val="000000"/>
                <w:kern w:val="0"/>
                <w:sz w:val="20"/>
                <w:szCs w:val="20"/>
              </w:rPr>
              <w:br/>
              <w:t>企业</w:t>
            </w:r>
          </w:p>
        </w:tc>
        <w:tc>
          <w:tcPr>
            <w:tcW w:w="94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科研</w:t>
            </w:r>
            <w:r w:rsidRPr="00EF4099">
              <w:rPr>
                <w:rFonts w:ascii="宋体" w:hAnsi="宋体" w:cs="宋体" w:hint="eastAsia"/>
                <w:b/>
                <w:bCs/>
                <w:color w:val="000000"/>
                <w:kern w:val="0"/>
                <w:sz w:val="20"/>
                <w:szCs w:val="20"/>
              </w:rPr>
              <w:br/>
              <w:t>机构</w:t>
            </w:r>
          </w:p>
        </w:tc>
        <w:tc>
          <w:tcPr>
            <w:tcW w:w="94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社会公益组织</w:t>
            </w:r>
          </w:p>
        </w:tc>
        <w:tc>
          <w:tcPr>
            <w:tcW w:w="94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法律服务机构</w:t>
            </w:r>
          </w:p>
        </w:tc>
        <w:tc>
          <w:tcPr>
            <w:tcW w:w="94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其他</w:t>
            </w:r>
          </w:p>
        </w:tc>
        <w:tc>
          <w:tcPr>
            <w:tcW w:w="706"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r>
      <w:tr w:rsidR="00376A1A" w:rsidRPr="00EF4099" w:rsidTr="003B50EF">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一、本年新收政府信息公开申请数量</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r w:rsidR="00376A1A" w:rsidRPr="00EF4099">
              <w:rPr>
                <w:rFonts w:ascii="宋体" w:hAnsi="宋体" w:cs="宋体" w:hint="eastAsia"/>
                <w:b/>
                <w:bCs/>
                <w:color w:val="000000"/>
                <w:kern w:val="0"/>
                <w:sz w:val="22"/>
              </w:rPr>
              <w:t xml:space="preserve">　</w:t>
            </w:r>
          </w:p>
        </w:tc>
      </w:tr>
      <w:tr w:rsidR="00376A1A" w:rsidRPr="00EF4099" w:rsidTr="003B50EF">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二、上年结转政府信息公开申请数量</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b/>
                <w:bCs/>
                <w:color w:val="000000"/>
                <w:kern w:val="0"/>
                <w:sz w:val="22"/>
              </w:rPr>
            </w:pPr>
            <w:r>
              <w:rPr>
                <w:rFonts w:ascii="宋体" w:hAnsi="宋体" w:cs="宋体" w:hint="eastAsia"/>
                <w:b/>
                <w:bCs/>
                <w:color w:val="000000"/>
                <w:kern w:val="0"/>
                <w:sz w:val="22"/>
              </w:rPr>
              <w:t>0</w:t>
            </w:r>
            <w:r w:rsidR="00376A1A" w:rsidRPr="00EF4099">
              <w:rPr>
                <w:rFonts w:ascii="宋体" w:hAnsi="宋体" w:cs="宋体" w:hint="eastAsia"/>
                <w:b/>
                <w:bCs/>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2"/>
              </w:rPr>
            </w:pPr>
            <w:r w:rsidRPr="00EF4099">
              <w:rPr>
                <w:rFonts w:ascii="宋体" w:hAnsi="宋体" w:cs="宋体" w:hint="eastAsia"/>
                <w:b/>
                <w:bCs/>
                <w:color w:val="000000"/>
                <w:kern w:val="0"/>
                <w:sz w:val="22"/>
              </w:rPr>
              <w:t xml:space="preserve">　</w:t>
            </w:r>
            <w:r w:rsidR="00042843">
              <w:rPr>
                <w:rFonts w:ascii="宋体" w:hAnsi="宋体" w:cs="宋体" w:hint="eastAsia"/>
                <w:b/>
                <w:bCs/>
                <w:color w:val="000000"/>
                <w:kern w:val="0"/>
                <w:sz w:val="22"/>
              </w:rPr>
              <w:t>0</w:t>
            </w:r>
          </w:p>
        </w:tc>
      </w:tr>
      <w:tr w:rsidR="00376A1A" w:rsidRPr="00EF4099" w:rsidTr="003B50EF">
        <w:trPr>
          <w:trHeight w:val="402"/>
          <w:jc w:val="center"/>
        </w:trPr>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三、本年度办理结果</w:t>
            </w:r>
          </w:p>
        </w:tc>
        <w:tc>
          <w:tcPr>
            <w:tcW w:w="2920" w:type="dxa"/>
            <w:gridSpan w:val="2"/>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（一）予以公开</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r>
      <w:tr w:rsidR="00376A1A" w:rsidRPr="00EF4099" w:rsidTr="003B50EF">
        <w:trPr>
          <w:trHeight w:val="100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（二）部分公开（区分处理的，只计这一情形，不计其他情形）</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楷体" w:eastAsia="楷体" w:hAnsi="楷体" w:cs="宋体"/>
                <w:color w:val="000000"/>
                <w:kern w:val="0"/>
                <w:sz w:val="22"/>
              </w:rPr>
            </w:pPr>
            <w:r w:rsidRPr="00EF4099">
              <w:rPr>
                <w:rFonts w:ascii="楷体" w:eastAsia="楷体" w:hAnsi="楷体" w:cs="宋体" w:hint="eastAsia"/>
                <w:color w:val="000000"/>
                <w:kern w:val="0"/>
                <w:sz w:val="22"/>
              </w:rPr>
              <w:t>（三）不予公开</w:t>
            </w:r>
          </w:p>
        </w:tc>
        <w:tc>
          <w:tcPr>
            <w:tcW w:w="200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1.属于国家秘密</w:t>
            </w:r>
          </w:p>
        </w:tc>
        <w:tc>
          <w:tcPr>
            <w:tcW w:w="1034"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042843"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042843">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2.其他法律行政法规禁止公开</w:t>
            </w:r>
          </w:p>
        </w:tc>
        <w:tc>
          <w:tcPr>
            <w:tcW w:w="1034"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3.危及“三安全一稳定”</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4.保护第三方合法权益</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5.属于三类内部事务信息</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6.属于四类过程性信息</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7.属于行政执法案卷</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8.属于行政查询事项</w:t>
            </w:r>
          </w:p>
        </w:tc>
        <w:tc>
          <w:tcPr>
            <w:tcW w:w="1034"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楷体" w:eastAsia="楷体" w:hAnsi="楷体" w:cs="宋体"/>
                <w:color w:val="000000"/>
                <w:kern w:val="0"/>
                <w:sz w:val="22"/>
              </w:rPr>
            </w:pPr>
            <w:r w:rsidRPr="00EF4099">
              <w:rPr>
                <w:rFonts w:ascii="楷体" w:eastAsia="楷体" w:hAnsi="楷体" w:cs="宋体" w:hint="eastAsia"/>
                <w:color w:val="000000"/>
                <w:kern w:val="0"/>
                <w:sz w:val="22"/>
              </w:rPr>
              <w:t>（四）无法提供</w:t>
            </w: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1.本机关不掌握相关政府信息</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E12F89" w:rsidP="003B50EF">
            <w:pPr>
              <w:widowControl/>
              <w:spacing w:line="560" w:lineRule="exact"/>
              <w:jc w:val="center"/>
              <w:rPr>
                <w:rFonts w:ascii="宋体" w:hAnsi="宋体" w:cs="宋体"/>
                <w:color w:val="000000"/>
                <w:kern w:val="0"/>
                <w:sz w:val="22"/>
              </w:rPr>
            </w:pPr>
            <w:r>
              <w:rPr>
                <w:rFonts w:ascii="宋体" w:hAnsi="宋体" w:cs="宋体" w:hint="eastAsia"/>
                <w:color w:val="000000"/>
                <w:kern w:val="0"/>
                <w:sz w:val="22"/>
              </w:rPr>
              <w:t>0</w:t>
            </w:r>
            <w:r w:rsidR="00376A1A" w:rsidRPr="00EF4099">
              <w:rPr>
                <w:rFonts w:ascii="宋体" w:hAnsi="宋体" w:cs="宋体" w:hint="eastAsia"/>
                <w:color w:val="000000"/>
                <w:kern w:val="0"/>
                <w:sz w:val="22"/>
              </w:rPr>
              <w:t xml:space="preserve">　</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2.没有现成信息需要另行制作</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3.补正后申请内容仍不明确</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楷体" w:eastAsia="楷体" w:hAnsi="楷体" w:cs="宋体"/>
                <w:color w:val="000000"/>
                <w:kern w:val="0"/>
                <w:sz w:val="22"/>
              </w:rPr>
            </w:pPr>
            <w:r w:rsidRPr="00EF4099">
              <w:rPr>
                <w:rFonts w:ascii="楷体" w:eastAsia="楷体" w:hAnsi="楷体" w:cs="宋体" w:hint="eastAsia"/>
                <w:color w:val="000000"/>
                <w:kern w:val="0"/>
                <w:sz w:val="22"/>
              </w:rPr>
              <w:t>（五）不予处理</w:t>
            </w: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1.信访举报投诉类申请</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2.重复申请</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3.要求提供公开出版物</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64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4.无正当理由大量反复申请</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840"/>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p>
        </w:tc>
        <w:tc>
          <w:tcPr>
            <w:tcW w:w="200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5.要求行政机关确</w:t>
            </w:r>
            <w:r w:rsidRPr="00EF4099">
              <w:rPr>
                <w:rFonts w:ascii="楷体" w:eastAsia="楷体" w:hAnsi="楷体" w:cs="宋体" w:hint="eastAsia"/>
                <w:color w:val="000000"/>
                <w:kern w:val="0"/>
                <w:sz w:val="22"/>
              </w:rPr>
              <w:lastRenderedPageBreak/>
              <w:t>认或重新出具已获取信息</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lastRenderedPageBreak/>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40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（六）其他处理</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402"/>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0"/>
                <w:szCs w:val="20"/>
              </w:rPr>
            </w:pPr>
          </w:p>
        </w:tc>
        <w:tc>
          <w:tcPr>
            <w:tcW w:w="2920" w:type="dxa"/>
            <w:gridSpan w:val="2"/>
            <w:tcBorders>
              <w:top w:val="single" w:sz="4" w:space="0" w:color="auto"/>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楷体" w:eastAsia="楷体" w:hAnsi="楷体" w:cs="宋体"/>
                <w:color w:val="000000"/>
                <w:kern w:val="0"/>
                <w:sz w:val="22"/>
              </w:rPr>
            </w:pPr>
            <w:r w:rsidRPr="00EF4099">
              <w:rPr>
                <w:rFonts w:ascii="楷体" w:eastAsia="楷体" w:hAnsi="楷体" w:cs="宋体" w:hint="eastAsia"/>
                <w:color w:val="000000"/>
                <w:kern w:val="0"/>
                <w:sz w:val="22"/>
              </w:rPr>
              <w:t>（七）总计</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r w:rsidR="00376A1A" w:rsidRPr="00EF4099" w:rsidTr="003B50EF">
        <w:trPr>
          <w:trHeight w:val="402"/>
          <w:jc w:val="center"/>
        </w:trPr>
        <w:tc>
          <w:tcPr>
            <w:tcW w:w="3600" w:type="dxa"/>
            <w:gridSpan w:val="3"/>
            <w:tcBorders>
              <w:top w:val="single" w:sz="4" w:space="0" w:color="auto"/>
              <w:left w:val="single" w:sz="4" w:space="0" w:color="auto"/>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b/>
                <w:bCs/>
                <w:color w:val="000000"/>
                <w:kern w:val="0"/>
                <w:sz w:val="20"/>
                <w:szCs w:val="20"/>
              </w:rPr>
            </w:pPr>
            <w:r w:rsidRPr="00EF4099">
              <w:rPr>
                <w:rFonts w:ascii="宋体" w:hAnsi="宋体" w:cs="宋体" w:hint="eastAsia"/>
                <w:b/>
                <w:bCs/>
                <w:color w:val="000000"/>
                <w:kern w:val="0"/>
                <w:sz w:val="20"/>
                <w:szCs w:val="20"/>
              </w:rPr>
              <w:t>四、结转下年度继续办理</w:t>
            </w:r>
          </w:p>
        </w:tc>
        <w:tc>
          <w:tcPr>
            <w:tcW w:w="1034"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94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706"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bl>
    <w:p w:rsidR="00376A1A" w:rsidRPr="00EF4099" w:rsidRDefault="00376A1A" w:rsidP="00376A1A">
      <w:pPr>
        <w:spacing w:line="560" w:lineRule="exact"/>
      </w:pP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四、政府信息公开行政复议、行政诉讼情况</w:t>
      </w:r>
    </w:p>
    <w:tbl>
      <w:tblPr>
        <w:tblW w:w="10200" w:type="dxa"/>
        <w:jc w:val="center"/>
        <w:tblLook w:val="0000"/>
      </w:tblPr>
      <w:tblGrid>
        <w:gridCol w:w="680"/>
        <w:gridCol w:w="680"/>
        <w:gridCol w:w="680"/>
        <w:gridCol w:w="680"/>
        <w:gridCol w:w="680"/>
        <w:gridCol w:w="680"/>
        <w:gridCol w:w="680"/>
        <w:gridCol w:w="680"/>
        <w:gridCol w:w="680"/>
        <w:gridCol w:w="680"/>
        <w:gridCol w:w="680"/>
        <w:gridCol w:w="680"/>
        <w:gridCol w:w="680"/>
        <w:gridCol w:w="680"/>
        <w:gridCol w:w="680"/>
      </w:tblGrid>
      <w:tr w:rsidR="00376A1A" w:rsidRPr="00EF4099" w:rsidTr="003B50EF">
        <w:trPr>
          <w:trHeight w:val="702"/>
          <w:jc w:val="center"/>
        </w:trPr>
        <w:tc>
          <w:tcPr>
            <w:tcW w:w="3400" w:type="dxa"/>
            <w:gridSpan w:val="5"/>
            <w:tcBorders>
              <w:top w:val="single" w:sz="4" w:space="0" w:color="auto"/>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行政复议</w:t>
            </w:r>
          </w:p>
        </w:tc>
        <w:tc>
          <w:tcPr>
            <w:tcW w:w="6800" w:type="dxa"/>
            <w:gridSpan w:val="10"/>
            <w:tcBorders>
              <w:top w:val="single" w:sz="4" w:space="0" w:color="auto"/>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行政诉讼</w:t>
            </w:r>
          </w:p>
        </w:tc>
      </w:tr>
      <w:tr w:rsidR="00376A1A" w:rsidRPr="00EF4099" w:rsidTr="003B50EF">
        <w:trPr>
          <w:trHeight w:val="702"/>
          <w:jc w:val="center"/>
        </w:trPr>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结果维持</w:t>
            </w:r>
          </w:p>
        </w:tc>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结果纠正</w:t>
            </w:r>
          </w:p>
        </w:tc>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其他结果</w:t>
            </w:r>
          </w:p>
        </w:tc>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尚未审结</w:t>
            </w:r>
          </w:p>
        </w:tc>
        <w:tc>
          <w:tcPr>
            <w:tcW w:w="680" w:type="dxa"/>
            <w:vMerge w:val="restart"/>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总计</w:t>
            </w:r>
          </w:p>
        </w:tc>
        <w:tc>
          <w:tcPr>
            <w:tcW w:w="3400" w:type="dxa"/>
            <w:gridSpan w:val="5"/>
            <w:tcBorders>
              <w:top w:val="single" w:sz="4" w:space="0" w:color="auto"/>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未经复议直接起诉</w:t>
            </w:r>
          </w:p>
        </w:tc>
        <w:tc>
          <w:tcPr>
            <w:tcW w:w="3400" w:type="dxa"/>
            <w:gridSpan w:val="5"/>
            <w:tcBorders>
              <w:top w:val="single" w:sz="4" w:space="0" w:color="auto"/>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复议后起诉</w:t>
            </w:r>
          </w:p>
        </w:tc>
      </w:tr>
      <w:tr w:rsidR="00376A1A" w:rsidRPr="00EF4099" w:rsidTr="003B50EF">
        <w:trPr>
          <w:trHeight w:val="1999"/>
          <w:jc w:val="center"/>
        </w:trPr>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8"/>
                <w:szCs w:val="28"/>
              </w:rPr>
            </w:pPr>
          </w:p>
        </w:tc>
        <w:tc>
          <w:tcPr>
            <w:tcW w:w="680" w:type="dxa"/>
            <w:vMerge/>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left"/>
              <w:rPr>
                <w:rFonts w:ascii="宋体" w:hAnsi="宋体" w:cs="宋体"/>
                <w:b/>
                <w:bCs/>
                <w:color w:val="000000"/>
                <w:kern w:val="0"/>
                <w:sz w:val="28"/>
                <w:szCs w:val="28"/>
              </w:rPr>
            </w:pP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结果维持</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结果纠正</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其他结果</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尚未审结</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总计</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结果维持</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结果纠正</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其他结果</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尚未审结</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b/>
                <w:bCs/>
                <w:color w:val="000000"/>
                <w:kern w:val="0"/>
                <w:sz w:val="28"/>
                <w:szCs w:val="28"/>
              </w:rPr>
            </w:pPr>
            <w:r w:rsidRPr="00EF4099">
              <w:rPr>
                <w:rFonts w:ascii="宋体" w:hAnsi="宋体" w:cs="宋体" w:hint="eastAsia"/>
                <w:b/>
                <w:bCs/>
                <w:color w:val="000000"/>
                <w:kern w:val="0"/>
                <w:sz w:val="28"/>
                <w:szCs w:val="28"/>
              </w:rPr>
              <w:t>总计</w:t>
            </w:r>
          </w:p>
        </w:tc>
      </w:tr>
      <w:tr w:rsidR="00376A1A" w:rsidRPr="00EF4099" w:rsidTr="003B50EF">
        <w:trPr>
          <w:trHeight w:val="799"/>
          <w:jc w:val="center"/>
        </w:trPr>
        <w:tc>
          <w:tcPr>
            <w:tcW w:w="680" w:type="dxa"/>
            <w:tcBorders>
              <w:top w:val="nil"/>
              <w:left w:val="single" w:sz="4" w:space="0" w:color="auto"/>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center"/>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c>
          <w:tcPr>
            <w:tcW w:w="680" w:type="dxa"/>
            <w:tcBorders>
              <w:top w:val="nil"/>
              <w:left w:val="nil"/>
              <w:bottom w:val="single" w:sz="4" w:space="0" w:color="auto"/>
              <w:right w:val="single" w:sz="4" w:space="0" w:color="auto"/>
            </w:tcBorders>
            <w:noWrap/>
            <w:vAlign w:val="center"/>
          </w:tcPr>
          <w:p w:rsidR="00376A1A" w:rsidRPr="00EF4099" w:rsidRDefault="00376A1A" w:rsidP="003B50EF">
            <w:pPr>
              <w:widowControl/>
              <w:spacing w:line="560" w:lineRule="exact"/>
              <w:jc w:val="left"/>
              <w:rPr>
                <w:rFonts w:ascii="宋体" w:hAnsi="宋体" w:cs="宋体"/>
                <w:color w:val="000000"/>
                <w:kern w:val="0"/>
                <w:sz w:val="22"/>
              </w:rPr>
            </w:pPr>
            <w:r w:rsidRPr="00EF4099">
              <w:rPr>
                <w:rFonts w:ascii="宋体" w:hAnsi="宋体" w:cs="宋体" w:hint="eastAsia"/>
                <w:color w:val="000000"/>
                <w:kern w:val="0"/>
                <w:sz w:val="22"/>
              </w:rPr>
              <w:t xml:space="preserve">　</w:t>
            </w:r>
            <w:r w:rsidR="00E12F89">
              <w:rPr>
                <w:rFonts w:ascii="宋体" w:hAnsi="宋体" w:cs="宋体" w:hint="eastAsia"/>
                <w:color w:val="000000"/>
                <w:kern w:val="0"/>
                <w:sz w:val="22"/>
              </w:rPr>
              <w:t>0</w:t>
            </w:r>
          </w:p>
        </w:tc>
      </w:tr>
    </w:tbl>
    <w:p w:rsidR="00376A1A" w:rsidRPr="00EF4099" w:rsidRDefault="00376A1A" w:rsidP="00376A1A">
      <w:pPr>
        <w:spacing w:line="560" w:lineRule="exact"/>
      </w:pP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五、存在的主要问题及改进情况</w:t>
      </w:r>
    </w:p>
    <w:p w:rsidR="00E12F89" w:rsidRPr="007C61B8" w:rsidRDefault="00E12F89" w:rsidP="00E12F89">
      <w:pPr>
        <w:ind w:firstLineChars="200" w:firstLine="640"/>
        <w:rPr>
          <w:rFonts w:ascii="楷体_GB2312" w:eastAsia="楷体_GB2312"/>
          <w:sz w:val="32"/>
          <w:szCs w:val="32"/>
        </w:rPr>
      </w:pPr>
      <w:r w:rsidRPr="007C61B8">
        <w:rPr>
          <w:rFonts w:ascii="楷体_GB2312" w:eastAsia="楷体_GB2312" w:hint="eastAsia"/>
          <w:sz w:val="32"/>
          <w:szCs w:val="32"/>
        </w:rPr>
        <w:t>（一）存在问题</w:t>
      </w:r>
    </w:p>
    <w:p w:rsidR="00E12F89" w:rsidRDefault="00E12F89" w:rsidP="00E12F89">
      <w:pPr>
        <w:ind w:firstLineChars="200" w:firstLine="640"/>
        <w:rPr>
          <w:rFonts w:ascii="仿宋_GB2312" w:eastAsia="仿宋_GB2312"/>
          <w:sz w:val="32"/>
          <w:szCs w:val="32"/>
        </w:rPr>
      </w:pPr>
      <w:r w:rsidRPr="00122481">
        <w:rPr>
          <w:rFonts w:ascii="仿宋_GB2312" w:eastAsia="仿宋_GB2312" w:hint="eastAsia"/>
          <w:sz w:val="32"/>
          <w:szCs w:val="32"/>
        </w:rPr>
        <w:t>1</w:t>
      </w:r>
      <w:r>
        <w:rPr>
          <w:rFonts w:ascii="仿宋_GB2312" w:eastAsia="仿宋_GB2312" w:hint="eastAsia"/>
          <w:sz w:val="32"/>
          <w:szCs w:val="32"/>
        </w:rPr>
        <w:t>.</w:t>
      </w:r>
      <w:r w:rsidR="00993B59">
        <w:rPr>
          <w:rFonts w:ascii="仿宋_GB2312" w:eastAsia="仿宋_GB2312" w:hint="eastAsia"/>
          <w:sz w:val="32"/>
          <w:szCs w:val="32"/>
        </w:rPr>
        <w:t>在信息公开工作中</w:t>
      </w:r>
      <w:r w:rsidRPr="00122481">
        <w:rPr>
          <w:rFonts w:ascii="仿宋_GB2312" w:eastAsia="仿宋_GB2312" w:hint="eastAsia"/>
          <w:sz w:val="32"/>
          <w:szCs w:val="32"/>
        </w:rPr>
        <w:t>缺乏主动性，</w:t>
      </w:r>
      <w:r w:rsidR="00FD2F28">
        <w:rPr>
          <w:rFonts w:ascii="仿宋_GB2312" w:eastAsia="仿宋_GB2312" w:hint="eastAsia"/>
          <w:sz w:val="32"/>
          <w:szCs w:val="32"/>
        </w:rPr>
        <w:t>只是为了完成任务</w:t>
      </w:r>
      <w:r w:rsidRPr="00122481">
        <w:rPr>
          <w:rFonts w:ascii="仿宋_GB2312" w:eastAsia="仿宋_GB2312" w:hint="eastAsia"/>
          <w:sz w:val="32"/>
          <w:szCs w:val="32"/>
        </w:rPr>
        <w:t>；</w:t>
      </w:r>
    </w:p>
    <w:p w:rsidR="00E12F89" w:rsidRDefault="00E12F89" w:rsidP="00E12F89">
      <w:pPr>
        <w:ind w:firstLineChars="200" w:firstLine="640"/>
        <w:rPr>
          <w:rFonts w:ascii="仿宋_GB2312" w:eastAsia="仿宋_GB2312"/>
          <w:sz w:val="32"/>
          <w:szCs w:val="32"/>
        </w:rPr>
      </w:pPr>
      <w:r w:rsidRPr="00122481">
        <w:rPr>
          <w:rFonts w:ascii="仿宋_GB2312" w:eastAsia="仿宋_GB2312" w:hint="eastAsia"/>
          <w:sz w:val="32"/>
          <w:szCs w:val="32"/>
        </w:rPr>
        <w:t>2</w:t>
      </w:r>
      <w:r>
        <w:rPr>
          <w:rFonts w:ascii="仿宋_GB2312" w:eastAsia="仿宋_GB2312" w:hint="eastAsia"/>
          <w:sz w:val="32"/>
          <w:szCs w:val="32"/>
        </w:rPr>
        <w:t>.</w:t>
      </w:r>
      <w:r w:rsidRPr="00122481">
        <w:rPr>
          <w:rFonts w:ascii="仿宋_GB2312" w:eastAsia="仿宋_GB2312" w:hint="eastAsia"/>
          <w:sz w:val="32"/>
          <w:szCs w:val="32"/>
        </w:rPr>
        <w:t>信息公开</w:t>
      </w:r>
      <w:r w:rsidR="00FD2F28">
        <w:rPr>
          <w:rFonts w:ascii="仿宋_GB2312" w:eastAsia="仿宋_GB2312" w:hint="eastAsia"/>
          <w:sz w:val="32"/>
          <w:szCs w:val="32"/>
        </w:rPr>
        <w:t>中严谨性不够，有些信息中对于公开的敏感程度把握不到位</w:t>
      </w:r>
      <w:r w:rsidRPr="00122481">
        <w:rPr>
          <w:rFonts w:ascii="仿宋_GB2312" w:eastAsia="仿宋_GB2312" w:hint="eastAsia"/>
          <w:sz w:val="32"/>
          <w:szCs w:val="32"/>
        </w:rPr>
        <w:t>；</w:t>
      </w:r>
    </w:p>
    <w:p w:rsidR="00E12F89" w:rsidRPr="00122481" w:rsidRDefault="00E12F89" w:rsidP="00E12F89">
      <w:pPr>
        <w:ind w:firstLineChars="200" w:firstLine="640"/>
        <w:rPr>
          <w:rFonts w:ascii="仿宋_GB2312" w:eastAsia="仿宋_GB2312"/>
          <w:sz w:val="32"/>
          <w:szCs w:val="32"/>
        </w:rPr>
      </w:pPr>
      <w:r>
        <w:rPr>
          <w:rFonts w:ascii="仿宋_GB2312" w:eastAsia="仿宋_GB2312" w:hint="eastAsia"/>
          <w:sz w:val="32"/>
          <w:szCs w:val="32"/>
        </w:rPr>
        <w:t>3.</w:t>
      </w:r>
      <w:r w:rsidR="00FD2F28">
        <w:rPr>
          <w:rFonts w:ascii="仿宋_GB2312" w:eastAsia="仿宋_GB2312" w:hint="eastAsia"/>
          <w:sz w:val="32"/>
          <w:szCs w:val="32"/>
        </w:rPr>
        <w:t>信息公开数量不够</w:t>
      </w:r>
      <w:r w:rsidRPr="00122481">
        <w:rPr>
          <w:rFonts w:ascii="仿宋_GB2312" w:eastAsia="仿宋_GB2312" w:hint="eastAsia"/>
          <w:sz w:val="32"/>
          <w:szCs w:val="32"/>
        </w:rPr>
        <w:t>。</w:t>
      </w:r>
    </w:p>
    <w:p w:rsidR="00E12F89" w:rsidRPr="007C61B8" w:rsidRDefault="00E12F89" w:rsidP="00E12F89">
      <w:pPr>
        <w:ind w:firstLineChars="200" w:firstLine="640"/>
        <w:rPr>
          <w:rFonts w:ascii="楷体_GB2312" w:eastAsia="楷体_GB2312"/>
          <w:sz w:val="32"/>
          <w:szCs w:val="32"/>
        </w:rPr>
      </w:pPr>
      <w:r w:rsidRPr="007C61B8">
        <w:rPr>
          <w:rFonts w:ascii="楷体_GB2312" w:eastAsia="楷体_GB2312" w:hint="eastAsia"/>
          <w:sz w:val="32"/>
          <w:szCs w:val="32"/>
        </w:rPr>
        <w:t>（二）改进情况</w:t>
      </w:r>
    </w:p>
    <w:p w:rsidR="00E12F89" w:rsidRPr="00122481" w:rsidRDefault="00E12F89" w:rsidP="00E12F89">
      <w:pPr>
        <w:ind w:firstLineChars="200" w:firstLine="640"/>
        <w:rPr>
          <w:rFonts w:ascii="仿宋_GB2312" w:eastAsia="仿宋_GB2312"/>
          <w:sz w:val="32"/>
          <w:szCs w:val="32"/>
        </w:rPr>
      </w:pPr>
      <w:r w:rsidRPr="0009021E">
        <w:rPr>
          <w:rFonts w:ascii="仿宋_GB2312" w:eastAsia="仿宋_GB2312" w:hint="eastAsia"/>
          <w:sz w:val="32"/>
          <w:szCs w:val="32"/>
        </w:rPr>
        <w:t>1.</w:t>
      </w:r>
      <w:r w:rsidR="00FD2F28">
        <w:rPr>
          <w:rFonts w:ascii="仿宋_GB2312" w:eastAsia="仿宋_GB2312" w:hint="eastAsia"/>
          <w:sz w:val="32"/>
          <w:szCs w:val="32"/>
        </w:rPr>
        <w:t>加强信息公开相关条例学习，加强信息发布员的业务</w:t>
      </w:r>
      <w:r w:rsidR="00FD2F28">
        <w:rPr>
          <w:rFonts w:ascii="仿宋_GB2312" w:eastAsia="仿宋_GB2312" w:hint="eastAsia"/>
          <w:sz w:val="32"/>
          <w:szCs w:val="32"/>
        </w:rPr>
        <w:lastRenderedPageBreak/>
        <w:t>素质；</w:t>
      </w:r>
    </w:p>
    <w:p w:rsidR="00E12F89" w:rsidRPr="008171EF" w:rsidRDefault="00E12F89" w:rsidP="00E12F89">
      <w:pPr>
        <w:rPr>
          <w:rFonts w:ascii="仿宋_GB2312" w:eastAsia="仿宋_GB2312"/>
          <w:sz w:val="32"/>
          <w:szCs w:val="32"/>
        </w:rPr>
      </w:pPr>
      <w:r w:rsidRPr="0009021E">
        <w:rPr>
          <w:rFonts w:ascii="仿宋_GB2312" w:eastAsia="仿宋_GB2312" w:hint="eastAsia"/>
          <w:sz w:val="32"/>
          <w:szCs w:val="32"/>
        </w:rPr>
        <w:t xml:space="preserve">   </w:t>
      </w:r>
      <w:r>
        <w:rPr>
          <w:rFonts w:ascii="仿宋_GB2312" w:eastAsia="仿宋_GB2312" w:hint="eastAsia"/>
          <w:sz w:val="32"/>
          <w:szCs w:val="32"/>
        </w:rPr>
        <w:t>2</w:t>
      </w:r>
      <w:r w:rsidRPr="0009021E">
        <w:rPr>
          <w:rFonts w:ascii="仿宋_GB2312" w:eastAsia="仿宋_GB2312" w:hint="eastAsia"/>
          <w:sz w:val="32"/>
          <w:szCs w:val="32"/>
        </w:rPr>
        <w:t>.</w:t>
      </w:r>
      <w:r w:rsidR="00FD2F28">
        <w:rPr>
          <w:rFonts w:ascii="仿宋_GB2312" w:eastAsia="仿宋_GB2312" w:hint="eastAsia"/>
          <w:sz w:val="32"/>
          <w:szCs w:val="32"/>
        </w:rPr>
        <w:t>与各科室加强沟通，拓宽信息收集渠道，进一步提升信息公开数量、质量。</w:t>
      </w:r>
    </w:p>
    <w:p w:rsidR="00376A1A" w:rsidRPr="00EF4099" w:rsidRDefault="00376A1A" w:rsidP="00376A1A">
      <w:pPr>
        <w:spacing w:line="560" w:lineRule="exact"/>
        <w:ind w:firstLineChars="200" w:firstLine="640"/>
        <w:rPr>
          <w:rFonts w:ascii="黑体" w:eastAsia="黑体" w:hAnsi="黑体"/>
          <w:sz w:val="32"/>
          <w:szCs w:val="32"/>
        </w:rPr>
      </w:pPr>
      <w:r w:rsidRPr="00EF4099">
        <w:rPr>
          <w:rFonts w:ascii="黑体" w:eastAsia="黑体" w:hAnsi="黑体" w:hint="eastAsia"/>
          <w:sz w:val="32"/>
          <w:szCs w:val="32"/>
        </w:rPr>
        <w:t>六、其他需要报告的事项</w:t>
      </w:r>
    </w:p>
    <w:p w:rsidR="00376A1A" w:rsidRDefault="00FD2F28" w:rsidP="00376A1A">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FD2F28" w:rsidRDefault="00FD2F28" w:rsidP="00376A1A">
      <w:pPr>
        <w:spacing w:line="560" w:lineRule="exact"/>
        <w:ind w:firstLineChars="200" w:firstLine="640"/>
        <w:rPr>
          <w:rFonts w:ascii="仿宋" w:eastAsia="仿宋" w:hAnsi="仿宋"/>
          <w:sz w:val="32"/>
          <w:szCs w:val="32"/>
        </w:rPr>
      </w:pPr>
    </w:p>
    <w:p w:rsidR="00FD2F28" w:rsidRDefault="00FD2F28" w:rsidP="00376A1A">
      <w:pPr>
        <w:spacing w:line="560" w:lineRule="exact"/>
        <w:ind w:firstLineChars="200" w:firstLine="640"/>
        <w:rPr>
          <w:rFonts w:ascii="仿宋" w:eastAsia="仿宋" w:hAnsi="仿宋"/>
          <w:sz w:val="32"/>
          <w:szCs w:val="32"/>
        </w:rPr>
      </w:pPr>
    </w:p>
    <w:p w:rsidR="00FD2F28" w:rsidRDefault="00FD2F28" w:rsidP="00FD2F28">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东川区教育体育局</w:t>
      </w:r>
    </w:p>
    <w:p w:rsidR="00FD2F28" w:rsidRPr="00EF4099" w:rsidRDefault="00FD2F28" w:rsidP="00FD2F28">
      <w:pPr>
        <w:spacing w:line="560" w:lineRule="exact"/>
        <w:ind w:firstLineChars="200" w:firstLine="640"/>
        <w:jc w:val="right"/>
        <w:rPr>
          <w:rFonts w:ascii="仿宋" w:eastAsia="仿宋" w:hAnsi="仿宋"/>
          <w:sz w:val="32"/>
          <w:szCs w:val="32"/>
        </w:rPr>
      </w:pPr>
      <w:r>
        <w:rPr>
          <w:rFonts w:ascii="仿宋" w:eastAsia="仿宋" w:hAnsi="仿宋"/>
          <w:sz w:val="32"/>
          <w:szCs w:val="32"/>
        </w:rPr>
        <w:t>2020年1月20日</w:t>
      </w:r>
    </w:p>
    <w:p w:rsidR="009077A8" w:rsidRDefault="009077A8" w:rsidP="00FD2F28">
      <w:pPr>
        <w:jc w:val="right"/>
      </w:pPr>
    </w:p>
    <w:sectPr w:rsidR="009077A8" w:rsidSect="00E618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B3" w:rsidRDefault="00757DB3" w:rsidP="00376A1A">
      <w:r>
        <w:separator/>
      </w:r>
    </w:p>
  </w:endnote>
  <w:endnote w:type="continuationSeparator" w:id="1">
    <w:p w:rsidR="00757DB3" w:rsidRDefault="00757DB3" w:rsidP="00376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B3" w:rsidRDefault="00757DB3" w:rsidP="00376A1A">
      <w:r>
        <w:separator/>
      </w:r>
    </w:p>
  </w:footnote>
  <w:footnote w:type="continuationSeparator" w:id="1">
    <w:p w:rsidR="00757DB3" w:rsidRDefault="00757DB3" w:rsidP="00376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A1A"/>
    <w:rsid w:val="00042843"/>
    <w:rsid w:val="00376A1A"/>
    <w:rsid w:val="00757DB3"/>
    <w:rsid w:val="009077A8"/>
    <w:rsid w:val="009410F7"/>
    <w:rsid w:val="00993B59"/>
    <w:rsid w:val="00A845C9"/>
    <w:rsid w:val="00E12F89"/>
    <w:rsid w:val="00E618EB"/>
    <w:rsid w:val="00FD2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A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6A1A"/>
    <w:rPr>
      <w:sz w:val="18"/>
      <w:szCs w:val="18"/>
    </w:rPr>
  </w:style>
  <w:style w:type="paragraph" w:styleId="a4">
    <w:name w:val="footer"/>
    <w:basedOn w:val="a"/>
    <w:link w:val="Char0"/>
    <w:uiPriority w:val="99"/>
    <w:semiHidden/>
    <w:unhideWhenUsed/>
    <w:rsid w:val="00376A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6A1A"/>
    <w:rPr>
      <w:sz w:val="18"/>
      <w:szCs w:val="18"/>
    </w:rPr>
  </w:style>
  <w:style w:type="paragraph" w:customStyle="1" w:styleId="CharCharCharChar1CharCharCharCharCharChar">
    <w:name w:val="Char Char Char Char1 Char Char Char Char Char Char"/>
    <w:basedOn w:val="a"/>
    <w:rsid w:val="00376A1A"/>
    <w:pPr>
      <w:ind w:rightChars="100" w:right="240" w:firstLine="480"/>
    </w:pPr>
    <w:rPr>
      <w:rFonts w:ascii="ˎ̥" w:eastAsia="Times New Roman" w:hAnsi="ˎ̥" w:cs="宋体"/>
      <w:color w:val="51585D"/>
      <w:kern w:val="0"/>
      <w:sz w:val="2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2020-01-20T01:07:00Z</dcterms:created>
  <dcterms:modified xsi:type="dcterms:W3CDTF">2020-01-20T02:32:00Z</dcterms:modified>
</cp:coreProperties>
</file>