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0" w:lineRule="atLeast"/>
        <w:ind w:left="0" w:right="0" w:firstLine="0"/>
        <w:jc w:val="center"/>
        <w:rPr>
          <w:rFonts w:ascii="微软雅黑" w:hAnsi="微软雅黑" w:eastAsia="微软雅黑" w:cs="微软雅黑"/>
          <w:b w:val="0"/>
          <w:i w:val="0"/>
          <w:caps w:val="0"/>
          <w:color w:val="000000"/>
          <w:spacing w:val="0"/>
          <w:sz w:val="30"/>
          <w:szCs w:val="30"/>
        </w:rPr>
      </w:pPr>
      <w:r>
        <w:rPr>
          <w:rFonts w:hint="eastAsia" w:ascii="微软雅黑" w:hAnsi="微软雅黑" w:eastAsia="微软雅黑" w:cs="微软雅黑"/>
          <w:b w:val="0"/>
          <w:i w:val="0"/>
          <w:caps w:val="0"/>
          <w:color w:val="000000"/>
          <w:spacing w:val="0"/>
          <w:sz w:val="30"/>
          <w:szCs w:val="30"/>
          <w:lang w:val="en-US" w:eastAsia="zh-CN"/>
        </w:rPr>
        <w:t>昆明市东川区环境保护局</w:t>
      </w:r>
      <w:r>
        <w:rPr>
          <w:rFonts w:ascii="微软雅黑" w:hAnsi="微软雅黑" w:eastAsia="微软雅黑" w:cs="微软雅黑"/>
          <w:b w:val="0"/>
          <w:i w:val="0"/>
          <w:caps w:val="0"/>
          <w:color w:val="000000"/>
          <w:spacing w:val="0"/>
          <w:sz w:val="30"/>
          <w:szCs w:val="30"/>
        </w:rPr>
        <w:t>关于2018年</w:t>
      </w:r>
      <w:r>
        <w:rPr>
          <w:rFonts w:hint="eastAsia" w:ascii="微软雅黑" w:hAnsi="微软雅黑" w:eastAsia="微软雅黑" w:cs="微软雅黑"/>
          <w:b w:val="0"/>
          <w:i w:val="0"/>
          <w:caps w:val="0"/>
          <w:color w:val="000000"/>
          <w:spacing w:val="0"/>
          <w:sz w:val="30"/>
          <w:szCs w:val="30"/>
          <w:lang w:val="en-US" w:eastAsia="zh-CN"/>
        </w:rPr>
        <w:t>8</w:t>
      </w:r>
      <w:r>
        <w:rPr>
          <w:rFonts w:ascii="微软雅黑" w:hAnsi="微软雅黑" w:eastAsia="微软雅黑" w:cs="微软雅黑"/>
          <w:b w:val="0"/>
          <w:i w:val="0"/>
          <w:caps w:val="0"/>
          <w:color w:val="000000"/>
          <w:spacing w:val="0"/>
          <w:sz w:val="30"/>
          <w:szCs w:val="30"/>
        </w:rPr>
        <w:t>月</w:t>
      </w:r>
      <w:r>
        <w:rPr>
          <w:rFonts w:hint="eastAsia" w:ascii="微软雅黑" w:hAnsi="微软雅黑" w:eastAsia="微软雅黑" w:cs="微软雅黑"/>
          <w:b w:val="0"/>
          <w:i w:val="0"/>
          <w:caps w:val="0"/>
          <w:color w:val="000000"/>
          <w:spacing w:val="0"/>
          <w:sz w:val="30"/>
          <w:szCs w:val="30"/>
          <w:lang w:val="en-US" w:eastAsia="zh-CN"/>
        </w:rPr>
        <w:t>1</w:t>
      </w:r>
      <w:r>
        <w:rPr>
          <w:rFonts w:ascii="微软雅黑" w:hAnsi="微软雅黑" w:eastAsia="微软雅黑" w:cs="微软雅黑"/>
          <w:b w:val="0"/>
          <w:i w:val="0"/>
          <w:caps w:val="0"/>
          <w:color w:val="000000"/>
          <w:spacing w:val="0"/>
          <w:sz w:val="30"/>
          <w:szCs w:val="30"/>
        </w:rPr>
        <w:t>日建设项目环境</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0" w:lineRule="atLeast"/>
        <w:ind w:left="0" w:right="0" w:firstLine="0"/>
        <w:jc w:val="center"/>
        <w:rPr>
          <w:rFonts w:hint="eastAsia" w:ascii="宋体" w:hAnsi="宋体" w:eastAsia="宋体" w:cs="宋体"/>
          <w:b w:val="0"/>
          <w:i w:val="0"/>
          <w:caps w:val="0"/>
          <w:color w:val="000000"/>
          <w:spacing w:val="0"/>
          <w:kern w:val="0"/>
          <w:sz w:val="24"/>
          <w:szCs w:val="24"/>
          <w:bdr w:val="none" w:color="auto" w:sz="0" w:space="0"/>
          <w:lang w:val="en-US" w:eastAsia="zh-CN" w:bidi="ar"/>
        </w:rPr>
      </w:pPr>
      <w:r>
        <w:rPr>
          <w:rFonts w:ascii="微软雅黑" w:hAnsi="微软雅黑" w:eastAsia="微软雅黑" w:cs="微软雅黑"/>
          <w:b w:val="0"/>
          <w:i w:val="0"/>
          <w:caps w:val="0"/>
          <w:color w:val="000000"/>
          <w:spacing w:val="0"/>
          <w:sz w:val="30"/>
          <w:szCs w:val="30"/>
        </w:rPr>
        <w:t>影响评价文件拟审查情况的公示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0" w:lineRule="atLeast"/>
        <w:ind w:left="0" w:right="0" w:firstLine="0"/>
        <w:jc w:val="left"/>
        <w:rPr>
          <w:rFonts w:hint="eastAsia" w:ascii="宋体" w:hAnsi="宋体" w:eastAsia="宋体" w:cs="宋体"/>
          <w:b w:val="0"/>
          <w:i w:val="0"/>
          <w:caps w:val="0"/>
          <w:color w:val="000000"/>
          <w:spacing w:val="0"/>
          <w:kern w:val="0"/>
          <w:sz w:val="24"/>
          <w:szCs w:val="24"/>
          <w:bdr w:val="none" w:color="auto" w:sz="0" w:space="0"/>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0" w:lineRule="atLeast"/>
        <w:ind w:left="0" w:right="0" w:firstLine="0"/>
        <w:jc w:val="left"/>
        <w:rPr>
          <w:rFonts w:hint="eastAsia" w:ascii="宋体" w:hAnsi="宋体" w:eastAsia="宋体" w:cs="宋体"/>
          <w:b w:val="0"/>
          <w:i w:val="0"/>
          <w:caps w:val="0"/>
          <w:color w:val="000000"/>
          <w:spacing w:val="0"/>
          <w:sz w:val="24"/>
          <w:szCs w:val="24"/>
        </w:rPr>
      </w:pPr>
      <w:r>
        <w:rPr>
          <w:rFonts w:hint="eastAsia" w:ascii="宋体" w:hAnsi="宋体" w:eastAsia="宋体" w:cs="宋体"/>
          <w:b w:val="0"/>
          <w:i w:val="0"/>
          <w:caps w:val="0"/>
          <w:color w:val="000000"/>
          <w:spacing w:val="0"/>
          <w:kern w:val="0"/>
          <w:sz w:val="24"/>
          <w:szCs w:val="24"/>
          <w:bdr w:val="none" w:color="auto" w:sz="0" w:space="0"/>
          <w:lang w:val="en-US" w:eastAsia="zh-CN" w:bidi="ar"/>
        </w:rPr>
        <w:t>根据建设项目环境影响评价审批程序及信息公开要求，经审议，我局拟对以下项目作出审批意见，现将有关情况予以公示。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0" w:lineRule="atLeast"/>
        <w:ind w:left="0" w:right="0" w:firstLine="0"/>
        <w:jc w:val="left"/>
        <w:rPr>
          <w:rFonts w:hint="eastAsia" w:ascii="宋体" w:hAnsi="宋体" w:eastAsia="宋体" w:cs="宋体"/>
          <w:b w:val="0"/>
          <w:i w:val="0"/>
          <w:caps w:val="0"/>
          <w:color w:val="000000"/>
          <w:spacing w:val="0"/>
          <w:sz w:val="24"/>
          <w:szCs w:val="24"/>
        </w:rPr>
      </w:pPr>
      <w:r>
        <w:rPr>
          <w:rFonts w:hint="eastAsia" w:ascii="宋体" w:hAnsi="宋体" w:eastAsia="宋体" w:cs="宋体"/>
          <w:b w:val="0"/>
          <w:i w:val="0"/>
          <w:caps w:val="0"/>
          <w:color w:val="000000"/>
          <w:spacing w:val="0"/>
          <w:kern w:val="0"/>
          <w:sz w:val="24"/>
          <w:szCs w:val="24"/>
          <w:bdr w:val="none" w:color="auto" w:sz="0" w:space="0"/>
          <w:lang w:val="en-US" w:eastAsia="zh-CN" w:bidi="ar"/>
        </w:rPr>
        <w:t>　　联系电话：0871-62121355、0871-62131137（东川区环保局</w:t>
      </w:r>
      <w:bookmarkStart w:id="0" w:name="_GoBack"/>
      <w:r>
        <w:rPr>
          <w:rFonts w:hint="eastAsia" w:ascii="宋体" w:hAnsi="宋体" w:eastAsia="宋体" w:cs="宋体"/>
          <w:b w:val="0"/>
          <w:i w:val="0"/>
          <w:caps w:val="0"/>
          <w:color w:val="000000"/>
          <w:spacing w:val="0"/>
          <w:kern w:val="0"/>
          <w:sz w:val="24"/>
          <w:szCs w:val="24"/>
          <w:bdr w:val="none" w:color="auto" w:sz="0" w:space="0"/>
          <w:lang w:val="en-US" w:eastAsia="zh-CN" w:bidi="ar"/>
        </w:rPr>
        <w:t>办公室</w:t>
      </w:r>
      <w:bookmarkEnd w:id="0"/>
      <w:r>
        <w:rPr>
          <w:rFonts w:hint="eastAsia" w:ascii="宋体" w:hAnsi="宋体" w:eastAsia="宋体" w:cs="宋体"/>
          <w:b w:val="0"/>
          <w:i w:val="0"/>
          <w:caps w:val="0"/>
          <w:color w:val="000000"/>
          <w:spacing w:val="0"/>
          <w:kern w:val="0"/>
          <w:sz w:val="24"/>
          <w:szCs w:val="24"/>
          <w:bdr w:val="none" w:color="auto" w:sz="0" w:space="0"/>
          <w:lang w:val="en-US" w:eastAsia="zh-CN" w:bidi="ar"/>
        </w:rPr>
        <w:t>） 公示期：5个工作日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0" w:lineRule="atLeast"/>
        <w:ind w:left="0" w:right="0" w:firstLine="0"/>
        <w:jc w:val="left"/>
        <w:rPr>
          <w:rFonts w:hint="eastAsia" w:ascii="宋体" w:hAnsi="宋体" w:eastAsia="宋体" w:cs="宋体"/>
          <w:b w:val="0"/>
          <w:i w:val="0"/>
          <w:caps w:val="0"/>
          <w:color w:val="000000"/>
          <w:spacing w:val="0"/>
          <w:sz w:val="24"/>
          <w:szCs w:val="24"/>
          <w:lang w:val="en-US"/>
        </w:rPr>
      </w:pPr>
      <w:r>
        <w:rPr>
          <w:rFonts w:hint="eastAsia" w:ascii="宋体" w:hAnsi="宋体" w:eastAsia="宋体" w:cs="宋体"/>
          <w:b w:val="0"/>
          <w:i w:val="0"/>
          <w:caps w:val="0"/>
          <w:color w:val="000000"/>
          <w:spacing w:val="0"/>
          <w:kern w:val="0"/>
          <w:sz w:val="24"/>
          <w:szCs w:val="24"/>
          <w:bdr w:val="none" w:color="auto" w:sz="0" w:space="0"/>
          <w:lang w:val="en-US" w:eastAsia="zh-CN" w:bidi="ar"/>
        </w:rPr>
        <w:t>　　传    真：0871-62121355</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0" w:lineRule="atLeast"/>
        <w:ind w:left="0" w:right="0" w:firstLine="480"/>
        <w:jc w:val="left"/>
        <w:rPr>
          <w:rFonts w:hint="eastAsia" w:ascii="宋体" w:hAnsi="宋体" w:eastAsia="宋体" w:cs="宋体"/>
          <w:b w:val="0"/>
          <w:i w:val="0"/>
          <w:caps w:val="0"/>
          <w:color w:val="000000"/>
          <w:spacing w:val="0"/>
          <w:kern w:val="0"/>
          <w:sz w:val="24"/>
          <w:szCs w:val="24"/>
          <w:bdr w:val="none" w:color="auto" w:sz="0" w:space="0"/>
          <w:lang w:val="en-US" w:eastAsia="zh-CN" w:bidi="ar"/>
        </w:rPr>
      </w:pPr>
      <w:r>
        <w:rPr>
          <w:rFonts w:hint="eastAsia" w:ascii="宋体" w:hAnsi="宋体" w:eastAsia="宋体" w:cs="宋体"/>
          <w:b w:val="0"/>
          <w:i w:val="0"/>
          <w:caps w:val="0"/>
          <w:color w:val="000000"/>
          <w:spacing w:val="0"/>
          <w:kern w:val="0"/>
          <w:sz w:val="24"/>
          <w:szCs w:val="24"/>
          <w:bdr w:val="none" w:color="auto" w:sz="0" w:space="0"/>
          <w:lang w:val="en-US" w:eastAsia="zh-CN" w:bidi="ar"/>
        </w:rPr>
        <w:t>通讯地址：昆明市东川区桂苑街24号　　          邮编：654100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0" w:lineRule="atLeast"/>
        <w:ind w:right="0"/>
        <w:jc w:val="left"/>
        <w:rPr>
          <w:rFonts w:hint="eastAsia" w:ascii="宋体" w:hAnsi="宋体" w:eastAsia="宋体" w:cs="宋体"/>
          <w:b w:val="0"/>
          <w:i w:val="0"/>
          <w:caps w:val="0"/>
          <w:color w:val="000000"/>
          <w:spacing w:val="0"/>
          <w:kern w:val="0"/>
          <w:sz w:val="24"/>
          <w:szCs w:val="24"/>
          <w:bdr w:val="none" w:color="auto" w:sz="0" w:space="0"/>
          <w:lang w:val="en-US" w:eastAsia="zh-CN" w:bidi="ar"/>
        </w:rPr>
      </w:pPr>
    </w:p>
    <w:tbl>
      <w:tblPr>
        <w:tblW w:w="8512" w:type="dxa"/>
        <w:jc w:val="center"/>
        <w:tblInd w:w="2"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
      <w:tblGrid>
        <w:gridCol w:w="471"/>
        <w:gridCol w:w="733"/>
        <w:gridCol w:w="1009"/>
        <w:gridCol w:w="979"/>
        <w:gridCol w:w="1187"/>
        <w:gridCol w:w="1634"/>
        <w:gridCol w:w="2499"/>
      </w:tblGrid>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471" w:type="dxa"/>
            <w:tcBorders>
              <w:top w:val="single" w:color="auto" w:sz="8" w:space="0"/>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0" w:lineRule="atLeast"/>
              <w:ind w:left="0" w:right="0"/>
              <w:jc w:val="center"/>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序号</w:t>
            </w:r>
          </w:p>
        </w:tc>
        <w:tc>
          <w:tcPr>
            <w:tcW w:w="733"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0" w:lineRule="atLeast"/>
              <w:ind w:left="0" w:right="0"/>
              <w:jc w:val="center"/>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项目</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0" w:lineRule="atLeast"/>
              <w:ind w:left="0" w:right="0"/>
              <w:jc w:val="center"/>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名称</w:t>
            </w:r>
          </w:p>
        </w:tc>
        <w:tc>
          <w:tcPr>
            <w:tcW w:w="1009"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0" w:lineRule="atLeast"/>
              <w:ind w:left="0" w:right="0"/>
              <w:jc w:val="center"/>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建设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0" w:lineRule="atLeast"/>
              <w:ind w:left="0" w:right="0"/>
              <w:jc w:val="center"/>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地点</w:t>
            </w:r>
          </w:p>
        </w:tc>
        <w:tc>
          <w:tcPr>
            <w:tcW w:w="979"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0" w:lineRule="atLeast"/>
              <w:ind w:left="0" w:right="0"/>
              <w:jc w:val="center"/>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建设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0" w:lineRule="atLeast"/>
              <w:ind w:left="0" w:right="0"/>
              <w:jc w:val="center"/>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单位</w:t>
            </w:r>
          </w:p>
        </w:tc>
        <w:tc>
          <w:tcPr>
            <w:tcW w:w="1187"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0" w:lineRule="atLeast"/>
              <w:ind w:left="0" w:right="0"/>
              <w:jc w:val="center"/>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环评机构</w:t>
            </w:r>
          </w:p>
        </w:tc>
        <w:tc>
          <w:tcPr>
            <w:tcW w:w="1634"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0" w:lineRule="atLeast"/>
              <w:ind w:left="0" w:right="0"/>
              <w:jc w:val="center"/>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项目概况</w:t>
            </w:r>
          </w:p>
        </w:tc>
        <w:tc>
          <w:tcPr>
            <w:tcW w:w="2499"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0" w:lineRule="atLeast"/>
              <w:ind w:left="0" w:right="0"/>
              <w:jc w:val="center"/>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主要环境影响及预防或者减轻不良环境影响的对策和措施</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jc w:val="center"/>
        </w:trPr>
        <w:tc>
          <w:tcPr>
            <w:tcW w:w="471"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0" w:lineRule="atLeast"/>
              <w:ind w:left="0" w:right="0"/>
              <w:jc w:val="both"/>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1</w:t>
            </w:r>
          </w:p>
        </w:tc>
        <w:tc>
          <w:tcPr>
            <w:tcW w:w="73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center"/>
              <w:rPr>
                <w:rFonts w:hint="eastAsia" w:ascii="宋体" w:hAnsi="宋体" w:eastAsia="宋体" w:cs="宋体"/>
                <w:sz w:val="24"/>
                <w:szCs w:val="24"/>
              </w:rPr>
            </w:pPr>
            <w:r>
              <w:rPr>
                <w:rFonts w:hint="eastAsia" w:ascii="宋体" w:hAnsi="宋体" w:eastAsia="宋体" w:cs="宋体"/>
                <w:sz w:val="24"/>
                <w:szCs w:val="24"/>
              </w:rPr>
              <w:t>正大集团昆明东川300万只蛋鸡全产业链扶贫项目</w:t>
            </w:r>
          </w:p>
        </w:tc>
        <w:tc>
          <w:tcPr>
            <w:tcW w:w="100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center"/>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昆明市东川区铜都街道办事处紫牛村林家渡 </w:t>
            </w:r>
          </w:p>
        </w:tc>
        <w:tc>
          <w:tcPr>
            <w:tcW w:w="97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center"/>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昆明市东川区产业开发投资有限公司 </w:t>
            </w:r>
          </w:p>
        </w:tc>
        <w:tc>
          <w:tcPr>
            <w:tcW w:w="118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center"/>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北京中环博宏环境资源科技有限公司 </w:t>
            </w:r>
          </w:p>
        </w:tc>
        <w:tc>
          <w:tcPr>
            <w:tcW w:w="163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sz w:val="24"/>
                <w:szCs w:val="24"/>
              </w:rPr>
            </w:pPr>
            <w:r>
              <w:rPr>
                <w:rFonts w:hint="eastAsia" w:ascii="宋体" w:hAnsi="宋体" w:eastAsia="宋体" w:cs="宋体"/>
                <w:sz w:val="24"/>
                <w:szCs w:val="24"/>
              </w:rPr>
              <w:t>项目位于东川区铜都街道紫牛村林家渡，项目占地面积1567.55亩），其中：建设100万只青年鸡场；300万只蛋鸡养殖场，包括蛋品加工厂及12万吨专业化饲料厂；4000只鳄鱼养殖场；配套建设污水处理站一座，天然气储站一座。项目总投资83607.43万元，环保投资为980万元，占总投资的1.17%。2017年1月15日，昆明产投公司与昆明市东川区人民政府、正大畜牧投资（北京）有限公司三方签订《正大集团昆明东川300万只蛋鸡项目合作协议》；2017年2月7日，按《合作协议》内容，报请昆明市国资委同意，昆明产投公司为合作项目成立专属平台公司-昆明市东川区产业开发投资有限公司。昆明市东川区产业开发投资有限公司注册资本1亿元人民币，为昆明产投公司全资子公司，负责该正大集团昆明东川300万只蛋鸡项目的固定资产投资及融资。2018年6月，昆明市东川区产业开发投资有限公司获得昆明市东川区发展和改革局的投资项目备案证。</w:t>
            </w:r>
          </w:p>
        </w:tc>
        <w:tc>
          <w:tcPr>
            <w:tcW w:w="249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项目主要环境影响：</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（1）生态环境</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本项目为新建项目，在采取生态修复措施后对生态环境造成影响较小。</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（2）声环境</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①施工期</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kern w:val="0"/>
                <w:sz w:val="24"/>
                <w:szCs w:val="24"/>
                <w:bdr w:val="none" w:color="auto" w:sz="0" w:space="0"/>
                <w:lang w:val="en-US" w:eastAsia="zh-CN" w:bidi="ar"/>
              </w:rPr>
            </w:pPr>
            <w:r>
              <w:rPr>
                <w:rFonts w:hint="eastAsia" w:ascii="宋体" w:hAnsi="宋体" w:eastAsia="宋体" w:cs="宋体"/>
                <w:kern w:val="0"/>
                <w:sz w:val="24"/>
                <w:szCs w:val="24"/>
                <w:bdr w:val="none" w:color="auto" w:sz="0" w:space="0"/>
                <w:lang w:val="en-US" w:eastAsia="zh-CN" w:bidi="ar"/>
              </w:rPr>
              <w:t>施工场地噪声源主要为各类高噪声施工机械，为了使施工噪声达标排放及进一步对周围声环境进行保护，施工方应遵守建设期噪声排放执行《建筑施工场界噪声环境噪声排放标准》（GB12523-2011）标准值。</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②营运期</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kern w:val="0"/>
                <w:sz w:val="24"/>
                <w:szCs w:val="24"/>
                <w:bdr w:val="none" w:color="auto" w:sz="0" w:space="0"/>
                <w:lang w:val="en-US" w:eastAsia="zh-CN" w:bidi="ar"/>
              </w:rPr>
            </w:pPr>
            <w:r>
              <w:rPr>
                <w:rFonts w:hint="eastAsia" w:ascii="宋体" w:hAnsi="宋体" w:eastAsia="宋体" w:cs="宋体"/>
                <w:kern w:val="0"/>
                <w:sz w:val="24"/>
                <w:szCs w:val="24"/>
                <w:bdr w:val="none" w:color="auto" w:sz="0" w:space="0"/>
                <w:lang w:val="en-US" w:eastAsia="zh-CN" w:bidi="ar"/>
              </w:rPr>
              <w:t>项目运营期应加强隔音减震及绿化，执行《工业企业厂界环境噪声排放标准》（GB12348-2008）2类标准。</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（3）地表水环境</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①施工期</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施工人员生活污水排入临时沉淀池，回用于场地洒水降尘，不外排，对环境影响不大；施工废水全部回用对环境基本无影响；雨季地表径流沉淀后排放对环境影响不大；施工机械冲洗废水沉淀隔油后回用于施工场地洒水降尘，对环境无影响。</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②运营期</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本项目营运期排水采用雨、污水分流制。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kern w:val="0"/>
                <w:sz w:val="24"/>
                <w:szCs w:val="24"/>
                <w:bdr w:val="none" w:color="auto" w:sz="0" w:space="0"/>
                <w:lang w:val="en-US" w:eastAsia="zh-CN" w:bidi="ar"/>
              </w:rPr>
            </w:pPr>
            <w:r>
              <w:rPr>
                <w:rFonts w:hint="eastAsia" w:ascii="宋体" w:hAnsi="宋体" w:eastAsia="宋体" w:cs="宋体"/>
                <w:kern w:val="0"/>
                <w:sz w:val="24"/>
                <w:szCs w:val="24"/>
                <w:bdr w:val="none" w:color="auto" w:sz="0" w:space="0"/>
                <w:lang w:val="en-US" w:eastAsia="zh-CN" w:bidi="ar"/>
              </w:rPr>
              <w:t>项目产生的污水主要为鸡舍冲洗废水、蛋品加工产洗蛋废水及设备冲洗水、生活污水、食堂废水、锅炉排污水、蛋鸡场及青年鸡养殖场和鳄鱼养殖场混合废水、防疫及化验废水等废水与项目食堂废水经隔油处理（处理效率40%）后，混合进入污水处理站处理。项目建设污水站1座，用于处理厂区生产废水及生活污水，设计规模650m3/d，采用“预处理+缺氧+好氧+膜分离+消毒”处理工艺，经处理达到《城镇污水处理厂污染物排放标准》(GB18918-2002)一级A标准后，排入小江。</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（4）地下水环境</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项目在运行过程中不产生危险废物，也没有危险废物在厂区内的暂存，故不存在危废在贮存的过程中因为渗漏及淋溶水造成对地下的污染。</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kern w:val="0"/>
                <w:sz w:val="24"/>
                <w:szCs w:val="24"/>
                <w:bdr w:val="none" w:color="auto" w:sz="0" w:space="0"/>
                <w:lang w:val="en-US" w:eastAsia="zh-CN" w:bidi="ar"/>
              </w:rPr>
            </w:pPr>
            <w:r>
              <w:rPr>
                <w:rFonts w:hint="eastAsia" w:ascii="宋体" w:hAnsi="宋体" w:eastAsia="宋体" w:cs="宋体"/>
                <w:kern w:val="0"/>
                <w:sz w:val="24"/>
                <w:szCs w:val="24"/>
                <w:bdr w:val="none" w:color="auto" w:sz="0" w:space="0"/>
                <w:lang w:val="en-US" w:eastAsia="zh-CN" w:bidi="ar"/>
              </w:rPr>
              <w:t>项目产生的污水主要为鸡舍冲洗废水、蛋品加工产洗蛋废水及设备冲洗水、生活污水、食堂废水、锅炉排污水、蛋鸡场及青年鸡养殖场和鳄鱼养殖场混合废水、防疫及化验废水等废水与项目食堂废水经隔油处理（处理效率40%）后，混合进入污水处理站处理。项目建设污水站1座，用于处理厂区生产废水及生活污水，设计规模650m3/d，采用“预处理+缺氧+好氧+膜分离+消毒”处理工艺，经处理达到《城镇污水处理厂污染物排放标准》(GB18918-2002)一级A标准后，排入小江。</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（5）环境空气</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①施工期</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本项目施工期对大气环境造成的影响主要为TSP和PM10。通过合理布局，场界做好围挡、落实洒水降尘、文明施工等措施后，施工期扬尘对周边大气环境的影响是可以接受的。施工尾气和装饰废气通过自然稀释、扩散对评价区域环境空气影响较小。</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②运营期</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项目有组织排放的污染物为烟尘、SO2和NO2等，在正常排放情况，项目排放的废气污染物最大落地浓度值均能满足相应的《环境空气质量标准》（GB3095-2012）二级浓度限值要求。建设项目在正常工况下有组织废气对评价区内环境空气影响很小，不会造成评价范围内区域环境空气质量下降。根据预测结果，非正常情况下，烟尘、SO2和NO2最大落地浓度值均能满足相应的《环境空气质量标准》（GB3095-2012）二级浓度限值要求，但可以看出项目非正常排放情况下对区域环境的影响较正常情况增幅较大，故项目运营期，必须严格管理，采取措施减少非正常排放情况的发生。污水处理站恶臭经活性炭吸收后经大气稀释及周围绿化吸收后，对周围环境影响较小。</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（6）固体废物</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①施工期</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产生的建筑垃圾在施工场地内统一临时堆存，并向环境卫生主管部门提出申请，获得城市建筑垃圾处置核准后，由施工单位清运处置，固体废物处置率达100%。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②运营期</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sz w:val="24"/>
                <w:szCs w:val="24"/>
              </w:rPr>
            </w:pPr>
            <w:r>
              <w:rPr>
                <w:rFonts w:hint="eastAsia" w:ascii="宋体" w:hAnsi="宋体" w:eastAsia="宋体" w:cs="宋体"/>
                <w:sz w:val="24"/>
                <w:szCs w:val="24"/>
              </w:rPr>
              <w:t>生活垃圾集中收集后交由当地环卫部门处理。蛋壳、次劣蛋作为打碎烘干作为钙源外售；饲料厂除尘器粉尘主要成分为原料粉尘，可做原料回用于生产。一般淘死鸡送鳄鱼场作为饲料，废活性炭由厂家回收；污水处理站污泥交由环卫部门处理。本项目采用干法清粪，产生的鸡粪不在厂区内暂存，做到日产日清，厂内不设基本贮存设施。鸡粪送正大集团昆明东川有机肥加工厂进行单独处理，该有机肥厂为本项目配套建设项目，目前处于选址阶段，未开工建设，建设周期约1年，2018年11月开始施工建设，2019年10月完工，12月底竣工验收。根据本项目建设进度计划，本项目12月底完成竣工验收。因此，有机肥厂可实现与本项目同时投产。环评要求，该有机肥厂必须严格落实建设进度计划，与本项目同时投产，保证本项目产生的鸡粪得到合理处置。项目设一般固废暂存场1座，其建设应符合《一般工业固体废物贮存、处置场污染控制标准》（GB18599-2001）要求。危险废物如病死鸡应及时处理病死鸡尸体，一般病死鸡送安全填埋井。项目在青年鸡场和蛋鸡场分别建设1个安全填埋井，填埋井为混凝土结构，深度为3m，直径2m，井口加盖密封。发生疫情时，及时报告东川区农业部门和人民政府，按《高致病性禽流感疫情处置技术规范》（试行）对病鸡进行处理处置。对烈性传染病死鸡根据畜禽卫生防疫条例和国家防疫部门制定的处理方法运至东川区政府指地点进行规范化处置。符合《畜禽养殖业污染治理工程技术规范》（HJ497-2009）“因高致病性禽流感疫情导致禽类死亡，死禽尸体的处理与处置应符合《高致病性禽流感疫情处置技术规范》（试行）的规定。”要求。</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sz w:val="24"/>
                <w:szCs w:val="24"/>
              </w:rPr>
            </w:pPr>
            <w:r>
              <w:rPr>
                <w:rFonts w:hint="eastAsia" w:ascii="宋体" w:hAnsi="宋体" w:eastAsia="宋体" w:cs="宋体"/>
                <w:sz w:val="24"/>
                <w:szCs w:val="24"/>
              </w:rPr>
              <w:t>消毒和防疫的医疗垃圾、检测废液及废包装拟委托云南正晓环保投资有限公司处置。项目设危险废物暂存库1座，其建设应符合《危险废物贮存污染控制标准》（GB18597-2001）要求。</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1、施工期环保措施</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（1）废气治理措施</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①在施工场地安排员工定期对施工场地洒水以减少扬尘量，洒水次数根据天气状况而定。一般每天洒水1~2次；若遇到大风或干燥天气可适当增加洒水次数。施工场地洒水与否对扬尘的影响较大，场地洒水后，扬尘量将减低28%~75%，大大减少了其对环境的影响；</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②在施工机械的选型上考虑相应的环保型产品，主要使用轻质柴油或电作为能源；</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③施工现场的运输车辆应控制车速，限速40km/h，以减少行驶过程中产生的道路扬尘。场内的运输线路应定时洒水抑尘。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（2）废水治理措施</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①项目施工场所内在施工场地等产生施工废水的地方，应根据实际情况设置沉砂池，将产生的含泥砂量大的施工废水进行沉淀处理后，尽量回用于砂浆、砂石料清洗等工序，同时晴天时，增加施工场地内的道路及施工面的喷洒，降低扬尘对区域空气环境的影响；</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②施工期的生活污水经20m³化粪池处理后进入沉淀池作为葡萄地灌溉用水，加强管理，确保生活废水不外排；</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③项目应加强管理，不得在施工现场进行机械修理，雨天对机械设备进行遮盖防雨；</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④施工期的施工废水和生活污水禁止以任何方式排入附近水体。</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（3）噪声治理措施</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①合理布置施工机械，高噪声设备尽量安排在施工场地中间；</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②错开高噪声设备使用时间，避免大型高噪声设备同时运行；</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③严禁高噪声机械设备在12时至14时、22时至次日6时施工。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（4）固体废物处置措施</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①废弃建筑材料、设备应对其进行分类集中堆存，能回收利用的部分，例如木制(铁制)材料等，请回收商进行收购，重复利用；不能回收利用的部分运至指定的建筑垃圾堆放点，禁止与生活垃圾混合处置，禁止随意丢弃；</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②施工期间生活垃圾应收集后委托环卫部门清运，禁止随意丢弃。</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2、营运期环保措施</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（1）噪声治理措施</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①在设备选型上，采用先进噪声低的设备；</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②在设备基座与基础之间设橡胶防振垫，在设备各接口处采用软联接，在管道上设置橡胶减振补偿器；</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③将鼓风机、引风机加装减震垫，并安置于封闭房间内；</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④运输车辆途经敏感点附近时禁止鸣笛。</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（2）废水治理措施</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①生产设备清洗废水、地面清洗废水、蒸馏残液、洗灌废水、中和后的洗瓶废水经污水管网进入厂区自建的17m³/d污水处理站进行处理。同时对污水管网及污水处理站进行防渗处理；</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②软水制备废水经排水管网进入蓄水池；</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③锅炉排水用作湿式脱硫除尘器补充用水，不外排；</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④化验室废水经40L的塑料桶进行酸碱中和后进入17m³/d污水处理站处理；</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⑤办公清洗废水经20m³化粪池处理后由污水管网进入厂区17m³/d污水处理站进行处理。</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（3）废气治理措施</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①锅炉烟气经除尘器处理后达标排放；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②污水处理站恶臭经活性炭吸收后经大气稀释及周围绿化吸收后，对周围环境影响较小。</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（4）固体废物处置措施</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①蛋壳、次劣蛋作为打碎烘干作为钙源外售；</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kern w:val="0"/>
                <w:sz w:val="24"/>
                <w:szCs w:val="24"/>
                <w:bdr w:val="none" w:color="auto" w:sz="0" w:space="0"/>
                <w:lang w:val="en-US" w:eastAsia="zh-CN" w:bidi="ar"/>
              </w:rPr>
            </w:pPr>
            <w:r>
              <w:rPr>
                <w:rFonts w:hint="eastAsia" w:ascii="宋体" w:hAnsi="宋体" w:eastAsia="宋体" w:cs="宋体"/>
                <w:kern w:val="0"/>
                <w:sz w:val="24"/>
                <w:szCs w:val="24"/>
                <w:bdr w:val="none" w:color="auto" w:sz="0" w:space="0"/>
                <w:lang w:val="en-US" w:eastAsia="zh-CN" w:bidi="ar"/>
              </w:rPr>
              <w:t>②饲料厂除尘器粉尘主要成分为原料粉尘，可做原料回用于生产；</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③一般淘死鸡送鳄鱼场作为饲料，废活性炭由厂家回收；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④污水处理站污泥交由环卫部门处理；</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kern w:val="0"/>
                <w:sz w:val="24"/>
                <w:szCs w:val="24"/>
                <w:bdr w:val="none" w:color="auto" w:sz="0" w:space="0"/>
                <w:lang w:val="en-US" w:eastAsia="zh-CN" w:bidi="ar"/>
              </w:rPr>
            </w:pPr>
            <w:r>
              <w:rPr>
                <w:rFonts w:hint="eastAsia" w:ascii="宋体" w:hAnsi="宋体" w:eastAsia="宋体" w:cs="宋体"/>
                <w:kern w:val="0"/>
                <w:sz w:val="24"/>
                <w:szCs w:val="24"/>
                <w:bdr w:val="none" w:color="auto" w:sz="0" w:space="0"/>
                <w:lang w:val="en-US" w:eastAsia="zh-CN" w:bidi="ar"/>
              </w:rPr>
              <w:t>⑤生活垃圾储存在垃圾池内，定期由环卫部门统一处理；</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公众参与情况：</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sz w:val="24"/>
                <w:szCs w:val="24"/>
              </w:rPr>
            </w:pPr>
            <w:r>
              <w:rPr>
                <w:rFonts w:hint="eastAsia" w:ascii="宋体" w:hAnsi="宋体" w:eastAsia="宋体" w:cs="宋体"/>
                <w:sz w:val="24"/>
                <w:szCs w:val="24"/>
              </w:rPr>
              <w:t>建设单位于2017年12月18日在北京中环博宏环境资源科技有限公司网站上进行了第一次公示，于2018年5月21日在北京中环博宏环境资源科技有限公司网站上进行了第二次公示（全本公示），公示期间建设单位和评价单位均未收到群众的有关反映意见。为进一步收集、了解项目周边居民对项目建设可能产生环境影响的意见，建设单位在项目周边村庄发放了60份公众参与调查表，回收59份。根据统计结果，项目周边群众表示项目建设对其生产、生活的影响在可接受范围内，并表示可以接受项目对周边环境的影响，支持率达97%。</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sz w:val="24"/>
                <w:szCs w:val="24"/>
              </w:rPr>
            </w:pPr>
          </w:p>
        </w:tc>
      </w:tr>
    </w:tbl>
    <w:p/>
    <w:sectPr>
      <w:pgSz w:w="11906" w:h="16838"/>
      <w:pgMar w:top="1440" w:right="1803" w:bottom="1440" w:left="1803" w:header="851" w:footer="992" w:gutter="0"/>
      <w:paperSrc/>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8CF3C50"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9"/>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D8F6B6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 w:type="paragraph" w:customStyle="1" w:styleId="4">
    <w:name w:val="A-z正文"/>
    <w:basedOn w:val="1"/>
    <w:qFormat/>
    <w:uiPriority w:val="0"/>
    <w:pPr>
      <w:spacing w:line="360" w:lineRule="auto"/>
      <w:ind w:firstLine="200" w:firstLineChars="200"/>
    </w:pPr>
    <w:rPr>
      <w:rFonts w:ascii="Times New Roman" w:hAnsi="Times New Roman" w:eastAsia="宋体" w:cs="宋体"/>
      <w:sz w:val="24"/>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Office_10.1.0.7400_F1E327BC-269C-435d-A152-05C5408002CA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dc:creator>
  <cp:lastModifiedBy>汉姆的爸</cp:lastModifiedBy>
  <dcterms:modified xsi:type="dcterms:W3CDTF">2018-08-03T00:19:53Z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