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37" w:type="dxa"/>
        <w:tblCellMar>
          <w:left w:w="0" w:type="dxa"/>
          <w:right w:w="0" w:type="dxa"/>
        </w:tblCellMar>
        <w:tblLook w:val="04A0"/>
      </w:tblPr>
      <w:tblGrid>
        <w:gridCol w:w="10189"/>
      </w:tblGrid>
      <w:tr w:rsidR="00D8697B" w:rsidRPr="00D8697B" w:rsidTr="00D8697B">
        <w:trPr>
          <w:trHeight w:val="1050"/>
          <w:tblCellSpacing w:w="37" w:type="dxa"/>
          <w:jc w:val="center"/>
        </w:trPr>
        <w:tc>
          <w:tcPr>
            <w:tcW w:w="0" w:type="auto"/>
            <w:vAlign w:val="center"/>
            <w:hideMark/>
          </w:tcPr>
          <w:tbl>
            <w:tblPr>
              <w:tblW w:w="5000" w:type="pct"/>
              <w:tblCellSpacing w:w="0" w:type="dxa"/>
              <w:tblBorders>
                <w:top w:val="single" w:sz="6" w:space="0" w:color="AFBFC2"/>
                <w:left w:val="single" w:sz="2" w:space="0" w:color="auto"/>
                <w:bottom w:val="single" w:sz="6" w:space="0" w:color="AFBFC2"/>
                <w:right w:val="single" w:sz="2" w:space="0" w:color="auto"/>
              </w:tblBorders>
              <w:tblCellMar>
                <w:left w:w="0" w:type="dxa"/>
                <w:right w:w="0" w:type="dxa"/>
              </w:tblCellMar>
              <w:tblLook w:val="04A0"/>
            </w:tblPr>
            <w:tblGrid>
              <w:gridCol w:w="10035"/>
            </w:tblGrid>
            <w:tr w:rsidR="00D8697B" w:rsidRPr="00D8697B">
              <w:trPr>
                <w:trHeight w:val="705"/>
                <w:tblCellSpacing w:w="0" w:type="dxa"/>
              </w:trPr>
              <w:tc>
                <w:tcPr>
                  <w:tcW w:w="0" w:type="auto"/>
                  <w:vAlign w:val="center"/>
                  <w:hideMark/>
                </w:tcPr>
                <w:tbl>
                  <w:tblPr>
                    <w:tblW w:w="5000" w:type="pct"/>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10009"/>
                  </w:tblGrid>
                  <w:tr w:rsidR="00D8697B" w:rsidRPr="00D8697B">
                    <w:trPr>
                      <w:trHeight w:val="615"/>
                      <w:tblCellSpacing w:w="0" w:type="dxa"/>
                    </w:trPr>
                    <w:tc>
                      <w:tcPr>
                        <w:tcW w:w="0" w:type="auto"/>
                        <w:shd w:val="clear" w:color="auto" w:fill="AFBFC2"/>
                        <w:vAlign w:val="center"/>
                        <w:hideMark/>
                      </w:tcPr>
                      <w:p w:rsidR="00D8697B" w:rsidRPr="00D8697B" w:rsidRDefault="00D8697B" w:rsidP="00D8697B">
                        <w:pPr>
                          <w:widowControl/>
                          <w:spacing w:line="330" w:lineRule="atLeast"/>
                          <w:jc w:val="center"/>
                          <w:rPr>
                            <w:rFonts w:ascii="宋体" w:eastAsia="宋体" w:hAnsi="宋体" w:cs="宋体"/>
                            <w:b/>
                            <w:bCs/>
                            <w:color w:val="FFFFFF"/>
                            <w:kern w:val="0"/>
                            <w:sz w:val="27"/>
                            <w:szCs w:val="27"/>
                          </w:rPr>
                        </w:pPr>
                        <w:r w:rsidRPr="00D8697B">
                          <w:rPr>
                            <w:rFonts w:ascii="宋体" w:eastAsia="宋体" w:hAnsi="宋体" w:cs="宋体"/>
                            <w:b/>
                            <w:bCs/>
                            <w:color w:val="FFFFFF"/>
                            <w:kern w:val="0"/>
                            <w:sz w:val="27"/>
                            <w:szCs w:val="27"/>
                          </w:rPr>
                          <w:t>关于2018年加快全省高新技术企业培育认定工作的实施意见</w:t>
                        </w:r>
                      </w:p>
                      <w:p w:rsidR="00D8697B" w:rsidRPr="00D8697B" w:rsidRDefault="00D8697B" w:rsidP="00D8697B">
                        <w:pPr>
                          <w:widowControl/>
                          <w:spacing w:line="330" w:lineRule="atLeast"/>
                          <w:jc w:val="center"/>
                          <w:rPr>
                            <w:rFonts w:ascii="宋体" w:eastAsia="宋体" w:hAnsi="宋体" w:cs="宋体"/>
                            <w:b/>
                            <w:bCs/>
                            <w:color w:val="FFFFFF"/>
                            <w:kern w:val="0"/>
                            <w:sz w:val="18"/>
                            <w:szCs w:val="18"/>
                          </w:rPr>
                        </w:pPr>
                        <w:r w:rsidRPr="00D8697B">
                          <w:rPr>
                            <w:rFonts w:ascii="宋体" w:eastAsia="宋体" w:hAnsi="宋体" w:cs="宋体"/>
                            <w:b/>
                            <w:bCs/>
                            <w:color w:val="FFFFFF"/>
                            <w:kern w:val="0"/>
                            <w:sz w:val="18"/>
                            <w:szCs w:val="18"/>
                          </w:rPr>
                          <w:t>2018-04-23</w:t>
                        </w:r>
                      </w:p>
                    </w:tc>
                  </w:tr>
                </w:tbl>
                <w:p w:rsidR="00D8697B" w:rsidRPr="00D8697B" w:rsidRDefault="00D8697B" w:rsidP="00D8697B">
                  <w:pPr>
                    <w:widowControl/>
                    <w:spacing w:line="330" w:lineRule="atLeast"/>
                    <w:jc w:val="left"/>
                    <w:rPr>
                      <w:rFonts w:ascii="宋体" w:eastAsia="宋体" w:hAnsi="宋体" w:cs="宋体"/>
                      <w:color w:val="666666"/>
                      <w:kern w:val="0"/>
                      <w:szCs w:val="21"/>
                    </w:rPr>
                  </w:pPr>
                </w:p>
              </w:tc>
            </w:tr>
          </w:tbl>
          <w:p w:rsidR="00D8697B" w:rsidRPr="00D8697B" w:rsidRDefault="00D8697B" w:rsidP="00D8697B">
            <w:pPr>
              <w:widowControl/>
              <w:spacing w:line="330" w:lineRule="atLeast"/>
              <w:jc w:val="left"/>
              <w:rPr>
                <w:rFonts w:ascii="宋体" w:eastAsia="宋体" w:hAnsi="宋体" w:cs="宋体"/>
                <w:color w:val="666666"/>
                <w:kern w:val="0"/>
                <w:szCs w:val="21"/>
              </w:rPr>
            </w:pPr>
          </w:p>
        </w:tc>
      </w:tr>
      <w:tr w:rsidR="00D8697B" w:rsidRPr="00D8697B" w:rsidTr="00D8697B">
        <w:trPr>
          <w:trHeight w:val="525"/>
          <w:tblCellSpacing w:w="37" w:type="dxa"/>
          <w:jc w:val="center"/>
        </w:trPr>
        <w:tc>
          <w:tcPr>
            <w:tcW w:w="0" w:type="auto"/>
            <w:vAlign w:val="center"/>
            <w:hideMark/>
          </w:tcPr>
          <w:p w:rsidR="00D8697B" w:rsidRPr="00D8697B" w:rsidRDefault="00D8697B" w:rsidP="00D8697B">
            <w:pPr>
              <w:widowControl/>
              <w:spacing w:line="330" w:lineRule="atLeast"/>
              <w:jc w:val="right"/>
              <w:rPr>
                <w:rFonts w:ascii="宋体" w:eastAsia="宋体" w:hAnsi="宋体" w:cs="宋体"/>
                <w:color w:val="666666"/>
                <w:kern w:val="0"/>
                <w:szCs w:val="21"/>
              </w:rPr>
            </w:pPr>
            <w:r w:rsidRPr="00D8697B">
              <w:rPr>
                <w:rFonts w:ascii="宋体" w:eastAsia="宋体" w:hAnsi="宋体" w:cs="宋体" w:hint="eastAsia"/>
                <w:color w:val="666666"/>
                <w:kern w:val="0"/>
                <w:szCs w:val="21"/>
              </w:rPr>
              <w:t>[</w:t>
            </w:r>
            <w:hyperlink r:id="rId4" w:history="1">
              <w:r w:rsidRPr="00D8697B">
                <w:rPr>
                  <w:rFonts w:ascii="宋体" w:eastAsia="宋体" w:hAnsi="宋体" w:cs="宋体" w:hint="eastAsia"/>
                  <w:color w:val="666666"/>
                  <w:kern w:val="0"/>
                </w:rPr>
                <w:t>大</w:t>
              </w:r>
            </w:hyperlink>
            <w:r w:rsidRPr="00D8697B">
              <w:rPr>
                <w:rFonts w:ascii="宋体" w:eastAsia="宋体" w:hAnsi="宋体" w:cs="宋体" w:hint="eastAsia"/>
                <w:color w:val="666666"/>
                <w:kern w:val="0"/>
                <w:szCs w:val="21"/>
              </w:rPr>
              <w:t>] [</w:t>
            </w:r>
            <w:hyperlink r:id="rId5" w:history="1">
              <w:r w:rsidRPr="00D8697B">
                <w:rPr>
                  <w:rFonts w:ascii="宋体" w:eastAsia="宋体" w:hAnsi="宋体" w:cs="宋体" w:hint="eastAsia"/>
                  <w:color w:val="666666"/>
                  <w:kern w:val="0"/>
                </w:rPr>
                <w:t>中</w:t>
              </w:r>
            </w:hyperlink>
            <w:r w:rsidRPr="00D8697B">
              <w:rPr>
                <w:rFonts w:ascii="宋体" w:eastAsia="宋体" w:hAnsi="宋体" w:cs="宋体" w:hint="eastAsia"/>
                <w:color w:val="666666"/>
                <w:kern w:val="0"/>
                <w:szCs w:val="21"/>
              </w:rPr>
              <w:t>] [</w:t>
            </w:r>
            <w:hyperlink r:id="rId6" w:history="1">
              <w:r w:rsidRPr="00D8697B">
                <w:rPr>
                  <w:rFonts w:ascii="宋体" w:eastAsia="宋体" w:hAnsi="宋体" w:cs="宋体" w:hint="eastAsia"/>
                  <w:color w:val="666666"/>
                  <w:kern w:val="0"/>
                </w:rPr>
                <w:t>小</w:t>
              </w:r>
            </w:hyperlink>
            <w:r w:rsidRPr="00D8697B">
              <w:rPr>
                <w:rFonts w:ascii="宋体" w:eastAsia="宋体" w:hAnsi="宋体" w:cs="宋体" w:hint="eastAsia"/>
                <w:color w:val="666666"/>
                <w:kern w:val="0"/>
                <w:szCs w:val="21"/>
              </w:rPr>
              <w:t>]</w:t>
            </w:r>
          </w:p>
        </w:tc>
      </w:tr>
      <w:tr w:rsidR="00D8697B" w:rsidRPr="00D8697B" w:rsidTr="00D8697B">
        <w:trPr>
          <w:tblCellSpacing w:w="37" w:type="dxa"/>
          <w:jc w:val="center"/>
        </w:trPr>
        <w:tc>
          <w:tcPr>
            <w:tcW w:w="0" w:type="auto"/>
            <w:vAlign w:val="center"/>
            <w:hideMark/>
          </w:tcPr>
          <w:p w:rsidR="00D8697B" w:rsidRPr="00D8697B" w:rsidRDefault="00D8697B" w:rsidP="00D8697B">
            <w:pPr>
              <w:widowControl/>
              <w:spacing w:before="120" w:after="120" w:line="270" w:lineRule="atLeast"/>
              <w:jc w:val="center"/>
              <w:rPr>
                <w:rFonts w:ascii="宋体" w:eastAsia="宋体" w:hAnsi="宋体" w:cs="宋体" w:hint="eastAsia"/>
                <w:color w:val="000000"/>
                <w:kern w:val="0"/>
                <w:sz w:val="24"/>
                <w:szCs w:val="24"/>
              </w:rPr>
            </w:pPr>
            <w:r w:rsidRPr="00D8697B">
              <w:rPr>
                <w:rFonts w:ascii="宋体" w:eastAsia="宋体" w:hAnsi="宋体" w:cs="宋体" w:hint="eastAsia"/>
                <w:color w:val="000000"/>
                <w:kern w:val="0"/>
                <w:sz w:val="24"/>
                <w:szCs w:val="24"/>
              </w:rPr>
              <w:t>云科高发〔2018〕2号</w:t>
            </w:r>
          </w:p>
          <w:p w:rsidR="00D8697B" w:rsidRPr="00D8697B" w:rsidRDefault="00D8697B" w:rsidP="00D8697B">
            <w:pPr>
              <w:widowControl/>
              <w:spacing w:before="120" w:after="120" w:line="270" w:lineRule="atLeast"/>
              <w:ind w:firstLine="641"/>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 </w:t>
            </w:r>
          </w:p>
          <w:p w:rsidR="00D8697B" w:rsidRPr="00D8697B" w:rsidRDefault="00D8697B" w:rsidP="00D8697B">
            <w:pPr>
              <w:widowControl/>
              <w:spacing w:before="120" w:after="120" w:line="270" w:lineRule="atLeast"/>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各州（市）科技局、财政局、国税局、地税局、省地税直征局、滇中新区地税局，国家及省级高新区管委会，有关企事业单位：</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为进一步加快我省2018年高新技术企业培育认定工作，促进全省高新技术产业发展，现制定实施意见如下。</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一、提高对高新技术企业培育认定工作重要性的认识</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高新技术企业已成为推动国民经济发展和产业转型升级的重要组成部分。科技部万钢部长在2018年全国科技工作会议上指出，2017年全国高新技术企业总数超过13.6万家，研发投入占比超过全国的50%，发明专利授权量占比全国的40%；上缴税费预计超过1.5</w:t>
            </w:r>
            <w:proofErr w:type="gramStart"/>
            <w:r w:rsidRPr="00D8697B">
              <w:rPr>
                <w:rFonts w:ascii="宋体" w:eastAsia="宋体" w:hAnsi="宋体" w:cs="宋体" w:hint="eastAsia"/>
                <w:color w:val="000000"/>
                <w:kern w:val="0"/>
                <w:sz w:val="24"/>
                <w:szCs w:val="24"/>
              </w:rPr>
              <w:t>万亿</w:t>
            </w:r>
            <w:proofErr w:type="gramEnd"/>
            <w:r w:rsidRPr="00D8697B">
              <w:rPr>
                <w:rFonts w:ascii="宋体" w:eastAsia="宋体" w:hAnsi="宋体" w:cs="宋体" w:hint="eastAsia"/>
                <w:color w:val="000000"/>
                <w:kern w:val="0"/>
                <w:sz w:val="24"/>
                <w:szCs w:val="24"/>
              </w:rPr>
              <w:t>元，营业总收入预计超过30</w:t>
            </w:r>
            <w:proofErr w:type="gramStart"/>
            <w:r w:rsidRPr="00D8697B">
              <w:rPr>
                <w:rFonts w:ascii="宋体" w:eastAsia="宋体" w:hAnsi="宋体" w:cs="宋体" w:hint="eastAsia"/>
                <w:color w:val="000000"/>
                <w:kern w:val="0"/>
                <w:sz w:val="24"/>
                <w:szCs w:val="24"/>
              </w:rPr>
              <w:t>万亿</w:t>
            </w:r>
            <w:proofErr w:type="gramEnd"/>
            <w:r w:rsidRPr="00D8697B">
              <w:rPr>
                <w:rFonts w:ascii="宋体" w:eastAsia="宋体" w:hAnsi="宋体" w:cs="宋体" w:hint="eastAsia"/>
                <w:color w:val="000000"/>
                <w:kern w:val="0"/>
                <w:sz w:val="24"/>
                <w:szCs w:val="24"/>
              </w:rPr>
              <w:t>元，增长均达10%以上；提供就业岗位超过2500万个。阮成发省长在2018年云南省政府工作报告关于今年的十项重点工作中提出，要深入实施创新驱动发展战略，加快建立以企业为主体、市场为导向、产学研深度融合的技术创新体系，通过建立高新技术企业培育库，加快引导和培育高新技术企业发展，大力培育创新主体。</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201</w:t>
            </w:r>
            <w:r w:rsidRPr="00D8697B">
              <w:rPr>
                <w:rFonts w:ascii="宋体" w:eastAsia="宋体" w:hAnsi="宋体" w:cs="宋体" w:hint="eastAsia"/>
                <w:color w:val="000000"/>
                <w:spacing w:val="-6"/>
                <w:kern w:val="0"/>
                <w:sz w:val="24"/>
                <w:szCs w:val="24"/>
              </w:rPr>
              <w:t>7年，全省科技、财政、国税和地税等部门通力合作，以全面提升企业自主创新能力为核心，积极营造环境，创新服务，加强高新技术企业培育、培训和认定工作，取得了明显的工作成效。当年全省共有450家企业通过国家高新技术企业认定，目前全省证书有效期内的高新技术企业总数达到1239家，较2016年增长了13.15%，我省高新技术企业数量居全国第19位，西部第4位。</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2018年是云南高新技术企业培育发展的关键之年，各州市及有关单位应按照省政府关于大力培育创新主体，加快培育高新技术企业的部署要求，全面开展高新技术企业培育认定工作，把大力培育发展高新技术企业，作为我省落实创新驱动发展战略、推进全省经济社会加快发展的重要举措。</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二、加快全省高新技术企业培育认定的工作原则和重点</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2018年度全省高新技术企业培育认定工作，要按照“省州（市）联动、政策引导、强化服务、维持存量、做大增量、落实考核”的工作原则，紧抓《云南省人民政府关于促进经济持续健康较快发展22条措施的意见》（云政发〔2018〕5号）中关于促进高新技术企业发展等相关政策措施的机遇，</w:t>
            </w:r>
            <w:proofErr w:type="gramStart"/>
            <w:r w:rsidRPr="00D8697B">
              <w:rPr>
                <w:rFonts w:ascii="宋体" w:eastAsia="宋体" w:hAnsi="宋体" w:cs="宋体" w:hint="eastAsia"/>
                <w:color w:val="000000"/>
                <w:kern w:val="0"/>
                <w:sz w:val="24"/>
                <w:szCs w:val="24"/>
              </w:rPr>
              <w:t>确保省</w:t>
            </w:r>
            <w:proofErr w:type="gramEnd"/>
            <w:r w:rsidRPr="00D8697B">
              <w:rPr>
                <w:rFonts w:ascii="宋体" w:eastAsia="宋体" w:hAnsi="宋体" w:cs="宋体" w:hint="eastAsia"/>
                <w:color w:val="000000"/>
                <w:kern w:val="0"/>
                <w:sz w:val="24"/>
                <w:szCs w:val="24"/>
              </w:rPr>
              <w:t>第十三届人代会第一次会议审议通过的省政府工作报告中关于年度新增高新技术企业目标任务的落实。各州（市）科技局、财政局、国税局和地税局等有关部门及各国家级、省级高新区管委会，要高度重视属地范围内的高新技术企业培育认定工作，加强协同，密切配合，整合聚集优势资源，出台配套扶持政策，重点做好2018年到期需重新认定高新技术企业及符合认定条件企业的推荐申报及相关指导服务工作。各州（市）及有关单位应加强本区域内高新技术企业培育认定任务的考核工作，做好指导服务，形成上下齐心共同推进全省高新技术企业培育认定工作的局面，进一步优化全省高新技术企业发展环境，为全省经济社会发展不断注入新动能。</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三、2018年度全省高新技术企业培育认定的任务分解</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为确保2018年云南省政府工作报告中关于今年我省高新技术企业新增任务指标的落实，现提出2018年全省净增认定高新技术企业200家的年度目标任务。结合各州（市）产业发展水平及工作实际，现将2018年度各州（市）高新技术企业净增培育认定任务分解如下（具体详见附件），请各州（市）科技局会同有关部门及国家级、省级高新区管委会切实做好贯彻落实及考核</w:t>
            </w:r>
            <w:r w:rsidRPr="00D8697B">
              <w:rPr>
                <w:rFonts w:ascii="宋体" w:eastAsia="宋体" w:hAnsi="宋体" w:cs="宋体" w:hint="eastAsia"/>
                <w:color w:val="000000"/>
                <w:kern w:val="0"/>
                <w:sz w:val="24"/>
                <w:szCs w:val="24"/>
              </w:rPr>
              <w:lastRenderedPageBreak/>
              <w:t>工作。</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四、扶持措施</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一）推动国家支持企业技术创新和高新技术企业财政税收优惠政策落实。加强科技、财政和税务主管部门的工作衔接，形成工作合力，切实加强研发费用加计扣除、高新技术企业税收优惠、固定资产加速折旧、研发投入补助等普惠性政策的宣传服务工作，以多种形式开展政策宣讲，精准锁定政策受惠企业群体，引导企业规范研发项目管理和费用归集，确保政策落实、落细、落地，降低纳税人研发投入风险，增强企业获得感。</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二）加大高新技术企业培育力度。按照省政府工作报告和《云南省人民政府关于促进经济持续健康较快发展22条措施的意见》及《云南省科技厅关于贯彻落实〈云南省人民政府关于促进经济持续健康较快发展22条措施的意见〉的实施办法》精神，建立云南省高新技术企业培育库，不断创新和优化培育服务手段。每</w:t>
            </w:r>
            <w:r w:rsidRPr="00D8697B">
              <w:rPr>
                <w:rFonts w:ascii="宋体" w:eastAsia="宋体" w:hAnsi="宋体" w:cs="宋体" w:hint="eastAsia"/>
                <w:color w:val="000000"/>
                <w:spacing w:val="-6"/>
                <w:kern w:val="0"/>
                <w:sz w:val="24"/>
                <w:szCs w:val="24"/>
              </w:rPr>
              <w:t>年遴选一批符合要求，具有技术创新意识、拥有科技成果转化能力、管理规范、有一定成长性的科技型企业入库培育，对入库企业给予每户2万元科技经费补助支持，主要用于申报高新技术企业过程中产生的相关知识产权申请、维护和科技成果转化所需的检验检测、研发经费归集所需专项审计等相关支出。按计划，到2020年，云</w:t>
            </w:r>
            <w:r w:rsidRPr="00D8697B">
              <w:rPr>
                <w:rFonts w:ascii="宋体" w:eastAsia="宋体" w:hAnsi="宋体" w:cs="宋体" w:hint="eastAsia"/>
                <w:color w:val="000000"/>
                <w:kern w:val="0"/>
                <w:sz w:val="24"/>
                <w:szCs w:val="24"/>
              </w:rPr>
              <w:t>南省高新技术企业培育库入库企业将达1500家。</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三）加大高新技术企业扶持力度。按照《云南省人民政府关于促进经济持续健康较快发展22条措施的意见》及《云南省科技厅关于贯彻落实〈云南省人民政府关于促进经济持续健康较快发展22条措施的意见〉的实施办法》，云南省高新技术企业培育库内企业首次获</w:t>
            </w:r>
            <w:proofErr w:type="gramStart"/>
            <w:r w:rsidRPr="00D8697B">
              <w:rPr>
                <w:rFonts w:ascii="宋体" w:eastAsia="宋体" w:hAnsi="宋体" w:cs="宋体" w:hint="eastAsia"/>
                <w:color w:val="000000"/>
                <w:kern w:val="0"/>
                <w:sz w:val="24"/>
                <w:szCs w:val="24"/>
              </w:rPr>
              <w:t>批国家</w:t>
            </w:r>
            <w:proofErr w:type="gramEnd"/>
            <w:r w:rsidRPr="00D8697B">
              <w:rPr>
                <w:rFonts w:ascii="宋体" w:eastAsia="宋体" w:hAnsi="宋体" w:cs="宋体" w:hint="eastAsia"/>
                <w:color w:val="000000"/>
                <w:kern w:val="0"/>
                <w:sz w:val="24"/>
                <w:szCs w:val="24"/>
              </w:rPr>
              <w:t>高新技术企业认定的，对规模以上企业，给予每户30万元科技经费支持；对规模以下企业，给予每户10万元科技经费支持。同时，对规模以上高新技术企业，省财政研发经费投入引导比例提高1个百分点。</w:t>
            </w:r>
          </w:p>
          <w:p w:rsidR="00D8697B" w:rsidRPr="00D8697B" w:rsidRDefault="00D8697B" w:rsidP="00D8697B">
            <w:pPr>
              <w:widowControl/>
              <w:spacing w:before="120" w:after="120" w:line="270" w:lineRule="atLeast"/>
              <w:ind w:firstLine="641"/>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 </w:t>
            </w:r>
          </w:p>
          <w:p w:rsidR="00D8697B" w:rsidRPr="00D8697B" w:rsidRDefault="00D8697B" w:rsidP="00D8697B">
            <w:pPr>
              <w:widowControl/>
              <w:spacing w:before="120" w:after="120" w:line="270" w:lineRule="atLeast"/>
              <w:ind w:left="1358" w:hanging="72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附件：云南省2018年度各州（市）高新技术企业培育认定目标任务分解表</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 </w:t>
            </w:r>
          </w:p>
          <w:p w:rsidR="00D8697B" w:rsidRPr="00D8697B" w:rsidRDefault="00D8697B" w:rsidP="00D8697B">
            <w:pPr>
              <w:widowControl/>
              <w:spacing w:before="120" w:after="120" w:line="270" w:lineRule="atLeast"/>
              <w:ind w:firstLine="64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 </w:t>
            </w:r>
          </w:p>
          <w:p w:rsidR="00D8697B" w:rsidRPr="00D8697B" w:rsidRDefault="00D8697B" w:rsidP="00D8697B">
            <w:pPr>
              <w:widowControl/>
              <w:spacing w:before="120" w:after="120" w:line="270" w:lineRule="atLeast"/>
              <w:ind w:firstLine="48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云南省科学技术厅                  云南省财政厅</w:t>
            </w:r>
          </w:p>
          <w:p w:rsidR="00D8697B" w:rsidRPr="00D8697B" w:rsidRDefault="00D8697B" w:rsidP="00D8697B">
            <w:pPr>
              <w:widowControl/>
              <w:spacing w:before="120" w:after="120" w:line="270" w:lineRule="atLeast"/>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 </w:t>
            </w:r>
          </w:p>
          <w:p w:rsidR="00D8697B" w:rsidRPr="00D8697B" w:rsidRDefault="00D8697B" w:rsidP="00D8697B">
            <w:pPr>
              <w:widowControl/>
              <w:spacing w:before="120" w:after="120" w:line="270" w:lineRule="atLeast"/>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 </w:t>
            </w:r>
          </w:p>
          <w:p w:rsidR="00D8697B" w:rsidRPr="00D8697B" w:rsidRDefault="00D8697B" w:rsidP="00D8697B">
            <w:pPr>
              <w:widowControl/>
              <w:spacing w:before="120" w:after="120" w:line="270" w:lineRule="atLeast"/>
              <w:ind w:firstLine="72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云南省国税局                    云南省地税局</w:t>
            </w:r>
          </w:p>
          <w:p w:rsidR="00D8697B" w:rsidRPr="00D8697B" w:rsidRDefault="00D8697B" w:rsidP="00D8697B">
            <w:pPr>
              <w:widowControl/>
              <w:spacing w:before="120" w:after="120" w:line="270" w:lineRule="atLeast"/>
              <w:ind w:firstLine="5760"/>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2018年4月13日</w:t>
            </w:r>
          </w:p>
          <w:p w:rsidR="00D8697B" w:rsidRPr="00D8697B" w:rsidRDefault="00D8697B" w:rsidP="00D8697B">
            <w:pPr>
              <w:widowControl/>
              <w:spacing w:before="120" w:after="120" w:line="270" w:lineRule="atLeast"/>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附件</w:t>
            </w:r>
          </w:p>
          <w:p w:rsidR="00D8697B" w:rsidRPr="00D8697B" w:rsidRDefault="00D8697B" w:rsidP="00D8697B">
            <w:pPr>
              <w:widowControl/>
              <w:spacing w:before="120" w:after="120" w:line="270" w:lineRule="atLeast"/>
              <w:jc w:val="center"/>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云南省2018年度各州（市）高新技术</w:t>
            </w:r>
          </w:p>
          <w:p w:rsidR="00D8697B" w:rsidRPr="00D8697B" w:rsidRDefault="00D8697B" w:rsidP="00D8697B">
            <w:pPr>
              <w:widowControl/>
              <w:spacing w:before="120" w:after="120" w:line="270" w:lineRule="atLeast"/>
              <w:jc w:val="center"/>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企业培育认定目标任务分解表</w:t>
            </w:r>
          </w:p>
          <w:tbl>
            <w:tblPr>
              <w:tblW w:w="9360" w:type="dxa"/>
              <w:jc w:val="center"/>
              <w:tblCellMar>
                <w:left w:w="0" w:type="dxa"/>
                <w:right w:w="0" w:type="dxa"/>
              </w:tblCellMar>
              <w:tblLook w:val="04A0"/>
            </w:tblPr>
            <w:tblGrid>
              <w:gridCol w:w="2161"/>
              <w:gridCol w:w="2225"/>
              <w:gridCol w:w="2556"/>
              <w:gridCol w:w="2418"/>
            </w:tblGrid>
            <w:tr w:rsidR="00D8697B" w:rsidRPr="00D8697B" w:rsidTr="00D8697B">
              <w:trPr>
                <w:trHeight w:val="340"/>
                <w:jc w:val="center"/>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州市</w:t>
                  </w:r>
                </w:p>
              </w:tc>
              <w:tc>
                <w:tcPr>
                  <w:tcW w:w="2224"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2018年有效期内高企数量（注册地）</w:t>
                  </w:r>
                </w:p>
              </w:tc>
              <w:tc>
                <w:tcPr>
                  <w:tcW w:w="4972"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2018年高企认定目标</w:t>
                  </w:r>
                </w:p>
              </w:tc>
            </w:tr>
            <w:tr w:rsidR="00D8697B" w:rsidRPr="00D8697B" w:rsidTr="00D8697B">
              <w:trPr>
                <w:trHeigh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697B" w:rsidRPr="00D8697B" w:rsidRDefault="00D8697B" w:rsidP="00D8697B">
                  <w:pPr>
                    <w:widowControl/>
                    <w:jc w:val="left"/>
                    <w:rPr>
                      <w:rFonts w:ascii="宋体" w:eastAsia="宋体" w:hAnsi="宋体" w:cs="宋体"/>
                      <w:color w:val="666666"/>
                      <w:kern w:val="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8697B" w:rsidRPr="00D8697B" w:rsidRDefault="00D8697B" w:rsidP="00D8697B">
                  <w:pPr>
                    <w:widowControl/>
                    <w:jc w:val="left"/>
                    <w:rPr>
                      <w:rFonts w:ascii="宋体" w:eastAsia="宋体" w:hAnsi="宋体" w:cs="宋体"/>
                      <w:color w:val="666666"/>
                      <w:kern w:val="0"/>
                      <w:sz w:val="24"/>
                      <w:szCs w:val="24"/>
                    </w:rPr>
                  </w:pP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2018年到期高</w:t>
                  </w:r>
                  <w:proofErr w:type="gramStart"/>
                  <w:r w:rsidRPr="00D8697B">
                    <w:rPr>
                      <w:rFonts w:ascii="宋体" w:eastAsia="宋体" w:hAnsi="宋体" w:cs="宋体" w:hint="eastAsia"/>
                      <w:color w:val="000000"/>
                      <w:kern w:val="0"/>
                      <w:sz w:val="24"/>
                      <w:szCs w:val="24"/>
                    </w:rPr>
                    <w:t>企数量</w:t>
                  </w:r>
                  <w:proofErr w:type="gramEnd"/>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2018年净增高</w:t>
                  </w:r>
                  <w:proofErr w:type="gramStart"/>
                  <w:r w:rsidRPr="00D8697B">
                    <w:rPr>
                      <w:rFonts w:ascii="宋体" w:eastAsia="宋体" w:hAnsi="宋体" w:cs="宋体" w:hint="eastAsia"/>
                      <w:color w:val="000000"/>
                      <w:kern w:val="0"/>
                      <w:sz w:val="24"/>
                      <w:szCs w:val="24"/>
                    </w:rPr>
                    <w:t>企数量</w:t>
                  </w:r>
                  <w:proofErr w:type="gramEnd"/>
                </w:p>
              </w:tc>
            </w:tr>
            <w:tr w:rsidR="00D8697B" w:rsidRPr="00D8697B" w:rsidTr="00D8697B">
              <w:trPr>
                <w:trHeight w:val="340"/>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昆明市（不含昆明高新区）</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655</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170</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80</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昆明高新区</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162</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64</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25</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lastRenderedPageBreak/>
                    <w:t>玉溪</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93</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29</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15</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曲靖</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79</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30</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15</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楚雄</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45</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13</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10</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大理</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41</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9</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10</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保山</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40</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19</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10</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红河</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29</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14</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5</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普洱</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25</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6</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5</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丽江</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19</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7</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5</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文山</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17</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7</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5</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西双版纳</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10</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5</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4</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昭通</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8</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4</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临沧</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5</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德宏</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5</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3</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迪庆</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5</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3</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怒江</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bookmarkStart w:id="0" w:name="_GoBack"/>
                  <w:bookmarkEnd w:id="0"/>
                  <w:r w:rsidRPr="00D8697B">
                    <w:rPr>
                      <w:rFonts w:ascii="宋体" w:eastAsia="宋体" w:hAnsi="宋体" w:cs="宋体" w:hint="eastAsia"/>
                      <w:color w:val="000000"/>
                      <w:kern w:val="0"/>
                      <w:sz w:val="24"/>
                      <w:szCs w:val="24"/>
                    </w:rPr>
                    <w:t>0</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w:t>
                  </w:r>
                </w:p>
              </w:tc>
            </w:tr>
            <w:tr w:rsidR="00D8697B" w:rsidRPr="00D8697B" w:rsidTr="00D8697B">
              <w:trPr>
                <w:trHeight w:val="539"/>
                <w:jc w:val="center"/>
              </w:trPr>
              <w:tc>
                <w:tcPr>
                  <w:tcW w:w="21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left"/>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合计</w:t>
                  </w:r>
                </w:p>
              </w:tc>
              <w:tc>
                <w:tcPr>
                  <w:tcW w:w="222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1239</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382</w:t>
                  </w:r>
                </w:p>
              </w:tc>
              <w:tc>
                <w:tcPr>
                  <w:tcW w:w="2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8697B" w:rsidRPr="00D8697B" w:rsidRDefault="00D8697B" w:rsidP="00D8697B">
                  <w:pPr>
                    <w:widowControl/>
                    <w:spacing w:before="120" w:after="120" w:line="315" w:lineRule="atLeast"/>
                    <w:jc w:val="center"/>
                    <w:rPr>
                      <w:rFonts w:ascii="宋体" w:eastAsia="宋体" w:hAnsi="宋体" w:cs="宋体"/>
                      <w:color w:val="666666"/>
                      <w:kern w:val="0"/>
                      <w:sz w:val="24"/>
                      <w:szCs w:val="24"/>
                    </w:rPr>
                  </w:pPr>
                  <w:r w:rsidRPr="00D8697B">
                    <w:rPr>
                      <w:rFonts w:ascii="宋体" w:eastAsia="宋体" w:hAnsi="宋体" w:cs="宋体" w:hint="eastAsia"/>
                      <w:color w:val="000000"/>
                      <w:kern w:val="0"/>
                      <w:sz w:val="24"/>
                      <w:szCs w:val="24"/>
                    </w:rPr>
                    <w:t>200</w:t>
                  </w:r>
                </w:p>
              </w:tc>
            </w:tr>
          </w:tbl>
          <w:p w:rsidR="00D8697B" w:rsidRPr="00D8697B" w:rsidRDefault="00D8697B" w:rsidP="00D8697B">
            <w:pPr>
              <w:widowControl/>
              <w:spacing w:before="120" w:after="120" w:line="270" w:lineRule="atLeast"/>
              <w:jc w:val="left"/>
              <w:rPr>
                <w:rFonts w:ascii="宋体" w:eastAsia="宋体" w:hAnsi="宋体" w:cs="宋体"/>
                <w:color w:val="000000"/>
                <w:kern w:val="0"/>
                <w:sz w:val="24"/>
                <w:szCs w:val="24"/>
              </w:rPr>
            </w:pPr>
            <w:r w:rsidRPr="00D8697B">
              <w:rPr>
                <w:rFonts w:ascii="宋体" w:eastAsia="宋体" w:hAnsi="宋体" w:cs="宋体" w:hint="eastAsia"/>
                <w:color w:val="000000"/>
                <w:kern w:val="0"/>
                <w:sz w:val="24"/>
                <w:szCs w:val="24"/>
              </w:rPr>
              <w:t> </w:t>
            </w:r>
          </w:p>
        </w:tc>
      </w:tr>
    </w:tbl>
    <w:p w:rsidR="004C44DC" w:rsidRDefault="004C44DC"/>
    <w:sectPr w:rsidR="004C44DC" w:rsidSect="00D8697B">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697B"/>
    <w:rsid w:val="004C44DC"/>
    <w:rsid w:val="00D86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697B"/>
    <w:rPr>
      <w:color w:val="0000FF"/>
      <w:u w:val="single"/>
    </w:rPr>
  </w:style>
  <w:style w:type="character" w:customStyle="1" w:styleId="apple-converted-space">
    <w:name w:val="apple-converted-space"/>
    <w:basedOn w:val="a0"/>
    <w:rsid w:val="00D8697B"/>
  </w:style>
</w:styles>
</file>

<file path=word/webSettings.xml><?xml version="1.0" encoding="utf-8"?>
<w:webSettings xmlns:r="http://schemas.openxmlformats.org/officeDocument/2006/relationships" xmlns:w="http://schemas.openxmlformats.org/wordprocessingml/2006/main">
  <w:divs>
    <w:div w:id="1228107507">
      <w:bodyDiv w:val="1"/>
      <w:marLeft w:val="0"/>
      <w:marRight w:val="0"/>
      <w:marTop w:val="0"/>
      <w:marBottom w:val="0"/>
      <w:divBdr>
        <w:top w:val="none" w:sz="0" w:space="0" w:color="auto"/>
        <w:left w:val="none" w:sz="0" w:space="0" w:color="auto"/>
        <w:bottom w:val="none" w:sz="0" w:space="0" w:color="auto"/>
        <w:right w:val="none" w:sz="0" w:space="0" w:color="auto"/>
      </w:divBdr>
      <w:divsChild>
        <w:div w:id="120475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stc.gov.cn/tzgg/201804230005.htm" TargetMode="External"/><Relationship Id="rId5" Type="http://schemas.openxmlformats.org/officeDocument/2006/relationships/hyperlink" Target="http://www.ynstc.gov.cn/tzgg/201804230005.htm" TargetMode="External"/><Relationship Id="rId4" Type="http://schemas.openxmlformats.org/officeDocument/2006/relationships/hyperlink" Target="http://www.ynstc.gov.cn/tzgg/2018042300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2018-04-23T09:13:00Z</dcterms:created>
  <dcterms:modified xsi:type="dcterms:W3CDTF">2018-04-23T09:14:00Z</dcterms:modified>
</cp:coreProperties>
</file>